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A1A00" w:rsidRPr="007A1A00">
        <w:trPr>
          <w:trHeight w:val="1760"/>
        </w:trPr>
        <w:tc>
          <w:tcPr>
            <w:tcW w:w="4243" w:type="dxa"/>
          </w:tcPr>
          <w:p w:rsidR="007027B5" w:rsidRPr="007A1A00" w:rsidRDefault="007027B5" w:rsidP="003F3808">
            <w:pPr>
              <w:rPr>
                <w:noProof/>
              </w:rPr>
            </w:pPr>
            <w:bookmarkStart w:id="0" w:name="_GoBack"/>
            <w:bookmarkEnd w:id="0"/>
          </w:p>
        </w:tc>
        <w:tc>
          <w:tcPr>
            <w:tcW w:w="1646" w:type="dxa"/>
            <w:vAlign w:val="center"/>
          </w:tcPr>
          <w:p w:rsidR="007027B5" w:rsidRPr="007A1A00" w:rsidRDefault="007027B5" w:rsidP="003F3808">
            <w:pPr>
              <w:pStyle w:val="LogoUPOV"/>
              <w:rPr>
                <w:noProof/>
              </w:rPr>
            </w:pPr>
            <w:r w:rsidRPr="007A1A00">
              <w:rPr>
                <w:noProof/>
                <w:lang w:val="en-US"/>
              </w:rPr>
              <w:drawing>
                <wp:inline distT="0" distB="0" distL="0" distR="0" wp14:anchorId="56BC3BDE" wp14:editId="0E5197D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1661C" w:rsidRPr="007A1A00" w:rsidRDefault="007027B5" w:rsidP="003F3808">
            <w:pPr>
              <w:pStyle w:val="Lettrine"/>
              <w:rPr>
                <w:noProof/>
              </w:rPr>
            </w:pPr>
            <w:r w:rsidRPr="007A1A00">
              <w:rPr>
                <w:noProof/>
              </w:rPr>
              <w:t>F</w:t>
            </w:r>
          </w:p>
          <w:p w:rsidR="0031661C" w:rsidRPr="007A1A00" w:rsidRDefault="00BD1324" w:rsidP="003F3808">
            <w:pPr>
              <w:pStyle w:val="Docoriginal"/>
              <w:jc w:val="left"/>
              <w:rPr>
                <w:noProof/>
              </w:rPr>
            </w:pPr>
            <w:r>
              <w:rPr>
                <w:noProof/>
              </w:rPr>
              <w:t>CAJ/72/10</w:t>
            </w:r>
          </w:p>
          <w:p w:rsidR="0031661C" w:rsidRPr="007A1A00" w:rsidRDefault="007027B5" w:rsidP="003F3808">
            <w:pPr>
              <w:pStyle w:val="Docoriginal"/>
              <w:jc w:val="left"/>
              <w:rPr>
                <w:noProof/>
              </w:rPr>
            </w:pPr>
            <w:r w:rsidRPr="007A1A00">
              <w:rPr>
                <w:rStyle w:val="StyleDoclangBold"/>
                <w:b/>
                <w:bCs/>
                <w:noProof/>
                <w:spacing w:val="0"/>
                <w:lang w:val="fr-FR"/>
              </w:rPr>
              <w:t>ORIGINAL</w:t>
            </w:r>
            <w:r w:rsidR="00E73D21" w:rsidRPr="007A1A00">
              <w:rPr>
                <w:rStyle w:val="StyleDoclangBold"/>
                <w:b/>
                <w:bCs/>
                <w:noProof/>
                <w:spacing w:val="0"/>
                <w:lang w:val="fr-FR"/>
              </w:rPr>
              <w:t> </w:t>
            </w:r>
            <w:r w:rsidRPr="007A1A00">
              <w:rPr>
                <w:rStyle w:val="StyleDoclangBold"/>
                <w:b/>
                <w:bCs/>
                <w:noProof/>
                <w:spacing w:val="0"/>
                <w:lang w:val="fr-FR"/>
              </w:rPr>
              <w:t>:</w:t>
            </w:r>
            <w:r w:rsidRPr="007A1A00">
              <w:rPr>
                <w:rStyle w:val="StyleDocoriginalNotBold1"/>
                <w:noProof/>
                <w:spacing w:val="0"/>
                <w:lang w:val="fr-FR"/>
              </w:rPr>
              <w:t xml:space="preserve"> </w:t>
            </w:r>
            <w:bookmarkStart w:id="1" w:name="Original"/>
            <w:bookmarkEnd w:id="1"/>
            <w:r w:rsidRPr="007A1A00">
              <w:rPr>
                <w:b w:val="0"/>
                <w:noProof/>
                <w:spacing w:val="0"/>
              </w:rPr>
              <w:t>anglais</w:t>
            </w:r>
          </w:p>
          <w:p w:rsidR="007027B5" w:rsidRPr="007A1A00" w:rsidRDefault="007027B5" w:rsidP="00BD1324">
            <w:pPr>
              <w:pStyle w:val="Docoriginal"/>
              <w:jc w:val="left"/>
              <w:rPr>
                <w:noProof/>
              </w:rPr>
            </w:pPr>
            <w:r w:rsidRPr="007A1A00">
              <w:rPr>
                <w:noProof/>
                <w:spacing w:val="0"/>
              </w:rPr>
              <w:t>DATE</w:t>
            </w:r>
            <w:r w:rsidR="00E73D21" w:rsidRPr="007A1A00">
              <w:rPr>
                <w:noProof/>
                <w:spacing w:val="0"/>
              </w:rPr>
              <w:t> </w:t>
            </w:r>
            <w:r w:rsidRPr="007A1A00">
              <w:rPr>
                <w:noProof/>
                <w:spacing w:val="0"/>
              </w:rPr>
              <w:t>:</w:t>
            </w:r>
            <w:bookmarkStart w:id="2" w:name="Date"/>
            <w:bookmarkEnd w:id="2"/>
            <w:r w:rsidR="00800E16">
              <w:rPr>
                <w:b w:val="0"/>
                <w:noProof/>
                <w:spacing w:val="0"/>
              </w:rPr>
              <w:t xml:space="preserve"> 2</w:t>
            </w:r>
            <w:r w:rsidR="00BD1324">
              <w:rPr>
                <w:b w:val="0"/>
                <w:noProof/>
                <w:spacing w:val="0"/>
              </w:rPr>
              <w:t>4</w:t>
            </w:r>
            <w:r w:rsidR="004F3B3C">
              <w:rPr>
                <w:rStyle w:val="StyleDocoriginalNotBold1"/>
                <w:noProof/>
                <w:spacing w:val="0"/>
                <w:lang w:val="fr-FR"/>
              </w:rPr>
              <w:t xml:space="preserve"> </w:t>
            </w:r>
            <w:r w:rsidR="00BD1324">
              <w:rPr>
                <w:rStyle w:val="StyleDocoriginalNotBold1"/>
                <w:noProof/>
                <w:spacing w:val="0"/>
                <w:lang w:val="fr-FR"/>
              </w:rPr>
              <w:t xml:space="preserve">octobre </w:t>
            </w:r>
            <w:r w:rsidR="004F3B3C">
              <w:rPr>
                <w:rStyle w:val="StyleDocoriginalNotBold1"/>
                <w:noProof/>
                <w:spacing w:val="0"/>
                <w:lang w:val="fr-FR"/>
              </w:rPr>
              <w:t>2016</w:t>
            </w:r>
          </w:p>
        </w:tc>
      </w:tr>
      <w:tr w:rsidR="007A1A00" w:rsidRPr="007A1A00">
        <w:tc>
          <w:tcPr>
            <w:tcW w:w="10131" w:type="dxa"/>
            <w:gridSpan w:val="3"/>
          </w:tcPr>
          <w:p w:rsidR="007027B5" w:rsidRPr="007A1A00" w:rsidRDefault="007027B5" w:rsidP="003F3808">
            <w:pPr>
              <w:pStyle w:val="upove"/>
              <w:rPr>
                <w:noProof/>
                <w:sz w:val="28"/>
              </w:rPr>
            </w:pPr>
            <w:r w:rsidRPr="007A1A00">
              <w:rPr>
                <w:noProof/>
                <w:spacing w:val="6"/>
              </w:rPr>
              <w:t>UNION INTERNATIONALE POUR LA PROTECTION DES OBTENTIONS VÉGÉTALES</w:t>
            </w:r>
          </w:p>
        </w:tc>
      </w:tr>
      <w:tr w:rsidR="007A1A00" w:rsidRPr="007A1A00">
        <w:tc>
          <w:tcPr>
            <w:tcW w:w="10131" w:type="dxa"/>
            <w:gridSpan w:val="3"/>
          </w:tcPr>
          <w:p w:rsidR="007027B5" w:rsidRPr="007A1A00" w:rsidRDefault="007027B5" w:rsidP="003F3808">
            <w:pPr>
              <w:pStyle w:val="Country"/>
              <w:rPr>
                <w:noProof/>
              </w:rPr>
            </w:pPr>
            <w:r w:rsidRPr="007A1A00">
              <w:rPr>
                <w:noProof/>
              </w:rPr>
              <w:t>Genève</w:t>
            </w:r>
          </w:p>
        </w:tc>
      </w:tr>
    </w:tbl>
    <w:p w:rsidR="0031661C" w:rsidRPr="007A1A00" w:rsidRDefault="007027B5" w:rsidP="007027B5">
      <w:pPr>
        <w:pStyle w:val="Sessiontc"/>
        <w:rPr>
          <w:noProof/>
        </w:rPr>
      </w:pPr>
      <w:r w:rsidRPr="007A1A00">
        <w:rPr>
          <w:noProof/>
        </w:rPr>
        <w:t>Comité administratif et juridique</w:t>
      </w:r>
    </w:p>
    <w:p w:rsidR="0031661C" w:rsidRPr="007A1A00" w:rsidRDefault="007027B5" w:rsidP="007027B5">
      <w:pPr>
        <w:pStyle w:val="Sessiontcplacedate"/>
        <w:rPr>
          <w:noProof/>
        </w:rPr>
      </w:pPr>
      <w:r w:rsidRPr="007A1A00">
        <w:rPr>
          <w:noProof/>
        </w:rPr>
        <w:t>Soixante</w:t>
      </w:r>
      <w:r w:rsidR="00805E4D" w:rsidRPr="007A1A00">
        <w:rPr>
          <w:noProof/>
        </w:rPr>
        <w:noBreakHyphen/>
      </w:r>
      <w:r w:rsidRPr="007A1A00">
        <w:rPr>
          <w:noProof/>
        </w:rPr>
        <w:t>douzième</w:t>
      </w:r>
      <w:r w:rsidR="00E73D21" w:rsidRPr="007A1A00">
        <w:rPr>
          <w:noProof/>
        </w:rPr>
        <w:t> </w:t>
      </w:r>
      <w:r w:rsidRPr="007A1A00">
        <w:rPr>
          <w:noProof/>
        </w:rPr>
        <w:t>session</w:t>
      </w:r>
      <w:r w:rsidRPr="007A1A00">
        <w:rPr>
          <w:noProof/>
        </w:rPr>
        <w:br/>
        <w:t>Genève, 26 et 2</w:t>
      </w:r>
      <w:r w:rsidR="00E94EB0" w:rsidRPr="007A1A00">
        <w:rPr>
          <w:noProof/>
        </w:rPr>
        <w:t>7 octobre 20</w:t>
      </w:r>
      <w:r w:rsidRPr="007A1A00">
        <w:rPr>
          <w:noProof/>
        </w:rPr>
        <w:t>15</w:t>
      </w:r>
    </w:p>
    <w:p w:rsidR="0031661C" w:rsidRPr="007A1A00" w:rsidRDefault="004F3B3C" w:rsidP="007027B5">
      <w:pPr>
        <w:pStyle w:val="Titleofdoc0"/>
        <w:rPr>
          <w:noProof/>
        </w:rPr>
      </w:pPr>
      <w:bookmarkStart w:id="3" w:name="TitleOfDoc"/>
      <w:bookmarkEnd w:id="3"/>
      <w:r>
        <w:rPr>
          <w:noProof/>
        </w:rPr>
        <w:t>Compte rendu</w:t>
      </w:r>
    </w:p>
    <w:p w:rsidR="0031661C" w:rsidRPr="00194188" w:rsidRDefault="000C6154" w:rsidP="007027B5">
      <w:pPr>
        <w:pStyle w:val="preparedby1"/>
        <w:tabs>
          <w:tab w:val="left" w:pos="142"/>
        </w:tabs>
        <w:rPr>
          <w:noProof/>
          <w:snapToGrid w:val="0"/>
          <w:color w:val="A6A6A6" w:themeColor="background1" w:themeShade="A6"/>
          <w:szCs w:val="16"/>
        </w:rPr>
      </w:pPr>
      <w:bookmarkStart w:id="4" w:name="Prepared"/>
      <w:bookmarkEnd w:id="4"/>
      <w:r>
        <w:t>adopté par le Comité administratif et juridique</w:t>
      </w:r>
      <w:r w:rsidR="007027B5" w:rsidRPr="007A1A00">
        <w:rPr>
          <w:noProof/>
        </w:rPr>
        <w:br/>
      </w:r>
      <w:r w:rsidR="007027B5" w:rsidRPr="00C365CC">
        <w:rPr>
          <w:noProof/>
          <w:color w:val="008000"/>
        </w:rPr>
        <w:br/>
      </w:r>
      <w:r w:rsidR="007027B5" w:rsidRPr="00194188">
        <w:rPr>
          <w:noProof/>
          <w:color w:val="A6A6A6" w:themeColor="background1" w:themeShade="A6"/>
        </w:rPr>
        <w:t>Avertissement : le présent document ne représente pas les principes ou les orientations de l</w:t>
      </w:r>
      <w:r w:rsidR="00E94EB0" w:rsidRPr="00194188">
        <w:rPr>
          <w:noProof/>
          <w:color w:val="A6A6A6" w:themeColor="background1" w:themeShade="A6"/>
        </w:rPr>
        <w:t>’</w:t>
      </w:r>
      <w:r w:rsidR="007027B5" w:rsidRPr="00194188">
        <w:rPr>
          <w:noProof/>
          <w:color w:val="A6A6A6" w:themeColor="background1" w:themeShade="A6"/>
        </w:rPr>
        <w:t>UPOV</w:t>
      </w:r>
    </w:p>
    <w:p w:rsidR="0031661C" w:rsidRPr="007A1A00" w:rsidRDefault="007027B5" w:rsidP="009E3424">
      <w:pPr>
        <w:keepNext/>
        <w:outlineLvl w:val="0"/>
        <w:rPr>
          <w:noProof/>
          <w:snapToGrid w:val="0"/>
          <w:u w:val="single"/>
        </w:rPr>
      </w:pPr>
      <w:r w:rsidRPr="007A1A00">
        <w:rPr>
          <w:noProof/>
          <w:snapToGrid w:val="0"/>
          <w:u w:val="single"/>
        </w:rPr>
        <w:t>Ouverture de la session</w:t>
      </w:r>
    </w:p>
    <w:p w:rsidR="0031661C" w:rsidRPr="007A1A00" w:rsidRDefault="0031661C" w:rsidP="009E3424">
      <w:pPr>
        <w:keepNext/>
        <w:outlineLvl w:val="0"/>
        <w:rPr>
          <w:noProof/>
          <w:snapToGrid w:val="0"/>
          <w:u w:val="single"/>
        </w:rPr>
      </w:pPr>
    </w:p>
    <w:p w:rsidR="0031661C" w:rsidRPr="007A1A00" w:rsidRDefault="004F3B3C" w:rsidP="007027B5">
      <w:pPr>
        <w:rPr>
          <w:noProof/>
        </w:rPr>
      </w:pPr>
      <w:r>
        <w:rPr>
          <w:rStyle w:val="FootnoteReference"/>
          <w:noProof/>
        </w:rPr>
        <w:footnoteReference w:customMarkFollows="1" w:id="2"/>
        <w:t>*</w:t>
      </w:r>
      <w:r w:rsidR="00AE08BE" w:rsidRPr="007A1A00">
        <w:rPr>
          <w:noProof/>
        </w:rPr>
        <w:fldChar w:fldCharType="begin"/>
      </w:r>
      <w:r w:rsidR="009E3424" w:rsidRPr="007A1A00">
        <w:rPr>
          <w:noProof/>
        </w:rPr>
        <w:instrText xml:space="preserve"> AUTONUM  </w:instrText>
      </w:r>
      <w:r w:rsidR="00AE08BE" w:rsidRPr="007A1A00">
        <w:rPr>
          <w:noProof/>
        </w:rPr>
        <w:fldChar w:fldCharType="end"/>
      </w:r>
      <w:r w:rsidR="009E3424" w:rsidRPr="007A1A00">
        <w:rPr>
          <w:noProof/>
        </w:rPr>
        <w:tab/>
      </w:r>
      <w:r w:rsidR="007027B5" w:rsidRPr="007A1A00">
        <w:rPr>
          <w:noProof/>
        </w:rPr>
        <w:t>Le Comité administratif et juridique (CAJ) a tenu sa soixante</w:t>
      </w:r>
      <w:r w:rsidR="00805E4D" w:rsidRPr="007A1A00">
        <w:rPr>
          <w:noProof/>
        </w:rPr>
        <w:noBreakHyphen/>
      </w:r>
      <w:r w:rsidR="007027B5" w:rsidRPr="007A1A00">
        <w:rPr>
          <w:noProof/>
        </w:rPr>
        <w:t>douzième</w:t>
      </w:r>
      <w:r w:rsidR="00E73D21" w:rsidRPr="007A1A00">
        <w:rPr>
          <w:noProof/>
        </w:rPr>
        <w:t> </w:t>
      </w:r>
      <w:r w:rsidR="007027B5" w:rsidRPr="007A1A00">
        <w:rPr>
          <w:noProof/>
        </w:rPr>
        <w:t xml:space="preserve">session à Genève les </w:t>
      </w:r>
      <w:r w:rsidR="00C91A80">
        <w:rPr>
          <w:noProof/>
        </w:rPr>
        <w:br/>
      </w:r>
      <w:r w:rsidR="007027B5" w:rsidRPr="007A1A00">
        <w:rPr>
          <w:noProof/>
        </w:rPr>
        <w:t>26 et 27 </w:t>
      </w:r>
      <w:r w:rsidR="00E94EB0" w:rsidRPr="007A1A00">
        <w:rPr>
          <w:noProof/>
        </w:rPr>
        <w:t>octobre 20</w:t>
      </w:r>
      <w:r w:rsidR="007027B5" w:rsidRPr="007A1A00">
        <w:rPr>
          <w:noProof/>
        </w:rPr>
        <w:t>15, sous la présidence de M.</w:t>
      </w:r>
      <w:r w:rsidR="00E73D21" w:rsidRPr="007A1A00">
        <w:rPr>
          <w:noProof/>
        </w:rPr>
        <w:t> </w:t>
      </w:r>
      <w:r w:rsidR="0029236A" w:rsidRPr="007A1A00">
        <w:rPr>
          <w:noProof/>
        </w:rPr>
        <w:t>Martin </w:t>
      </w:r>
      <w:r w:rsidR="007027B5" w:rsidRPr="007A1A00">
        <w:rPr>
          <w:noProof/>
        </w:rPr>
        <w:t>Ekvad (Union européenne).</w:t>
      </w:r>
    </w:p>
    <w:p w:rsidR="0031661C" w:rsidRPr="007A1A00" w:rsidRDefault="0031661C" w:rsidP="009E3424">
      <w:pPr>
        <w:keepNext/>
        <w:outlineLvl w:val="0"/>
        <w:rPr>
          <w:noProof/>
        </w:rPr>
      </w:pPr>
    </w:p>
    <w:p w:rsidR="0031661C" w:rsidRPr="007A1A00" w:rsidRDefault="004F3B3C" w:rsidP="007027B5">
      <w:pPr>
        <w:rPr>
          <w:noProof/>
        </w:rPr>
      </w:pPr>
      <w:r w:rsidRPr="004F3B3C">
        <w:rPr>
          <w:noProof/>
          <w:vertAlign w:val="superscript"/>
        </w:rPr>
        <w:t>*</w:t>
      </w:r>
      <w:r w:rsidR="00AE08BE" w:rsidRPr="007A1A00">
        <w:rPr>
          <w:noProof/>
        </w:rPr>
        <w:fldChar w:fldCharType="begin"/>
      </w:r>
      <w:r w:rsidR="009E3424" w:rsidRPr="007A1A00">
        <w:rPr>
          <w:noProof/>
        </w:rPr>
        <w:instrText xml:space="preserve"> AUTONUM  </w:instrText>
      </w:r>
      <w:r w:rsidR="00AE08BE" w:rsidRPr="007A1A00">
        <w:rPr>
          <w:noProof/>
        </w:rPr>
        <w:fldChar w:fldCharType="end"/>
      </w:r>
      <w:r w:rsidR="009E3424" w:rsidRPr="007A1A00">
        <w:rPr>
          <w:noProof/>
        </w:rPr>
        <w:tab/>
      </w:r>
      <w:r w:rsidR="007027B5" w:rsidRPr="007A1A00">
        <w:rPr>
          <w:noProof/>
        </w:rPr>
        <w:t>Le président ouvre la session et souhaite la bienvenue aux participan</w:t>
      </w:r>
      <w:r w:rsidR="00805E4D" w:rsidRPr="007A1A00">
        <w:rPr>
          <w:noProof/>
        </w:rPr>
        <w:t>ts.  La</w:t>
      </w:r>
      <w:r w:rsidR="007027B5" w:rsidRPr="007A1A00">
        <w:rPr>
          <w:noProof/>
        </w:rPr>
        <w:t xml:space="preserve"> liste des participants fait l</w:t>
      </w:r>
      <w:r w:rsidR="00E94EB0" w:rsidRPr="007A1A00">
        <w:rPr>
          <w:noProof/>
        </w:rPr>
        <w:t>’</w:t>
      </w:r>
      <w:r w:rsidR="007027B5" w:rsidRPr="007A1A00">
        <w:rPr>
          <w:noProof/>
        </w:rPr>
        <w:t>objet de l</w:t>
      </w:r>
      <w:r w:rsidR="00E94EB0" w:rsidRPr="007A1A00">
        <w:rPr>
          <w:noProof/>
        </w:rPr>
        <w:t>’</w:t>
      </w:r>
      <w:r w:rsidR="007027B5" w:rsidRPr="007A1A00">
        <w:rPr>
          <w:noProof/>
        </w:rPr>
        <w:t>annexe du présent compte rendu.</w:t>
      </w:r>
    </w:p>
    <w:p w:rsidR="0031661C" w:rsidRPr="007A1A00" w:rsidRDefault="0031661C" w:rsidP="007027B5">
      <w:pPr>
        <w:rPr>
          <w:noProof/>
        </w:rPr>
      </w:pPr>
    </w:p>
    <w:p w:rsidR="0031661C" w:rsidRPr="007A1A00" w:rsidRDefault="004F3B3C" w:rsidP="007027B5">
      <w:pPr>
        <w:rPr>
          <w:noProof/>
        </w:rPr>
      </w:pPr>
      <w:r w:rsidRPr="004F3B3C">
        <w:rPr>
          <w:noProof/>
          <w:vertAlign w:val="superscript"/>
        </w:rPr>
        <w:t>*</w:t>
      </w:r>
      <w:r w:rsidR="00AE08BE" w:rsidRPr="007A1A00">
        <w:rPr>
          <w:noProof/>
        </w:rPr>
        <w:fldChar w:fldCharType="begin"/>
      </w:r>
      <w:r w:rsidR="009E3424" w:rsidRPr="007A1A00">
        <w:rPr>
          <w:noProof/>
        </w:rPr>
        <w:instrText xml:space="preserve"> AUTONUM  </w:instrText>
      </w:r>
      <w:r w:rsidR="00AE08BE" w:rsidRPr="007A1A00">
        <w:rPr>
          <w:noProof/>
        </w:rPr>
        <w:fldChar w:fldCharType="end"/>
      </w:r>
      <w:r w:rsidR="009E3424" w:rsidRPr="007A1A00">
        <w:rPr>
          <w:noProof/>
        </w:rPr>
        <w:tab/>
      </w:r>
      <w:r w:rsidR="007027B5" w:rsidRPr="007A1A00">
        <w:rPr>
          <w:noProof/>
        </w:rPr>
        <w:t>Le président fait savoir que le Monténégro a déposé son instrument d</w:t>
      </w:r>
      <w:r w:rsidR="00E94EB0" w:rsidRPr="007A1A00">
        <w:rPr>
          <w:noProof/>
        </w:rPr>
        <w:t>’</w:t>
      </w:r>
      <w:r w:rsidR="007027B5" w:rsidRPr="007A1A00">
        <w:rPr>
          <w:noProof/>
        </w:rPr>
        <w:t>adhésion à l</w:t>
      </w:r>
      <w:r w:rsidR="00E94EB0" w:rsidRPr="007A1A00">
        <w:rPr>
          <w:noProof/>
        </w:rPr>
        <w:t>’</w:t>
      </w:r>
      <w:r w:rsidR="007027B5" w:rsidRPr="007A1A00">
        <w:rPr>
          <w:noProof/>
        </w:rPr>
        <w:t>Acte de 199</w:t>
      </w:r>
      <w:r w:rsidR="00A27A81" w:rsidRPr="007A1A00">
        <w:rPr>
          <w:noProof/>
        </w:rPr>
        <w:t xml:space="preserve">1 de </w:t>
      </w:r>
      <w:r w:rsidR="00C91A80">
        <w:rPr>
          <w:noProof/>
        </w:rPr>
        <w:br/>
      </w:r>
      <w:r w:rsidR="00A27A81" w:rsidRPr="007A1A00">
        <w:rPr>
          <w:noProof/>
        </w:rPr>
        <w:t xml:space="preserve">la </w:t>
      </w:r>
      <w:r w:rsidR="00C91A80">
        <w:rPr>
          <w:noProof/>
        </w:rPr>
        <w:t xml:space="preserve">Convention </w:t>
      </w:r>
      <w:r w:rsidR="00E94EB0" w:rsidRPr="007A1A00">
        <w:rPr>
          <w:noProof/>
        </w:rPr>
        <w:t>UPOV</w:t>
      </w:r>
      <w:r w:rsidR="00A27A81" w:rsidRPr="007A1A00">
        <w:rPr>
          <w:noProof/>
        </w:rPr>
        <w:t xml:space="preserve"> le 24 août 2015 et qu</w:t>
      </w:r>
      <w:r w:rsidR="00E94EB0" w:rsidRPr="007A1A00">
        <w:rPr>
          <w:noProof/>
        </w:rPr>
        <w:t>’</w:t>
      </w:r>
      <w:r w:rsidR="007027B5" w:rsidRPr="007A1A00">
        <w:rPr>
          <w:noProof/>
        </w:rPr>
        <w:t>il est devenu le</w:t>
      </w:r>
      <w:r w:rsidR="00A27A81" w:rsidRPr="007A1A00">
        <w:rPr>
          <w:noProof/>
        </w:rPr>
        <w:t xml:space="preserve"> soixante</w:t>
      </w:r>
      <w:r w:rsidR="00805E4D" w:rsidRPr="007A1A00">
        <w:rPr>
          <w:noProof/>
        </w:rPr>
        <w:noBreakHyphen/>
      </w:r>
      <w:r w:rsidR="00A27A81" w:rsidRPr="007A1A00">
        <w:rPr>
          <w:noProof/>
        </w:rPr>
        <w:t>treizième membre de l</w:t>
      </w:r>
      <w:r w:rsidR="00E94EB0" w:rsidRPr="007A1A00">
        <w:rPr>
          <w:noProof/>
        </w:rPr>
        <w:t>’</w:t>
      </w:r>
      <w:r w:rsidR="00A27A81" w:rsidRPr="007A1A00">
        <w:rPr>
          <w:noProof/>
        </w:rPr>
        <w:t>Union le 24 septembre </w:t>
      </w:r>
      <w:r w:rsidR="007027B5" w:rsidRPr="007A1A00">
        <w:rPr>
          <w:noProof/>
        </w:rPr>
        <w:t>2015.</w:t>
      </w:r>
    </w:p>
    <w:p w:rsidR="0031661C" w:rsidRPr="007A1A00" w:rsidRDefault="0031661C" w:rsidP="00967846">
      <w:pPr>
        <w:rPr>
          <w:noProof/>
        </w:rPr>
      </w:pPr>
    </w:p>
    <w:p w:rsidR="0031661C" w:rsidRPr="007A1A00" w:rsidRDefault="004F3B3C" w:rsidP="008403FF">
      <w:pPr>
        <w:rPr>
          <w:noProof/>
        </w:rPr>
      </w:pPr>
      <w:r w:rsidRPr="004F3B3C">
        <w:rPr>
          <w:noProof/>
          <w:vertAlign w:val="superscript"/>
        </w:rPr>
        <w:t>*</w:t>
      </w:r>
      <w:r w:rsidR="00AE08BE" w:rsidRPr="007A1A00">
        <w:rPr>
          <w:noProof/>
        </w:rPr>
        <w:fldChar w:fldCharType="begin"/>
      </w:r>
      <w:r w:rsidR="003F5F2E" w:rsidRPr="007A1A00">
        <w:rPr>
          <w:noProof/>
        </w:rPr>
        <w:instrText xml:space="preserve"> AUTONUM  </w:instrText>
      </w:r>
      <w:r w:rsidR="00AE08BE" w:rsidRPr="007A1A00">
        <w:rPr>
          <w:noProof/>
        </w:rPr>
        <w:fldChar w:fldCharType="end"/>
      </w:r>
      <w:r w:rsidR="003F5F2E" w:rsidRPr="007A1A00">
        <w:rPr>
          <w:noProof/>
        </w:rPr>
        <w:tab/>
      </w:r>
      <w:r w:rsidR="008403FF" w:rsidRPr="007A1A00">
        <w:rPr>
          <w:noProof/>
        </w:rPr>
        <w:t>Le président fait savoir que la République</w:t>
      </w:r>
      <w:r w:rsidR="00805E4D" w:rsidRPr="007A1A00">
        <w:rPr>
          <w:noProof/>
        </w:rPr>
        <w:noBreakHyphen/>
      </w:r>
      <w:r w:rsidR="008403FF" w:rsidRPr="007A1A00">
        <w:rPr>
          <w:noProof/>
        </w:rPr>
        <w:t>Unie de Tanzanie a déposé son instrument d</w:t>
      </w:r>
      <w:r w:rsidR="00E94EB0" w:rsidRPr="007A1A00">
        <w:rPr>
          <w:noProof/>
        </w:rPr>
        <w:t>’</w:t>
      </w:r>
      <w:r w:rsidR="008403FF" w:rsidRPr="007A1A00">
        <w:rPr>
          <w:noProof/>
        </w:rPr>
        <w:t>adhésion à l</w:t>
      </w:r>
      <w:r w:rsidR="00E94EB0" w:rsidRPr="007A1A00">
        <w:rPr>
          <w:noProof/>
        </w:rPr>
        <w:t>’</w:t>
      </w:r>
      <w:r w:rsidR="008403FF" w:rsidRPr="007A1A00">
        <w:rPr>
          <w:noProof/>
        </w:rPr>
        <w:t xml:space="preserve">Acte de 1991 de la </w:t>
      </w:r>
      <w:r w:rsidR="00E94EB0" w:rsidRPr="007A1A00">
        <w:rPr>
          <w:noProof/>
        </w:rPr>
        <w:t>Convention UPOV</w:t>
      </w:r>
      <w:r w:rsidR="00A27A81" w:rsidRPr="007A1A00">
        <w:rPr>
          <w:noProof/>
        </w:rPr>
        <w:t xml:space="preserve"> le 22 octobre 2015 et qu</w:t>
      </w:r>
      <w:r w:rsidR="00E94EB0" w:rsidRPr="007A1A00">
        <w:rPr>
          <w:noProof/>
        </w:rPr>
        <w:t>’</w:t>
      </w:r>
      <w:r w:rsidR="008403FF" w:rsidRPr="007A1A00">
        <w:rPr>
          <w:noProof/>
        </w:rPr>
        <w:t>elle deviendra le soixante</w:t>
      </w:r>
      <w:r w:rsidR="00805E4D" w:rsidRPr="007A1A00">
        <w:rPr>
          <w:noProof/>
        </w:rPr>
        <w:noBreakHyphen/>
      </w:r>
      <w:r w:rsidR="008403FF" w:rsidRPr="007A1A00">
        <w:rPr>
          <w:noProof/>
        </w:rPr>
        <w:t>quatorzième m</w:t>
      </w:r>
      <w:r w:rsidR="00A76379" w:rsidRPr="007A1A00">
        <w:rPr>
          <w:noProof/>
        </w:rPr>
        <w:t>embre de l</w:t>
      </w:r>
      <w:r w:rsidR="00E94EB0" w:rsidRPr="007A1A00">
        <w:rPr>
          <w:noProof/>
        </w:rPr>
        <w:t>’</w:t>
      </w:r>
      <w:r w:rsidR="00A27A81" w:rsidRPr="007A1A00">
        <w:rPr>
          <w:noProof/>
        </w:rPr>
        <w:t>Union le 22 novembre </w:t>
      </w:r>
      <w:r w:rsidR="008403FF" w:rsidRPr="007A1A00">
        <w:rPr>
          <w:noProof/>
        </w:rPr>
        <w:t>2015.</w:t>
      </w:r>
    </w:p>
    <w:p w:rsidR="0031661C" w:rsidRPr="007A1A00" w:rsidRDefault="0031661C" w:rsidP="00967846">
      <w:pPr>
        <w:rPr>
          <w:noProof/>
        </w:rPr>
      </w:pPr>
    </w:p>
    <w:p w:rsidR="00E94EB0" w:rsidRPr="007A1A00" w:rsidRDefault="004F3B3C" w:rsidP="008403FF">
      <w:pPr>
        <w:rPr>
          <w:noProof/>
          <w:szCs w:val="24"/>
        </w:rPr>
      </w:pPr>
      <w:r w:rsidRPr="004F3B3C">
        <w:rPr>
          <w:noProof/>
          <w:vertAlign w:val="superscript"/>
        </w:rPr>
        <w:t>*</w:t>
      </w:r>
      <w:r w:rsidR="00AE08BE" w:rsidRPr="007A1A00">
        <w:rPr>
          <w:noProof/>
        </w:rPr>
        <w:fldChar w:fldCharType="begin"/>
      </w:r>
      <w:r w:rsidR="00967846" w:rsidRPr="007A1A00">
        <w:rPr>
          <w:noProof/>
        </w:rPr>
        <w:instrText xml:space="preserve"> AUTONUM  </w:instrText>
      </w:r>
      <w:r w:rsidR="00AE08BE" w:rsidRPr="007A1A00">
        <w:rPr>
          <w:noProof/>
        </w:rPr>
        <w:fldChar w:fldCharType="end"/>
      </w:r>
      <w:r w:rsidR="00967846" w:rsidRPr="007A1A00">
        <w:rPr>
          <w:noProof/>
        </w:rPr>
        <w:tab/>
      </w:r>
      <w:r w:rsidR="008403FF" w:rsidRPr="007A1A00">
        <w:rPr>
          <w:noProof/>
        </w:rPr>
        <w:t>Le président fait savoir que le Canada, qui étai</w:t>
      </w:r>
      <w:r w:rsidR="00A27A81" w:rsidRPr="007A1A00">
        <w:rPr>
          <w:noProof/>
        </w:rPr>
        <w:t>t membre de l</w:t>
      </w:r>
      <w:r w:rsidR="00E94EB0" w:rsidRPr="007A1A00">
        <w:rPr>
          <w:noProof/>
        </w:rPr>
        <w:t>’</w:t>
      </w:r>
      <w:r w:rsidR="00A27A81" w:rsidRPr="007A1A00">
        <w:rPr>
          <w:noProof/>
        </w:rPr>
        <w:t>Union depuis le 4 mars </w:t>
      </w:r>
      <w:r w:rsidR="008403FF" w:rsidRPr="007A1A00">
        <w:rPr>
          <w:noProof/>
        </w:rPr>
        <w:t xml:space="preserve">1991, a déposé son instrument </w:t>
      </w:r>
      <w:r w:rsidR="00B645A6">
        <w:rPr>
          <w:noProof/>
        </w:rPr>
        <w:t>de ratification de</w:t>
      </w:r>
      <w:r w:rsidR="008403FF" w:rsidRPr="007A1A00">
        <w:rPr>
          <w:noProof/>
        </w:rPr>
        <w:t xml:space="preserve"> l</w:t>
      </w:r>
      <w:r w:rsidR="00E94EB0" w:rsidRPr="007A1A00">
        <w:rPr>
          <w:noProof/>
        </w:rPr>
        <w:t>’</w:t>
      </w:r>
      <w:r w:rsidR="008403FF" w:rsidRPr="007A1A00">
        <w:rPr>
          <w:noProof/>
        </w:rPr>
        <w:t>Acte de 1</w:t>
      </w:r>
      <w:r w:rsidR="00A27A81" w:rsidRPr="007A1A00">
        <w:rPr>
          <w:noProof/>
        </w:rPr>
        <w:t xml:space="preserve">991 de la </w:t>
      </w:r>
      <w:r w:rsidR="00E94EB0" w:rsidRPr="007A1A00">
        <w:rPr>
          <w:noProof/>
        </w:rPr>
        <w:t>Convention UPOV</w:t>
      </w:r>
      <w:r w:rsidR="00A27A81" w:rsidRPr="007A1A00">
        <w:rPr>
          <w:noProof/>
        </w:rPr>
        <w:t xml:space="preserve"> le 19 juin </w:t>
      </w:r>
      <w:r w:rsidR="008403FF" w:rsidRPr="007A1A00">
        <w:rPr>
          <w:noProof/>
        </w:rPr>
        <w:t>2</w:t>
      </w:r>
      <w:r w:rsidR="00A27A81" w:rsidRPr="007A1A00">
        <w:rPr>
          <w:noProof/>
        </w:rPr>
        <w:t>015, et qu</w:t>
      </w:r>
      <w:r w:rsidR="00E94EB0" w:rsidRPr="007A1A00">
        <w:rPr>
          <w:noProof/>
        </w:rPr>
        <w:t>’</w:t>
      </w:r>
      <w:r w:rsidR="00A27A81" w:rsidRPr="007A1A00">
        <w:rPr>
          <w:noProof/>
        </w:rPr>
        <w:t>il est, depuis le 19 juillet </w:t>
      </w:r>
      <w:r w:rsidR="008403FF" w:rsidRPr="007A1A00">
        <w:rPr>
          <w:noProof/>
        </w:rPr>
        <w:t>2015, lié par cet acte.</w:t>
      </w:r>
    </w:p>
    <w:p w:rsidR="0031661C" w:rsidRPr="007A1A00" w:rsidRDefault="0031661C" w:rsidP="00967846">
      <w:pPr>
        <w:rPr>
          <w:noProof/>
        </w:rPr>
      </w:pPr>
    </w:p>
    <w:p w:rsidR="0031661C" w:rsidRPr="007A1A00" w:rsidRDefault="004F3B3C" w:rsidP="008403FF">
      <w:pPr>
        <w:rPr>
          <w:noProof/>
        </w:rPr>
      </w:pPr>
      <w:r w:rsidRPr="004F3B3C">
        <w:rPr>
          <w:noProof/>
          <w:vertAlign w:val="superscript"/>
        </w:rPr>
        <w:t>*</w:t>
      </w:r>
      <w:r w:rsidR="00AE08BE" w:rsidRPr="007A1A00">
        <w:rPr>
          <w:noProof/>
        </w:rPr>
        <w:fldChar w:fldCharType="begin"/>
      </w:r>
      <w:r w:rsidR="009E3424" w:rsidRPr="007A1A00">
        <w:rPr>
          <w:noProof/>
        </w:rPr>
        <w:instrText xml:space="preserve"> AUTONUM  </w:instrText>
      </w:r>
      <w:r w:rsidR="00AE08BE" w:rsidRPr="007A1A00">
        <w:rPr>
          <w:noProof/>
        </w:rPr>
        <w:fldChar w:fldCharType="end"/>
      </w:r>
      <w:r w:rsidR="009E3424" w:rsidRPr="007A1A00">
        <w:rPr>
          <w:noProof/>
        </w:rPr>
        <w:tab/>
      </w:r>
      <w:r w:rsidR="008403FF" w:rsidRPr="007A1A00">
        <w:rPr>
          <w:noProof/>
        </w:rPr>
        <w:t>Le président confirme que le compte rendu de la soixante</w:t>
      </w:r>
      <w:r w:rsidR="00E73D21" w:rsidRPr="007A1A00">
        <w:rPr>
          <w:noProof/>
        </w:rPr>
        <w:t> </w:t>
      </w:r>
      <w:r w:rsidR="008403FF" w:rsidRPr="007A1A00">
        <w:rPr>
          <w:noProof/>
        </w:rPr>
        <w:t>et</w:t>
      </w:r>
      <w:r w:rsidR="00E73D21" w:rsidRPr="007A1A00">
        <w:rPr>
          <w:noProof/>
        </w:rPr>
        <w:t> </w:t>
      </w:r>
      <w:r w:rsidR="008403FF" w:rsidRPr="007A1A00">
        <w:rPr>
          <w:noProof/>
        </w:rPr>
        <w:t>onzième</w:t>
      </w:r>
      <w:r w:rsidR="00E73D21" w:rsidRPr="007A1A00">
        <w:rPr>
          <w:noProof/>
        </w:rPr>
        <w:t> </w:t>
      </w:r>
      <w:r w:rsidR="008403FF" w:rsidRPr="007A1A00">
        <w:rPr>
          <w:noProof/>
        </w:rPr>
        <w:t>session</w:t>
      </w:r>
      <w:r w:rsidR="00E94EB0" w:rsidRPr="007A1A00">
        <w:rPr>
          <w:noProof/>
        </w:rPr>
        <w:t xml:space="preserve"> du CAJ</w:t>
      </w:r>
      <w:r w:rsidR="001B65C7" w:rsidRPr="007A1A00">
        <w:rPr>
          <w:noProof/>
        </w:rPr>
        <w:t>,</w:t>
      </w:r>
      <w:r w:rsidR="00A27A81" w:rsidRPr="007A1A00">
        <w:rPr>
          <w:noProof/>
        </w:rPr>
        <w:t xml:space="preserve"> tenue à Genève le 26 mars </w:t>
      </w:r>
      <w:r w:rsidR="008403FF" w:rsidRPr="007A1A00">
        <w:rPr>
          <w:noProof/>
        </w:rPr>
        <w:t>2015 (document CAJ/71/11) a été approuvé par correspondance et qu</w:t>
      </w:r>
      <w:r w:rsidR="00E94EB0" w:rsidRPr="007A1A00">
        <w:rPr>
          <w:noProof/>
        </w:rPr>
        <w:t>’</w:t>
      </w:r>
      <w:r w:rsidR="008403FF" w:rsidRPr="007A1A00">
        <w:rPr>
          <w:noProof/>
        </w:rPr>
        <w:t>il est disponible sur le site</w:t>
      </w:r>
      <w:r w:rsidR="00E73D21" w:rsidRPr="007A1A00">
        <w:rPr>
          <w:noProof/>
        </w:rPr>
        <w:t> </w:t>
      </w:r>
      <w:r w:rsidR="008403FF" w:rsidRPr="007A1A00">
        <w:rPr>
          <w:noProof/>
        </w:rPr>
        <w:t>Web de l</w:t>
      </w:r>
      <w:r w:rsidR="00E94EB0" w:rsidRPr="007A1A00">
        <w:rPr>
          <w:noProof/>
        </w:rPr>
        <w:t>’</w:t>
      </w:r>
      <w:r w:rsidR="008403FF" w:rsidRPr="007A1A00">
        <w:rPr>
          <w:noProof/>
        </w:rPr>
        <w:t>UPOV.</w:t>
      </w:r>
    </w:p>
    <w:p w:rsidR="0031661C" w:rsidRPr="007A1A00" w:rsidRDefault="0031661C" w:rsidP="009E3424">
      <w:pPr>
        <w:rPr>
          <w:noProof/>
        </w:rPr>
      </w:pPr>
    </w:p>
    <w:p w:rsidR="0031661C" w:rsidRPr="007A1A00" w:rsidRDefault="0031661C" w:rsidP="009E3424">
      <w:pPr>
        <w:rPr>
          <w:noProof/>
        </w:rPr>
      </w:pPr>
    </w:p>
    <w:p w:rsidR="0031661C" w:rsidRPr="007A1A00" w:rsidRDefault="008403FF" w:rsidP="008403FF">
      <w:pPr>
        <w:keepNext/>
        <w:rPr>
          <w:noProof/>
          <w:kern w:val="28"/>
          <w:u w:val="single"/>
        </w:rPr>
      </w:pPr>
      <w:r w:rsidRPr="007A1A00">
        <w:rPr>
          <w:noProof/>
          <w:kern w:val="28"/>
          <w:u w:val="single"/>
        </w:rPr>
        <w:t>Adoption de l</w:t>
      </w:r>
      <w:r w:rsidR="00E94EB0" w:rsidRPr="007A1A00">
        <w:rPr>
          <w:noProof/>
          <w:kern w:val="28"/>
          <w:u w:val="single"/>
        </w:rPr>
        <w:t>’</w:t>
      </w:r>
      <w:r w:rsidRPr="007A1A00">
        <w:rPr>
          <w:noProof/>
          <w:kern w:val="28"/>
          <w:u w:val="single"/>
        </w:rPr>
        <w:t>ordre du jour</w:t>
      </w:r>
    </w:p>
    <w:p w:rsidR="0031661C" w:rsidRPr="007A1A00" w:rsidRDefault="0031661C" w:rsidP="009E3424">
      <w:pPr>
        <w:keepNext/>
        <w:jc w:val="left"/>
        <w:outlineLvl w:val="0"/>
        <w:rPr>
          <w:noProof/>
          <w:snapToGrid w:val="0"/>
          <w:u w:val="single"/>
        </w:rPr>
      </w:pPr>
    </w:p>
    <w:p w:rsidR="0031661C" w:rsidRPr="007A1A00" w:rsidRDefault="004F3B3C" w:rsidP="008403FF">
      <w:pPr>
        <w:rPr>
          <w:noProof/>
        </w:rPr>
      </w:pPr>
      <w:r w:rsidRPr="004F3B3C">
        <w:rPr>
          <w:noProof/>
          <w:vertAlign w:val="superscript"/>
        </w:rPr>
        <w:t>*</w:t>
      </w:r>
      <w:r w:rsidR="00AE08BE" w:rsidRPr="007A1A00">
        <w:rPr>
          <w:noProof/>
          <w:snapToGrid w:val="0"/>
        </w:rPr>
        <w:fldChar w:fldCharType="begin"/>
      </w:r>
      <w:r w:rsidR="009E3424" w:rsidRPr="007A1A00">
        <w:rPr>
          <w:noProof/>
          <w:snapToGrid w:val="0"/>
        </w:rPr>
        <w:instrText xml:space="preserve"> AUTONUM  </w:instrText>
      </w:r>
      <w:r w:rsidR="00AE08BE" w:rsidRPr="007A1A00">
        <w:rPr>
          <w:noProof/>
          <w:snapToGrid w:val="0"/>
        </w:rPr>
        <w:fldChar w:fldCharType="end"/>
      </w:r>
      <w:r w:rsidR="009E3424" w:rsidRPr="007A1A00">
        <w:rPr>
          <w:noProof/>
          <w:snapToGrid w:val="0"/>
        </w:rPr>
        <w:tab/>
      </w:r>
      <w:r w:rsidR="008403FF" w:rsidRPr="007A1A00">
        <w:rPr>
          <w:noProof/>
          <w:snapToGrid w:val="0"/>
        </w:rPr>
        <w:t>Le CAJ adopte le projet d</w:t>
      </w:r>
      <w:r w:rsidR="00E94EB0" w:rsidRPr="007A1A00">
        <w:rPr>
          <w:noProof/>
          <w:snapToGrid w:val="0"/>
        </w:rPr>
        <w:t>’</w:t>
      </w:r>
      <w:r w:rsidR="008403FF" w:rsidRPr="007A1A00">
        <w:rPr>
          <w:noProof/>
          <w:snapToGrid w:val="0"/>
        </w:rPr>
        <w:t>ordre du jour, tel qu</w:t>
      </w:r>
      <w:r w:rsidR="00E94EB0" w:rsidRPr="007A1A00">
        <w:rPr>
          <w:noProof/>
          <w:snapToGrid w:val="0"/>
        </w:rPr>
        <w:t>’</w:t>
      </w:r>
      <w:r w:rsidR="008403FF" w:rsidRPr="007A1A00">
        <w:rPr>
          <w:noProof/>
          <w:snapToGrid w:val="0"/>
        </w:rPr>
        <w:t>il figure dans le document CAJ/72/1</w:t>
      </w:r>
      <w:r w:rsidR="00E73D21" w:rsidRPr="007A1A00">
        <w:rPr>
          <w:noProof/>
          <w:snapToGrid w:val="0"/>
        </w:rPr>
        <w:t> </w:t>
      </w:r>
      <w:r w:rsidR="008403FF" w:rsidRPr="007A1A00">
        <w:rPr>
          <w:noProof/>
          <w:snapToGrid w:val="0"/>
        </w:rPr>
        <w:t xml:space="preserve">Rev., </w:t>
      </w:r>
      <w:r w:rsidR="001E6931" w:rsidRPr="007A1A00">
        <w:rPr>
          <w:noProof/>
          <w:snapToGrid w:val="0"/>
        </w:rPr>
        <w:t>avec</w:t>
      </w:r>
      <w:r w:rsidR="008403FF" w:rsidRPr="007A1A00">
        <w:rPr>
          <w:noProof/>
          <w:snapToGrid w:val="0"/>
        </w:rPr>
        <w:t xml:space="preserve"> l</w:t>
      </w:r>
      <w:r w:rsidR="00E94EB0" w:rsidRPr="007A1A00">
        <w:rPr>
          <w:noProof/>
          <w:snapToGrid w:val="0"/>
        </w:rPr>
        <w:t>’</w:t>
      </w:r>
      <w:r w:rsidR="008403FF" w:rsidRPr="007A1A00">
        <w:rPr>
          <w:noProof/>
          <w:snapToGrid w:val="0"/>
        </w:rPr>
        <w:t>adjonction du document CAJ/72/4</w:t>
      </w:r>
      <w:r w:rsidR="00E73D21" w:rsidRPr="007A1A00">
        <w:rPr>
          <w:noProof/>
          <w:snapToGrid w:val="0"/>
        </w:rPr>
        <w:t> </w:t>
      </w:r>
      <w:r w:rsidR="008403FF" w:rsidRPr="007A1A00">
        <w:rPr>
          <w:noProof/>
          <w:snapToGrid w:val="0"/>
        </w:rPr>
        <w:t xml:space="preserve">Add. </w:t>
      </w:r>
      <w:r w:rsidR="001E6931" w:rsidRPr="007A1A00">
        <w:rPr>
          <w:noProof/>
          <w:snapToGrid w:val="0"/>
        </w:rPr>
        <w:t>au</w:t>
      </w:r>
      <w:r w:rsidR="008403FF" w:rsidRPr="007A1A00">
        <w:rPr>
          <w:noProof/>
          <w:snapToGrid w:val="0"/>
        </w:rPr>
        <w:t xml:space="preserve"> point</w:t>
      </w:r>
      <w:r w:rsidR="00E73D21" w:rsidRPr="007A1A00">
        <w:rPr>
          <w:noProof/>
          <w:snapToGrid w:val="0"/>
        </w:rPr>
        <w:t> </w:t>
      </w:r>
      <w:r w:rsidR="008403FF" w:rsidRPr="007A1A00">
        <w:rPr>
          <w:noProof/>
          <w:snapToGrid w:val="0"/>
        </w:rPr>
        <w:t>5.</w:t>
      </w:r>
    </w:p>
    <w:p w:rsidR="0031661C" w:rsidRPr="007A1A00" w:rsidRDefault="0031661C" w:rsidP="009E3424">
      <w:pPr>
        <w:rPr>
          <w:noProof/>
        </w:rPr>
      </w:pPr>
    </w:p>
    <w:p w:rsidR="0031661C" w:rsidRPr="007A1A00" w:rsidRDefault="0031661C" w:rsidP="009E3424">
      <w:pPr>
        <w:rPr>
          <w:noProof/>
        </w:rPr>
      </w:pPr>
    </w:p>
    <w:p w:rsidR="0031661C" w:rsidRPr="007A1A00" w:rsidRDefault="008403FF" w:rsidP="008403FF">
      <w:pPr>
        <w:keepNext/>
        <w:jc w:val="left"/>
        <w:outlineLvl w:val="0"/>
        <w:rPr>
          <w:noProof/>
          <w:snapToGrid w:val="0"/>
        </w:rPr>
      </w:pPr>
      <w:r w:rsidRPr="007A1A00">
        <w:rPr>
          <w:noProof/>
          <w:snapToGrid w:val="0"/>
          <w:u w:val="single"/>
        </w:rPr>
        <w:lastRenderedPageBreak/>
        <w:t>Élaboration de matériel d</w:t>
      </w:r>
      <w:r w:rsidR="00E94EB0" w:rsidRPr="007A1A00">
        <w:rPr>
          <w:noProof/>
          <w:snapToGrid w:val="0"/>
          <w:u w:val="single"/>
        </w:rPr>
        <w:t>’</w:t>
      </w:r>
      <w:r w:rsidRPr="007A1A00">
        <w:rPr>
          <w:noProof/>
          <w:snapToGrid w:val="0"/>
          <w:u w:val="single"/>
        </w:rPr>
        <w:t xml:space="preserve">information concernant la </w:t>
      </w:r>
      <w:r w:rsidR="00E94EB0" w:rsidRPr="007A1A00">
        <w:rPr>
          <w:noProof/>
          <w:snapToGrid w:val="0"/>
          <w:u w:val="single"/>
        </w:rPr>
        <w:t>Convention UPOV</w:t>
      </w:r>
    </w:p>
    <w:p w:rsidR="0031661C" w:rsidRPr="007A1A00" w:rsidRDefault="0031661C" w:rsidP="001A515E">
      <w:pPr>
        <w:keepNext/>
        <w:tabs>
          <w:tab w:val="left" w:pos="851"/>
        </w:tabs>
        <w:jc w:val="left"/>
        <w:rPr>
          <w:noProof/>
          <w:snapToGrid w:val="0"/>
        </w:rPr>
      </w:pPr>
    </w:p>
    <w:p w:rsidR="00E94EB0" w:rsidRPr="007A1A00" w:rsidRDefault="004F3B3C" w:rsidP="008403FF">
      <w:pPr>
        <w:keepNext/>
        <w:rPr>
          <w:noProof/>
          <w:snapToGrid w:val="0"/>
        </w:rPr>
      </w:pPr>
      <w:r w:rsidRPr="004F3B3C">
        <w:rPr>
          <w:noProof/>
          <w:vertAlign w:val="superscript"/>
        </w:rPr>
        <w:t>*</w:t>
      </w:r>
      <w:r w:rsidR="00AE08BE" w:rsidRPr="007A1A00">
        <w:rPr>
          <w:noProof/>
          <w:snapToGrid w:val="0"/>
        </w:rPr>
        <w:fldChar w:fldCharType="begin"/>
      </w:r>
      <w:r w:rsidR="009E3424" w:rsidRPr="007A1A00">
        <w:rPr>
          <w:noProof/>
          <w:snapToGrid w:val="0"/>
        </w:rPr>
        <w:instrText xml:space="preserve"> AUTONUM  </w:instrText>
      </w:r>
      <w:r w:rsidR="00AE08BE" w:rsidRPr="007A1A00">
        <w:rPr>
          <w:noProof/>
          <w:snapToGrid w:val="0"/>
        </w:rPr>
        <w:fldChar w:fldCharType="end"/>
      </w:r>
      <w:r w:rsidR="009E3424" w:rsidRPr="007A1A00">
        <w:rPr>
          <w:noProof/>
          <w:snapToGrid w:val="0"/>
        </w:rPr>
        <w:tab/>
      </w:r>
      <w:r w:rsidR="008403FF" w:rsidRPr="007A1A00">
        <w:rPr>
          <w:noProof/>
          <w:snapToGrid w:val="0"/>
        </w:rPr>
        <w:t xml:space="preserve">Le CAJ examine les documents CAJ/72/2, </w:t>
      </w:r>
      <w:r w:rsidR="0029236A" w:rsidRPr="007A1A00">
        <w:rPr>
          <w:noProof/>
          <w:snapToGrid w:val="0"/>
        </w:rPr>
        <w:t>UPOV/EXN/EDV/2 Draft </w:t>
      </w:r>
      <w:r w:rsidR="008403FF" w:rsidRPr="007A1A00">
        <w:rPr>
          <w:noProof/>
          <w:snapToGrid w:val="0"/>
        </w:rPr>
        <w:t xml:space="preserve">6 et </w:t>
      </w:r>
      <w:r w:rsidR="0029236A" w:rsidRPr="007A1A00">
        <w:rPr>
          <w:noProof/>
          <w:snapToGrid w:val="0"/>
        </w:rPr>
        <w:t>UPOV/EXN/PPM/1 Draft </w:t>
      </w:r>
      <w:r w:rsidR="008403FF" w:rsidRPr="007A1A00">
        <w:rPr>
          <w:noProof/>
          <w:snapToGrid w:val="0"/>
        </w:rPr>
        <w:t>5.</w:t>
      </w:r>
    </w:p>
    <w:p w:rsidR="0031661C" w:rsidRPr="007A1A00" w:rsidRDefault="0031661C" w:rsidP="001A515E">
      <w:pPr>
        <w:keepNext/>
        <w:tabs>
          <w:tab w:val="left" w:pos="851"/>
        </w:tabs>
        <w:jc w:val="left"/>
        <w:rPr>
          <w:noProof/>
        </w:rPr>
      </w:pPr>
    </w:p>
    <w:p w:rsidR="0031661C" w:rsidRPr="007A1A00" w:rsidRDefault="001332D6" w:rsidP="00947EC7">
      <w:pPr>
        <w:spacing w:after="240"/>
        <w:rPr>
          <w:noProof/>
          <w:snapToGrid w:val="0"/>
        </w:rPr>
      </w:pPr>
      <w:r w:rsidRPr="004F3B3C">
        <w:rPr>
          <w:noProof/>
          <w:vertAlign w:val="superscript"/>
        </w:rPr>
        <w:t>*</w:t>
      </w:r>
      <w:r w:rsidR="00AE08BE" w:rsidRPr="007A1A00">
        <w:rPr>
          <w:noProof/>
          <w:snapToGrid w:val="0"/>
        </w:rPr>
        <w:fldChar w:fldCharType="begin"/>
      </w:r>
      <w:r w:rsidR="00E3447B" w:rsidRPr="007A1A00">
        <w:rPr>
          <w:noProof/>
          <w:snapToGrid w:val="0"/>
        </w:rPr>
        <w:instrText xml:space="preserve"> AUTONUM  </w:instrText>
      </w:r>
      <w:r w:rsidR="00AE08BE" w:rsidRPr="007A1A00">
        <w:rPr>
          <w:noProof/>
          <w:snapToGrid w:val="0"/>
        </w:rPr>
        <w:fldChar w:fldCharType="end"/>
      </w:r>
      <w:r w:rsidR="00E3447B" w:rsidRPr="007A1A00">
        <w:rPr>
          <w:noProof/>
          <w:snapToGrid w:val="0"/>
        </w:rPr>
        <w:tab/>
      </w:r>
      <w:r w:rsidR="00A76379" w:rsidRPr="007A1A00">
        <w:rPr>
          <w:noProof/>
          <w:snapToGrid w:val="0"/>
        </w:rPr>
        <w:t>Le CAJ prend note de l</w:t>
      </w:r>
      <w:r w:rsidR="00E94EB0" w:rsidRPr="007A1A00">
        <w:rPr>
          <w:noProof/>
          <w:snapToGrid w:val="0"/>
        </w:rPr>
        <w:t>’</w:t>
      </w:r>
      <w:r w:rsidR="00A76379" w:rsidRPr="007A1A00">
        <w:rPr>
          <w:noProof/>
          <w:snapToGrid w:val="0"/>
        </w:rPr>
        <w:t>exposé de l</w:t>
      </w:r>
      <w:r w:rsidR="00E94EB0" w:rsidRPr="007A1A00">
        <w:rPr>
          <w:noProof/>
          <w:snapToGrid w:val="0"/>
        </w:rPr>
        <w:t>’</w:t>
      </w:r>
      <w:r w:rsidR="00E3447B" w:rsidRPr="007A1A00">
        <w:rPr>
          <w:noProof/>
        </w:rPr>
        <w:t xml:space="preserve">Union </w:t>
      </w:r>
      <w:r w:rsidR="00A76379" w:rsidRPr="007A1A00">
        <w:rPr>
          <w:noProof/>
        </w:rPr>
        <w:t xml:space="preserve">européenne </w:t>
      </w:r>
      <w:r w:rsidR="00A76379" w:rsidRPr="007A1A00">
        <w:rPr>
          <w:noProof/>
          <w:snapToGrid w:val="0"/>
        </w:rPr>
        <w:t>sur son</w:t>
      </w:r>
      <w:r w:rsidR="00E3447B" w:rsidRPr="007A1A00">
        <w:rPr>
          <w:noProof/>
        </w:rPr>
        <w:t xml:space="preserve"> </w:t>
      </w:r>
      <w:r w:rsidR="003F3808" w:rsidRPr="007A1A00">
        <w:rPr>
          <w:noProof/>
        </w:rPr>
        <w:t>système</w:t>
      </w:r>
      <w:r w:rsidR="00E3447B" w:rsidRPr="007A1A00">
        <w:rPr>
          <w:noProof/>
        </w:rPr>
        <w:t xml:space="preserve"> </w:t>
      </w:r>
      <w:r w:rsidR="006A21B3" w:rsidRPr="007A1A00">
        <w:rPr>
          <w:noProof/>
        </w:rPr>
        <w:t>relatif</w:t>
      </w:r>
      <w:r w:rsidR="003F3808" w:rsidRPr="007A1A00">
        <w:rPr>
          <w:noProof/>
        </w:rPr>
        <w:t xml:space="preserve"> </w:t>
      </w:r>
      <w:r w:rsidR="006A21B3" w:rsidRPr="007A1A00">
        <w:rPr>
          <w:noProof/>
        </w:rPr>
        <w:t>aux</w:t>
      </w:r>
      <w:r w:rsidR="00E3447B" w:rsidRPr="007A1A00">
        <w:rPr>
          <w:noProof/>
        </w:rPr>
        <w:t xml:space="preserve"> </w:t>
      </w:r>
      <w:r w:rsidR="003F3808" w:rsidRPr="007A1A00">
        <w:rPr>
          <w:noProof/>
        </w:rPr>
        <w:t>variétés essentiellement dérivé</w:t>
      </w:r>
      <w:r w:rsidR="00805E4D" w:rsidRPr="007A1A00">
        <w:rPr>
          <w:noProof/>
        </w:rPr>
        <w:t>es.  Ce</w:t>
      </w:r>
      <w:r w:rsidR="00A75E74" w:rsidRPr="007A1A00">
        <w:rPr>
          <w:noProof/>
        </w:rPr>
        <w:t xml:space="preserve">t exposé </w:t>
      </w:r>
      <w:r w:rsidR="004F3B3C">
        <w:rPr>
          <w:noProof/>
        </w:rPr>
        <w:t>a été</w:t>
      </w:r>
      <w:r w:rsidR="00A75E74" w:rsidRPr="007A1A00">
        <w:rPr>
          <w:noProof/>
        </w:rPr>
        <w:t xml:space="preserve"> reproduit dans </w:t>
      </w:r>
      <w:r w:rsidR="00B7496F" w:rsidRPr="007A1A00">
        <w:rPr>
          <w:noProof/>
        </w:rPr>
        <w:t>un</w:t>
      </w:r>
      <w:r w:rsidR="00B7496F" w:rsidRPr="007A1A00">
        <w:t xml:space="preserve"> </w:t>
      </w:r>
      <w:r w:rsidR="00B7496F" w:rsidRPr="007A1A00">
        <w:rPr>
          <w:noProof/>
        </w:rPr>
        <w:t>additif au</w:t>
      </w:r>
      <w:r w:rsidR="003F5F2E" w:rsidRPr="007A1A00">
        <w:rPr>
          <w:noProof/>
        </w:rPr>
        <w:t xml:space="preserve"> document CAJ/72/2.</w:t>
      </w:r>
    </w:p>
    <w:p w:rsidR="0031661C" w:rsidRPr="007A1A00" w:rsidRDefault="004F3B3C" w:rsidP="00467385">
      <w:pPr>
        <w:rPr>
          <w:noProof/>
        </w:rPr>
      </w:pPr>
      <w:r w:rsidRPr="004F3B3C">
        <w:rPr>
          <w:noProof/>
          <w:vertAlign w:val="superscript"/>
        </w:rPr>
        <w:t>*</w:t>
      </w:r>
      <w:r w:rsidR="00AE08BE" w:rsidRPr="007A1A00">
        <w:rPr>
          <w:noProof/>
        </w:rPr>
        <w:fldChar w:fldCharType="begin"/>
      </w:r>
      <w:r w:rsidR="00E3447B" w:rsidRPr="007A1A00">
        <w:rPr>
          <w:noProof/>
        </w:rPr>
        <w:instrText xml:space="preserve"> AUTONUM  </w:instrText>
      </w:r>
      <w:r w:rsidR="00AE08BE" w:rsidRPr="007A1A00">
        <w:rPr>
          <w:noProof/>
        </w:rPr>
        <w:fldChar w:fldCharType="end"/>
      </w:r>
      <w:r w:rsidR="00E3447B" w:rsidRPr="007A1A00">
        <w:rPr>
          <w:noProof/>
        </w:rPr>
        <w:tab/>
      </w:r>
      <w:r w:rsidR="00467385" w:rsidRPr="007A1A00">
        <w:rPr>
          <w:noProof/>
        </w:rPr>
        <w:t>Le CAJ souscrit à la proposition selon laquelle le Bureau de l</w:t>
      </w:r>
      <w:r w:rsidR="00E94EB0" w:rsidRPr="007A1A00">
        <w:rPr>
          <w:noProof/>
        </w:rPr>
        <w:t>’</w:t>
      </w:r>
      <w:r w:rsidR="00467385" w:rsidRPr="007A1A00">
        <w:rPr>
          <w:noProof/>
        </w:rPr>
        <w:t>Union devrait organiser une réunion pour échanger des informations avec la Communauté internationale des obtenteurs de plantes ornementales et fruitières à reproduction asexuée (CIOPORA), l</w:t>
      </w:r>
      <w:r w:rsidR="00E94EB0" w:rsidRPr="007A1A00">
        <w:rPr>
          <w:noProof/>
        </w:rPr>
        <w:t>’</w:t>
      </w:r>
      <w:r w:rsidR="00467385" w:rsidRPr="00C91A80">
        <w:rPr>
          <w:i/>
          <w:noProof/>
        </w:rPr>
        <w:t>International Seed Federation</w:t>
      </w:r>
      <w:r w:rsidR="00467385" w:rsidRPr="007A1A00">
        <w:rPr>
          <w:noProof/>
        </w:rPr>
        <w:t xml:space="preserve"> (ISF) et l</w:t>
      </w:r>
      <w:r w:rsidR="00E94EB0" w:rsidRPr="007A1A00">
        <w:rPr>
          <w:noProof/>
        </w:rPr>
        <w:t>’</w:t>
      </w:r>
      <w:r w:rsidR="00467385" w:rsidRPr="007A1A00">
        <w:rPr>
          <w:noProof/>
        </w:rPr>
        <w:t>Organisation Mondiale de la Propriété Intellectuelle (OMPI) en vue d</w:t>
      </w:r>
      <w:r w:rsidR="00E94EB0" w:rsidRPr="007A1A00">
        <w:rPr>
          <w:noProof/>
        </w:rPr>
        <w:t>’</w:t>
      </w:r>
      <w:r w:rsidR="00467385" w:rsidRPr="007A1A00">
        <w:rPr>
          <w:noProof/>
        </w:rPr>
        <w:t>étudier le rôle que l</w:t>
      </w:r>
      <w:r w:rsidR="00E94EB0" w:rsidRPr="007A1A00">
        <w:rPr>
          <w:noProof/>
        </w:rPr>
        <w:t>’</w:t>
      </w:r>
      <w:r w:rsidR="00467385" w:rsidRPr="007A1A00">
        <w:rPr>
          <w:noProof/>
        </w:rPr>
        <w:t xml:space="preserve">UPOV pourrait jouer dans les mécanismes extrajudiciaires de règlement des litiges pour les questions relatives aux variétés essentiellement dérivées, </w:t>
      </w:r>
      <w:r w:rsidR="00E94EB0" w:rsidRPr="007A1A00">
        <w:rPr>
          <w:noProof/>
        </w:rPr>
        <w:t>y compris</w:t>
      </w:r>
      <w:r w:rsidR="00467385" w:rsidRPr="007A1A00">
        <w:rPr>
          <w:noProof/>
        </w:rPr>
        <w:t xml:space="preserve"> la mise à disposition d</w:t>
      </w:r>
      <w:r w:rsidR="00E94EB0" w:rsidRPr="007A1A00">
        <w:rPr>
          <w:noProof/>
        </w:rPr>
        <w:t>’</w:t>
      </w:r>
      <w:r w:rsidR="00467385" w:rsidRPr="007A1A00">
        <w:rPr>
          <w:noProof/>
        </w:rPr>
        <w:t>experts concernant les questions relatives aux variétés essentiellement dérivées.</w:t>
      </w:r>
    </w:p>
    <w:p w:rsidR="0031661C" w:rsidRPr="007A1A00" w:rsidRDefault="0031661C" w:rsidP="00E3447B">
      <w:pPr>
        <w:rPr>
          <w:noProof/>
        </w:rPr>
      </w:pPr>
    </w:p>
    <w:p w:rsidR="0031661C" w:rsidRPr="007A1A00" w:rsidRDefault="004F3B3C" w:rsidP="00E3447B">
      <w:pPr>
        <w:rPr>
          <w:noProof/>
        </w:rPr>
      </w:pPr>
      <w:r w:rsidRPr="004F3B3C">
        <w:rPr>
          <w:noProof/>
          <w:vertAlign w:val="superscript"/>
        </w:rPr>
        <w:t>*</w:t>
      </w:r>
      <w:r w:rsidR="00AE08BE" w:rsidRPr="007A1A00">
        <w:rPr>
          <w:noProof/>
        </w:rPr>
        <w:fldChar w:fldCharType="begin"/>
      </w:r>
      <w:r w:rsidR="00E3447B" w:rsidRPr="007A1A00">
        <w:rPr>
          <w:noProof/>
        </w:rPr>
        <w:instrText xml:space="preserve"> AUTONUM  </w:instrText>
      </w:r>
      <w:r w:rsidR="00AE08BE" w:rsidRPr="007A1A00">
        <w:rPr>
          <w:noProof/>
        </w:rPr>
        <w:fldChar w:fldCharType="end"/>
      </w:r>
      <w:r w:rsidR="00E3447B" w:rsidRPr="007A1A00">
        <w:rPr>
          <w:noProof/>
        </w:rPr>
        <w:tab/>
      </w:r>
      <w:r w:rsidR="00BF3187" w:rsidRPr="007A1A00">
        <w:rPr>
          <w:noProof/>
        </w:rPr>
        <w:t>Le</w:t>
      </w:r>
      <w:r w:rsidR="00E3447B" w:rsidRPr="007A1A00">
        <w:rPr>
          <w:noProof/>
        </w:rPr>
        <w:t xml:space="preserve"> </w:t>
      </w:r>
      <w:r w:rsidR="002003C1" w:rsidRPr="007A1A00">
        <w:rPr>
          <w:noProof/>
        </w:rPr>
        <w:t xml:space="preserve">CAJ </w:t>
      </w:r>
      <w:r w:rsidR="00BF3187" w:rsidRPr="007A1A00">
        <w:rPr>
          <w:noProof/>
        </w:rPr>
        <w:t xml:space="preserve">approuve les modifications suivantes </w:t>
      </w:r>
      <w:r w:rsidR="006A21B3" w:rsidRPr="007A1A00">
        <w:rPr>
          <w:noProof/>
        </w:rPr>
        <w:t>d</w:t>
      </w:r>
      <w:r w:rsidR="00BF3187" w:rsidRPr="007A1A00">
        <w:rPr>
          <w:noProof/>
        </w:rPr>
        <w:t xml:space="preserve">u </w:t>
      </w:r>
      <w:r w:rsidR="002003C1" w:rsidRPr="007A1A00">
        <w:rPr>
          <w:noProof/>
        </w:rPr>
        <w:t xml:space="preserve">document </w:t>
      </w:r>
      <w:r w:rsidR="00E3447B" w:rsidRPr="007A1A00">
        <w:rPr>
          <w:noProof/>
        </w:rPr>
        <w:t>“</w:t>
      </w:r>
      <w:r w:rsidR="0046638B" w:rsidRPr="007A1A00">
        <w:rPr>
          <w:noProof/>
        </w:rPr>
        <w:t>Notes explicatives sur les variétés essentiel</w:t>
      </w:r>
      <w:r w:rsidR="006A21B3" w:rsidRPr="007A1A00">
        <w:rPr>
          <w:noProof/>
        </w:rPr>
        <w:t>lement dérivées selon l</w:t>
      </w:r>
      <w:r w:rsidR="00E94EB0" w:rsidRPr="007A1A00">
        <w:rPr>
          <w:noProof/>
        </w:rPr>
        <w:t>’</w:t>
      </w:r>
      <w:r w:rsidR="006A21B3" w:rsidRPr="007A1A00">
        <w:rPr>
          <w:noProof/>
        </w:rPr>
        <w:t>Acte de</w:t>
      </w:r>
      <w:r w:rsidR="00C91A80">
        <w:rPr>
          <w:noProof/>
        </w:rPr>
        <w:t xml:space="preserve"> </w:t>
      </w:r>
      <w:r w:rsidR="006A21B3" w:rsidRPr="007A1A00">
        <w:rPr>
          <w:noProof/>
        </w:rPr>
        <w:t xml:space="preserve">1991 de la </w:t>
      </w:r>
      <w:r w:rsidR="00C91A80">
        <w:rPr>
          <w:noProof/>
        </w:rPr>
        <w:t xml:space="preserve">Convention </w:t>
      </w:r>
      <w:r w:rsidR="00E94EB0" w:rsidRPr="007A1A00">
        <w:rPr>
          <w:noProof/>
        </w:rPr>
        <w:t>UPOV</w:t>
      </w:r>
      <w:r w:rsidR="00E3447B" w:rsidRPr="007A1A00">
        <w:rPr>
          <w:noProof/>
        </w:rPr>
        <w:t>” (</w:t>
      </w:r>
      <w:r w:rsidR="00960035" w:rsidRPr="007A1A00">
        <w:rPr>
          <w:noProof/>
        </w:rPr>
        <w:t>révision</w:t>
      </w:r>
      <w:r w:rsidR="00E3447B" w:rsidRPr="007A1A00">
        <w:rPr>
          <w:noProof/>
        </w:rPr>
        <w:t>) (</w:t>
      </w:r>
      <w:r w:rsidR="00E94EB0" w:rsidRPr="007A1A00">
        <w:rPr>
          <w:noProof/>
        </w:rPr>
        <w:t xml:space="preserve">document </w:t>
      </w:r>
      <w:r w:rsidR="0029236A" w:rsidRPr="007A1A00">
        <w:rPr>
          <w:noProof/>
        </w:rPr>
        <w:t>UPOV/EXN/EDV/2 Draft </w:t>
      </w:r>
      <w:r w:rsidR="00E3447B" w:rsidRPr="007A1A00">
        <w:rPr>
          <w:noProof/>
        </w:rPr>
        <w:t>6)</w:t>
      </w:r>
      <w:r w:rsidR="0046638B" w:rsidRPr="007A1A00">
        <w:rPr>
          <w:noProof/>
        </w:rPr>
        <w:t> </w:t>
      </w:r>
      <w:r w:rsidR="002003C1" w:rsidRPr="007A1A00">
        <w:rPr>
          <w:noProof/>
        </w:rPr>
        <w:t>:</w:t>
      </w:r>
    </w:p>
    <w:p w:rsidR="00F52E01" w:rsidRPr="007A1A00" w:rsidRDefault="00F52E01" w:rsidP="00E3447B">
      <w:pPr>
        <w:rPr>
          <w:noProof/>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701"/>
        <w:gridCol w:w="7535"/>
      </w:tblGrid>
      <w:tr w:rsidR="007A1A00" w:rsidRPr="007A1A00">
        <w:trPr>
          <w:cantSplit/>
        </w:trPr>
        <w:tc>
          <w:tcPr>
            <w:tcW w:w="1701" w:type="dxa"/>
          </w:tcPr>
          <w:p w:rsidR="00B97090" w:rsidRPr="007A1A00" w:rsidRDefault="00467385" w:rsidP="00467385">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4</w:t>
            </w:r>
          </w:p>
        </w:tc>
        <w:tc>
          <w:tcPr>
            <w:tcW w:w="7535" w:type="dxa"/>
          </w:tcPr>
          <w:p w:rsidR="00B97090" w:rsidRPr="007A1A00" w:rsidRDefault="00467385" w:rsidP="00AE268B">
            <w:pPr>
              <w:rPr>
                <w:strike/>
                <w:noProof/>
                <w:snapToGrid w:val="0"/>
                <w:spacing w:val="-2"/>
              </w:rPr>
            </w:pPr>
            <w:r w:rsidRPr="007A1A00">
              <w:rPr>
                <w:rFonts w:cs="Arial"/>
                <w:noProof/>
                <w:spacing w:val="-2"/>
              </w:rPr>
              <w:t>Libeller comme suit</w:t>
            </w:r>
            <w:r w:rsidR="00E73D21" w:rsidRPr="007A1A00">
              <w:rPr>
                <w:rFonts w:cs="Arial"/>
                <w:noProof/>
                <w:spacing w:val="-2"/>
              </w:rPr>
              <w:t> </w:t>
            </w:r>
            <w:r w:rsidRPr="007A1A00">
              <w:rPr>
                <w:rFonts w:cs="Arial"/>
                <w:noProof/>
                <w:spacing w:val="-2"/>
              </w:rPr>
              <w:t>:</w:t>
            </w:r>
            <w:r w:rsidR="00AE268B" w:rsidRPr="007A1A00">
              <w:rPr>
                <w:rFonts w:cs="Arial"/>
                <w:noProof/>
                <w:spacing w:val="-2"/>
              </w:rPr>
              <w:t xml:space="preserve"> </w:t>
            </w:r>
            <w:r w:rsidRPr="007A1A00">
              <w:rPr>
                <w:rFonts w:cs="Arial"/>
                <w:noProof/>
                <w:spacing w:val="-2"/>
              </w:rPr>
              <w:t>“La disposition relative à la dérivation principale d</w:t>
            </w:r>
            <w:r w:rsidR="00E94EB0" w:rsidRPr="007A1A00">
              <w:rPr>
                <w:rFonts w:cs="Arial"/>
                <w:noProof/>
                <w:spacing w:val="-2"/>
              </w:rPr>
              <w:t>’</w:t>
            </w:r>
            <w:r w:rsidRPr="007A1A00">
              <w:rPr>
                <w:rFonts w:cs="Arial"/>
                <w:noProof/>
                <w:spacing w:val="-2"/>
              </w:rPr>
              <w:t>une variété initiale signifie qu</w:t>
            </w:r>
            <w:r w:rsidR="00E94EB0" w:rsidRPr="007A1A00">
              <w:rPr>
                <w:rFonts w:cs="Arial"/>
                <w:noProof/>
                <w:spacing w:val="-2"/>
              </w:rPr>
              <w:t>’</w:t>
            </w:r>
            <w:r w:rsidRPr="007A1A00">
              <w:rPr>
                <w:rFonts w:cs="Arial"/>
                <w:noProof/>
                <w:spacing w:val="-2"/>
              </w:rPr>
              <w:t>une variété ne peut être essentiellement dérivée que d</w:t>
            </w:r>
            <w:r w:rsidR="00E94EB0" w:rsidRPr="007A1A00">
              <w:rPr>
                <w:rFonts w:cs="Arial"/>
                <w:noProof/>
                <w:spacing w:val="-2"/>
              </w:rPr>
              <w:t>’</w:t>
            </w:r>
            <w:r w:rsidRPr="007A1A00">
              <w:rPr>
                <w:rFonts w:cs="Arial"/>
                <w:noProof/>
                <w:spacing w:val="-2"/>
              </w:rPr>
              <w:t xml:space="preserve">une seule variété </w:t>
            </w:r>
            <w:r w:rsidRPr="007A1A00">
              <w:rPr>
                <w:rFonts w:cs="Arial"/>
                <w:noProof/>
                <w:spacing w:val="-2"/>
                <w:u w:val="single"/>
              </w:rPr>
              <w:t>initia</w:t>
            </w:r>
            <w:r w:rsidR="00805E4D" w:rsidRPr="007A1A00">
              <w:rPr>
                <w:rFonts w:cs="Arial"/>
                <w:noProof/>
                <w:spacing w:val="-2"/>
                <w:u w:val="single"/>
              </w:rPr>
              <w:t>le</w:t>
            </w:r>
            <w:r w:rsidR="00805E4D" w:rsidRPr="007A1A00">
              <w:rPr>
                <w:rFonts w:cs="Arial"/>
                <w:noProof/>
                <w:spacing w:val="-2"/>
              </w:rPr>
              <w:t>.  L’i</w:t>
            </w:r>
            <w:r w:rsidRPr="007A1A00">
              <w:rPr>
                <w:rFonts w:cs="Arial"/>
                <w:noProof/>
                <w:spacing w:val="-2"/>
              </w:rPr>
              <w:t>dée sous</w:t>
            </w:r>
            <w:r w:rsidR="00805E4D" w:rsidRPr="007A1A00">
              <w:rPr>
                <w:rFonts w:cs="Arial"/>
                <w:noProof/>
                <w:spacing w:val="-2"/>
              </w:rPr>
              <w:noBreakHyphen/>
            </w:r>
            <w:r w:rsidRPr="007A1A00">
              <w:rPr>
                <w:rFonts w:cs="Arial"/>
                <w:noProof/>
                <w:spacing w:val="-2"/>
              </w:rPr>
              <w:t>jacente est qu</w:t>
            </w:r>
            <w:r w:rsidR="00E94EB0" w:rsidRPr="007A1A00">
              <w:rPr>
                <w:rFonts w:cs="Arial"/>
                <w:noProof/>
                <w:spacing w:val="-2"/>
              </w:rPr>
              <w:t>’</w:t>
            </w:r>
            <w:r w:rsidRPr="007A1A00">
              <w:rPr>
                <w:rFonts w:cs="Arial"/>
                <w:noProof/>
                <w:spacing w:val="-2"/>
              </w:rPr>
              <w:t>une variété ne peut être essentiellement dérivée d</w:t>
            </w:r>
            <w:r w:rsidR="00E94EB0" w:rsidRPr="007A1A00">
              <w:rPr>
                <w:rFonts w:cs="Arial"/>
                <w:noProof/>
                <w:spacing w:val="-2"/>
              </w:rPr>
              <w:t>’</w:t>
            </w:r>
            <w:r w:rsidRPr="007A1A00">
              <w:rPr>
                <w:rFonts w:cs="Arial"/>
                <w:noProof/>
                <w:spacing w:val="-2"/>
              </w:rPr>
              <w:t>une autre variété que si elle conserve la quasi</w:t>
            </w:r>
            <w:r w:rsidR="00805E4D" w:rsidRPr="007A1A00">
              <w:rPr>
                <w:rFonts w:cs="Arial"/>
                <w:noProof/>
                <w:spacing w:val="-2"/>
              </w:rPr>
              <w:noBreakHyphen/>
            </w:r>
            <w:r w:rsidRPr="007A1A00">
              <w:rPr>
                <w:rFonts w:cs="Arial"/>
                <w:noProof/>
                <w:spacing w:val="-2"/>
              </w:rPr>
              <w:t>totalité du génotype de cette autre varié</w:t>
            </w:r>
            <w:r w:rsidR="00805E4D" w:rsidRPr="007A1A00">
              <w:rPr>
                <w:rFonts w:cs="Arial"/>
                <w:noProof/>
                <w:spacing w:val="-2"/>
              </w:rPr>
              <w:t>té.  Un</w:t>
            </w:r>
            <w:r w:rsidRPr="007A1A00">
              <w:rPr>
                <w:rFonts w:cs="Arial"/>
                <w:noProof/>
                <w:spacing w:val="-2"/>
              </w:rPr>
              <w:t>e variété dérivée ne peut pas, dans la pratique, conserver l</w:t>
            </w:r>
            <w:r w:rsidR="00E94EB0" w:rsidRPr="007A1A00">
              <w:rPr>
                <w:rFonts w:cs="Arial"/>
                <w:noProof/>
                <w:spacing w:val="-2"/>
              </w:rPr>
              <w:t>’</w:t>
            </w:r>
            <w:r w:rsidRPr="007A1A00">
              <w:rPr>
                <w:rFonts w:cs="Arial"/>
                <w:noProof/>
                <w:spacing w:val="-2"/>
              </w:rPr>
              <w:t>expression des caractères essentiels de la variété dont elle est dérivée si elle n</w:t>
            </w:r>
            <w:r w:rsidR="00E94EB0" w:rsidRPr="007A1A00">
              <w:rPr>
                <w:rFonts w:cs="Arial"/>
                <w:noProof/>
                <w:spacing w:val="-2"/>
              </w:rPr>
              <w:t>’</w:t>
            </w:r>
            <w:r w:rsidRPr="007A1A00">
              <w:rPr>
                <w:rFonts w:cs="Arial"/>
                <w:noProof/>
                <w:spacing w:val="-2"/>
              </w:rPr>
              <w:t xml:space="preserve">est pas presque entièrement dérivée de cette variété </w:t>
            </w:r>
            <w:r w:rsidRPr="007A1A00">
              <w:rPr>
                <w:rFonts w:cs="Arial"/>
                <w:noProof/>
                <w:spacing w:val="-2"/>
                <w:u w:val="single"/>
              </w:rPr>
              <w:t>initiale</w:t>
            </w:r>
            <w:r w:rsidRPr="007A1A00">
              <w:rPr>
                <w:rFonts w:cs="Arial"/>
                <w:noProof/>
                <w:spacing w:val="-2"/>
              </w:rPr>
              <w:t>.”</w:t>
            </w:r>
          </w:p>
        </w:tc>
      </w:tr>
      <w:tr w:rsidR="007A1A00" w:rsidRPr="007A1A00">
        <w:trPr>
          <w:cantSplit/>
        </w:trPr>
        <w:tc>
          <w:tcPr>
            <w:tcW w:w="1701" w:type="dxa"/>
          </w:tcPr>
          <w:p w:rsidR="00B97090" w:rsidRPr="007A1A00" w:rsidRDefault="00467385" w:rsidP="00467385">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4</w:t>
            </w:r>
          </w:p>
        </w:tc>
        <w:tc>
          <w:tcPr>
            <w:tcW w:w="7535" w:type="dxa"/>
          </w:tcPr>
          <w:p w:rsidR="00B97090" w:rsidRPr="007A1A00" w:rsidRDefault="00467385" w:rsidP="00AE268B">
            <w:pPr>
              <w:rPr>
                <w:rFonts w:cs="Arial"/>
                <w:noProof/>
                <w:spacing w:val="-2"/>
              </w:rPr>
            </w:pPr>
            <w:r w:rsidRPr="007A1A00">
              <w:rPr>
                <w:rFonts w:cs="Arial"/>
                <w:noProof/>
                <w:spacing w:val="-2"/>
              </w:rPr>
              <w:t>Libeller la version espagnole comme suit</w:t>
            </w:r>
            <w:r w:rsidR="00E73D21" w:rsidRPr="007A1A00">
              <w:rPr>
                <w:rFonts w:cs="Arial"/>
                <w:noProof/>
                <w:spacing w:val="-2"/>
              </w:rPr>
              <w:t> </w:t>
            </w:r>
            <w:r w:rsidR="00B97090" w:rsidRPr="007A1A00">
              <w:rPr>
                <w:rFonts w:cs="Arial"/>
                <w:noProof/>
                <w:spacing w:val="-2"/>
              </w:rPr>
              <w:t>:</w:t>
            </w:r>
            <w:r w:rsidR="00AE268B" w:rsidRPr="007A1A00">
              <w:rPr>
                <w:rFonts w:cs="Arial"/>
                <w:noProof/>
                <w:spacing w:val="-2"/>
              </w:rPr>
              <w:t xml:space="preserve"> </w:t>
            </w:r>
            <w:r w:rsidR="00B97090" w:rsidRPr="007A1A00">
              <w:rPr>
                <w:rFonts w:cs="Arial"/>
                <w:noProof/>
                <w:spacing w:val="-2"/>
              </w:rPr>
              <w:t xml:space="preserve">“El requisito de derivación principal de una variedad inicial implica que una variedad solo puede ser esencialmente derivada de una </w:t>
            </w:r>
            <w:r w:rsidR="00B97090" w:rsidRPr="007A1A00">
              <w:rPr>
                <w:rFonts w:cs="Arial"/>
                <w:noProof/>
                <w:spacing w:val="-2"/>
                <w:u w:val="single"/>
              </w:rPr>
              <w:t>sola</w:t>
            </w:r>
            <w:r w:rsidR="00B97090" w:rsidRPr="007A1A00">
              <w:rPr>
                <w:rFonts w:cs="Arial"/>
                <w:noProof/>
                <w:spacing w:val="-2"/>
              </w:rPr>
              <w:t xml:space="preserve"> variedad </w:t>
            </w:r>
            <w:r w:rsidR="00B97090" w:rsidRPr="007A1A00">
              <w:rPr>
                <w:rFonts w:cs="Arial"/>
                <w:noProof/>
                <w:spacing w:val="-2"/>
                <w:u w:val="single"/>
              </w:rPr>
              <w:t>inici</w:t>
            </w:r>
            <w:r w:rsidR="00805E4D" w:rsidRPr="007A1A00">
              <w:rPr>
                <w:rFonts w:cs="Arial"/>
                <w:noProof/>
                <w:spacing w:val="-2"/>
                <w:u w:val="single"/>
              </w:rPr>
              <w:t>al</w:t>
            </w:r>
            <w:r w:rsidR="00805E4D" w:rsidRPr="007A1A00">
              <w:rPr>
                <w:rFonts w:cs="Arial"/>
                <w:noProof/>
                <w:spacing w:val="-2"/>
              </w:rPr>
              <w:t>.  La</w:t>
            </w:r>
            <w:r w:rsidR="00B97090" w:rsidRPr="007A1A00">
              <w:rPr>
                <w:rFonts w:cs="Arial"/>
                <w:noProof/>
                <w:spacing w:val="-2"/>
              </w:rPr>
              <w:t xml:space="preserve"> intención es que una variedad solo sea esencialmente derivada de otra variedad cuando conserve prácticamente todo el genotipo de la otra varied</w:t>
            </w:r>
            <w:r w:rsidR="00805E4D" w:rsidRPr="007A1A00">
              <w:rPr>
                <w:rFonts w:cs="Arial"/>
                <w:noProof/>
                <w:spacing w:val="-2"/>
              </w:rPr>
              <w:t>ad.  En</w:t>
            </w:r>
            <w:r w:rsidR="00B97090" w:rsidRPr="007A1A00">
              <w:rPr>
                <w:rFonts w:cs="Arial"/>
                <w:noProof/>
                <w:spacing w:val="-2"/>
              </w:rPr>
              <w:t xml:space="preserve"> la práctica, una variedad derivada no puede conservar la expresión de los caracteres esenciales de la variedad de la que deriva excepto si deriva casi exclusivamente de esa variedad </w:t>
            </w:r>
            <w:r w:rsidR="00B97090" w:rsidRPr="007A1A00">
              <w:rPr>
                <w:rFonts w:cs="Arial"/>
                <w:noProof/>
                <w:spacing w:val="-2"/>
                <w:u w:val="single"/>
              </w:rPr>
              <w:t>inicial</w:t>
            </w:r>
            <w:r w:rsidR="00B97090" w:rsidRPr="007A1A00">
              <w:rPr>
                <w:rFonts w:cs="Arial"/>
                <w:noProof/>
                <w:spacing w:val="-2"/>
              </w:rPr>
              <w:t>.”</w:t>
            </w:r>
          </w:p>
        </w:tc>
      </w:tr>
      <w:tr w:rsidR="007A1A00" w:rsidRPr="007A1A00">
        <w:trPr>
          <w:cantSplit/>
        </w:trPr>
        <w:tc>
          <w:tcPr>
            <w:tcW w:w="1701" w:type="dxa"/>
          </w:tcPr>
          <w:p w:rsidR="00B97090" w:rsidRPr="007A1A00" w:rsidRDefault="00AE268B" w:rsidP="00AE268B">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5</w:t>
            </w:r>
            <w:r w:rsidR="00B97090" w:rsidRPr="007A1A00">
              <w:rPr>
                <w:rFonts w:cs="Arial"/>
                <w:noProof/>
                <w:spacing w:val="-2"/>
              </w:rPr>
              <w:t xml:space="preserve"> </w:t>
            </w:r>
          </w:p>
        </w:tc>
        <w:tc>
          <w:tcPr>
            <w:tcW w:w="7535" w:type="dxa"/>
          </w:tcPr>
          <w:p w:rsidR="00B97090" w:rsidRPr="007A1A00" w:rsidRDefault="00960035" w:rsidP="002909BA">
            <w:pPr>
              <w:rPr>
                <w:rFonts w:cs="Arial"/>
                <w:noProof/>
                <w:spacing w:val="-2"/>
              </w:rPr>
            </w:pPr>
            <w:r w:rsidRPr="007A1A00">
              <w:rPr>
                <w:rFonts w:cs="Arial"/>
                <w:noProof/>
                <w:spacing w:val="-2"/>
              </w:rPr>
              <w:t>Libeller comme suit </w:t>
            </w:r>
            <w:r w:rsidR="00B97090" w:rsidRPr="007A1A00">
              <w:rPr>
                <w:rFonts w:cs="Arial"/>
                <w:noProof/>
                <w:spacing w:val="-2"/>
              </w:rPr>
              <w:t>: “</w:t>
            </w:r>
            <w:r w:rsidR="002909BA" w:rsidRPr="007A1A00">
              <w:rPr>
                <w:rFonts w:cs="Arial"/>
                <w:spacing w:val="-2"/>
              </w:rPr>
              <w:t>L</w:t>
            </w:r>
            <w:r w:rsidR="00E94EB0" w:rsidRPr="007A1A00">
              <w:rPr>
                <w:rFonts w:cs="Arial"/>
                <w:spacing w:val="-2"/>
              </w:rPr>
              <w:t>’</w:t>
            </w:r>
            <w:r w:rsidR="002909BA" w:rsidRPr="007A1A00">
              <w:rPr>
                <w:rFonts w:cs="Arial"/>
                <w:spacing w:val="-2"/>
              </w:rPr>
              <w:t xml:space="preserve">expression “tout en conservant les expressions des caractères essentiels” signifie que les expressions des caractères essentiels doivent être </w:t>
            </w:r>
            <w:r w:rsidR="002909BA" w:rsidRPr="007A1A00">
              <w:rPr>
                <w:rFonts w:cs="Arial"/>
                <w:spacing w:val="-2"/>
                <w:u w:val="single"/>
              </w:rPr>
              <w:t>conformes à la variété initiale</w:t>
            </w:r>
            <w:r w:rsidR="002909BA" w:rsidRPr="007A1A00">
              <w:rPr>
                <w:rFonts w:cs="Arial"/>
                <w:noProof/>
                <w:spacing w:val="-2"/>
                <w:u w:val="single"/>
              </w:rPr>
              <w:t xml:space="preserve"> </w:t>
            </w:r>
            <w:r w:rsidR="002909BA" w:rsidRPr="00C91A80">
              <w:rPr>
                <w:rFonts w:cs="Arial"/>
                <w:noProof/>
                <w:spacing w:val="-2"/>
                <w:u w:val="single"/>
              </w:rPr>
              <w:t>et</w:t>
            </w:r>
            <w:r w:rsidR="00B97090" w:rsidRPr="00C91A80">
              <w:rPr>
                <w:rFonts w:cs="Arial"/>
                <w:noProof/>
                <w:spacing w:val="-2"/>
                <w:u w:val="single"/>
              </w:rPr>
              <w:t xml:space="preserve"> </w:t>
            </w:r>
            <w:r w:rsidR="0029236A" w:rsidRPr="00C91A80">
              <w:rPr>
                <w:rFonts w:cs="Arial"/>
                <w:spacing w:val="-2"/>
                <w:u w:val="single"/>
              </w:rPr>
              <w:t>dérivées</w:t>
            </w:r>
            <w:r w:rsidR="002909BA" w:rsidRPr="00C91A80">
              <w:rPr>
                <w:rFonts w:cs="Arial"/>
                <w:spacing w:val="-2"/>
                <w:u w:val="single"/>
              </w:rPr>
              <w:t xml:space="preserve"> de cette dernière</w:t>
            </w:r>
            <w:r w:rsidR="00B97090" w:rsidRPr="007A1A00">
              <w:rPr>
                <w:rFonts w:cs="Arial"/>
                <w:noProof/>
                <w:spacing w:val="-2"/>
              </w:rPr>
              <w:t>.”</w:t>
            </w:r>
          </w:p>
        </w:tc>
      </w:tr>
      <w:tr w:rsidR="007A1A00" w:rsidRPr="007A1A00">
        <w:trPr>
          <w:cantSplit/>
        </w:trPr>
        <w:tc>
          <w:tcPr>
            <w:tcW w:w="1701" w:type="dxa"/>
          </w:tcPr>
          <w:p w:rsidR="00B97090" w:rsidRPr="007A1A00" w:rsidRDefault="00AE268B" w:rsidP="00AE268B">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11</w:t>
            </w:r>
          </w:p>
        </w:tc>
        <w:tc>
          <w:tcPr>
            <w:tcW w:w="7535" w:type="dxa"/>
          </w:tcPr>
          <w:p w:rsidR="00B97090" w:rsidRPr="007A1A00" w:rsidRDefault="004D16C4" w:rsidP="009F5D1B">
            <w:pPr>
              <w:rPr>
                <w:rFonts w:cs="Arial"/>
                <w:noProof/>
                <w:spacing w:val="-2"/>
              </w:rPr>
            </w:pPr>
            <w:r w:rsidRPr="007A1A00">
              <w:rPr>
                <w:rFonts w:cs="Arial"/>
                <w:noProof/>
                <w:spacing w:val="-2"/>
              </w:rPr>
              <w:t>Libeller comme suit :</w:t>
            </w:r>
            <w:r w:rsidR="008B4189" w:rsidRPr="007A1A00">
              <w:rPr>
                <w:rFonts w:cs="Arial"/>
                <w:noProof/>
                <w:spacing w:val="-2"/>
              </w:rPr>
              <w:t xml:space="preserve"> “</w:t>
            </w:r>
            <w:r w:rsidR="000724D7" w:rsidRPr="007A1A00">
              <w:rPr>
                <w:rFonts w:cs="Arial"/>
                <w:spacing w:val="-2"/>
              </w:rPr>
              <w:t>La variété dérivée doit conserver la quasi</w:t>
            </w:r>
            <w:r w:rsidR="00805E4D" w:rsidRPr="007A1A00">
              <w:rPr>
                <w:rFonts w:cs="Arial"/>
                <w:spacing w:val="-2"/>
              </w:rPr>
              <w:noBreakHyphen/>
            </w:r>
            <w:r w:rsidR="000724D7" w:rsidRPr="007A1A00">
              <w:rPr>
                <w:rFonts w:cs="Arial"/>
                <w:spacing w:val="-2"/>
              </w:rPr>
              <w:t xml:space="preserve">totalité du génotype de la variété initiale et </w:t>
            </w:r>
            <w:r w:rsidR="000724D7" w:rsidRPr="007A1A00">
              <w:rPr>
                <w:rFonts w:cs="Arial"/>
                <w:strike/>
                <w:spacing w:val="-2"/>
              </w:rPr>
              <w:t>se distinguer</w:t>
            </w:r>
            <w:r w:rsidR="000724D7" w:rsidRPr="007A1A00">
              <w:rPr>
                <w:rFonts w:cs="Arial"/>
                <w:spacing w:val="-2"/>
              </w:rPr>
              <w:t xml:space="preserve"> </w:t>
            </w:r>
            <w:r w:rsidR="00C36C40" w:rsidRPr="007A1A00">
              <w:rPr>
                <w:rFonts w:cs="Arial"/>
                <w:spacing w:val="-2"/>
                <w:u w:val="single"/>
              </w:rPr>
              <w:t>différer</w:t>
            </w:r>
            <w:r w:rsidR="00C36C40" w:rsidRPr="007A1A00">
              <w:rPr>
                <w:rFonts w:cs="Arial"/>
                <w:spacing w:val="-2"/>
              </w:rPr>
              <w:t xml:space="preserve"> </w:t>
            </w:r>
            <w:r w:rsidR="000724D7" w:rsidRPr="007A1A00">
              <w:rPr>
                <w:rFonts w:cs="Arial"/>
                <w:spacing w:val="-2"/>
              </w:rPr>
              <w:t>de cette variété par un nombre très limité de caractères (</w:t>
            </w:r>
            <w:r w:rsidR="000724D7" w:rsidRPr="007A1A00">
              <w:rPr>
                <w:rFonts w:cs="Arial"/>
                <w:strike/>
                <w:spacing w:val="-2"/>
              </w:rPr>
              <w:t>généralement par un caractère</w:t>
            </w:r>
            <w:r w:rsidR="000724D7" w:rsidRPr="007A1A00">
              <w:rPr>
                <w:rFonts w:cs="Arial"/>
                <w:spacing w:val="-2"/>
              </w:rPr>
              <w:t>)</w:t>
            </w:r>
            <w:r w:rsidR="008B4189" w:rsidRPr="007A1A00">
              <w:rPr>
                <w:rFonts w:cs="Arial"/>
                <w:noProof/>
                <w:spacing w:val="-2"/>
              </w:rPr>
              <w:t>.”</w:t>
            </w:r>
          </w:p>
        </w:tc>
      </w:tr>
      <w:tr w:rsidR="007A1A00" w:rsidRPr="007A1A00">
        <w:trPr>
          <w:cantSplit/>
        </w:trPr>
        <w:tc>
          <w:tcPr>
            <w:tcW w:w="1701" w:type="dxa"/>
          </w:tcPr>
          <w:p w:rsidR="00B97090" w:rsidRPr="007A1A00" w:rsidRDefault="00B97090" w:rsidP="00AE268B">
            <w:pPr>
              <w:jc w:val="left"/>
              <w:rPr>
                <w:noProof/>
                <w:spacing w:val="-2"/>
              </w:rPr>
            </w:pPr>
            <w:r w:rsidRPr="007A1A00">
              <w:rPr>
                <w:noProof/>
                <w:spacing w:val="-2"/>
              </w:rPr>
              <w:t>Paragraph</w:t>
            </w:r>
            <w:r w:rsidR="00AE268B" w:rsidRPr="007A1A00">
              <w:rPr>
                <w:noProof/>
                <w:spacing w:val="-2"/>
              </w:rPr>
              <w:t>e</w:t>
            </w:r>
            <w:r w:rsidRPr="007A1A00">
              <w:rPr>
                <w:noProof/>
                <w:spacing w:val="-2"/>
              </w:rPr>
              <w:t>s</w:t>
            </w:r>
            <w:r w:rsidR="00E73D21" w:rsidRPr="007A1A00">
              <w:rPr>
                <w:noProof/>
                <w:spacing w:val="-2"/>
              </w:rPr>
              <w:t> </w:t>
            </w:r>
            <w:r w:rsidRPr="007A1A00">
              <w:rPr>
                <w:noProof/>
                <w:spacing w:val="-2"/>
              </w:rPr>
              <w:t xml:space="preserve">20 </w:t>
            </w:r>
            <w:r w:rsidR="00AE268B" w:rsidRPr="007A1A00">
              <w:rPr>
                <w:noProof/>
                <w:spacing w:val="-2"/>
              </w:rPr>
              <w:t>et</w:t>
            </w:r>
            <w:r w:rsidR="00194188" w:rsidRPr="007A1A00">
              <w:rPr>
                <w:noProof/>
                <w:spacing w:val="-2"/>
              </w:rPr>
              <w:t> </w:t>
            </w:r>
            <w:r w:rsidRPr="007A1A00">
              <w:rPr>
                <w:noProof/>
                <w:spacing w:val="-2"/>
              </w:rPr>
              <w:t>21</w:t>
            </w:r>
          </w:p>
        </w:tc>
        <w:tc>
          <w:tcPr>
            <w:tcW w:w="7535" w:type="dxa"/>
          </w:tcPr>
          <w:p w:rsidR="00E94EB0" w:rsidRPr="007A1A00" w:rsidRDefault="00AE268B" w:rsidP="00AE268B">
            <w:pPr>
              <w:tabs>
                <w:tab w:val="left" w:pos="567"/>
              </w:tabs>
              <w:rPr>
                <w:strike/>
                <w:noProof/>
                <w:spacing w:val="-2"/>
              </w:rPr>
            </w:pPr>
            <w:r w:rsidRPr="007A1A00">
              <w:rPr>
                <w:noProof/>
                <w:spacing w:val="-2"/>
                <w:u w:val="single"/>
              </w:rPr>
              <w:t>20.</w:t>
            </w:r>
            <w:r w:rsidRPr="007A1A00">
              <w:rPr>
                <w:noProof/>
                <w:spacing w:val="-2"/>
              </w:rPr>
              <w:tab/>
            </w:r>
            <w:r w:rsidRPr="007A1A00">
              <w:rPr>
                <w:strike/>
                <w:noProof/>
                <w:spacing w:val="-2"/>
              </w:rPr>
              <w:t>Un autre moyen indirect d</w:t>
            </w:r>
            <w:r w:rsidR="00E94EB0" w:rsidRPr="007A1A00">
              <w:rPr>
                <w:strike/>
                <w:noProof/>
                <w:spacing w:val="-2"/>
              </w:rPr>
              <w:t>’</w:t>
            </w:r>
            <w:r w:rsidRPr="007A1A00">
              <w:rPr>
                <w:strike/>
                <w:noProof/>
                <w:spacing w:val="-2"/>
              </w:rPr>
              <w:t>obtenir une variété essentiellement dérivée à partir d</w:t>
            </w:r>
            <w:r w:rsidR="00E94EB0" w:rsidRPr="007A1A00">
              <w:rPr>
                <w:strike/>
                <w:noProof/>
                <w:spacing w:val="-2"/>
              </w:rPr>
              <w:t>’</w:t>
            </w:r>
            <w:r w:rsidRPr="007A1A00">
              <w:rPr>
                <w:strike/>
                <w:noProof/>
                <w:spacing w:val="-2"/>
              </w:rPr>
              <w:t>une variété initiale pourrait être par utilisation d</w:t>
            </w:r>
            <w:r w:rsidR="00E94EB0" w:rsidRPr="007A1A00">
              <w:rPr>
                <w:strike/>
                <w:noProof/>
                <w:spacing w:val="-2"/>
              </w:rPr>
              <w:t>’</w:t>
            </w:r>
            <w:r w:rsidRPr="007A1A00">
              <w:rPr>
                <w:strike/>
                <w:noProof/>
                <w:spacing w:val="-2"/>
              </w:rPr>
              <w:t>une variété hybride afin d</w:t>
            </w:r>
            <w:r w:rsidR="00E94EB0" w:rsidRPr="007A1A00">
              <w:rPr>
                <w:strike/>
                <w:noProof/>
                <w:spacing w:val="-2"/>
              </w:rPr>
              <w:t>’</w:t>
            </w:r>
            <w:r w:rsidRPr="007A1A00">
              <w:rPr>
                <w:strike/>
                <w:noProof/>
                <w:spacing w:val="-2"/>
              </w:rPr>
              <w:t>obtenir une variété essentiellement dérivée d</w:t>
            </w:r>
            <w:r w:rsidR="00E94EB0" w:rsidRPr="007A1A00">
              <w:rPr>
                <w:strike/>
                <w:noProof/>
                <w:spacing w:val="-2"/>
              </w:rPr>
              <w:t>’</w:t>
            </w:r>
            <w:r w:rsidRPr="007A1A00">
              <w:rPr>
                <w:strike/>
                <w:noProof/>
                <w:spacing w:val="-2"/>
              </w:rPr>
              <w:t>une des lignées parentales de la variété hybride.</w:t>
            </w:r>
          </w:p>
          <w:p w:rsidR="0031661C" w:rsidRPr="007A1A00" w:rsidRDefault="0031661C" w:rsidP="003F3808">
            <w:pPr>
              <w:tabs>
                <w:tab w:val="left" w:pos="567"/>
              </w:tabs>
              <w:rPr>
                <w:strike/>
                <w:noProof/>
                <w:spacing w:val="-2"/>
              </w:rPr>
            </w:pPr>
          </w:p>
          <w:p w:rsidR="0031661C" w:rsidRPr="007A1A00" w:rsidRDefault="00AE268B" w:rsidP="00AE268B">
            <w:pPr>
              <w:rPr>
                <w:noProof/>
                <w:spacing w:val="-2"/>
                <w:u w:val="single"/>
              </w:rPr>
            </w:pPr>
            <w:r w:rsidRPr="007A1A00">
              <w:rPr>
                <w:noProof/>
                <w:spacing w:val="-2"/>
                <w:u w:val="single"/>
              </w:rPr>
              <w:t>21.</w:t>
            </w:r>
            <w:r w:rsidRPr="007A1A00">
              <w:rPr>
                <w:noProof/>
                <w:spacing w:val="-2"/>
              </w:rPr>
              <w:tab/>
            </w:r>
            <w:r w:rsidRPr="007A1A00">
              <w:rPr>
                <w:strike/>
                <w:noProof/>
                <w:spacing w:val="-2"/>
                <w:u w:val="single"/>
              </w:rPr>
              <w:t>L</w:t>
            </w:r>
            <w:r w:rsidR="00E94EB0" w:rsidRPr="007A1A00">
              <w:rPr>
                <w:strike/>
                <w:noProof/>
                <w:spacing w:val="-2"/>
                <w:u w:val="single"/>
              </w:rPr>
              <w:t>’</w:t>
            </w:r>
            <w:r w:rsidRPr="007A1A00">
              <w:rPr>
                <w:strike/>
                <w:noProof/>
                <w:spacing w:val="-2"/>
                <w:u w:val="single"/>
              </w:rPr>
              <w:t>utilisation de données moléculaires prélevées sur une variété initiale, aux fins de la sélection de génotypes provenant d</w:t>
            </w:r>
            <w:r w:rsidR="00E94EB0" w:rsidRPr="007A1A00">
              <w:rPr>
                <w:strike/>
                <w:noProof/>
                <w:spacing w:val="-2"/>
                <w:u w:val="single"/>
              </w:rPr>
              <w:t>’</w:t>
            </w:r>
            <w:r w:rsidRPr="007A1A00">
              <w:rPr>
                <w:strike/>
                <w:noProof/>
                <w:spacing w:val="-2"/>
                <w:u w:val="single"/>
              </w:rPr>
              <w:t>une population principalement liée à la variété initiale, pour produire une variété se manifestant par une expression phénotypique semblable des caractères essentiels, peut indiquer une dérivation principale si la variété satisfait à la définition énoncée à l</w:t>
            </w:r>
            <w:r w:rsidR="00E94EB0" w:rsidRPr="007A1A00">
              <w:rPr>
                <w:strike/>
                <w:noProof/>
                <w:spacing w:val="-2"/>
                <w:u w:val="single"/>
              </w:rPr>
              <w:t>’</w:t>
            </w:r>
            <w:r w:rsidRPr="007A1A00">
              <w:rPr>
                <w:strike/>
                <w:noProof/>
                <w:spacing w:val="-2"/>
                <w:u w:val="single"/>
              </w:rPr>
              <w:t>article</w:t>
            </w:r>
            <w:r w:rsidR="00E73D21" w:rsidRPr="007A1A00">
              <w:rPr>
                <w:strike/>
                <w:noProof/>
                <w:spacing w:val="-2"/>
                <w:u w:val="single"/>
              </w:rPr>
              <w:t> </w:t>
            </w:r>
            <w:r w:rsidRPr="007A1A00">
              <w:rPr>
                <w:strike/>
                <w:noProof/>
                <w:spacing w:val="-2"/>
                <w:u w:val="single"/>
              </w:rPr>
              <w:t>14.5)b).</w:t>
            </w:r>
          </w:p>
          <w:p w:rsidR="0031661C" w:rsidRPr="007A1A00" w:rsidRDefault="0031661C" w:rsidP="003F3808">
            <w:pPr>
              <w:tabs>
                <w:tab w:val="left" w:pos="567"/>
              </w:tabs>
              <w:rPr>
                <w:noProof/>
                <w:spacing w:val="-2"/>
              </w:rPr>
            </w:pPr>
          </w:p>
          <w:p w:rsidR="00B97090" w:rsidRPr="007A1A00" w:rsidRDefault="00AB08F4" w:rsidP="004C4CF2">
            <w:pPr>
              <w:tabs>
                <w:tab w:val="left" w:pos="567"/>
              </w:tabs>
              <w:rPr>
                <w:noProof/>
                <w:spacing w:val="-2"/>
              </w:rPr>
            </w:pPr>
            <w:r w:rsidRPr="007A1A00">
              <w:rPr>
                <w:rFonts w:cs="Arial"/>
                <w:noProof/>
                <w:spacing w:val="-2"/>
                <w:sz w:val="18"/>
                <w:szCs w:val="18"/>
              </w:rPr>
              <w:t>Une proposition conjointe de</w:t>
            </w:r>
            <w:r w:rsidRPr="007A1A00">
              <w:rPr>
                <w:spacing w:val="-2"/>
              </w:rPr>
              <w:t xml:space="preserve"> </w:t>
            </w:r>
            <w:r w:rsidRPr="007A1A00">
              <w:rPr>
                <w:rFonts w:cs="Arial"/>
                <w:noProof/>
                <w:spacing w:val="-2"/>
                <w:sz w:val="18"/>
                <w:szCs w:val="18"/>
              </w:rPr>
              <w:t>l</w:t>
            </w:r>
            <w:r w:rsidR="00E94EB0" w:rsidRPr="007A1A00">
              <w:rPr>
                <w:rFonts w:cs="Arial"/>
                <w:noProof/>
                <w:spacing w:val="-2"/>
                <w:sz w:val="18"/>
                <w:szCs w:val="18"/>
              </w:rPr>
              <w:t>’</w:t>
            </w:r>
            <w:r w:rsidRPr="007A1A00">
              <w:rPr>
                <w:rFonts w:cs="Arial"/>
                <w:noProof/>
                <w:spacing w:val="-2"/>
                <w:sz w:val="18"/>
                <w:szCs w:val="18"/>
              </w:rPr>
              <w:t>ESA et de l</w:t>
            </w:r>
            <w:r w:rsidR="00E94EB0" w:rsidRPr="007A1A00">
              <w:rPr>
                <w:rFonts w:cs="Arial"/>
                <w:noProof/>
                <w:spacing w:val="-2"/>
                <w:sz w:val="18"/>
                <w:szCs w:val="18"/>
              </w:rPr>
              <w:t>’</w:t>
            </w:r>
            <w:r w:rsidRPr="007A1A00">
              <w:rPr>
                <w:rFonts w:cs="Arial"/>
                <w:noProof/>
                <w:spacing w:val="-2"/>
                <w:sz w:val="18"/>
                <w:szCs w:val="18"/>
              </w:rPr>
              <w:t>ISF portant sur les</w:t>
            </w:r>
            <w:r w:rsidR="00B97090" w:rsidRPr="007A1A00">
              <w:rPr>
                <w:rFonts w:cs="Arial"/>
                <w:noProof/>
                <w:spacing w:val="-2"/>
                <w:sz w:val="18"/>
                <w:szCs w:val="18"/>
              </w:rPr>
              <w:t xml:space="preserve"> paragraph</w:t>
            </w:r>
            <w:r w:rsidRPr="007A1A00">
              <w:rPr>
                <w:rFonts w:cs="Arial"/>
                <w:noProof/>
                <w:spacing w:val="-2"/>
                <w:sz w:val="18"/>
                <w:szCs w:val="18"/>
              </w:rPr>
              <w:t>e</w:t>
            </w:r>
            <w:r w:rsidR="004C4CF2" w:rsidRPr="007A1A00">
              <w:rPr>
                <w:rFonts w:cs="Arial"/>
                <w:noProof/>
                <w:spacing w:val="-2"/>
                <w:sz w:val="18"/>
                <w:szCs w:val="18"/>
              </w:rPr>
              <w:t>s </w:t>
            </w:r>
            <w:r w:rsidR="00B97090" w:rsidRPr="007A1A00">
              <w:rPr>
                <w:rFonts w:cs="Arial"/>
                <w:noProof/>
                <w:spacing w:val="-2"/>
                <w:sz w:val="18"/>
                <w:szCs w:val="18"/>
              </w:rPr>
              <w:t xml:space="preserve">20 </w:t>
            </w:r>
            <w:r w:rsidRPr="007A1A00">
              <w:rPr>
                <w:rFonts w:cs="Arial"/>
                <w:noProof/>
                <w:spacing w:val="-2"/>
                <w:sz w:val="18"/>
                <w:szCs w:val="18"/>
              </w:rPr>
              <w:t>et</w:t>
            </w:r>
            <w:r w:rsidR="00B97090" w:rsidRPr="007A1A00">
              <w:rPr>
                <w:rFonts w:cs="Arial"/>
                <w:noProof/>
                <w:spacing w:val="-2"/>
                <w:sz w:val="18"/>
                <w:szCs w:val="18"/>
              </w:rPr>
              <w:t xml:space="preserve"> 21 </w:t>
            </w:r>
            <w:r w:rsidRPr="007A1A00">
              <w:rPr>
                <w:rFonts w:cs="Arial"/>
                <w:noProof/>
                <w:spacing w:val="-2"/>
                <w:sz w:val="18"/>
                <w:szCs w:val="18"/>
              </w:rPr>
              <w:t xml:space="preserve">sera </w:t>
            </w:r>
            <w:r w:rsidR="004C4CF2" w:rsidRPr="007A1A00">
              <w:rPr>
                <w:rFonts w:cs="Arial"/>
                <w:noProof/>
                <w:spacing w:val="-2"/>
                <w:sz w:val="18"/>
                <w:szCs w:val="18"/>
              </w:rPr>
              <w:t>présentée</w:t>
            </w:r>
            <w:r w:rsidR="00B97090" w:rsidRPr="007A1A00">
              <w:rPr>
                <w:rFonts w:cs="Arial"/>
                <w:noProof/>
                <w:spacing w:val="-2"/>
                <w:sz w:val="18"/>
                <w:szCs w:val="18"/>
              </w:rPr>
              <w:t xml:space="preserve"> </w:t>
            </w:r>
            <w:r w:rsidR="004C4CF2" w:rsidRPr="007A1A00">
              <w:rPr>
                <w:rFonts w:cs="Arial"/>
                <w:noProof/>
                <w:spacing w:val="-2"/>
                <w:sz w:val="18"/>
                <w:szCs w:val="18"/>
              </w:rPr>
              <w:t xml:space="preserve">au CAJ </w:t>
            </w:r>
            <w:r w:rsidRPr="007A1A00">
              <w:rPr>
                <w:rFonts w:cs="Arial"/>
                <w:noProof/>
                <w:spacing w:val="-2"/>
                <w:sz w:val="18"/>
                <w:szCs w:val="18"/>
              </w:rPr>
              <w:t xml:space="preserve">pour examen </w:t>
            </w:r>
            <w:r w:rsidR="004C4CF2" w:rsidRPr="007A1A00">
              <w:rPr>
                <w:rFonts w:cs="Arial"/>
                <w:noProof/>
                <w:spacing w:val="-2"/>
                <w:sz w:val="18"/>
                <w:szCs w:val="18"/>
              </w:rPr>
              <w:t>dans le cadre de</w:t>
            </w:r>
            <w:r w:rsidR="00F31EEC" w:rsidRPr="007A1A00">
              <w:rPr>
                <w:rFonts w:cs="Arial"/>
                <w:noProof/>
                <w:spacing w:val="-2"/>
                <w:sz w:val="18"/>
                <w:szCs w:val="18"/>
              </w:rPr>
              <w:t xml:space="preserve"> sa soixante</w:t>
            </w:r>
            <w:r w:rsidR="00805E4D" w:rsidRPr="007A1A00">
              <w:rPr>
                <w:rFonts w:cs="Arial"/>
                <w:noProof/>
                <w:spacing w:val="-2"/>
                <w:sz w:val="18"/>
                <w:szCs w:val="18"/>
              </w:rPr>
              <w:noBreakHyphen/>
            </w:r>
            <w:r w:rsidRPr="007A1A00">
              <w:rPr>
                <w:rFonts w:cs="Arial"/>
                <w:noProof/>
                <w:spacing w:val="-2"/>
                <w:sz w:val="18"/>
                <w:szCs w:val="18"/>
              </w:rPr>
              <w:t>treizième</w:t>
            </w:r>
            <w:r w:rsidR="00E73D21" w:rsidRPr="007A1A00">
              <w:rPr>
                <w:rFonts w:cs="Arial"/>
                <w:noProof/>
                <w:spacing w:val="-2"/>
                <w:sz w:val="18"/>
                <w:szCs w:val="18"/>
              </w:rPr>
              <w:t> </w:t>
            </w:r>
            <w:r w:rsidR="00B97090" w:rsidRPr="007A1A00">
              <w:rPr>
                <w:rFonts w:cs="Arial"/>
                <w:noProof/>
                <w:spacing w:val="-2"/>
                <w:sz w:val="18"/>
                <w:szCs w:val="18"/>
              </w:rPr>
              <w:t xml:space="preserve">session.  </w:t>
            </w:r>
            <w:r w:rsidR="004C4CF2" w:rsidRPr="007A1A00">
              <w:rPr>
                <w:rFonts w:cs="Arial"/>
                <w:noProof/>
                <w:spacing w:val="-2"/>
                <w:sz w:val="18"/>
                <w:szCs w:val="18"/>
              </w:rPr>
              <w:t>L</w:t>
            </w:r>
            <w:r w:rsidR="00E94EB0" w:rsidRPr="007A1A00">
              <w:rPr>
                <w:rFonts w:cs="Arial"/>
                <w:noProof/>
                <w:spacing w:val="-2"/>
                <w:sz w:val="18"/>
                <w:szCs w:val="18"/>
              </w:rPr>
              <w:t>’</w:t>
            </w:r>
            <w:r w:rsidR="00B97090" w:rsidRPr="007A1A00">
              <w:rPr>
                <w:rFonts w:cs="Arial"/>
                <w:noProof/>
                <w:spacing w:val="-2"/>
                <w:sz w:val="18"/>
                <w:szCs w:val="18"/>
              </w:rPr>
              <w:t xml:space="preserve">ESA </w:t>
            </w:r>
            <w:r w:rsidR="004C4CF2" w:rsidRPr="007A1A00">
              <w:rPr>
                <w:rFonts w:cs="Arial"/>
                <w:noProof/>
                <w:spacing w:val="-2"/>
                <w:sz w:val="18"/>
                <w:szCs w:val="18"/>
              </w:rPr>
              <w:t>et</w:t>
            </w:r>
            <w:r w:rsidR="00B97090" w:rsidRPr="007A1A00">
              <w:rPr>
                <w:rFonts w:cs="Arial"/>
                <w:noProof/>
                <w:spacing w:val="-2"/>
                <w:sz w:val="18"/>
                <w:szCs w:val="18"/>
              </w:rPr>
              <w:t xml:space="preserve"> </w:t>
            </w:r>
            <w:r w:rsidR="004C4CF2" w:rsidRPr="007A1A00">
              <w:rPr>
                <w:rFonts w:cs="Arial"/>
                <w:noProof/>
                <w:spacing w:val="-2"/>
                <w:sz w:val="18"/>
                <w:szCs w:val="18"/>
              </w:rPr>
              <w:t>l</w:t>
            </w:r>
            <w:r w:rsidR="00E94EB0" w:rsidRPr="007A1A00">
              <w:rPr>
                <w:rFonts w:cs="Arial"/>
                <w:noProof/>
                <w:spacing w:val="-2"/>
                <w:sz w:val="18"/>
                <w:szCs w:val="18"/>
              </w:rPr>
              <w:t>’</w:t>
            </w:r>
            <w:r w:rsidR="00B97090" w:rsidRPr="007A1A00">
              <w:rPr>
                <w:rFonts w:cs="Arial"/>
                <w:noProof/>
                <w:spacing w:val="-2"/>
                <w:sz w:val="18"/>
                <w:szCs w:val="18"/>
              </w:rPr>
              <w:t xml:space="preserve">ISF </w:t>
            </w:r>
            <w:r w:rsidR="00A773C1" w:rsidRPr="007A1A00">
              <w:rPr>
                <w:rFonts w:cs="Arial"/>
                <w:noProof/>
                <w:spacing w:val="-2"/>
                <w:sz w:val="18"/>
                <w:szCs w:val="18"/>
              </w:rPr>
              <w:t>sero</w:t>
            </w:r>
            <w:r w:rsidR="004C4CF2" w:rsidRPr="007A1A00">
              <w:rPr>
                <w:rFonts w:cs="Arial"/>
                <w:noProof/>
                <w:spacing w:val="-2"/>
                <w:sz w:val="18"/>
                <w:szCs w:val="18"/>
              </w:rPr>
              <w:t>nt</w:t>
            </w:r>
            <w:r w:rsidR="00B97090" w:rsidRPr="007A1A00">
              <w:rPr>
                <w:rFonts w:cs="Arial"/>
                <w:noProof/>
                <w:spacing w:val="-2"/>
                <w:sz w:val="18"/>
                <w:szCs w:val="18"/>
              </w:rPr>
              <w:t xml:space="preserve"> invit</w:t>
            </w:r>
            <w:r w:rsidR="004C4CF2" w:rsidRPr="007A1A00">
              <w:rPr>
                <w:rFonts w:cs="Arial"/>
                <w:noProof/>
                <w:spacing w:val="-2"/>
                <w:sz w:val="18"/>
                <w:szCs w:val="18"/>
              </w:rPr>
              <w:t>ées</w:t>
            </w:r>
            <w:r w:rsidR="00B97090" w:rsidRPr="007A1A00">
              <w:rPr>
                <w:rFonts w:cs="Arial"/>
                <w:noProof/>
                <w:spacing w:val="-2"/>
                <w:sz w:val="18"/>
                <w:szCs w:val="18"/>
              </w:rPr>
              <w:t xml:space="preserve"> </w:t>
            </w:r>
            <w:r w:rsidR="004C4CF2" w:rsidRPr="007A1A00">
              <w:rPr>
                <w:rFonts w:cs="Arial"/>
                <w:noProof/>
                <w:spacing w:val="-2"/>
                <w:sz w:val="18"/>
                <w:szCs w:val="18"/>
              </w:rPr>
              <w:t>à pré</w:t>
            </w:r>
            <w:r w:rsidR="00B97090" w:rsidRPr="007A1A00">
              <w:rPr>
                <w:rFonts w:cs="Arial"/>
                <w:noProof/>
                <w:spacing w:val="-2"/>
                <w:sz w:val="18"/>
                <w:szCs w:val="18"/>
              </w:rPr>
              <w:t>sent</w:t>
            </w:r>
            <w:r w:rsidR="004C4CF2" w:rsidRPr="007A1A00">
              <w:rPr>
                <w:rFonts w:cs="Arial"/>
                <w:noProof/>
                <w:spacing w:val="-2"/>
                <w:sz w:val="18"/>
                <w:szCs w:val="18"/>
              </w:rPr>
              <w:t>er</w:t>
            </w:r>
            <w:r w:rsidR="00E94EB0" w:rsidRPr="007A1A00">
              <w:rPr>
                <w:rFonts w:cs="Arial"/>
                <w:noProof/>
                <w:spacing w:val="-2"/>
                <w:sz w:val="18"/>
                <w:szCs w:val="18"/>
              </w:rPr>
              <w:t xml:space="preserve"> au CAJ</w:t>
            </w:r>
            <w:r w:rsidR="00B97090" w:rsidRPr="007A1A00">
              <w:rPr>
                <w:rFonts w:cs="Arial"/>
                <w:noProof/>
                <w:spacing w:val="-2"/>
                <w:sz w:val="18"/>
                <w:szCs w:val="18"/>
              </w:rPr>
              <w:t xml:space="preserve"> </w:t>
            </w:r>
            <w:r w:rsidR="00BD3B10" w:rsidRPr="007A1A00">
              <w:rPr>
                <w:rFonts w:cs="Arial"/>
                <w:noProof/>
                <w:spacing w:val="-2"/>
                <w:sz w:val="18"/>
                <w:szCs w:val="18"/>
              </w:rPr>
              <w:t xml:space="preserve">les questions de contexte relatives aux </w:t>
            </w:r>
            <w:r w:rsidR="00B97090" w:rsidRPr="007A1A00">
              <w:rPr>
                <w:rFonts w:cs="Arial"/>
                <w:noProof/>
                <w:spacing w:val="-2"/>
                <w:sz w:val="18"/>
                <w:szCs w:val="18"/>
              </w:rPr>
              <w:t>paragraph</w:t>
            </w:r>
            <w:r w:rsidR="004C4CF2" w:rsidRPr="007A1A00">
              <w:rPr>
                <w:rFonts w:cs="Arial"/>
                <w:noProof/>
                <w:spacing w:val="-2"/>
                <w:sz w:val="18"/>
                <w:szCs w:val="18"/>
              </w:rPr>
              <w:t>es </w:t>
            </w:r>
            <w:r w:rsidR="00B97090" w:rsidRPr="007A1A00">
              <w:rPr>
                <w:rFonts w:cs="Arial"/>
                <w:noProof/>
                <w:spacing w:val="-2"/>
                <w:sz w:val="18"/>
                <w:szCs w:val="18"/>
              </w:rPr>
              <w:t xml:space="preserve">20 </w:t>
            </w:r>
            <w:r w:rsidR="004C4CF2" w:rsidRPr="007A1A00">
              <w:rPr>
                <w:rFonts w:cs="Arial"/>
                <w:noProof/>
                <w:spacing w:val="-2"/>
                <w:sz w:val="18"/>
                <w:szCs w:val="18"/>
              </w:rPr>
              <w:t>et </w:t>
            </w:r>
            <w:r w:rsidR="00B97090" w:rsidRPr="007A1A00">
              <w:rPr>
                <w:rFonts w:cs="Arial"/>
                <w:noProof/>
                <w:spacing w:val="-2"/>
                <w:sz w:val="18"/>
                <w:szCs w:val="18"/>
              </w:rPr>
              <w:t xml:space="preserve">21 </w:t>
            </w:r>
            <w:r w:rsidR="004C4CF2" w:rsidRPr="007A1A00">
              <w:rPr>
                <w:rFonts w:cs="Arial"/>
                <w:noProof/>
                <w:spacing w:val="-2"/>
                <w:sz w:val="18"/>
                <w:szCs w:val="18"/>
              </w:rPr>
              <w:t>et le</w:t>
            </w:r>
            <w:r w:rsidR="00B97090" w:rsidRPr="007A1A00">
              <w:rPr>
                <w:rFonts w:cs="Arial"/>
                <w:noProof/>
                <w:spacing w:val="-2"/>
                <w:sz w:val="18"/>
                <w:szCs w:val="18"/>
              </w:rPr>
              <w:t xml:space="preserve"> text</w:t>
            </w:r>
            <w:r w:rsidR="004C4CF2" w:rsidRPr="007A1A00">
              <w:rPr>
                <w:rFonts w:cs="Arial"/>
                <w:noProof/>
                <w:spacing w:val="-2"/>
                <w:sz w:val="18"/>
                <w:szCs w:val="18"/>
              </w:rPr>
              <w:t>e proposé</w:t>
            </w:r>
            <w:r w:rsidR="00B97090" w:rsidRPr="007A1A00">
              <w:rPr>
                <w:rFonts w:cs="Arial"/>
                <w:noProof/>
                <w:spacing w:val="-2"/>
                <w:sz w:val="18"/>
                <w:szCs w:val="18"/>
              </w:rPr>
              <w:t xml:space="preserve">. </w:t>
            </w:r>
            <w:r w:rsidR="00E73D21" w:rsidRPr="007A1A00">
              <w:rPr>
                <w:rFonts w:cs="Arial"/>
                <w:noProof/>
                <w:spacing w:val="-2"/>
                <w:sz w:val="18"/>
                <w:szCs w:val="18"/>
              </w:rPr>
              <w:t xml:space="preserve"> </w:t>
            </w:r>
          </w:p>
        </w:tc>
      </w:tr>
      <w:tr w:rsidR="007A1A00" w:rsidRPr="007A1A00">
        <w:trPr>
          <w:cantSplit/>
        </w:trPr>
        <w:tc>
          <w:tcPr>
            <w:tcW w:w="1701" w:type="dxa"/>
          </w:tcPr>
          <w:p w:rsidR="00B97090" w:rsidRPr="007A1A00" w:rsidRDefault="00AE268B" w:rsidP="00AE268B">
            <w:pPr>
              <w:jc w:val="left"/>
              <w:rPr>
                <w:noProof/>
                <w:spacing w:val="-2"/>
              </w:rPr>
            </w:pPr>
            <w:r w:rsidRPr="007A1A00">
              <w:rPr>
                <w:noProof/>
                <w:spacing w:val="-2"/>
              </w:rPr>
              <w:t>Paragraphe</w:t>
            </w:r>
            <w:r w:rsidR="00E73D21" w:rsidRPr="007A1A00">
              <w:rPr>
                <w:noProof/>
                <w:spacing w:val="-2"/>
              </w:rPr>
              <w:t> </w:t>
            </w:r>
            <w:r w:rsidRPr="007A1A00">
              <w:rPr>
                <w:noProof/>
                <w:spacing w:val="-2"/>
              </w:rPr>
              <w:t>31</w:t>
            </w:r>
          </w:p>
        </w:tc>
        <w:tc>
          <w:tcPr>
            <w:tcW w:w="7535" w:type="dxa"/>
          </w:tcPr>
          <w:p w:rsidR="00B97090" w:rsidRPr="007A1A00" w:rsidRDefault="00AE268B" w:rsidP="00F21AB5">
            <w:pPr>
              <w:rPr>
                <w:noProof/>
                <w:spacing w:val="-2"/>
                <w:u w:val="single"/>
              </w:rPr>
            </w:pPr>
            <w:r w:rsidRPr="007A1A00">
              <w:rPr>
                <w:rFonts w:cs="Arial"/>
                <w:noProof/>
                <w:spacing w:val="-2"/>
              </w:rPr>
              <w:t>Libeller la version espagnole comme suit</w:t>
            </w:r>
            <w:r w:rsidR="00E73D21" w:rsidRPr="007A1A00">
              <w:rPr>
                <w:rFonts w:cs="Arial"/>
                <w:noProof/>
                <w:spacing w:val="-2"/>
              </w:rPr>
              <w:t> </w:t>
            </w:r>
            <w:r w:rsidRPr="007A1A00">
              <w:rPr>
                <w:rFonts w:cs="Arial"/>
                <w:noProof/>
                <w:spacing w:val="-2"/>
              </w:rPr>
              <w:t xml:space="preserve">: </w:t>
            </w:r>
            <w:r w:rsidR="00B97090" w:rsidRPr="007A1A00">
              <w:rPr>
                <w:rFonts w:cs="Arial"/>
                <w:noProof/>
                <w:spacing w:val="-2"/>
              </w:rPr>
              <w:t xml:space="preserve">“Tanto la derivación </w:t>
            </w:r>
            <w:r w:rsidR="00B97090" w:rsidRPr="007A1A00">
              <w:rPr>
                <w:rFonts w:cs="Arial"/>
                <w:strike/>
                <w:noProof/>
                <w:spacing w:val="-2"/>
              </w:rPr>
              <w:t>predominante</w:t>
            </w:r>
            <w:r w:rsidR="00B97090" w:rsidRPr="007A1A00">
              <w:rPr>
                <w:rFonts w:cs="Arial"/>
                <w:noProof/>
                <w:spacing w:val="-2"/>
              </w:rPr>
              <w:t xml:space="preserve"> </w:t>
            </w:r>
            <w:r w:rsidR="00B97090" w:rsidRPr="007A1A00">
              <w:rPr>
                <w:rFonts w:cs="Arial"/>
                <w:noProof/>
                <w:spacing w:val="-2"/>
                <w:u w:val="single"/>
              </w:rPr>
              <w:t>principal</w:t>
            </w:r>
            <w:r w:rsidR="00B97090" w:rsidRPr="007A1A00">
              <w:rPr>
                <w:rFonts w:cs="Arial"/>
                <w:noProof/>
                <w:spacing w:val="-2"/>
              </w:rPr>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7A1A00" w:rsidRPr="007A1A00">
        <w:trPr>
          <w:cantSplit/>
        </w:trPr>
        <w:tc>
          <w:tcPr>
            <w:tcW w:w="1701" w:type="dxa"/>
          </w:tcPr>
          <w:p w:rsidR="00B97090" w:rsidRPr="007A1A00" w:rsidRDefault="00C365CC" w:rsidP="00C365CC">
            <w:pPr>
              <w:jc w:val="left"/>
              <w:rPr>
                <w:noProof/>
                <w:spacing w:val="-2"/>
              </w:rPr>
            </w:pPr>
            <w:r w:rsidRPr="007A1A00">
              <w:rPr>
                <w:noProof/>
                <w:spacing w:val="-2"/>
              </w:rPr>
              <w:lastRenderedPageBreak/>
              <w:t>Paragraphe</w:t>
            </w:r>
            <w:r w:rsidR="00E73D21" w:rsidRPr="007A1A00">
              <w:rPr>
                <w:noProof/>
                <w:spacing w:val="-2"/>
              </w:rPr>
              <w:t> </w:t>
            </w:r>
            <w:r w:rsidRPr="007A1A00">
              <w:rPr>
                <w:noProof/>
                <w:spacing w:val="-2"/>
              </w:rPr>
              <w:t>32</w:t>
            </w:r>
          </w:p>
        </w:tc>
        <w:tc>
          <w:tcPr>
            <w:tcW w:w="7535" w:type="dxa"/>
          </w:tcPr>
          <w:p w:rsidR="00B97090" w:rsidRPr="007A1A00" w:rsidRDefault="00C365CC" w:rsidP="00F33A24">
            <w:pPr>
              <w:rPr>
                <w:rFonts w:cs="Arial"/>
                <w:noProof/>
                <w:spacing w:val="-2"/>
              </w:rPr>
            </w:pPr>
            <w:r w:rsidRPr="007A1A00">
              <w:rPr>
                <w:noProof/>
                <w:snapToGrid w:val="0"/>
                <w:spacing w:val="-2"/>
              </w:rPr>
              <w:t>Libeller comme suit</w:t>
            </w:r>
            <w:r w:rsidR="00E73D21" w:rsidRPr="007A1A00">
              <w:rPr>
                <w:noProof/>
                <w:snapToGrid w:val="0"/>
                <w:spacing w:val="-2"/>
              </w:rPr>
              <w:t> </w:t>
            </w:r>
            <w:r w:rsidRPr="007A1A00">
              <w:rPr>
                <w:noProof/>
                <w:snapToGrid w:val="0"/>
                <w:spacing w:val="-2"/>
              </w:rPr>
              <w:t>: “Dans certaines situations, les informations pertinentes fournies par l</w:t>
            </w:r>
            <w:r w:rsidR="00E94EB0" w:rsidRPr="007A1A00">
              <w:rPr>
                <w:noProof/>
                <w:snapToGrid w:val="0"/>
                <w:spacing w:val="-2"/>
              </w:rPr>
              <w:t>’</w:t>
            </w:r>
            <w:r w:rsidRPr="007A1A00">
              <w:rPr>
                <w:noProof/>
                <w:snapToGrid w:val="0"/>
                <w:spacing w:val="-2"/>
              </w:rPr>
              <w:t>obtenteur de la variété initiale sur la dérivation principale ou la conformité des caractères essentiels pourraient être utilisées comme la base du renversement de la charge de la preu</w:t>
            </w:r>
            <w:r w:rsidR="00805E4D" w:rsidRPr="007A1A00">
              <w:rPr>
                <w:noProof/>
                <w:snapToGrid w:val="0"/>
                <w:spacing w:val="-2"/>
              </w:rPr>
              <w:t>ve.  Da</w:t>
            </w:r>
            <w:r w:rsidRPr="007A1A00">
              <w:rPr>
                <w:noProof/>
                <w:snapToGrid w:val="0"/>
                <w:spacing w:val="-2"/>
              </w:rPr>
              <w:t>ns de telles situations, l</w:t>
            </w:r>
            <w:r w:rsidR="00E94EB0" w:rsidRPr="007A1A00">
              <w:rPr>
                <w:noProof/>
                <w:snapToGrid w:val="0"/>
                <w:spacing w:val="-2"/>
              </w:rPr>
              <w:t>’</w:t>
            </w:r>
            <w:r w:rsidRPr="007A1A00">
              <w:rPr>
                <w:noProof/>
                <w:snapToGrid w:val="0"/>
                <w:spacing w:val="-2"/>
              </w:rPr>
              <w:t>autre obtenteur pourrait devoir prouver que l</w:t>
            </w:r>
            <w:r w:rsidR="00E94EB0" w:rsidRPr="007A1A00">
              <w:rPr>
                <w:noProof/>
                <w:snapToGrid w:val="0"/>
                <w:spacing w:val="-2"/>
              </w:rPr>
              <w:t>’</w:t>
            </w:r>
            <w:r w:rsidRPr="007A1A00">
              <w:rPr>
                <w:noProof/>
                <w:snapToGrid w:val="0"/>
                <w:spacing w:val="-2"/>
              </w:rPr>
              <w:t>autre variété n</w:t>
            </w:r>
            <w:r w:rsidR="00E94EB0" w:rsidRPr="007A1A00">
              <w:rPr>
                <w:noProof/>
                <w:snapToGrid w:val="0"/>
                <w:spacing w:val="-2"/>
              </w:rPr>
              <w:t>’</w:t>
            </w:r>
            <w:r w:rsidRPr="007A1A00">
              <w:rPr>
                <w:noProof/>
                <w:snapToGrid w:val="0"/>
                <w:spacing w:val="-2"/>
              </w:rPr>
              <w:t>est pas essentiellement dérivée de la variété initia</w:t>
            </w:r>
            <w:r w:rsidR="00805E4D" w:rsidRPr="007A1A00">
              <w:rPr>
                <w:noProof/>
                <w:snapToGrid w:val="0"/>
                <w:spacing w:val="-2"/>
              </w:rPr>
              <w:t>le.  C’e</w:t>
            </w:r>
            <w:r w:rsidR="00F33A24" w:rsidRPr="007A1A00">
              <w:rPr>
                <w:noProof/>
                <w:snapToGrid w:val="0"/>
                <w:spacing w:val="-2"/>
              </w:rPr>
              <w:t>st ainsi par exemple qu</w:t>
            </w:r>
            <w:r w:rsidR="00E94EB0" w:rsidRPr="007A1A00">
              <w:rPr>
                <w:noProof/>
                <w:snapToGrid w:val="0"/>
                <w:spacing w:val="-2"/>
              </w:rPr>
              <w:t>’</w:t>
            </w:r>
            <w:r w:rsidR="00F33A24" w:rsidRPr="007A1A00">
              <w:rPr>
                <w:noProof/>
                <w:snapToGrid w:val="0"/>
                <w:spacing w:val="-2"/>
              </w:rPr>
              <w:t xml:space="preserve">il devrait fournir des informations sur les antécédents de sélection de la </w:t>
            </w:r>
            <w:r w:rsidR="00F33A24" w:rsidRPr="007A1A00">
              <w:rPr>
                <w:strike/>
                <w:noProof/>
                <w:snapToGrid w:val="0"/>
                <w:spacing w:val="-2"/>
              </w:rPr>
              <w:t>deuxième</w:t>
            </w:r>
            <w:r w:rsidR="00F33A24" w:rsidRPr="007A1A00">
              <w:rPr>
                <w:noProof/>
                <w:snapToGrid w:val="0"/>
                <w:spacing w:val="-2"/>
              </w:rPr>
              <w:t xml:space="preserve"> </w:t>
            </w:r>
            <w:r w:rsidR="00F33A24" w:rsidRPr="007A1A00">
              <w:rPr>
                <w:noProof/>
                <w:snapToGrid w:val="0"/>
                <w:spacing w:val="-2"/>
                <w:u w:val="single"/>
              </w:rPr>
              <w:t>l</w:t>
            </w:r>
            <w:r w:rsidR="00E94EB0" w:rsidRPr="007A1A00">
              <w:rPr>
                <w:noProof/>
                <w:snapToGrid w:val="0"/>
                <w:spacing w:val="-2"/>
                <w:u w:val="single"/>
              </w:rPr>
              <w:t>’</w:t>
            </w:r>
            <w:r w:rsidR="00F33A24" w:rsidRPr="007A1A00">
              <w:rPr>
                <w:noProof/>
                <w:snapToGrid w:val="0"/>
                <w:spacing w:val="-2"/>
                <w:u w:val="single"/>
              </w:rPr>
              <w:t>autre</w:t>
            </w:r>
            <w:r w:rsidR="00F33A24" w:rsidRPr="007A1A00">
              <w:rPr>
                <w:noProof/>
                <w:snapToGrid w:val="0"/>
                <w:spacing w:val="-2"/>
              </w:rPr>
              <w:t xml:space="preserve"> variété pour prouver que la variété n</w:t>
            </w:r>
            <w:r w:rsidR="00E94EB0" w:rsidRPr="007A1A00">
              <w:rPr>
                <w:noProof/>
                <w:snapToGrid w:val="0"/>
                <w:spacing w:val="-2"/>
              </w:rPr>
              <w:t>’</w:t>
            </w:r>
            <w:r w:rsidR="00F33A24" w:rsidRPr="007A1A00">
              <w:rPr>
                <w:noProof/>
                <w:snapToGrid w:val="0"/>
                <w:spacing w:val="-2"/>
              </w:rPr>
              <w:t xml:space="preserve">était pas </w:t>
            </w:r>
            <w:r w:rsidR="00F33A24" w:rsidRPr="007A1A00">
              <w:rPr>
                <w:noProof/>
                <w:snapToGrid w:val="0"/>
                <w:spacing w:val="-2"/>
                <w:u w:val="single"/>
              </w:rPr>
              <w:t>essentiellement</w:t>
            </w:r>
            <w:r w:rsidR="00F33A24" w:rsidRPr="007A1A00">
              <w:rPr>
                <w:noProof/>
                <w:snapToGrid w:val="0"/>
                <w:spacing w:val="-2"/>
              </w:rPr>
              <w:t xml:space="preserve"> dérivée de la variété initiale”.</w:t>
            </w:r>
          </w:p>
        </w:tc>
      </w:tr>
      <w:tr w:rsidR="007A1A00" w:rsidRPr="007A1A00">
        <w:trPr>
          <w:cantSplit/>
        </w:trPr>
        <w:tc>
          <w:tcPr>
            <w:tcW w:w="1701" w:type="dxa"/>
          </w:tcPr>
          <w:p w:rsidR="00B97090" w:rsidRPr="007A1A00" w:rsidRDefault="00B97090" w:rsidP="00F33A24">
            <w:pPr>
              <w:jc w:val="left"/>
              <w:rPr>
                <w:noProof/>
                <w:spacing w:val="-2"/>
              </w:rPr>
            </w:pPr>
            <w:r w:rsidRPr="007A1A00">
              <w:rPr>
                <w:noProof/>
                <w:spacing w:val="-2"/>
              </w:rPr>
              <w:t>Paragraph</w:t>
            </w:r>
            <w:r w:rsidR="00F33A24" w:rsidRPr="007A1A00">
              <w:rPr>
                <w:noProof/>
                <w:spacing w:val="-2"/>
              </w:rPr>
              <w:t>e</w:t>
            </w:r>
            <w:r w:rsidR="00E73D21" w:rsidRPr="007A1A00">
              <w:rPr>
                <w:noProof/>
                <w:spacing w:val="-2"/>
              </w:rPr>
              <w:t> </w:t>
            </w:r>
            <w:r w:rsidRPr="007A1A00">
              <w:rPr>
                <w:noProof/>
                <w:spacing w:val="-2"/>
              </w:rPr>
              <w:t>32</w:t>
            </w:r>
          </w:p>
        </w:tc>
        <w:tc>
          <w:tcPr>
            <w:tcW w:w="7535" w:type="dxa"/>
          </w:tcPr>
          <w:p w:rsidR="00B97090" w:rsidRPr="007A1A00" w:rsidRDefault="00F33A24" w:rsidP="00F33A24">
            <w:pPr>
              <w:rPr>
                <w:rFonts w:cs="Arial"/>
                <w:noProof/>
                <w:spacing w:val="-2"/>
              </w:rPr>
            </w:pPr>
            <w:r w:rsidRPr="007A1A00">
              <w:rPr>
                <w:rFonts w:cs="Arial"/>
                <w:noProof/>
                <w:spacing w:val="-2"/>
              </w:rPr>
              <w:t>Libeller la version espagnole comme suit</w:t>
            </w:r>
            <w:r w:rsidR="00E73D21" w:rsidRPr="007A1A00">
              <w:rPr>
                <w:rFonts w:cs="Arial"/>
                <w:noProof/>
                <w:spacing w:val="-2"/>
              </w:rPr>
              <w:t> </w:t>
            </w:r>
            <w:r w:rsidRPr="007A1A00">
              <w:rPr>
                <w:rFonts w:cs="Arial"/>
                <w:noProof/>
                <w:spacing w:val="-2"/>
              </w:rPr>
              <w:t>: “</w:t>
            </w:r>
            <w:r w:rsidR="00B97090" w:rsidRPr="007A1A00">
              <w:rPr>
                <w:rFonts w:cs="Arial"/>
                <w:noProof/>
                <w:spacing w:val="-2"/>
              </w:rPr>
              <w:t xml:space="preserve">En algunas situaciones, podría utilizarse como base de la inversión de la carga de la prueba información pertinente proporcionada por el obtentor de la variedad inicial relativa a la derivación </w:t>
            </w:r>
            <w:r w:rsidR="00B97090" w:rsidRPr="007A1A00">
              <w:rPr>
                <w:rFonts w:cs="Arial"/>
                <w:strike/>
                <w:noProof/>
                <w:spacing w:val="-2"/>
              </w:rPr>
              <w:t>predominante</w:t>
            </w:r>
            <w:r w:rsidR="00B97090" w:rsidRPr="007A1A00">
              <w:rPr>
                <w:rFonts w:cs="Arial"/>
                <w:noProof/>
                <w:spacing w:val="-2"/>
              </w:rPr>
              <w:t xml:space="preserve"> </w:t>
            </w:r>
            <w:r w:rsidR="00B97090" w:rsidRPr="007A1A00">
              <w:rPr>
                <w:rFonts w:cs="Arial"/>
                <w:noProof/>
                <w:spacing w:val="-2"/>
                <w:u w:val="single"/>
              </w:rPr>
              <w:t>principal</w:t>
            </w:r>
            <w:r w:rsidR="00B97090" w:rsidRPr="007A1A00">
              <w:rPr>
                <w:rFonts w:cs="Arial"/>
                <w:noProof/>
                <w:spacing w:val="-2"/>
              </w:rPr>
              <w:t xml:space="preserve"> o la conformidad respecto de los caracteres esencial</w:t>
            </w:r>
            <w:r w:rsidR="00805E4D" w:rsidRPr="007A1A00">
              <w:rPr>
                <w:rFonts w:cs="Arial"/>
                <w:noProof/>
                <w:spacing w:val="-2"/>
              </w:rPr>
              <w:t>es.  En</w:t>
            </w:r>
            <w:r w:rsidR="00B97090" w:rsidRPr="007A1A00">
              <w:rPr>
                <w:rFonts w:cs="Arial"/>
                <w:noProof/>
                <w:spacing w:val="-2"/>
              </w:rPr>
              <w:t xml:space="preserve"> tales situaciones, el otro obtentor podría estar obligado a demostrar que su variedad no es esencialmente derivada de la variedad inici</w:t>
            </w:r>
            <w:r w:rsidR="00805E4D" w:rsidRPr="007A1A00">
              <w:rPr>
                <w:rFonts w:cs="Arial"/>
                <w:noProof/>
                <w:spacing w:val="-2"/>
              </w:rPr>
              <w:t>al.  Po</w:t>
            </w:r>
            <w:r w:rsidR="00B97090" w:rsidRPr="007A1A00">
              <w:rPr>
                <w:rFonts w:cs="Arial"/>
                <w:noProof/>
                <w:spacing w:val="-2"/>
              </w:rPr>
              <w:t>r ejemplo, el otro obtentor debería aportar información sobre el método de obtención de la segunda variedad para demostrar que la variedad no se derivó de la variedad inicial.”</w:t>
            </w:r>
          </w:p>
        </w:tc>
      </w:tr>
    </w:tbl>
    <w:p w:rsidR="0031661C" w:rsidRPr="007A1A00" w:rsidRDefault="0031661C" w:rsidP="00EF35BF">
      <w:pPr>
        <w:rPr>
          <w:noProof/>
        </w:rPr>
      </w:pPr>
    </w:p>
    <w:p w:rsidR="0031661C" w:rsidRPr="007A1A00" w:rsidRDefault="004F3B3C" w:rsidP="00EF35BF">
      <w:pPr>
        <w:rPr>
          <w:noProof/>
          <w:spacing w:val="-2"/>
        </w:rPr>
      </w:pPr>
      <w:r w:rsidRPr="004F3B3C">
        <w:rPr>
          <w:noProof/>
          <w:vertAlign w:val="superscript"/>
        </w:rPr>
        <w:t>*</w:t>
      </w:r>
      <w:r w:rsidR="00AE08BE" w:rsidRPr="007A1A00">
        <w:rPr>
          <w:noProof/>
        </w:rPr>
        <w:fldChar w:fldCharType="begin"/>
      </w:r>
      <w:r w:rsidR="00F52E01" w:rsidRPr="007A1A00">
        <w:rPr>
          <w:noProof/>
        </w:rPr>
        <w:instrText xml:space="preserve"> AUTONUM  </w:instrText>
      </w:r>
      <w:r w:rsidR="00AE08BE" w:rsidRPr="007A1A00">
        <w:rPr>
          <w:noProof/>
        </w:rPr>
        <w:fldChar w:fldCharType="end"/>
      </w:r>
      <w:r w:rsidR="00F52E01" w:rsidRPr="007A1A00">
        <w:rPr>
          <w:noProof/>
          <w:spacing w:val="-2"/>
        </w:rPr>
        <w:tab/>
      </w:r>
      <w:r w:rsidR="00BD3B10" w:rsidRPr="007A1A00">
        <w:rPr>
          <w:noProof/>
          <w:snapToGrid w:val="0"/>
          <w:spacing w:val="-2"/>
        </w:rPr>
        <w:t xml:space="preserve">Le </w:t>
      </w:r>
      <w:r w:rsidR="00F52E01" w:rsidRPr="007A1A00">
        <w:rPr>
          <w:noProof/>
          <w:spacing w:val="-2"/>
        </w:rPr>
        <w:t xml:space="preserve">CAJ </w:t>
      </w:r>
      <w:r w:rsidR="005107DD" w:rsidRPr="007A1A00">
        <w:rPr>
          <w:noProof/>
          <w:spacing w:val="-2"/>
        </w:rPr>
        <w:t>convient</w:t>
      </w:r>
      <w:r w:rsidR="00BD3B10" w:rsidRPr="007A1A00">
        <w:rPr>
          <w:noProof/>
          <w:spacing w:val="-2"/>
        </w:rPr>
        <w:t xml:space="preserve"> qu</w:t>
      </w:r>
      <w:r w:rsidR="00E94EB0" w:rsidRPr="007A1A00">
        <w:rPr>
          <w:noProof/>
          <w:spacing w:val="-2"/>
        </w:rPr>
        <w:t>’</w:t>
      </w:r>
      <w:r w:rsidR="00BD3B10" w:rsidRPr="007A1A00">
        <w:rPr>
          <w:noProof/>
          <w:spacing w:val="-2"/>
        </w:rPr>
        <w:t>un nouveau projet des</w:t>
      </w:r>
      <w:r w:rsidR="00407CA5" w:rsidRPr="007A1A00">
        <w:rPr>
          <w:noProof/>
          <w:spacing w:val="-2"/>
        </w:rPr>
        <w:t xml:space="preserve"> “</w:t>
      </w:r>
      <w:r w:rsidR="00BD3B10" w:rsidRPr="007A1A00">
        <w:rPr>
          <w:noProof/>
          <w:spacing w:val="-2"/>
        </w:rPr>
        <w:t>Notes explicatives sur les variétés essentiellement dérivées selon l</w:t>
      </w:r>
      <w:r w:rsidR="00E94EB0" w:rsidRPr="007A1A00">
        <w:rPr>
          <w:noProof/>
          <w:spacing w:val="-2"/>
        </w:rPr>
        <w:t>’</w:t>
      </w:r>
      <w:r w:rsidR="00BD3B10" w:rsidRPr="007A1A00">
        <w:rPr>
          <w:noProof/>
          <w:spacing w:val="-2"/>
        </w:rPr>
        <w:t xml:space="preserve">Acte de 1991 de la </w:t>
      </w:r>
      <w:r w:rsidR="00E94EB0" w:rsidRPr="007A1A00">
        <w:rPr>
          <w:noProof/>
          <w:spacing w:val="-2"/>
        </w:rPr>
        <w:t>Convention UPOV</w:t>
      </w:r>
      <w:r w:rsidR="00BD3B10" w:rsidRPr="007A1A00">
        <w:rPr>
          <w:noProof/>
          <w:spacing w:val="-2"/>
        </w:rPr>
        <w:t xml:space="preserve">” (révision) </w:t>
      </w:r>
      <w:r w:rsidR="00407CA5" w:rsidRPr="007A1A00">
        <w:rPr>
          <w:noProof/>
          <w:spacing w:val="-2"/>
        </w:rPr>
        <w:t xml:space="preserve">(document </w:t>
      </w:r>
      <w:r w:rsidR="0029236A" w:rsidRPr="007A1A00">
        <w:rPr>
          <w:noProof/>
          <w:spacing w:val="-2"/>
        </w:rPr>
        <w:t>UPOV/EXN/EDV/2 Draft </w:t>
      </w:r>
      <w:r w:rsidR="00407CA5" w:rsidRPr="007A1A00">
        <w:rPr>
          <w:noProof/>
          <w:spacing w:val="-2"/>
        </w:rPr>
        <w:t>7)</w:t>
      </w:r>
      <w:r w:rsidR="00F24F48" w:rsidRPr="007A1A00">
        <w:rPr>
          <w:noProof/>
          <w:spacing w:val="-2"/>
        </w:rPr>
        <w:t>,</w:t>
      </w:r>
      <w:r w:rsidR="00407CA5" w:rsidRPr="007A1A00">
        <w:rPr>
          <w:noProof/>
          <w:spacing w:val="-2"/>
        </w:rPr>
        <w:t xml:space="preserve"> </w:t>
      </w:r>
      <w:r w:rsidR="004D1E1E" w:rsidRPr="007A1A00">
        <w:rPr>
          <w:noProof/>
          <w:spacing w:val="-2"/>
        </w:rPr>
        <w:t>contenant les modifications et</w:t>
      </w:r>
      <w:r w:rsidR="00F24F48" w:rsidRPr="007A1A00">
        <w:rPr>
          <w:noProof/>
          <w:spacing w:val="-2"/>
        </w:rPr>
        <w:t xml:space="preserve"> </w:t>
      </w:r>
      <w:r w:rsidR="006036B1" w:rsidRPr="007A1A00">
        <w:rPr>
          <w:noProof/>
          <w:spacing w:val="-2"/>
        </w:rPr>
        <w:t>traduisant l</w:t>
      </w:r>
      <w:r w:rsidR="00E94EB0" w:rsidRPr="007A1A00">
        <w:rPr>
          <w:noProof/>
          <w:spacing w:val="-2"/>
        </w:rPr>
        <w:t>’</w:t>
      </w:r>
      <w:r w:rsidR="006036B1" w:rsidRPr="007A1A00">
        <w:rPr>
          <w:noProof/>
          <w:spacing w:val="-2"/>
        </w:rPr>
        <w:t>approche approuvée</w:t>
      </w:r>
      <w:r w:rsidR="00166122" w:rsidRPr="007A1A00">
        <w:rPr>
          <w:noProof/>
          <w:spacing w:val="-2"/>
        </w:rPr>
        <w:t>s</w:t>
      </w:r>
      <w:r w:rsidR="006036B1" w:rsidRPr="007A1A00">
        <w:rPr>
          <w:noProof/>
          <w:spacing w:val="-2"/>
        </w:rPr>
        <w:t xml:space="preserve"> par</w:t>
      </w:r>
      <w:r w:rsidR="00E94EB0" w:rsidRPr="007A1A00">
        <w:rPr>
          <w:noProof/>
          <w:spacing w:val="-2"/>
        </w:rPr>
        <w:t xml:space="preserve"> le CAJ</w:t>
      </w:r>
      <w:r w:rsidR="00407CA5" w:rsidRPr="007A1A00">
        <w:rPr>
          <w:noProof/>
          <w:spacing w:val="-2"/>
        </w:rPr>
        <w:t xml:space="preserve"> </w:t>
      </w:r>
      <w:r w:rsidR="00596EC9" w:rsidRPr="007A1A00">
        <w:rPr>
          <w:noProof/>
          <w:spacing w:val="-2"/>
        </w:rPr>
        <w:t>à sa soixante</w:t>
      </w:r>
      <w:r w:rsidR="00805E4D" w:rsidRPr="007A1A00">
        <w:rPr>
          <w:noProof/>
          <w:spacing w:val="-2"/>
        </w:rPr>
        <w:noBreakHyphen/>
      </w:r>
      <w:r w:rsidR="00596EC9" w:rsidRPr="007A1A00">
        <w:rPr>
          <w:noProof/>
          <w:spacing w:val="-2"/>
        </w:rPr>
        <w:t>douzième</w:t>
      </w:r>
      <w:r w:rsidR="00E73D21" w:rsidRPr="007A1A00">
        <w:rPr>
          <w:noProof/>
          <w:spacing w:val="-2"/>
        </w:rPr>
        <w:t> </w:t>
      </w:r>
      <w:r w:rsidR="00407CA5" w:rsidRPr="007A1A00">
        <w:rPr>
          <w:noProof/>
          <w:spacing w:val="-2"/>
        </w:rPr>
        <w:t xml:space="preserve">session, </w:t>
      </w:r>
      <w:r w:rsidR="005107DD" w:rsidRPr="007A1A00">
        <w:rPr>
          <w:noProof/>
          <w:spacing w:val="-2"/>
        </w:rPr>
        <w:t>sera</w:t>
      </w:r>
      <w:r w:rsidR="00166122" w:rsidRPr="007A1A00">
        <w:rPr>
          <w:noProof/>
          <w:spacing w:val="-2"/>
        </w:rPr>
        <w:t xml:space="preserve"> publié dès que</w:t>
      </w:r>
      <w:r w:rsidR="00407CA5" w:rsidRPr="007A1A00">
        <w:rPr>
          <w:noProof/>
          <w:spacing w:val="-2"/>
        </w:rPr>
        <w:t xml:space="preserve"> possible </w:t>
      </w:r>
      <w:r w:rsidR="00166122" w:rsidRPr="007A1A00">
        <w:rPr>
          <w:noProof/>
          <w:spacing w:val="-2"/>
        </w:rPr>
        <w:t>pour examen</w:t>
      </w:r>
      <w:r w:rsidR="00407CA5" w:rsidRPr="007A1A00">
        <w:rPr>
          <w:noProof/>
          <w:spacing w:val="-2"/>
        </w:rPr>
        <w:t xml:space="preserve"> </w:t>
      </w:r>
      <w:r w:rsidR="00166122" w:rsidRPr="007A1A00">
        <w:rPr>
          <w:noProof/>
          <w:spacing w:val="-2"/>
        </w:rPr>
        <w:t>par</w:t>
      </w:r>
      <w:r w:rsidR="00E94EB0" w:rsidRPr="007A1A00">
        <w:rPr>
          <w:noProof/>
          <w:spacing w:val="-2"/>
        </w:rPr>
        <w:t xml:space="preserve"> le CAJ</w:t>
      </w:r>
      <w:r w:rsidR="00A62D23" w:rsidRPr="007A1A00">
        <w:rPr>
          <w:noProof/>
          <w:spacing w:val="-2"/>
        </w:rPr>
        <w:t xml:space="preserve"> </w:t>
      </w:r>
      <w:r w:rsidR="00596EC9" w:rsidRPr="007A1A00">
        <w:rPr>
          <w:noProof/>
          <w:spacing w:val="-2"/>
        </w:rPr>
        <w:t>à sa</w:t>
      </w:r>
      <w:r w:rsidR="00A62D23" w:rsidRPr="007A1A00">
        <w:rPr>
          <w:noProof/>
          <w:spacing w:val="-2"/>
        </w:rPr>
        <w:t xml:space="preserve"> </w:t>
      </w:r>
      <w:r w:rsidR="00596EC9" w:rsidRPr="007A1A00">
        <w:rPr>
          <w:noProof/>
          <w:spacing w:val="-2"/>
        </w:rPr>
        <w:t>soixante</w:t>
      </w:r>
      <w:r w:rsidR="00805E4D" w:rsidRPr="007A1A00">
        <w:rPr>
          <w:noProof/>
          <w:spacing w:val="-2"/>
        </w:rPr>
        <w:noBreakHyphen/>
      </w:r>
      <w:r w:rsidR="00596EC9" w:rsidRPr="007A1A00">
        <w:rPr>
          <w:noProof/>
          <w:spacing w:val="-2"/>
        </w:rPr>
        <w:t>treizième</w:t>
      </w:r>
      <w:r w:rsidR="00E73D21" w:rsidRPr="007A1A00">
        <w:rPr>
          <w:noProof/>
          <w:spacing w:val="-2"/>
        </w:rPr>
        <w:t> </w:t>
      </w:r>
      <w:r w:rsidR="00A62D23" w:rsidRPr="007A1A00">
        <w:rPr>
          <w:noProof/>
          <w:spacing w:val="-2"/>
        </w:rPr>
        <w:t>session.</w:t>
      </w:r>
    </w:p>
    <w:p w:rsidR="0031661C" w:rsidRPr="007A1A00" w:rsidRDefault="0031661C" w:rsidP="00EF35BF">
      <w:pPr>
        <w:spacing w:line="360" w:lineRule="auto"/>
        <w:rPr>
          <w:noProof/>
          <w:spacing w:val="-2"/>
        </w:rPr>
      </w:pPr>
    </w:p>
    <w:p w:rsidR="00E94EB0" w:rsidRPr="007A1A00" w:rsidRDefault="00F33A24" w:rsidP="00F33A24">
      <w:pPr>
        <w:pStyle w:val="Heading3"/>
        <w:rPr>
          <w:noProof/>
          <w:spacing w:val="-2"/>
          <w:lang w:val="fr-FR"/>
        </w:rPr>
      </w:pPr>
      <w:r w:rsidRPr="007A1A00">
        <w:rPr>
          <w:noProof/>
          <w:spacing w:val="-2"/>
          <w:lang w:val="fr-FR"/>
        </w:rPr>
        <w:t xml:space="preserve">Notes explicatives sur les dénominations variétales selon la </w:t>
      </w:r>
      <w:r w:rsidR="00E94EB0" w:rsidRPr="007A1A00">
        <w:rPr>
          <w:noProof/>
          <w:spacing w:val="-2"/>
          <w:lang w:val="fr-FR"/>
        </w:rPr>
        <w:t>Convention UPOV</w:t>
      </w:r>
      <w:r w:rsidRPr="007A1A00">
        <w:rPr>
          <w:noProof/>
          <w:spacing w:val="-2"/>
          <w:lang w:val="fr-FR"/>
        </w:rPr>
        <w:t xml:space="preserve"> (Révision)</w:t>
      </w:r>
    </w:p>
    <w:p w:rsidR="0031661C" w:rsidRPr="00FF6474" w:rsidRDefault="0031661C" w:rsidP="008A0F94">
      <w:pPr>
        <w:keepNext/>
        <w:rPr>
          <w:noProof/>
          <w:spacing w:val="-2"/>
        </w:rPr>
      </w:pPr>
    </w:p>
    <w:p w:rsidR="0031661C" w:rsidRPr="007A1A00" w:rsidRDefault="004F3B3C" w:rsidP="00F33A24">
      <w:pPr>
        <w:rPr>
          <w:noProof/>
          <w:spacing w:val="-2"/>
        </w:rPr>
      </w:pPr>
      <w:r w:rsidRPr="004F3B3C">
        <w:rPr>
          <w:noProof/>
          <w:vertAlign w:val="superscript"/>
        </w:rPr>
        <w:t>*</w:t>
      </w:r>
      <w:r w:rsidR="00AE08BE" w:rsidRPr="007A1A00">
        <w:rPr>
          <w:noProof/>
          <w:spacing w:val="-2"/>
        </w:rPr>
        <w:fldChar w:fldCharType="begin"/>
      </w:r>
      <w:r w:rsidR="008A0F94" w:rsidRPr="007A1A00">
        <w:rPr>
          <w:noProof/>
          <w:spacing w:val="-2"/>
        </w:rPr>
        <w:instrText xml:space="preserve"> AUTONUM  </w:instrText>
      </w:r>
      <w:r w:rsidR="00AE08BE" w:rsidRPr="007A1A00">
        <w:rPr>
          <w:noProof/>
          <w:spacing w:val="-2"/>
        </w:rPr>
        <w:fldChar w:fldCharType="end"/>
      </w:r>
      <w:r w:rsidR="008A0F94" w:rsidRPr="007A1A00">
        <w:rPr>
          <w:noProof/>
          <w:spacing w:val="-2"/>
        </w:rPr>
        <w:tab/>
      </w:r>
      <w:r w:rsidR="00F33A24" w:rsidRPr="007A1A00">
        <w:rPr>
          <w:noProof/>
          <w:spacing w:val="-2"/>
        </w:rPr>
        <w:t>Le CAJ note qu</w:t>
      </w:r>
      <w:r w:rsidR="00E94EB0" w:rsidRPr="007A1A00">
        <w:rPr>
          <w:noProof/>
          <w:spacing w:val="-2"/>
        </w:rPr>
        <w:t>’</w:t>
      </w:r>
      <w:r w:rsidR="00F33A24" w:rsidRPr="007A1A00">
        <w:rPr>
          <w:noProof/>
          <w:spacing w:val="-2"/>
        </w:rPr>
        <w:t>un rapport sur les travaux concernant la possibilité d</w:t>
      </w:r>
      <w:r w:rsidR="00E94EB0" w:rsidRPr="007A1A00">
        <w:rPr>
          <w:noProof/>
          <w:spacing w:val="-2"/>
        </w:rPr>
        <w:t>’</w:t>
      </w:r>
      <w:r w:rsidR="00F33A24" w:rsidRPr="007A1A00">
        <w:rPr>
          <w:noProof/>
          <w:spacing w:val="-2"/>
        </w:rPr>
        <w:t>élaboration d</w:t>
      </w:r>
      <w:r w:rsidR="00E94EB0" w:rsidRPr="007A1A00">
        <w:rPr>
          <w:noProof/>
          <w:spacing w:val="-2"/>
        </w:rPr>
        <w:t>’</w:t>
      </w:r>
      <w:r w:rsidR="00F33A24" w:rsidRPr="007A1A00">
        <w:rPr>
          <w:noProof/>
          <w:spacing w:val="-2"/>
        </w:rPr>
        <w:t>un outil de recherche de l</w:t>
      </w:r>
      <w:r w:rsidR="00E94EB0" w:rsidRPr="007A1A00">
        <w:rPr>
          <w:noProof/>
          <w:spacing w:val="-2"/>
        </w:rPr>
        <w:t>’</w:t>
      </w:r>
      <w:r w:rsidR="00F33A24" w:rsidRPr="007A1A00">
        <w:rPr>
          <w:noProof/>
          <w:spacing w:val="-2"/>
        </w:rPr>
        <w:t>UPOV de similarité aux fins de la dénomination variétale et des propositions de révision éventuelle du document UPOV/INF/12</w:t>
      </w:r>
      <w:r w:rsidR="00C91A80">
        <w:rPr>
          <w:noProof/>
          <w:spacing w:val="-2"/>
        </w:rPr>
        <w:t xml:space="preserve"> </w:t>
      </w:r>
      <w:r w:rsidR="00F33A24" w:rsidRPr="007A1A00">
        <w:rPr>
          <w:noProof/>
          <w:spacing w:val="-2"/>
        </w:rPr>
        <w:t xml:space="preserve">“Notes explicatives concernant les dénominations variétales en vertu de la </w:t>
      </w:r>
      <w:r w:rsidR="00E94EB0" w:rsidRPr="007A1A00">
        <w:rPr>
          <w:noProof/>
          <w:spacing w:val="-2"/>
        </w:rPr>
        <w:t>Convention UPOV</w:t>
      </w:r>
      <w:r w:rsidR="00F33A24" w:rsidRPr="007A1A00">
        <w:rPr>
          <w:noProof/>
          <w:spacing w:val="-2"/>
        </w:rPr>
        <w:t>” figurent dans le document CAJ/72/3 “Dénominations variétales”.</w:t>
      </w:r>
    </w:p>
    <w:p w:rsidR="0031661C" w:rsidRPr="007A1A00" w:rsidRDefault="0031661C" w:rsidP="00E03059">
      <w:pPr>
        <w:pStyle w:val="Heading2"/>
        <w:spacing w:line="360" w:lineRule="auto"/>
        <w:rPr>
          <w:noProof/>
          <w:spacing w:val="-2"/>
          <w:lang w:val="fr-FR"/>
        </w:rPr>
      </w:pPr>
    </w:p>
    <w:p w:rsidR="00E94EB0" w:rsidRPr="007A1A00" w:rsidRDefault="00F33A24" w:rsidP="00F33A24">
      <w:pPr>
        <w:pStyle w:val="Heading3"/>
        <w:rPr>
          <w:noProof/>
          <w:spacing w:val="-2"/>
          <w:lang w:val="fr-FR"/>
        </w:rPr>
      </w:pPr>
      <w:bookmarkStart w:id="5" w:name="_Toc430356925"/>
      <w:r w:rsidRPr="007A1A00">
        <w:rPr>
          <w:noProof/>
          <w:spacing w:val="-2"/>
          <w:lang w:val="fr-FR"/>
        </w:rPr>
        <w:t xml:space="preserve">Notes explicatives sur le matériel de reproduction ou de multiplication selon la </w:t>
      </w:r>
      <w:r w:rsidR="00E94EB0" w:rsidRPr="007A1A00">
        <w:rPr>
          <w:noProof/>
          <w:spacing w:val="-2"/>
          <w:lang w:val="fr-FR"/>
        </w:rPr>
        <w:t>Convention UPOV</w:t>
      </w:r>
      <w:bookmarkEnd w:id="5"/>
    </w:p>
    <w:p w:rsidR="0031661C" w:rsidRPr="007A1A00" w:rsidRDefault="0031661C" w:rsidP="008A0F94">
      <w:pPr>
        <w:rPr>
          <w:noProof/>
          <w:spacing w:val="-2"/>
        </w:rPr>
      </w:pPr>
    </w:p>
    <w:p w:rsidR="0031661C" w:rsidRPr="007A1A00" w:rsidRDefault="004F3B3C" w:rsidP="008A0F94">
      <w:pPr>
        <w:rPr>
          <w:noProof/>
          <w:spacing w:val="-2"/>
        </w:rPr>
      </w:pPr>
      <w:r w:rsidRPr="004F3B3C">
        <w:rPr>
          <w:noProof/>
          <w:vertAlign w:val="superscript"/>
        </w:rPr>
        <w:t>*</w:t>
      </w:r>
      <w:r w:rsidR="00AE08BE" w:rsidRPr="007A1A00">
        <w:rPr>
          <w:noProof/>
          <w:spacing w:val="-2"/>
        </w:rPr>
        <w:fldChar w:fldCharType="begin"/>
      </w:r>
      <w:r w:rsidR="008A0F94" w:rsidRPr="007A1A00">
        <w:rPr>
          <w:noProof/>
          <w:spacing w:val="-2"/>
        </w:rPr>
        <w:instrText xml:space="preserve"> AUTONUM  </w:instrText>
      </w:r>
      <w:r w:rsidR="00AE08BE" w:rsidRPr="007A1A00">
        <w:rPr>
          <w:noProof/>
          <w:spacing w:val="-2"/>
        </w:rPr>
        <w:fldChar w:fldCharType="end"/>
      </w:r>
      <w:r w:rsidR="008A0F94" w:rsidRPr="007A1A00">
        <w:rPr>
          <w:noProof/>
          <w:spacing w:val="-2"/>
        </w:rPr>
        <w:tab/>
      </w:r>
      <w:r w:rsidR="00BD3B10" w:rsidRPr="007A1A00">
        <w:rPr>
          <w:noProof/>
          <w:snapToGrid w:val="0"/>
          <w:spacing w:val="-2"/>
        </w:rPr>
        <w:t xml:space="preserve">Le </w:t>
      </w:r>
      <w:r w:rsidR="008A0F94" w:rsidRPr="007A1A00">
        <w:rPr>
          <w:noProof/>
          <w:spacing w:val="-2"/>
        </w:rPr>
        <w:t>CAJ</w:t>
      </w:r>
      <w:r w:rsidR="008A0F94" w:rsidRPr="007A1A00">
        <w:rPr>
          <w:i/>
          <w:noProof/>
          <w:spacing w:val="-2"/>
        </w:rPr>
        <w:t xml:space="preserve"> </w:t>
      </w:r>
      <w:r w:rsidR="005107DD" w:rsidRPr="007A1A00">
        <w:rPr>
          <w:noProof/>
          <w:spacing w:val="-2"/>
        </w:rPr>
        <w:t>convient</w:t>
      </w:r>
      <w:r w:rsidR="00E3766A" w:rsidRPr="007A1A00">
        <w:rPr>
          <w:noProof/>
          <w:spacing w:val="-2"/>
        </w:rPr>
        <w:t xml:space="preserve"> d</w:t>
      </w:r>
      <w:r w:rsidR="00E94EB0" w:rsidRPr="007A1A00">
        <w:rPr>
          <w:noProof/>
          <w:spacing w:val="-2"/>
        </w:rPr>
        <w:t>’</w:t>
      </w:r>
      <w:r w:rsidR="00E3766A" w:rsidRPr="007A1A00">
        <w:rPr>
          <w:noProof/>
          <w:spacing w:val="-2"/>
        </w:rPr>
        <w:t>apporter les modifications suivantes</w:t>
      </w:r>
      <w:r w:rsidR="002003C1" w:rsidRPr="007A1A00">
        <w:rPr>
          <w:noProof/>
          <w:spacing w:val="-2"/>
        </w:rPr>
        <w:t xml:space="preserve"> </w:t>
      </w:r>
      <w:r w:rsidR="00E3766A" w:rsidRPr="007A1A00">
        <w:rPr>
          <w:noProof/>
          <w:spacing w:val="-2"/>
        </w:rPr>
        <w:t xml:space="preserve">au </w:t>
      </w:r>
      <w:r w:rsidR="008A0F94" w:rsidRPr="007A1A00">
        <w:rPr>
          <w:noProof/>
          <w:spacing w:val="-2"/>
          <w:lang w:eastAsia="zh-CN"/>
        </w:rPr>
        <w:t>document</w:t>
      </w:r>
      <w:r w:rsidR="00E3766A" w:rsidRPr="007A1A00">
        <w:rPr>
          <w:noProof/>
          <w:spacing w:val="-2"/>
        </w:rPr>
        <w:t xml:space="preserve"> </w:t>
      </w:r>
      <w:r w:rsidR="008A0F94" w:rsidRPr="007A1A00">
        <w:rPr>
          <w:noProof/>
          <w:spacing w:val="-2"/>
        </w:rPr>
        <w:t>“</w:t>
      </w:r>
      <w:r w:rsidR="00877BD6" w:rsidRPr="007A1A00">
        <w:rPr>
          <w:noProof/>
          <w:spacing w:val="-2"/>
        </w:rPr>
        <w:t>No</w:t>
      </w:r>
      <w:r w:rsidR="00E3766A" w:rsidRPr="007A1A00">
        <w:rPr>
          <w:noProof/>
          <w:spacing w:val="-2"/>
        </w:rPr>
        <w:t xml:space="preserve">tes explicatives </w:t>
      </w:r>
      <w:r w:rsidR="00823F06" w:rsidRPr="007A1A00">
        <w:rPr>
          <w:noProof/>
          <w:spacing w:val="-2"/>
        </w:rPr>
        <w:t xml:space="preserve">sur le </w:t>
      </w:r>
      <w:r w:rsidR="00877BD6" w:rsidRPr="007A1A00">
        <w:rPr>
          <w:noProof/>
          <w:spacing w:val="-2"/>
        </w:rPr>
        <w:t>matériel de reproduction ou de mul</w:t>
      </w:r>
      <w:r w:rsidR="00823F06" w:rsidRPr="007A1A00">
        <w:rPr>
          <w:noProof/>
          <w:spacing w:val="-2"/>
        </w:rPr>
        <w:t xml:space="preserve">tiplication selon la </w:t>
      </w:r>
      <w:r w:rsidR="00E94EB0" w:rsidRPr="007A1A00">
        <w:rPr>
          <w:noProof/>
          <w:spacing w:val="-2"/>
        </w:rPr>
        <w:t>Convention UPOV</w:t>
      </w:r>
      <w:r w:rsidR="008A0F94" w:rsidRPr="007A1A00">
        <w:rPr>
          <w:noProof/>
          <w:spacing w:val="-2"/>
        </w:rPr>
        <w:t>”</w:t>
      </w:r>
      <w:r w:rsidR="00021E35" w:rsidRPr="007A1A00">
        <w:rPr>
          <w:noProof/>
          <w:spacing w:val="-2"/>
        </w:rPr>
        <w:t xml:space="preserve"> (</w:t>
      </w:r>
      <w:r w:rsidR="00E94EB0" w:rsidRPr="007A1A00">
        <w:rPr>
          <w:noProof/>
          <w:spacing w:val="-2"/>
          <w:lang w:eastAsia="zh-CN"/>
        </w:rPr>
        <w:t xml:space="preserve">document </w:t>
      </w:r>
      <w:r w:rsidR="00E94EB0" w:rsidRPr="007A1A00">
        <w:rPr>
          <w:noProof/>
          <w:spacing w:val="-2"/>
        </w:rPr>
        <w:t>UP</w:t>
      </w:r>
      <w:r w:rsidR="00021E35" w:rsidRPr="007A1A00">
        <w:rPr>
          <w:noProof/>
          <w:spacing w:val="-2"/>
        </w:rPr>
        <w:t>OV/EXN/PPM/1 Draft 5)</w:t>
      </w:r>
      <w:r w:rsidR="00071FDF" w:rsidRPr="007A1A00">
        <w:rPr>
          <w:noProof/>
          <w:spacing w:val="-2"/>
        </w:rPr>
        <w:t> </w:t>
      </w:r>
      <w:r w:rsidR="002003C1" w:rsidRPr="007A1A00">
        <w:rPr>
          <w:noProof/>
          <w:spacing w:val="-2"/>
        </w:rPr>
        <w:t>:</w:t>
      </w:r>
    </w:p>
    <w:p w:rsidR="002003C1" w:rsidRPr="007A1A00" w:rsidRDefault="002003C1" w:rsidP="002003C1">
      <w:pPr>
        <w:rPr>
          <w:noProof/>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7A1A00" w:rsidRPr="007A1A00" w:rsidTr="00194188">
        <w:tc>
          <w:tcPr>
            <w:tcW w:w="1447" w:type="dxa"/>
          </w:tcPr>
          <w:p w:rsidR="00F21AB5" w:rsidRPr="007A1A00" w:rsidRDefault="00F33A24" w:rsidP="00194188">
            <w:pPr>
              <w:jc w:val="left"/>
              <w:rPr>
                <w:rFonts w:cs="Arial"/>
                <w:noProof/>
                <w:spacing w:val="-2"/>
              </w:rPr>
            </w:pPr>
            <w:bookmarkStart w:id="6" w:name="_Toc430356926"/>
            <w:r w:rsidRPr="007A1A00">
              <w:rPr>
                <w:rFonts w:cs="Arial"/>
                <w:noProof/>
                <w:spacing w:val="-2"/>
              </w:rPr>
              <w:t>Section</w:t>
            </w:r>
            <w:r w:rsidR="00E73D21" w:rsidRPr="007A1A00">
              <w:rPr>
                <w:rFonts w:cs="Arial"/>
                <w:noProof/>
                <w:spacing w:val="-2"/>
              </w:rPr>
              <w:t> </w:t>
            </w:r>
            <w:r w:rsidRPr="007A1A00">
              <w:rPr>
                <w:rFonts w:cs="Arial"/>
                <w:noProof/>
                <w:spacing w:val="-2"/>
              </w:rPr>
              <w:t>a)</w:t>
            </w:r>
            <w:r w:rsidR="00F21AB5" w:rsidRPr="007A1A00">
              <w:rPr>
                <w:rFonts w:cs="Arial"/>
                <w:noProof/>
                <w:spacing w:val="-2"/>
              </w:rPr>
              <w:t xml:space="preserve"> </w:t>
            </w:r>
          </w:p>
        </w:tc>
        <w:tc>
          <w:tcPr>
            <w:tcW w:w="7789" w:type="dxa"/>
          </w:tcPr>
          <w:p w:rsidR="00F21AB5" w:rsidRPr="007A1A00" w:rsidRDefault="005C1560" w:rsidP="00194188">
            <w:pPr>
              <w:rPr>
                <w:noProof/>
                <w:snapToGrid w:val="0"/>
                <w:spacing w:val="-2"/>
              </w:rPr>
            </w:pPr>
            <w:r w:rsidRPr="007A1A00">
              <w:rPr>
                <w:noProof/>
                <w:snapToGrid w:val="0"/>
                <w:spacing w:val="-2"/>
              </w:rPr>
              <w:t>Supprimer la</w:t>
            </w:r>
            <w:r w:rsidR="007779D7" w:rsidRPr="007A1A00">
              <w:rPr>
                <w:noProof/>
                <w:snapToGrid w:val="0"/>
                <w:spacing w:val="-2"/>
              </w:rPr>
              <w:t xml:space="preserve"> section</w:t>
            </w:r>
            <w:r w:rsidR="00E73D21" w:rsidRPr="007A1A00">
              <w:rPr>
                <w:noProof/>
                <w:snapToGrid w:val="0"/>
                <w:spacing w:val="-2"/>
              </w:rPr>
              <w:t> </w:t>
            </w:r>
            <w:r w:rsidR="00F21AB5" w:rsidRPr="007A1A00">
              <w:rPr>
                <w:noProof/>
                <w:snapToGrid w:val="0"/>
                <w:spacing w:val="-2"/>
              </w:rPr>
              <w:t xml:space="preserve">a) </w:t>
            </w:r>
            <w:r w:rsidR="007779D7" w:rsidRPr="007A1A00">
              <w:rPr>
                <w:noProof/>
                <w:snapToGrid w:val="0"/>
                <w:spacing w:val="-2"/>
              </w:rPr>
              <w:t>et</w:t>
            </w:r>
            <w:r w:rsidR="00F21AB5" w:rsidRPr="007A1A00">
              <w:rPr>
                <w:noProof/>
                <w:snapToGrid w:val="0"/>
                <w:spacing w:val="-2"/>
              </w:rPr>
              <w:t xml:space="preserve"> </w:t>
            </w:r>
            <w:r w:rsidR="00835D16" w:rsidRPr="007A1A00">
              <w:rPr>
                <w:noProof/>
                <w:snapToGrid w:val="0"/>
                <w:spacing w:val="-2"/>
              </w:rPr>
              <w:t>intégrer dans l</w:t>
            </w:r>
            <w:r w:rsidR="00E94EB0" w:rsidRPr="007A1A00">
              <w:rPr>
                <w:noProof/>
                <w:snapToGrid w:val="0"/>
                <w:spacing w:val="-2"/>
              </w:rPr>
              <w:t>’</w:t>
            </w:r>
            <w:r w:rsidR="00835D16" w:rsidRPr="007A1A00">
              <w:rPr>
                <w:noProof/>
                <w:snapToGrid w:val="0"/>
                <w:spacing w:val="-2"/>
              </w:rPr>
              <w:t>annexe</w:t>
            </w:r>
            <w:r w:rsidR="00F21AB5" w:rsidRPr="007A1A00">
              <w:rPr>
                <w:noProof/>
                <w:snapToGrid w:val="0"/>
                <w:spacing w:val="-2"/>
              </w:rPr>
              <w:t xml:space="preserve"> </w:t>
            </w:r>
            <w:r w:rsidR="007779D7" w:rsidRPr="007A1A00">
              <w:rPr>
                <w:noProof/>
                <w:snapToGrid w:val="0"/>
                <w:spacing w:val="-2"/>
              </w:rPr>
              <w:t>du</w:t>
            </w:r>
            <w:r w:rsidR="00F21AB5" w:rsidRPr="007A1A00">
              <w:rPr>
                <w:noProof/>
                <w:snapToGrid w:val="0"/>
                <w:spacing w:val="-2"/>
              </w:rPr>
              <w:t xml:space="preserve"> document </w:t>
            </w:r>
            <w:r w:rsidR="007779D7" w:rsidRPr="007A1A00">
              <w:rPr>
                <w:noProof/>
                <w:snapToGrid w:val="0"/>
                <w:spacing w:val="-2"/>
              </w:rPr>
              <w:t>les dispositions de la</w:t>
            </w:r>
            <w:r w:rsidR="00F21AB5" w:rsidRPr="007A1A00">
              <w:rPr>
                <w:noProof/>
                <w:snapToGrid w:val="0"/>
                <w:spacing w:val="-2"/>
              </w:rPr>
              <w:t xml:space="preserve"> </w:t>
            </w:r>
            <w:r w:rsidR="00E94EB0" w:rsidRPr="007A1A00">
              <w:rPr>
                <w:noProof/>
                <w:snapToGrid w:val="0"/>
                <w:spacing w:val="-2"/>
              </w:rPr>
              <w:t>Convention UPOV</w:t>
            </w:r>
            <w:r w:rsidR="007779D7" w:rsidRPr="007A1A00">
              <w:rPr>
                <w:noProof/>
                <w:snapToGrid w:val="0"/>
                <w:spacing w:val="-2"/>
              </w:rPr>
              <w:t xml:space="preserve"> </w:t>
            </w:r>
            <w:r w:rsidR="00835D16" w:rsidRPr="007A1A00">
              <w:rPr>
                <w:noProof/>
                <w:snapToGrid w:val="0"/>
                <w:spacing w:val="-2"/>
              </w:rPr>
              <w:t>dans lesquelles il est fait</w:t>
            </w:r>
            <w:r w:rsidR="00F21AB5" w:rsidRPr="007A1A00">
              <w:rPr>
                <w:noProof/>
                <w:snapToGrid w:val="0"/>
                <w:spacing w:val="-2"/>
              </w:rPr>
              <w:t xml:space="preserve"> </w:t>
            </w:r>
            <w:r w:rsidR="00835D16" w:rsidRPr="007A1A00">
              <w:rPr>
                <w:noProof/>
                <w:snapToGrid w:val="0"/>
                <w:spacing w:val="-2"/>
              </w:rPr>
              <w:t xml:space="preserve">référence à la </w:t>
            </w:r>
            <w:r w:rsidR="00F21AB5" w:rsidRPr="007A1A00">
              <w:rPr>
                <w:noProof/>
                <w:snapToGrid w:val="0"/>
                <w:spacing w:val="-2"/>
              </w:rPr>
              <w:t xml:space="preserve">notion </w:t>
            </w:r>
            <w:r w:rsidR="00835D16" w:rsidRPr="007A1A00">
              <w:rPr>
                <w:noProof/>
                <w:snapToGrid w:val="0"/>
                <w:spacing w:val="-2"/>
              </w:rPr>
              <w:t>de</w:t>
            </w:r>
            <w:r w:rsidR="00F21AB5" w:rsidRPr="007A1A00">
              <w:rPr>
                <w:noProof/>
                <w:snapToGrid w:val="0"/>
                <w:spacing w:val="-2"/>
              </w:rPr>
              <w:t xml:space="preserve"> </w:t>
            </w:r>
            <w:r w:rsidR="00835D16" w:rsidRPr="007A1A00">
              <w:rPr>
                <w:noProof/>
                <w:spacing w:val="-2"/>
              </w:rPr>
              <w:t>matériel de reproduction ou de multiplication</w:t>
            </w:r>
            <w:r w:rsidR="00F21AB5" w:rsidRPr="007A1A00">
              <w:rPr>
                <w:noProof/>
                <w:snapToGrid w:val="0"/>
                <w:spacing w:val="-2"/>
              </w:rPr>
              <w:t xml:space="preserve">. </w:t>
            </w:r>
            <w:r w:rsidR="00E73D21" w:rsidRPr="007A1A00">
              <w:rPr>
                <w:noProof/>
                <w:snapToGrid w:val="0"/>
                <w:spacing w:val="-2"/>
              </w:rPr>
              <w:t xml:space="preserve"> </w:t>
            </w:r>
          </w:p>
        </w:tc>
      </w:tr>
      <w:tr w:rsidR="007A1A00" w:rsidRPr="007A1A00" w:rsidTr="00194188">
        <w:tc>
          <w:tcPr>
            <w:tcW w:w="1447" w:type="dxa"/>
          </w:tcPr>
          <w:p w:rsidR="00F21AB5" w:rsidRPr="007A1A00" w:rsidRDefault="00F33A24" w:rsidP="00F33A24">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1</w:t>
            </w:r>
          </w:p>
        </w:tc>
        <w:tc>
          <w:tcPr>
            <w:tcW w:w="7789" w:type="dxa"/>
          </w:tcPr>
          <w:p w:rsidR="0031661C" w:rsidRPr="007A1A00" w:rsidRDefault="00F33A24" w:rsidP="00F33A24">
            <w:pPr>
              <w:rPr>
                <w:noProof/>
                <w:spacing w:val="-2"/>
              </w:rPr>
            </w:pPr>
            <w:r w:rsidRPr="007A1A00">
              <w:rPr>
                <w:noProof/>
                <w:spacing w:val="-2"/>
              </w:rPr>
              <w:t>Libeller comme suit</w:t>
            </w:r>
            <w:r w:rsidR="00E3766A" w:rsidRPr="007A1A00">
              <w:rPr>
                <w:noProof/>
                <w:spacing w:val="-2"/>
              </w:rPr>
              <w:t> </w:t>
            </w:r>
            <w:r w:rsidRPr="007A1A00">
              <w:rPr>
                <w:noProof/>
                <w:spacing w:val="-2"/>
              </w:rPr>
              <w:t>:</w:t>
            </w:r>
          </w:p>
          <w:p w:rsidR="0031661C" w:rsidRPr="007A1A00" w:rsidRDefault="0031661C" w:rsidP="003F3808">
            <w:pPr>
              <w:rPr>
                <w:noProof/>
                <w:spacing w:val="-2"/>
              </w:rPr>
            </w:pPr>
          </w:p>
          <w:p w:rsidR="0031661C" w:rsidRPr="007A1A00" w:rsidRDefault="00F33A24" w:rsidP="00F33A24">
            <w:pPr>
              <w:rPr>
                <w:noProof/>
                <w:spacing w:val="-2"/>
              </w:rPr>
            </w:pPr>
            <w:r w:rsidRPr="007A1A00">
              <w:rPr>
                <w:noProof/>
                <w:spacing w:val="-2"/>
              </w:rPr>
              <w:t xml:space="preserve">“La </w:t>
            </w:r>
            <w:r w:rsidR="00E94EB0" w:rsidRPr="007A1A00">
              <w:rPr>
                <w:noProof/>
                <w:spacing w:val="-2"/>
              </w:rPr>
              <w:t>Convention UPOV</w:t>
            </w:r>
            <w:r w:rsidRPr="007A1A00">
              <w:rPr>
                <w:noProof/>
                <w:spacing w:val="-2"/>
              </w:rPr>
              <w:t xml:space="preserve"> ne donne pas de définition du </w:t>
            </w:r>
            <w:r w:rsidR="00E94EB0" w:rsidRPr="007A1A00">
              <w:rPr>
                <w:noProof/>
                <w:spacing w:val="-2"/>
              </w:rPr>
              <w:t>‘</w:t>
            </w:r>
            <w:r w:rsidRPr="007A1A00">
              <w:rPr>
                <w:noProof/>
                <w:spacing w:val="-2"/>
              </w:rPr>
              <w:t>matériel de reproduction ou de multiplication</w:t>
            </w:r>
            <w:r w:rsidR="00E94EB0" w:rsidRPr="007A1A00">
              <w:rPr>
                <w:noProof/>
                <w:spacing w:val="-2"/>
              </w:rPr>
              <w:t>’</w:t>
            </w:r>
            <w:r w:rsidRPr="007A1A00">
              <w:rPr>
                <w:noProof/>
                <w:spacing w:val="-2"/>
              </w:rPr>
              <w:t>.</w:t>
            </w:r>
            <w:r w:rsidR="00F21AB5" w:rsidRPr="007A1A00">
              <w:rPr>
                <w:noProof/>
                <w:spacing w:val="-2"/>
              </w:rPr>
              <w:t xml:space="preserve"> </w:t>
            </w:r>
            <w:r w:rsidR="00E3766A" w:rsidRPr="007A1A00">
              <w:rPr>
                <w:noProof/>
                <w:spacing w:val="-2"/>
              </w:rPr>
              <w:t xml:space="preserve"> </w:t>
            </w:r>
            <w:r w:rsidRPr="007A1A00">
              <w:rPr>
                <w:noProof/>
                <w:spacing w:val="-2"/>
              </w:rPr>
              <w:t>Le matériel de reproduction ou de multiplication couvre le matériel de reproduction ou de multiplication végétati</w:t>
            </w:r>
            <w:r w:rsidR="00805E4D" w:rsidRPr="007A1A00">
              <w:rPr>
                <w:noProof/>
                <w:spacing w:val="-2"/>
              </w:rPr>
              <w:t>ve.  On</w:t>
            </w:r>
            <w:r w:rsidR="00E81DA8" w:rsidRPr="007A1A00">
              <w:rPr>
                <w:noProof/>
                <w:spacing w:val="-2"/>
              </w:rPr>
              <w:t xml:space="preserve"> trouvera ci</w:t>
            </w:r>
            <w:r w:rsidR="00805E4D" w:rsidRPr="007A1A00">
              <w:rPr>
                <w:noProof/>
                <w:spacing w:val="-2"/>
              </w:rPr>
              <w:noBreakHyphen/>
            </w:r>
            <w:r w:rsidR="00E3766A" w:rsidRPr="007A1A00">
              <w:rPr>
                <w:noProof/>
                <w:spacing w:val="-2"/>
              </w:rPr>
              <w:t>après des exemples non exhaustifs</w:t>
            </w:r>
            <w:r w:rsidR="00F21AB5" w:rsidRPr="007A1A00">
              <w:rPr>
                <w:noProof/>
                <w:spacing w:val="-2"/>
              </w:rPr>
              <w:t xml:space="preserve"> </w:t>
            </w:r>
            <w:r w:rsidR="00E3766A" w:rsidRPr="007A1A00">
              <w:rPr>
                <w:noProof/>
                <w:spacing w:val="-2"/>
              </w:rPr>
              <w:t>de facteurs qui ont été examinés par les</w:t>
            </w:r>
            <w:r w:rsidR="00F21AB5" w:rsidRPr="007A1A00">
              <w:rPr>
                <w:noProof/>
                <w:spacing w:val="-2"/>
              </w:rPr>
              <w:t xml:space="preserve"> </w:t>
            </w:r>
            <w:r w:rsidR="00E3766A" w:rsidRPr="007A1A00">
              <w:rPr>
                <w:noProof/>
                <w:spacing w:val="-2"/>
              </w:rPr>
              <w:t>membres de l</w:t>
            </w:r>
            <w:r w:rsidR="00E94EB0" w:rsidRPr="007A1A00">
              <w:rPr>
                <w:noProof/>
                <w:spacing w:val="-2"/>
              </w:rPr>
              <w:t>’</w:t>
            </w:r>
            <w:r w:rsidR="00F21AB5" w:rsidRPr="007A1A00">
              <w:rPr>
                <w:noProof/>
                <w:spacing w:val="-2"/>
              </w:rPr>
              <w:t xml:space="preserve">Union </w:t>
            </w:r>
            <w:r w:rsidR="00E3766A" w:rsidRPr="007A1A00">
              <w:rPr>
                <w:noProof/>
                <w:spacing w:val="-2"/>
              </w:rPr>
              <w:t>quant à la question de savoir si le matériel</w:t>
            </w:r>
            <w:r w:rsidR="00F21AB5" w:rsidRPr="007A1A00">
              <w:rPr>
                <w:noProof/>
                <w:spacing w:val="-2"/>
              </w:rPr>
              <w:t xml:space="preserve"> </w:t>
            </w:r>
            <w:r w:rsidR="00E3766A" w:rsidRPr="007A1A00">
              <w:rPr>
                <w:noProof/>
                <w:spacing w:val="-2"/>
              </w:rPr>
              <w:t>est du</w:t>
            </w:r>
            <w:r w:rsidR="00F21AB5" w:rsidRPr="007A1A00">
              <w:rPr>
                <w:noProof/>
                <w:spacing w:val="-2"/>
              </w:rPr>
              <w:t xml:space="preserve"> </w:t>
            </w:r>
            <w:r w:rsidR="00E3766A" w:rsidRPr="007A1A00">
              <w:rPr>
                <w:noProof/>
                <w:spacing w:val="-2"/>
              </w:rPr>
              <w:t>matériel de reproduction ou de multiplication </w:t>
            </w:r>
            <w:r w:rsidR="00F21AB5" w:rsidRPr="007A1A00">
              <w:rPr>
                <w:noProof/>
                <w:spacing w:val="-2"/>
              </w:rPr>
              <w:t>:</w:t>
            </w:r>
          </w:p>
          <w:p w:rsidR="0031661C" w:rsidRPr="007A1A00" w:rsidRDefault="0031661C" w:rsidP="003F3808">
            <w:pPr>
              <w:autoSpaceDE w:val="0"/>
              <w:rPr>
                <w:noProof/>
                <w:spacing w:val="-2"/>
              </w:rPr>
            </w:pPr>
          </w:p>
          <w:p w:rsidR="0031661C" w:rsidRPr="009B2464" w:rsidRDefault="00E3766A" w:rsidP="003F3808">
            <w:pPr>
              <w:ind w:left="452"/>
              <w:rPr>
                <w:noProof/>
              </w:rPr>
            </w:pPr>
            <w:r w:rsidRPr="009B2464">
              <w:rPr>
                <w:noProof/>
              </w:rPr>
              <w:t>“</w:t>
            </w:r>
            <w:r w:rsidR="00F21AB5" w:rsidRPr="009B2464">
              <w:rPr>
                <w:noProof/>
              </w:rPr>
              <w:t>i)</w:t>
            </w:r>
            <w:r w:rsidR="00F21AB5" w:rsidRPr="009B2464">
              <w:rPr>
                <w:noProof/>
              </w:rPr>
              <w:tab/>
            </w:r>
            <w:r w:rsidR="00B75AD1" w:rsidRPr="009B2464">
              <w:rPr>
                <w:noProof/>
              </w:rPr>
              <w:t>plantes ou parties de plantes utilisées pour la</w:t>
            </w:r>
            <w:r w:rsidR="00F21AB5" w:rsidRPr="009B2464">
              <w:rPr>
                <w:noProof/>
              </w:rPr>
              <w:t xml:space="preserve"> </w:t>
            </w:r>
            <w:r w:rsidR="00C57CEC" w:rsidRPr="009B2464">
              <w:rPr>
                <w:noProof/>
              </w:rPr>
              <w:t xml:space="preserve">reproduction de </w:t>
            </w:r>
            <w:r w:rsidR="003F1D18" w:rsidRPr="009B2464">
              <w:rPr>
                <w:noProof/>
              </w:rPr>
              <w:t>la variété</w:t>
            </w:r>
            <w:r w:rsidR="00F21AB5" w:rsidRPr="009B2464">
              <w:rPr>
                <w:noProof/>
              </w:rPr>
              <w:t>;</w:t>
            </w:r>
          </w:p>
          <w:p w:rsidR="0031661C" w:rsidRPr="009B2464" w:rsidRDefault="00F33A24" w:rsidP="00F33A24">
            <w:pPr>
              <w:ind w:left="452"/>
              <w:rPr>
                <w:noProof/>
              </w:rPr>
            </w:pPr>
            <w:r w:rsidRPr="009B2464">
              <w:rPr>
                <w:noProof/>
              </w:rPr>
              <w:t>“ii)</w:t>
            </w:r>
            <w:r w:rsidRPr="009B2464">
              <w:rPr>
                <w:noProof/>
              </w:rPr>
              <w:tab/>
              <w:t>indiquer si le matériel a été utilisé pour reproduire ou multiplier la variété;</w:t>
            </w:r>
          </w:p>
          <w:p w:rsidR="0031661C" w:rsidRPr="009B2464" w:rsidRDefault="00E3766A" w:rsidP="003F3808">
            <w:pPr>
              <w:ind w:left="452"/>
              <w:rPr>
                <w:noProof/>
              </w:rPr>
            </w:pPr>
            <w:r w:rsidRPr="009B2464">
              <w:rPr>
                <w:noProof/>
              </w:rPr>
              <w:t>“</w:t>
            </w:r>
            <w:r w:rsidR="00F21AB5" w:rsidRPr="009B2464">
              <w:rPr>
                <w:noProof/>
              </w:rPr>
              <w:t>iii)</w:t>
            </w:r>
            <w:r w:rsidR="00F21AB5" w:rsidRPr="009B2464">
              <w:rPr>
                <w:noProof/>
              </w:rPr>
              <w:tab/>
            </w:r>
            <w:r w:rsidR="003F1D18" w:rsidRPr="009B2464">
              <w:rPr>
                <w:noProof/>
              </w:rPr>
              <w:t>indiquer si le matériel</w:t>
            </w:r>
            <w:r w:rsidR="00F21AB5" w:rsidRPr="009B2464">
              <w:rPr>
                <w:noProof/>
              </w:rPr>
              <w:t xml:space="preserve"> </w:t>
            </w:r>
            <w:r w:rsidR="003F1D18" w:rsidRPr="009B2464">
              <w:rPr>
                <w:noProof/>
              </w:rPr>
              <w:t>peut produire des</w:t>
            </w:r>
            <w:r w:rsidR="00F21AB5" w:rsidRPr="009B2464">
              <w:rPr>
                <w:noProof/>
              </w:rPr>
              <w:t xml:space="preserve"> </w:t>
            </w:r>
            <w:r w:rsidR="00F57355" w:rsidRPr="009B2464">
              <w:rPr>
                <w:noProof/>
              </w:rPr>
              <w:t xml:space="preserve">plantes entières </w:t>
            </w:r>
            <w:r w:rsidR="003F1D18" w:rsidRPr="009B2464">
              <w:rPr>
                <w:noProof/>
              </w:rPr>
              <w:t>de la variété et est</w:t>
            </w:r>
            <w:r w:rsidR="00F21AB5" w:rsidRPr="009B2464">
              <w:rPr>
                <w:noProof/>
              </w:rPr>
              <w:t xml:space="preserve"> </w:t>
            </w:r>
            <w:r w:rsidR="00F57355" w:rsidRPr="009B2464">
              <w:rPr>
                <w:noProof/>
              </w:rPr>
              <w:t>effectivement utilisé à des fins</w:t>
            </w:r>
            <w:r w:rsidR="00F21AB5" w:rsidRPr="009B2464">
              <w:rPr>
                <w:noProof/>
              </w:rPr>
              <w:t xml:space="preserve"> </w:t>
            </w:r>
            <w:r w:rsidR="00F57355" w:rsidRPr="009B2464">
              <w:rPr>
                <w:noProof/>
              </w:rPr>
              <w:t>de</w:t>
            </w:r>
            <w:r w:rsidR="00F21AB5" w:rsidRPr="009B2464">
              <w:rPr>
                <w:noProof/>
              </w:rPr>
              <w:t xml:space="preserve"> </w:t>
            </w:r>
            <w:r w:rsidR="00921DE6" w:rsidRPr="009B2464">
              <w:rPr>
                <w:noProof/>
              </w:rPr>
              <w:t>reproduction ou de multiplication</w:t>
            </w:r>
            <w:r w:rsidR="00F21AB5" w:rsidRPr="009B2464">
              <w:rPr>
                <w:noProof/>
              </w:rPr>
              <w:t>;</w:t>
            </w:r>
          </w:p>
          <w:p w:rsidR="0031661C" w:rsidRPr="009B2464" w:rsidRDefault="00F33A24" w:rsidP="00F33A24">
            <w:pPr>
              <w:autoSpaceDE w:val="0"/>
              <w:autoSpaceDN w:val="0"/>
              <w:adjustRightInd w:val="0"/>
              <w:ind w:left="452"/>
              <w:jc w:val="left"/>
              <w:rPr>
                <w:noProof/>
              </w:rPr>
            </w:pPr>
            <w:r w:rsidRPr="009B2464">
              <w:rPr>
                <w:noProof/>
              </w:rPr>
              <w:t>“i</w:t>
            </w:r>
            <w:r w:rsidR="00C91A80" w:rsidRPr="009B2464">
              <w:rPr>
                <w:noProof/>
              </w:rPr>
              <w:t>v</w:t>
            </w:r>
            <w:r w:rsidRPr="009B2464">
              <w:rPr>
                <w:noProof/>
              </w:rPr>
              <w:t>)</w:t>
            </w:r>
            <w:r w:rsidRPr="009B2464">
              <w:rPr>
                <w:noProof/>
              </w:rPr>
              <w:tab/>
              <w:t>indiquer s</w:t>
            </w:r>
            <w:r w:rsidR="00E94EB0" w:rsidRPr="009B2464">
              <w:rPr>
                <w:noProof/>
              </w:rPr>
              <w:t>’</w:t>
            </w:r>
            <w:r w:rsidRPr="009B2464">
              <w:rPr>
                <w:noProof/>
              </w:rPr>
              <w:t>il y a eu une coutume ou pratique consistant à utiliser le matériel à cette fin ou si, suite à des faits nouveaux, il y a une nouvelle coutume ou pratique consistant à utiliser le matériel à cette fin;</w:t>
            </w:r>
          </w:p>
          <w:p w:rsidR="00E94EB0" w:rsidRPr="009B2464" w:rsidRDefault="00F33A24" w:rsidP="00F33A24">
            <w:pPr>
              <w:ind w:left="452"/>
              <w:rPr>
                <w:noProof/>
              </w:rPr>
            </w:pPr>
            <w:r w:rsidRPr="009B2464">
              <w:rPr>
                <w:noProof/>
              </w:rPr>
              <w:t>“v)</w:t>
            </w:r>
            <w:r w:rsidRPr="009B2464">
              <w:rPr>
                <w:noProof/>
              </w:rPr>
              <w:tab/>
              <w:t>indiquer l</w:t>
            </w:r>
            <w:r w:rsidR="00E94EB0" w:rsidRPr="009B2464">
              <w:rPr>
                <w:noProof/>
              </w:rPr>
              <w:t>’</w:t>
            </w:r>
            <w:r w:rsidRPr="009B2464">
              <w:rPr>
                <w:noProof/>
              </w:rPr>
              <w:t>intention de la part des personnes concernées (producteur, vendeur, fournisseur, acheteur, destinataire, utilisateur);</w:t>
            </w:r>
          </w:p>
          <w:p w:rsidR="0031661C" w:rsidRPr="009B2464" w:rsidRDefault="00F33A24" w:rsidP="00F33A24">
            <w:pPr>
              <w:ind w:left="452"/>
              <w:rPr>
                <w:noProof/>
              </w:rPr>
            </w:pPr>
            <w:r w:rsidRPr="009B2464">
              <w:rPr>
                <w:noProof/>
              </w:rPr>
              <w:t>“vi)</w:t>
            </w:r>
            <w:r w:rsidRPr="009B2464">
              <w:rPr>
                <w:noProof/>
              </w:rPr>
              <w:tab/>
            </w:r>
            <w:r w:rsidR="00823F06" w:rsidRPr="009B2464">
              <w:rPr>
                <w:noProof/>
              </w:rPr>
              <w:t xml:space="preserve">indiquer </w:t>
            </w:r>
            <w:r w:rsidRPr="009B2464">
              <w:rPr>
                <w:noProof/>
              </w:rPr>
              <w:t xml:space="preserve">si, sur la base de la nature et de la condition du matériel et/ou de la forme de son utilisation, il peut être établi que le matériel est du </w:t>
            </w:r>
            <w:r w:rsidR="00E94EB0" w:rsidRPr="009B2464">
              <w:rPr>
                <w:noProof/>
              </w:rPr>
              <w:t>‘</w:t>
            </w:r>
            <w:r w:rsidRPr="009B2464">
              <w:rPr>
                <w:noProof/>
              </w:rPr>
              <w:t>matériel de reproduction ou de multiplication</w:t>
            </w:r>
            <w:r w:rsidR="00E94EB0" w:rsidRPr="009B2464">
              <w:rPr>
                <w:noProof/>
              </w:rPr>
              <w:t>’</w:t>
            </w:r>
            <w:r w:rsidRPr="009B2464">
              <w:rPr>
                <w:noProof/>
              </w:rPr>
              <w:t>;  ou</w:t>
            </w:r>
          </w:p>
          <w:p w:rsidR="00F21AB5" w:rsidRPr="007A1A00" w:rsidRDefault="00E3766A" w:rsidP="009660C0">
            <w:pPr>
              <w:ind w:left="452"/>
              <w:rPr>
                <w:noProof/>
                <w:spacing w:val="-2"/>
              </w:rPr>
            </w:pPr>
            <w:r w:rsidRPr="009B2464">
              <w:rPr>
                <w:noProof/>
              </w:rPr>
              <w:t>“</w:t>
            </w:r>
            <w:r w:rsidR="00F21AB5" w:rsidRPr="009B2464">
              <w:rPr>
                <w:noProof/>
              </w:rPr>
              <w:t>vii)</w:t>
            </w:r>
            <w:r w:rsidR="00F21AB5" w:rsidRPr="009B2464">
              <w:rPr>
                <w:noProof/>
              </w:rPr>
              <w:tab/>
            </w:r>
            <w:r w:rsidR="003D00B3" w:rsidRPr="009B2464">
              <w:rPr>
                <w:noProof/>
              </w:rPr>
              <w:t>le matériel de la variété dont les</w:t>
            </w:r>
            <w:r w:rsidR="00F21AB5" w:rsidRPr="009B2464">
              <w:rPr>
                <w:noProof/>
              </w:rPr>
              <w:t xml:space="preserve"> conditions </w:t>
            </w:r>
            <w:r w:rsidR="003D00B3" w:rsidRPr="009B2464">
              <w:rPr>
                <w:noProof/>
              </w:rPr>
              <w:t>et le</w:t>
            </w:r>
            <w:r w:rsidR="00F21AB5" w:rsidRPr="009B2464">
              <w:rPr>
                <w:noProof/>
              </w:rPr>
              <w:t xml:space="preserve"> mode </w:t>
            </w:r>
            <w:r w:rsidR="003D00B3" w:rsidRPr="009B2464">
              <w:rPr>
                <w:noProof/>
              </w:rPr>
              <w:t>de</w:t>
            </w:r>
            <w:r w:rsidR="00F21AB5" w:rsidRPr="009B2464">
              <w:rPr>
                <w:noProof/>
              </w:rPr>
              <w:t xml:space="preserve"> production </w:t>
            </w:r>
            <w:r w:rsidR="00370F82" w:rsidRPr="009B2464">
              <w:rPr>
                <w:noProof/>
              </w:rPr>
              <w:t>répondent à l</w:t>
            </w:r>
            <w:r w:rsidR="00E94EB0" w:rsidRPr="009B2464">
              <w:rPr>
                <w:noProof/>
              </w:rPr>
              <w:t>’</w:t>
            </w:r>
            <w:r w:rsidR="00370F82" w:rsidRPr="009B2464">
              <w:rPr>
                <w:noProof/>
              </w:rPr>
              <w:t>objectif</w:t>
            </w:r>
            <w:r w:rsidR="00F21AB5" w:rsidRPr="009B2464">
              <w:rPr>
                <w:noProof/>
              </w:rPr>
              <w:t xml:space="preserve"> </w:t>
            </w:r>
            <w:r w:rsidR="003D00B3" w:rsidRPr="009B2464">
              <w:rPr>
                <w:noProof/>
              </w:rPr>
              <w:t>de</w:t>
            </w:r>
            <w:r w:rsidR="00F21AB5" w:rsidRPr="009B2464">
              <w:rPr>
                <w:noProof/>
              </w:rPr>
              <w:t xml:space="preserve"> reproduction </w:t>
            </w:r>
            <w:r w:rsidR="00370F82" w:rsidRPr="009B2464">
              <w:rPr>
                <w:noProof/>
              </w:rPr>
              <w:t>des nouvelles</w:t>
            </w:r>
            <w:r w:rsidR="00F21AB5" w:rsidRPr="009B2464">
              <w:rPr>
                <w:noProof/>
              </w:rPr>
              <w:t xml:space="preserve"> plant</w:t>
            </w:r>
            <w:r w:rsidR="00370F82" w:rsidRPr="009B2464">
              <w:rPr>
                <w:noProof/>
              </w:rPr>
              <w:t>e</w:t>
            </w:r>
            <w:r w:rsidR="00F21AB5" w:rsidRPr="009B2464">
              <w:rPr>
                <w:noProof/>
              </w:rPr>
              <w:t xml:space="preserve">s </w:t>
            </w:r>
            <w:r w:rsidR="00370F82" w:rsidRPr="009B2464">
              <w:rPr>
                <w:noProof/>
              </w:rPr>
              <w:t>de la</w:t>
            </w:r>
            <w:r w:rsidR="00F21AB5" w:rsidRPr="009B2464">
              <w:rPr>
                <w:noProof/>
              </w:rPr>
              <w:t xml:space="preserve"> </w:t>
            </w:r>
            <w:r w:rsidR="00370F82" w:rsidRPr="009B2464">
              <w:rPr>
                <w:noProof/>
              </w:rPr>
              <w:t xml:space="preserve">variété </w:t>
            </w:r>
            <w:r w:rsidR="009660C0" w:rsidRPr="009B2464">
              <w:rPr>
                <w:noProof/>
              </w:rPr>
              <w:t>mais</w:t>
            </w:r>
            <w:r w:rsidR="00F0027A" w:rsidRPr="009B2464">
              <w:rPr>
                <w:noProof/>
              </w:rPr>
              <w:t xml:space="preserve"> ne</w:t>
            </w:r>
            <w:r w:rsidR="00F21AB5" w:rsidRPr="009B2464">
              <w:rPr>
                <w:noProof/>
              </w:rPr>
              <w:t xml:space="preserve"> </w:t>
            </w:r>
            <w:r w:rsidR="009660C0" w:rsidRPr="009B2464">
              <w:rPr>
                <w:noProof/>
              </w:rPr>
              <w:t>sont</w:t>
            </w:r>
            <w:r w:rsidR="00F0027A" w:rsidRPr="009B2464">
              <w:rPr>
                <w:noProof/>
              </w:rPr>
              <w:t xml:space="preserve"> pas </w:t>
            </w:r>
            <w:r w:rsidR="009660C0" w:rsidRPr="009B2464">
              <w:rPr>
                <w:noProof/>
              </w:rPr>
              <w:t xml:space="preserve">destinés </w:t>
            </w:r>
            <w:r w:rsidR="00E81DA8" w:rsidRPr="009B2464">
              <w:rPr>
                <w:i/>
                <w:noProof/>
              </w:rPr>
              <w:t>in fine</w:t>
            </w:r>
            <w:r w:rsidR="00E81DA8" w:rsidRPr="009B2464">
              <w:rPr>
                <w:noProof/>
              </w:rPr>
              <w:t xml:space="preserve"> </w:t>
            </w:r>
            <w:r w:rsidR="009660C0" w:rsidRPr="009B2464">
              <w:rPr>
                <w:noProof/>
              </w:rPr>
              <w:t>à la consommation</w:t>
            </w:r>
            <w:r w:rsidR="00F21AB5" w:rsidRPr="009B2464">
              <w:rPr>
                <w:noProof/>
              </w:rPr>
              <w:t>.”</w:t>
            </w:r>
          </w:p>
        </w:tc>
      </w:tr>
    </w:tbl>
    <w:p w:rsidR="0031661C" w:rsidRPr="007A1A00" w:rsidRDefault="004F3B3C" w:rsidP="00F21AB5">
      <w:pPr>
        <w:rPr>
          <w:noProof/>
        </w:rPr>
      </w:pPr>
      <w:r w:rsidRPr="004F3B3C">
        <w:rPr>
          <w:noProof/>
          <w:vertAlign w:val="superscript"/>
        </w:rPr>
        <w:t>*</w:t>
      </w:r>
      <w:r w:rsidR="00AE08BE" w:rsidRPr="007A1A00">
        <w:rPr>
          <w:noProof/>
        </w:rPr>
        <w:fldChar w:fldCharType="begin"/>
      </w:r>
      <w:r w:rsidR="00F52E01" w:rsidRPr="007A1A00">
        <w:rPr>
          <w:noProof/>
        </w:rPr>
        <w:instrText xml:space="preserve"> AUTONUM  </w:instrText>
      </w:r>
      <w:r w:rsidR="00AE08BE" w:rsidRPr="007A1A00">
        <w:rPr>
          <w:noProof/>
        </w:rPr>
        <w:fldChar w:fldCharType="end"/>
      </w:r>
      <w:r w:rsidR="00F52E01" w:rsidRPr="007A1A00">
        <w:rPr>
          <w:noProof/>
        </w:rPr>
        <w:tab/>
      </w:r>
      <w:r w:rsidR="00BD3B10" w:rsidRPr="007A1A00">
        <w:rPr>
          <w:noProof/>
          <w:snapToGrid w:val="0"/>
        </w:rPr>
        <w:t xml:space="preserve">Le </w:t>
      </w:r>
      <w:r w:rsidR="00F52E01" w:rsidRPr="007A1A00">
        <w:rPr>
          <w:noProof/>
        </w:rPr>
        <w:t xml:space="preserve">CAJ </w:t>
      </w:r>
      <w:r w:rsidR="005107DD" w:rsidRPr="007A1A00">
        <w:rPr>
          <w:noProof/>
        </w:rPr>
        <w:t>convient</w:t>
      </w:r>
      <w:r w:rsidR="00E81DA8" w:rsidRPr="007A1A00">
        <w:rPr>
          <w:noProof/>
        </w:rPr>
        <w:t xml:space="preserve"> qu</w:t>
      </w:r>
      <w:r w:rsidR="00E94EB0" w:rsidRPr="007A1A00">
        <w:rPr>
          <w:noProof/>
        </w:rPr>
        <w:t>’</w:t>
      </w:r>
      <w:r w:rsidR="00E81DA8" w:rsidRPr="007A1A00">
        <w:rPr>
          <w:noProof/>
        </w:rPr>
        <w:t>un projet du</w:t>
      </w:r>
      <w:r w:rsidR="00407CA5" w:rsidRPr="007A1A00">
        <w:rPr>
          <w:noProof/>
        </w:rPr>
        <w:t xml:space="preserve"> document “</w:t>
      </w:r>
      <w:r w:rsidR="00E81DA8" w:rsidRPr="007A1A00">
        <w:rPr>
          <w:noProof/>
        </w:rPr>
        <w:t xml:space="preserve">Notes explicatives sur le matériel de reproduction ou de multiplication selon la </w:t>
      </w:r>
      <w:r w:rsidR="00E94EB0" w:rsidRPr="007A1A00">
        <w:rPr>
          <w:noProof/>
        </w:rPr>
        <w:t>Convention UPOV</w:t>
      </w:r>
      <w:r w:rsidR="00407CA5" w:rsidRPr="007A1A00">
        <w:rPr>
          <w:noProof/>
        </w:rPr>
        <w:t xml:space="preserve">” </w:t>
      </w:r>
      <w:r w:rsidR="00E81DA8" w:rsidRPr="007A1A00">
        <w:rPr>
          <w:noProof/>
        </w:rPr>
        <w:t>contenant les modifications</w:t>
      </w:r>
      <w:r w:rsidR="00407CA5" w:rsidRPr="007A1A00">
        <w:rPr>
          <w:noProof/>
        </w:rPr>
        <w:t xml:space="preserve"> </w:t>
      </w:r>
      <w:r w:rsidR="00E81DA8" w:rsidRPr="007A1A00">
        <w:rPr>
          <w:noProof/>
        </w:rPr>
        <w:t>approuvées par</w:t>
      </w:r>
      <w:r w:rsidR="00E94EB0" w:rsidRPr="007A1A00">
        <w:rPr>
          <w:noProof/>
        </w:rPr>
        <w:t xml:space="preserve"> le CAJ</w:t>
      </w:r>
      <w:r w:rsidR="00407CA5" w:rsidRPr="007A1A00">
        <w:rPr>
          <w:noProof/>
        </w:rPr>
        <w:t xml:space="preserve"> </w:t>
      </w:r>
      <w:r w:rsidR="00E81DA8" w:rsidRPr="007A1A00">
        <w:rPr>
          <w:noProof/>
        </w:rPr>
        <w:t>à sa</w:t>
      </w:r>
      <w:r w:rsidR="00407CA5" w:rsidRPr="007A1A00">
        <w:rPr>
          <w:noProof/>
        </w:rPr>
        <w:t xml:space="preserve"> </w:t>
      </w:r>
      <w:r w:rsidR="00E81DA8" w:rsidRPr="007A1A00">
        <w:rPr>
          <w:noProof/>
        </w:rPr>
        <w:t>soixante</w:t>
      </w:r>
      <w:r w:rsidR="00805E4D" w:rsidRPr="007A1A00">
        <w:rPr>
          <w:noProof/>
        </w:rPr>
        <w:noBreakHyphen/>
      </w:r>
      <w:r w:rsidR="00596EC9" w:rsidRPr="007A1A00">
        <w:rPr>
          <w:noProof/>
        </w:rPr>
        <w:t>douzième</w:t>
      </w:r>
      <w:r w:rsidR="00E73D21" w:rsidRPr="007A1A00">
        <w:rPr>
          <w:noProof/>
        </w:rPr>
        <w:t> </w:t>
      </w:r>
      <w:r w:rsidR="00823F06" w:rsidRPr="007A1A00">
        <w:rPr>
          <w:noProof/>
        </w:rPr>
        <w:t>session soit présenté</w:t>
      </w:r>
      <w:r w:rsidR="00E81DA8" w:rsidRPr="007A1A00">
        <w:rPr>
          <w:noProof/>
        </w:rPr>
        <w:t xml:space="preserve"> pour</w:t>
      </w:r>
      <w:r w:rsidR="00407CA5" w:rsidRPr="007A1A00">
        <w:rPr>
          <w:noProof/>
        </w:rPr>
        <w:t xml:space="preserve"> adoption </w:t>
      </w:r>
      <w:r w:rsidR="00E81DA8" w:rsidRPr="007A1A00">
        <w:rPr>
          <w:noProof/>
        </w:rPr>
        <w:t>par le</w:t>
      </w:r>
      <w:r w:rsidR="00407CA5" w:rsidRPr="007A1A00">
        <w:rPr>
          <w:noProof/>
        </w:rPr>
        <w:t xml:space="preserve"> </w:t>
      </w:r>
      <w:r w:rsidR="00E81DA8" w:rsidRPr="007A1A00">
        <w:rPr>
          <w:noProof/>
        </w:rPr>
        <w:t>Conseil à sa</w:t>
      </w:r>
      <w:r w:rsidR="00407CA5" w:rsidRPr="007A1A00">
        <w:rPr>
          <w:noProof/>
        </w:rPr>
        <w:t xml:space="preserve"> session</w:t>
      </w:r>
      <w:r w:rsidR="00A62D23" w:rsidRPr="007A1A00">
        <w:rPr>
          <w:noProof/>
        </w:rPr>
        <w:t xml:space="preserve"> </w:t>
      </w:r>
      <w:r w:rsidR="00E81DA8" w:rsidRPr="007A1A00">
        <w:rPr>
          <w:noProof/>
        </w:rPr>
        <w:t>extraordinaire en mars </w:t>
      </w:r>
      <w:r w:rsidR="00A62D23" w:rsidRPr="007A1A00">
        <w:rPr>
          <w:noProof/>
        </w:rPr>
        <w:t>2016</w:t>
      </w:r>
      <w:r w:rsidR="00407CA5" w:rsidRPr="007A1A00">
        <w:rPr>
          <w:noProof/>
        </w:rPr>
        <w:t>.</w:t>
      </w:r>
    </w:p>
    <w:p w:rsidR="0031661C" w:rsidRPr="007A1A00" w:rsidRDefault="0031661C" w:rsidP="00F21AB5">
      <w:pPr>
        <w:spacing w:line="360" w:lineRule="auto"/>
        <w:rPr>
          <w:noProof/>
        </w:rPr>
      </w:pPr>
    </w:p>
    <w:bookmarkEnd w:id="6"/>
    <w:p w:rsidR="00E94EB0" w:rsidRPr="007A1A00" w:rsidRDefault="00F33A24" w:rsidP="00F33A24">
      <w:pPr>
        <w:pStyle w:val="Heading3"/>
        <w:rPr>
          <w:noProof/>
          <w:lang w:val="fr-FR"/>
        </w:rPr>
      </w:pPr>
      <w:r w:rsidRPr="007A1A00">
        <w:rPr>
          <w:noProof/>
          <w:lang w:val="fr-FR"/>
        </w:rPr>
        <w:t>Programme d</w:t>
      </w:r>
      <w:r w:rsidR="00E94EB0" w:rsidRPr="007A1A00">
        <w:rPr>
          <w:noProof/>
          <w:lang w:val="fr-FR"/>
        </w:rPr>
        <w:t>’</w:t>
      </w:r>
      <w:r w:rsidRPr="007A1A00">
        <w:rPr>
          <w:noProof/>
          <w:lang w:val="fr-FR"/>
        </w:rPr>
        <w:t>élaboration de matériels d</w:t>
      </w:r>
      <w:r w:rsidR="00E94EB0" w:rsidRPr="007A1A00">
        <w:rPr>
          <w:noProof/>
          <w:lang w:val="fr-FR"/>
        </w:rPr>
        <w:t>’</w:t>
      </w:r>
      <w:r w:rsidRPr="007A1A00">
        <w:rPr>
          <w:noProof/>
          <w:lang w:val="fr-FR"/>
        </w:rPr>
        <w:t>information</w:t>
      </w:r>
    </w:p>
    <w:p w:rsidR="0031661C" w:rsidRPr="007A1A00" w:rsidRDefault="0031661C" w:rsidP="008A0F94">
      <w:pPr>
        <w:rPr>
          <w:noProof/>
        </w:rPr>
      </w:pPr>
    </w:p>
    <w:p w:rsidR="00E94EB0" w:rsidRPr="007A1A00" w:rsidRDefault="004F3B3C" w:rsidP="008A0F94">
      <w:pPr>
        <w:rPr>
          <w:noProof/>
        </w:rPr>
      </w:pPr>
      <w:r w:rsidRPr="004F3B3C">
        <w:rPr>
          <w:noProof/>
          <w:vertAlign w:val="superscript"/>
        </w:rPr>
        <w:t>*</w:t>
      </w:r>
      <w:r w:rsidR="00AE08BE" w:rsidRPr="007A1A00">
        <w:rPr>
          <w:noProof/>
        </w:rPr>
        <w:fldChar w:fldCharType="begin"/>
      </w:r>
      <w:r w:rsidR="008A0F94" w:rsidRPr="007A1A00">
        <w:rPr>
          <w:noProof/>
        </w:rPr>
        <w:instrText xml:space="preserve"> AUTONUM  </w:instrText>
      </w:r>
      <w:r w:rsidR="00AE08BE" w:rsidRPr="007A1A00">
        <w:rPr>
          <w:noProof/>
        </w:rPr>
        <w:fldChar w:fldCharType="end"/>
      </w:r>
      <w:r w:rsidR="008A0F94" w:rsidRPr="007A1A00">
        <w:rPr>
          <w:noProof/>
        </w:rPr>
        <w:tab/>
      </w:r>
      <w:r w:rsidR="00BD3B10" w:rsidRPr="007A1A00">
        <w:rPr>
          <w:noProof/>
          <w:snapToGrid w:val="0"/>
        </w:rPr>
        <w:t xml:space="preserve">Le </w:t>
      </w:r>
      <w:r w:rsidR="008A0F94" w:rsidRPr="007A1A00">
        <w:rPr>
          <w:noProof/>
        </w:rPr>
        <w:t xml:space="preserve">CAJ </w:t>
      </w:r>
      <w:r w:rsidR="006A3706" w:rsidRPr="007A1A00">
        <w:rPr>
          <w:noProof/>
        </w:rPr>
        <w:t xml:space="preserve">examine </w:t>
      </w:r>
      <w:r w:rsidR="005107DD" w:rsidRPr="007A1A00">
        <w:rPr>
          <w:noProof/>
        </w:rPr>
        <w:t>le</w:t>
      </w:r>
      <w:r w:rsidR="008A0F94" w:rsidRPr="007A1A00">
        <w:rPr>
          <w:noProof/>
        </w:rPr>
        <w:t xml:space="preserve"> program</w:t>
      </w:r>
      <w:r w:rsidR="005107DD" w:rsidRPr="007A1A00">
        <w:rPr>
          <w:noProof/>
        </w:rPr>
        <w:t>me d</w:t>
      </w:r>
      <w:r w:rsidR="00E94EB0" w:rsidRPr="007A1A00">
        <w:rPr>
          <w:noProof/>
        </w:rPr>
        <w:t>’</w:t>
      </w:r>
      <w:r w:rsidR="003B7841" w:rsidRPr="007A1A00">
        <w:rPr>
          <w:noProof/>
        </w:rPr>
        <w:t xml:space="preserve">élaboration des </w:t>
      </w:r>
      <w:r w:rsidR="00823F06" w:rsidRPr="007A1A00">
        <w:rPr>
          <w:noProof/>
        </w:rPr>
        <w:t>documents</w:t>
      </w:r>
      <w:r w:rsidR="008A0F94" w:rsidRPr="007A1A00">
        <w:rPr>
          <w:noProof/>
        </w:rPr>
        <w:t xml:space="preserve"> </w:t>
      </w:r>
      <w:r w:rsidR="005107DD" w:rsidRPr="007A1A00">
        <w:rPr>
          <w:noProof/>
        </w:rPr>
        <w:t>d</w:t>
      </w:r>
      <w:r w:rsidR="00E94EB0" w:rsidRPr="007A1A00">
        <w:rPr>
          <w:noProof/>
        </w:rPr>
        <w:t>’</w:t>
      </w:r>
      <w:r w:rsidR="008A0F94" w:rsidRPr="007A1A00">
        <w:rPr>
          <w:noProof/>
        </w:rPr>
        <w:t xml:space="preserve">information </w:t>
      </w:r>
      <w:r w:rsidR="00340073" w:rsidRPr="007A1A00">
        <w:rPr>
          <w:noProof/>
        </w:rPr>
        <w:t>conjointement avec les</w:t>
      </w:r>
      <w:r w:rsidR="008A0F94" w:rsidRPr="007A1A00">
        <w:rPr>
          <w:noProof/>
        </w:rPr>
        <w:t xml:space="preserve"> </w:t>
      </w:r>
      <w:r w:rsidR="00823F06" w:rsidRPr="007A1A00">
        <w:rPr>
          <w:noProof/>
        </w:rPr>
        <w:t>débats</w:t>
      </w:r>
      <w:r w:rsidR="008A0F94" w:rsidRPr="007A1A00">
        <w:rPr>
          <w:noProof/>
        </w:rPr>
        <w:t xml:space="preserve"> </w:t>
      </w:r>
      <w:r w:rsidR="008E552F" w:rsidRPr="007A1A00">
        <w:rPr>
          <w:noProof/>
        </w:rPr>
        <w:t xml:space="preserve">sur le calendrier </w:t>
      </w:r>
      <w:r w:rsidR="005107DD" w:rsidRPr="007A1A00">
        <w:rPr>
          <w:noProof/>
        </w:rPr>
        <w:t>des</w:t>
      </w:r>
      <w:r w:rsidR="008A0F94" w:rsidRPr="007A1A00">
        <w:rPr>
          <w:noProof/>
        </w:rPr>
        <w:t xml:space="preserve"> sessions</w:t>
      </w:r>
      <w:r w:rsidR="00E94EB0" w:rsidRPr="007A1A00">
        <w:rPr>
          <w:noProof/>
        </w:rPr>
        <w:t xml:space="preserve"> du CAJ</w:t>
      </w:r>
      <w:r w:rsidR="008A0F94" w:rsidRPr="007A1A00">
        <w:rPr>
          <w:noProof/>
        </w:rPr>
        <w:t xml:space="preserve">, </w:t>
      </w:r>
      <w:r w:rsidR="00823F06" w:rsidRPr="007A1A00">
        <w:rPr>
          <w:noProof/>
        </w:rPr>
        <w:t>au</w:t>
      </w:r>
      <w:r w:rsidR="008E552F" w:rsidRPr="007A1A00">
        <w:rPr>
          <w:noProof/>
        </w:rPr>
        <w:t xml:space="preserve"> point</w:t>
      </w:r>
      <w:r w:rsidR="00823F06" w:rsidRPr="007A1A00">
        <w:rPr>
          <w:noProof/>
        </w:rPr>
        <w:t xml:space="preserve"> intitulé</w:t>
      </w:r>
      <w:r w:rsidR="008E552F" w:rsidRPr="007A1A00">
        <w:rPr>
          <w:noProof/>
        </w:rPr>
        <w:t xml:space="preserve"> </w:t>
      </w:r>
      <w:r w:rsidR="008A0F94" w:rsidRPr="007A1A00">
        <w:rPr>
          <w:noProof/>
        </w:rPr>
        <w:t>“Program</w:t>
      </w:r>
      <w:r w:rsidR="008E552F" w:rsidRPr="007A1A00">
        <w:rPr>
          <w:noProof/>
        </w:rPr>
        <w:t xml:space="preserve">me </w:t>
      </w:r>
      <w:r w:rsidR="008E552F" w:rsidRPr="007A1A00">
        <w:t>de la soixante</w:t>
      </w:r>
      <w:r w:rsidR="00805E4D" w:rsidRPr="007A1A00">
        <w:noBreakHyphen/>
      </w:r>
      <w:r w:rsidR="008E552F" w:rsidRPr="007A1A00">
        <w:t>treizième session</w:t>
      </w:r>
      <w:r w:rsidR="008A0F94" w:rsidRPr="007A1A00">
        <w:rPr>
          <w:noProof/>
        </w:rPr>
        <w:t>” (</w:t>
      </w:r>
      <w:r w:rsidR="005107DD" w:rsidRPr="007A1A00">
        <w:rPr>
          <w:noProof/>
        </w:rPr>
        <w:t>voir le</w:t>
      </w:r>
      <w:r w:rsidR="008A0F94" w:rsidRPr="007A1A00">
        <w:rPr>
          <w:noProof/>
        </w:rPr>
        <w:t xml:space="preserve"> document CAJ/7</w:t>
      </w:r>
      <w:r w:rsidR="008E552F" w:rsidRPr="007A1A00">
        <w:rPr>
          <w:noProof/>
        </w:rPr>
        <w:t>2/8)</w:t>
      </w:r>
      <w:r w:rsidR="008A0F94" w:rsidRPr="007A1A00">
        <w:rPr>
          <w:noProof/>
        </w:rPr>
        <w:t xml:space="preserve"> </w:t>
      </w:r>
      <w:r w:rsidR="008E552F" w:rsidRPr="007A1A00">
        <w:rPr>
          <w:noProof/>
        </w:rPr>
        <w:t>et</w:t>
      </w:r>
      <w:r w:rsidR="00021E35" w:rsidRPr="007A1A00">
        <w:rPr>
          <w:noProof/>
        </w:rPr>
        <w:t xml:space="preserve"> </w:t>
      </w:r>
      <w:r w:rsidR="008E552F" w:rsidRPr="007A1A00">
        <w:rPr>
          <w:noProof/>
        </w:rPr>
        <w:t>convient de ce qui suit :</w:t>
      </w:r>
    </w:p>
    <w:p w:rsidR="0031661C" w:rsidRPr="007A1A00" w:rsidRDefault="0031661C" w:rsidP="008A0F94">
      <w:pPr>
        <w:rPr>
          <w:noProof/>
        </w:rPr>
      </w:pPr>
    </w:p>
    <w:p w:rsidR="0031661C" w:rsidRPr="007A1A00" w:rsidRDefault="00F33A24" w:rsidP="00F33A24">
      <w:pPr>
        <w:pStyle w:val="Heading3"/>
        <w:ind w:left="567"/>
        <w:rPr>
          <w:noProof/>
          <w:lang w:val="fr-FR"/>
        </w:rPr>
      </w:pPr>
      <w:r w:rsidRPr="007A1A00">
        <w:rPr>
          <w:noProof/>
          <w:lang w:val="fr-FR"/>
        </w:rPr>
        <w:t>Notes explicatives sur les variétés essentiellement dérivées selon l</w:t>
      </w:r>
      <w:r w:rsidR="00E94EB0" w:rsidRPr="007A1A00">
        <w:rPr>
          <w:noProof/>
          <w:lang w:val="fr-FR"/>
        </w:rPr>
        <w:t>’</w:t>
      </w:r>
      <w:r w:rsidRPr="007A1A00">
        <w:rPr>
          <w:noProof/>
          <w:lang w:val="fr-FR"/>
        </w:rPr>
        <w:t>Acte de</w:t>
      </w:r>
      <w:r w:rsidR="00E73D21" w:rsidRPr="007A1A00">
        <w:rPr>
          <w:noProof/>
          <w:lang w:val="fr-FR"/>
        </w:rPr>
        <w:t> </w:t>
      </w:r>
      <w:r w:rsidRPr="007A1A00">
        <w:rPr>
          <w:noProof/>
          <w:lang w:val="fr-FR"/>
        </w:rPr>
        <w:t xml:space="preserve">1991 de la </w:t>
      </w:r>
      <w:r w:rsidR="00E94EB0" w:rsidRPr="007A1A00">
        <w:rPr>
          <w:noProof/>
          <w:lang w:val="fr-FR"/>
        </w:rPr>
        <w:t>Convention UPOV</w:t>
      </w:r>
      <w:r w:rsidRPr="007A1A00">
        <w:rPr>
          <w:noProof/>
          <w:lang w:val="fr-FR"/>
        </w:rPr>
        <w:t xml:space="preserve"> (</w:t>
      </w:r>
      <w:r w:rsidR="0029236A" w:rsidRPr="007A1A00">
        <w:rPr>
          <w:noProof/>
          <w:lang w:val="fr-FR"/>
        </w:rPr>
        <w:t>révision) (UPOV/EXN/EDV/2 Draft </w:t>
      </w:r>
      <w:r w:rsidRPr="007A1A00">
        <w:rPr>
          <w:noProof/>
          <w:lang w:val="fr-FR"/>
        </w:rPr>
        <w:t>7)</w:t>
      </w:r>
    </w:p>
    <w:p w:rsidR="0031661C" w:rsidRPr="007A1A00" w:rsidRDefault="0031661C" w:rsidP="00021E35">
      <w:pPr>
        <w:ind w:left="567"/>
        <w:rPr>
          <w:noProof/>
        </w:rPr>
      </w:pPr>
    </w:p>
    <w:p w:rsidR="0031661C" w:rsidRPr="007A1A00" w:rsidRDefault="00F33A24" w:rsidP="00F33A24">
      <w:pPr>
        <w:pStyle w:val="Heading3"/>
        <w:ind w:left="567"/>
        <w:rPr>
          <w:noProof/>
          <w:lang w:val="fr-FR"/>
        </w:rPr>
      </w:pPr>
      <w:r w:rsidRPr="007A1A00">
        <w:rPr>
          <w:noProof/>
          <w:lang w:val="fr-FR"/>
        </w:rPr>
        <w:t xml:space="preserve">Notes explicatives sur les dénominations variétales selon la </w:t>
      </w:r>
      <w:r w:rsidR="00E94EB0" w:rsidRPr="007A1A00">
        <w:rPr>
          <w:noProof/>
          <w:lang w:val="fr-FR"/>
        </w:rPr>
        <w:t>Convention UPOV</w:t>
      </w:r>
      <w:r w:rsidRPr="007A1A00">
        <w:rPr>
          <w:noProof/>
          <w:lang w:val="fr-FR"/>
        </w:rPr>
        <w:t xml:space="preserve"> (révision)</w:t>
      </w:r>
    </w:p>
    <w:p w:rsidR="0031661C" w:rsidRPr="007A1A00" w:rsidRDefault="0031661C" w:rsidP="00021E35">
      <w:pPr>
        <w:ind w:left="567"/>
        <w:rPr>
          <w:noProof/>
        </w:rPr>
      </w:pPr>
    </w:p>
    <w:p w:rsidR="0031661C" w:rsidRPr="007A1A00" w:rsidRDefault="00BD0BF4" w:rsidP="00021E35">
      <w:pPr>
        <w:ind w:left="567"/>
        <w:rPr>
          <w:noProof/>
        </w:rPr>
      </w:pPr>
      <w:r w:rsidRPr="007A1A00">
        <w:rPr>
          <w:noProof/>
        </w:rPr>
        <w:t xml:space="preserve">Révision éventuelle des notes explicatives </w:t>
      </w:r>
      <w:r w:rsidR="0002157B" w:rsidRPr="007A1A00">
        <w:rPr>
          <w:noProof/>
        </w:rPr>
        <w:t>sur les conditions et limitations relatives à l</w:t>
      </w:r>
      <w:r w:rsidR="00E94EB0" w:rsidRPr="007A1A00">
        <w:rPr>
          <w:noProof/>
        </w:rPr>
        <w:t>’</w:t>
      </w:r>
      <w:r w:rsidR="0002157B" w:rsidRPr="007A1A00">
        <w:rPr>
          <w:noProof/>
        </w:rPr>
        <w:t>autorisation de l</w:t>
      </w:r>
      <w:r w:rsidR="00E94EB0" w:rsidRPr="007A1A00">
        <w:rPr>
          <w:noProof/>
        </w:rPr>
        <w:t>’</w:t>
      </w:r>
      <w:r w:rsidR="0002157B" w:rsidRPr="007A1A00">
        <w:rPr>
          <w:noProof/>
        </w:rPr>
        <w:t xml:space="preserve">obtenteur </w:t>
      </w:r>
      <w:r w:rsidR="00E94EB0" w:rsidRPr="007A1A00">
        <w:rPr>
          <w:noProof/>
        </w:rPr>
        <w:t>à l’égard</w:t>
      </w:r>
      <w:r w:rsidR="0002157B" w:rsidRPr="007A1A00">
        <w:rPr>
          <w:noProof/>
        </w:rPr>
        <w:t xml:space="preserve"> du matériel de reproduction ou de multiplication selon la </w:t>
      </w:r>
      <w:r w:rsidR="00E94EB0" w:rsidRPr="007A1A00">
        <w:rPr>
          <w:noProof/>
        </w:rPr>
        <w:t>Convention UPOV</w:t>
      </w:r>
      <w:r w:rsidR="0002157B" w:rsidRPr="007A1A00">
        <w:rPr>
          <w:noProof/>
        </w:rPr>
        <w:t xml:space="preserve"> </w:t>
      </w:r>
      <w:r w:rsidR="00856980" w:rsidRPr="007A1A00">
        <w:rPr>
          <w:noProof/>
        </w:rPr>
        <w:t>(</w:t>
      </w:r>
      <w:r w:rsidR="00E94EB0" w:rsidRPr="007A1A00">
        <w:rPr>
          <w:noProof/>
        </w:rPr>
        <w:t>document UP</w:t>
      </w:r>
      <w:r w:rsidR="00856980" w:rsidRPr="007A1A00">
        <w:rPr>
          <w:noProof/>
        </w:rPr>
        <w:t>OV/EXN/CAL/1)</w:t>
      </w:r>
    </w:p>
    <w:p w:rsidR="0031661C" w:rsidRPr="007A1A00" w:rsidRDefault="0031661C" w:rsidP="00021E35">
      <w:pPr>
        <w:ind w:left="567"/>
        <w:rPr>
          <w:noProof/>
        </w:rPr>
      </w:pPr>
    </w:p>
    <w:p w:rsidR="0031661C" w:rsidRPr="007A1A00" w:rsidRDefault="00F33A24" w:rsidP="00F33A24">
      <w:pPr>
        <w:pStyle w:val="Heading3"/>
        <w:ind w:left="567"/>
        <w:rPr>
          <w:noProof/>
          <w:lang w:val="fr-FR"/>
        </w:rPr>
      </w:pPr>
      <w:r w:rsidRPr="007A1A00">
        <w:rPr>
          <w:noProof/>
          <w:lang w:val="fr-FR"/>
        </w:rPr>
        <w:t>Bulletin type de l</w:t>
      </w:r>
      <w:r w:rsidR="00E94EB0" w:rsidRPr="007A1A00">
        <w:rPr>
          <w:noProof/>
          <w:lang w:val="fr-FR"/>
        </w:rPr>
        <w:t>’</w:t>
      </w:r>
      <w:r w:rsidRPr="007A1A00">
        <w:rPr>
          <w:noProof/>
          <w:lang w:val="fr-FR"/>
        </w:rPr>
        <w:t>UPOV de la protection des obtentions végétales (révision)</w:t>
      </w:r>
    </w:p>
    <w:p w:rsidR="0031661C" w:rsidRPr="007A1A00" w:rsidRDefault="0031661C" w:rsidP="00021E35">
      <w:pPr>
        <w:ind w:left="567"/>
        <w:rPr>
          <w:noProof/>
        </w:rPr>
      </w:pPr>
    </w:p>
    <w:p w:rsidR="0031661C" w:rsidRPr="007A1A00" w:rsidRDefault="004F3B3C" w:rsidP="00F33A24">
      <w:pPr>
        <w:rPr>
          <w:noProof/>
        </w:rPr>
      </w:pPr>
      <w:r w:rsidRPr="004F3B3C">
        <w:rPr>
          <w:noProof/>
          <w:vertAlign w:val="superscript"/>
        </w:rPr>
        <w:t>*</w:t>
      </w:r>
      <w:r w:rsidR="00AE08BE" w:rsidRPr="007A1A00">
        <w:rPr>
          <w:noProof/>
        </w:rPr>
        <w:fldChar w:fldCharType="begin"/>
      </w:r>
      <w:r w:rsidR="00F52E01" w:rsidRPr="007A1A00">
        <w:rPr>
          <w:noProof/>
        </w:rPr>
        <w:instrText xml:space="preserve"> AUTONUM  </w:instrText>
      </w:r>
      <w:r w:rsidR="00AE08BE" w:rsidRPr="007A1A00">
        <w:rPr>
          <w:noProof/>
        </w:rPr>
        <w:fldChar w:fldCharType="end"/>
      </w:r>
      <w:r w:rsidR="00F52E01" w:rsidRPr="007A1A00">
        <w:rPr>
          <w:noProof/>
        </w:rPr>
        <w:tab/>
      </w:r>
      <w:r w:rsidR="00F33A24" w:rsidRPr="007A1A00">
        <w:rPr>
          <w:noProof/>
        </w:rPr>
        <w:t>Le CAJ indique que, à sa soixante</w:t>
      </w:r>
      <w:r w:rsidR="00E73D21" w:rsidRPr="007A1A00">
        <w:rPr>
          <w:noProof/>
        </w:rPr>
        <w:t> </w:t>
      </w:r>
      <w:r w:rsidR="00F33A24" w:rsidRPr="007A1A00">
        <w:rPr>
          <w:noProof/>
        </w:rPr>
        <w:t>et</w:t>
      </w:r>
      <w:r w:rsidR="00E73D21" w:rsidRPr="007A1A00">
        <w:rPr>
          <w:noProof/>
        </w:rPr>
        <w:t> </w:t>
      </w:r>
      <w:r w:rsidR="00F33A24" w:rsidRPr="007A1A00">
        <w:rPr>
          <w:noProof/>
        </w:rPr>
        <w:t>onzième</w:t>
      </w:r>
      <w:r w:rsidR="00E73D21" w:rsidRPr="007A1A00">
        <w:rPr>
          <w:noProof/>
        </w:rPr>
        <w:t> </w:t>
      </w:r>
      <w:r w:rsidR="00F33A24" w:rsidRPr="007A1A00">
        <w:rPr>
          <w:noProof/>
        </w:rPr>
        <w:t>session, il était convenu de reporter l</w:t>
      </w:r>
      <w:r w:rsidR="00E94EB0" w:rsidRPr="007A1A00">
        <w:rPr>
          <w:noProof/>
        </w:rPr>
        <w:t>’</w:t>
      </w:r>
      <w:r w:rsidR="00F33A24" w:rsidRPr="007A1A00">
        <w:rPr>
          <w:noProof/>
        </w:rPr>
        <w:t>élaboration d</w:t>
      </w:r>
      <w:r w:rsidR="00E94EB0" w:rsidRPr="007A1A00">
        <w:rPr>
          <w:noProof/>
        </w:rPr>
        <w:t>’</w:t>
      </w:r>
      <w:r w:rsidR="00F33A24" w:rsidRPr="007A1A00">
        <w:rPr>
          <w:noProof/>
        </w:rPr>
        <w:t>un projet de révision du document UPOV/INF/5 “Bulletin type de l</w:t>
      </w:r>
      <w:r w:rsidR="00E94EB0" w:rsidRPr="007A1A00">
        <w:rPr>
          <w:noProof/>
        </w:rPr>
        <w:t>’</w:t>
      </w:r>
      <w:r w:rsidR="00F33A24" w:rsidRPr="007A1A00">
        <w:rPr>
          <w:noProof/>
        </w:rPr>
        <w:t xml:space="preserve">UPOV de la protection des obtentions végétales (révision)” (document </w:t>
      </w:r>
      <w:r w:rsidR="0029236A" w:rsidRPr="007A1A00">
        <w:rPr>
          <w:noProof/>
        </w:rPr>
        <w:t>UPOV/INF/5/1 Draft </w:t>
      </w:r>
      <w:r w:rsidR="00F33A24" w:rsidRPr="007A1A00">
        <w:rPr>
          <w:noProof/>
        </w:rPr>
        <w:t>1) en attendant l</w:t>
      </w:r>
      <w:r w:rsidR="00E94EB0" w:rsidRPr="007A1A00">
        <w:rPr>
          <w:noProof/>
        </w:rPr>
        <w:t>’</w:t>
      </w:r>
      <w:r w:rsidR="00F33A24" w:rsidRPr="007A1A00">
        <w:rPr>
          <w:noProof/>
        </w:rPr>
        <w:t>avancement des travaux concernant l</w:t>
      </w:r>
      <w:r w:rsidR="00E94EB0" w:rsidRPr="007A1A00">
        <w:rPr>
          <w:noProof/>
        </w:rPr>
        <w:t>’</w:t>
      </w:r>
      <w:r w:rsidR="00F33A24" w:rsidRPr="007A1A00">
        <w:rPr>
          <w:noProof/>
        </w:rPr>
        <w:t>élaboration d</w:t>
      </w:r>
      <w:r w:rsidR="00E94EB0" w:rsidRPr="007A1A00">
        <w:rPr>
          <w:noProof/>
        </w:rPr>
        <w:t>’</w:t>
      </w:r>
      <w:r w:rsidR="00F33A24" w:rsidRPr="007A1A00">
        <w:rPr>
          <w:noProof/>
        </w:rPr>
        <w:t>un prototype de formulaire électronique (voir le document CAJ/71/4 “Systèmes de dépôt électronique des demandes” et le paragraphe</w:t>
      </w:r>
      <w:r w:rsidR="00E73D21" w:rsidRPr="007A1A00">
        <w:rPr>
          <w:noProof/>
        </w:rPr>
        <w:t> </w:t>
      </w:r>
      <w:r w:rsidR="00F33A24" w:rsidRPr="007A1A00">
        <w:rPr>
          <w:noProof/>
        </w:rPr>
        <w:t>30 du document CAJ/71/10 “Compte rendu des conclusions”).</w:t>
      </w:r>
    </w:p>
    <w:p w:rsidR="0031661C" w:rsidRPr="00FF6474" w:rsidRDefault="0031661C" w:rsidP="00021E35">
      <w:pPr>
        <w:ind w:left="567"/>
        <w:rPr>
          <w:noProof/>
        </w:rPr>
      </w:pPr>
    </w:p>
    <w:p w:rsidR="0031661C" w:rsidRPr="007A1A00" w:rsidRDefault="003472E2" w:rsidP="003779B0">
      <w:pPr>
        <w:pStyle w:val="Heading3"/>
        <w:ind w:left="567"/>
        <w:rPr>
          <w:noProof/>
          <w:lang w:val="fr-FR"/>
        </w:rPr>
      </w:pPr>
      <w:r w:rsidRPr="007A1A00">
        <w:rPr>
          <w:noProof/>
          <w:lang w:val="fr-FR"/>
        </w:rPr>
        <w:t>Descriptions variétales et rôle du matériel végétal</w:t>
      </w:r>
    </w:p>
    <w:p w:rsidR="0031661C" w:rsidRPr="00FF6474" w:rsidRDefault="0031661C" w:rsidP="00021E35">
      <w:pPr>
        <w:keepNext/>
        <w:ind w:left="567"/>
        <w:rPr>
          <w:noProof/>
        </w:rPr>
      </w:pPr>
    </w:p>
    <w:p w:rsidR="0031661C" w:rsidRPr="007A1A00" w:rsidRDefault="004F3B3C" w:rsidP="0031661C">
      <w:pPr>
        <w:rPr>
          <w:noProof/>
        </w:rPr>
      </w:pPr>
      <w:r w:rsidRPr="004F3B3C">
        <w:rPr>
          <w:noProof/>
          <w:vertAlign w:val="superscript"/>
        </w:rPr>
        <w:t>*</w:t>
      </w:r>
      <w:r w:rsidR="00AE08BE" w:rsidRPr="007A1A00">
        <w:rPr>
          <w:noProof/>
        </w:rPr>
        <w:fldChar w:fldCharType="begin"/>
      </w:r>
      <w:r w:rsidR="008B04B8" w:rsidRPr="007A1A00">
        <w:rPr>
          <w:noProof/>
        </w:rPr>
        <w:instrText xml:space="preserve"> AUTONUM  </w:instrText>
      </w:r>
      <w:r w:rsidR="00AE08BE" w:rsidRPr="007A1A00">
        <w:rPr>
          <w:noProof/>
        </w:rPr>
        <w:fldChar w:fldCharType="end"/>
      </w:r>
      <w:r w:rsidR="008B04B8" w:rsidRPr="007A1A00">
        <w:rPr>
          <w:noProof/>
        </w:rPr>
        <w:tab/>
      </w:r>
      <w:r w:rsidR="0031661C" w:rsidRPr="007A1A00">
        <w:rPr>
          <w:noProof/>
        </w:rPr>
        <w:t xml:space="preserve">Le CAJ </w:t>
      </w:r>
      <w:r w:rsidR="002D1ADC" w:rsidRPr="007A1A00">
        <w:rPr>
          <w:noProof/>
        </w:rPr>
        <w:t>rappelle</w:t>
      </w:r>
      <w:r w:rsidR="0031661C" w:rsidRPr="007A1A00">
        <w:rPr>
          <w:noProof/>
        </w:rPr>
        <w:t xml:space="preserve"> que, à sa soixante</w:t>
      </w:r>
      <w:r w:rsidR="00E73D21" w:rsidRPr="007A1A00">
        <w:rPr>
          <w:noProof/>
        </w:rPr>
        <w:t> </w:t>
      </w:r>
      <w:r w:rsidR="0031661C" w:rsidRPr="007A1A00">
        <w:rPr>
          <w:noProof/>
        </w:rPr>
        <w:t>et</w:t>
      </w:r>
      <w:r w:rsidR="00E73D21" w:rsidRPr="007A1A00">
        <w:rPr>
          <w:noProof/>
        </w:rPr>
        <w:t> </w:t>
      </w:r>
      <w:r w:rsidR="0031661C" w:rsidRPr="007A1A00">
        <w:rPr>
          <w:noProof/>
        </w:rPr>
        <w:t>onzième</w:t>
      </w:r>
      <w:r w:rsidR="00E73D21" w:rsidRPr="007A1A00">
        <w:rPr>
          <w:noProof/>
        </w:rPr>
        <w:t> </w:t>
      </w:r>
      <w:r w:rsidR="0031661C" w:rsidRPr="007A1A00">
        <w:rPr>
          <w:noProof/>
        </w:rPr>
        <w:t>session, il avait noté que le</w:t>
      </w:r>
      <w:r w:rsidR="00E94EB0" w:rsidRPr="007A1A00">
        <w:rPr>
          <w:noProof/>
        </w:rPr>
        <w:t> TC</w:t>
      </w:r>
      <w:r w:rsidR="0031661C" w:rsidRPr="007A1A00">
        <w:rPr>
          <w:noProof/>
        </w:rPr>
        <w:t xml:space="preserve"> était convenu d</w:t>
      </w:r>
      <w:r w:rsidR="00E94EB0" w:rsidRPr="007A1A00">
        <w:rPr>
          <w:noProof/>
        </w:rPr>
        <w:t>’</w:t>
      </w:r>
      <w:r w:rsidR="0031661C" w:rsidRPr="007A1A00">
        <w:rPr>
          <w:noProof/>
        </w:rPr>
        <w:t xml:space="preserve">inscrire à </w:t>
      </w:r>
      <w:r w:rsidR="00823F06" w:rsidRPr="007A1A00">
        <w:rPr>
          <w:noProof/>
        </w:rPr>
        <w:t>l</w:t>
      </w:r>
      <w:r w:rsidR="00E94EB0" w:rsidRPr="007A1A00">
        <w:rPr>
          <w:noProof/>
        </w:rPr>
        <w:t>’</w:t>
      </w:r>
      <w:r w:rsidR="00823F06" w:rsidRPr="007A1A00">
        <w:rPr>
          <w:noProof/>
        </w:rPr>
        <w:t>ordre du jour de sa cinquante</w:t>
      </w:r>
      <w:r w:rsidR="00805E4D" w:rsidRPr="007A1A00">
        <w:rPr>
          <w:noProof/>
        </w:rPr>
        <w:noBreakHyphen/>
      </w:r>
      <w:r w:rsidR="0031661C" w:rsidRPr="007A1A00">
        <w:rPr>
          <w:noProof/>
        </w:rPr>
        <w:t>deuxième</w:t>
      </w:r>
      <w:r w:rsidR="00E73D21" w:rsidRPr="007A1A00">
        <w:rPr>
          <w:noProof/>
        </w:rPr>
        <w:t> </w:t>
      </w:r>
      <w:r w:rsidR="0031661C" w:rsidRPr="007A1A00">
        <w:rPr>
          <w:noProof/>
        </w:rPr>
        <w:t>session, prévue à Genève en</w:t>
      </w:r>
      <w:r w:rsidR="00E73D21" w:rsidRPr="007A1A00">
        <w:rPr>
          <w:noProof/>
        </w:rPr>
        <w:t> </w:t>
      </w:r>
      <w:r w:rsidR="0031661C" w:rsidRPr="007A1A00">
        <w:rPr>
          <w:noProof/>
        </w:rPr>
        <w:t>2016, un débat sur les descriptions variétales et le rôle du matériel végétal, notamment le nombre minimal de cycles de végétation pour l</w:t>
      </w:r>
      <w:r w:rsidR="00E94EB0" w:rsidRPr="007A1A00">
        <w:rPr>
          <w:noProof/>
        </w:rPr>
        <w:t>’</w:t>
      </w:r>
      <w:r w:rsidR="0031661C" w:rsidRPr="007A1A00">
        <w:rPr>
          <w:noProof/>
        </w:rPr>
        <w:t>examen</w:t>
      </w:r>
      <w:r w:rsidR="00E73D21" w:rsidRPr="007A1A00">
        <w:rPr>
          <w:noProof/>
        </w:rPr>
        <w:t> </w:t>
      </w:r>
      <w:r w:rsidR="0031661C" w:rsidRPr="007A1A00">
        <w:rPr>
          <w:noProof/>
        </w:rPr>
        <w:t>DHS</w:t>
      </w:r>
      <w:r w:rsidR="0031661C" w:rsidRPr="007A1A00">
        <w:rPr>
          <w:rStyle w:val="FootnoteReference"/>
          <w:noProof/>
        </w:rPr>
        <w:footnoteReference w:id="3"/>
      </w:r>
      <w:r w:rsidR="0031661C" w:rsidRPr="007A1A00">
        <w:rPr>
          <w:noProof/>
        </w:rPr>
        <w:t>.</w:t>
      </w:r>
      <w:r w:rsidR="00021E35" w:rsidRPr="007A1A00">
        <w:rPr>
          <w:noProof/>
        </w:rPr>
        <w:t xml:space="preserve"> </w:t>
      </w:r>
      <w:r w:rsidR="00E94EB0" w:rsidRPr="007A1A00">
        <w:rPr>
          <w:noProof/>
        </w:rPr>
        <w:t xml:space="preserve"> </w:t>
      </w:r>
      <w:r w:rsidR="00E94EB0" w:rsidRPr="007A1A00">
        <w:rPr>
          <w:noProof/>
          <w:snapToGrid w:val="0"/>
        </w:rPr>
        <w:t>Le</w:t>
      </w:r>
      <w:r w:rsidR="00E94EB0" w:rsidRPr="007A1A00">
        <w:rPr>
          <w:noProof/>
        </w:rPr>
        <w:t> CAJ</w:t>
      </w:r>
      <w:r w:rsidR="00DC0D64" w:rsidRPr="007A1A00">
        <w:rPr>
          <w:noProof/>
        </w:rPr>
        <w:t xml:space="preserve"> </w:t>
      </w:r>
      <w:r w:rsidR="002D1ADC" w:rsidRPr="007A1A00">
        <w:rPr>
          <w:noProof/>
        </w:rPr>
        <w:t>indique que</w:t>
      </w:r>
      <w:r w:rsidR="00315E8B" w:rsidRPr="007A1A00">
        <w:rPr>
          <w:noProof/>
        </w:rPr>
        <w:t xml:space="preserve"> </w:t>
      </w:r>
      <w:r w:rsidR="00993AA5" w:rsidRPr="007A1A00">
        <w:rPr>
          <w:noProof/>
        </w:rPr>
        <w:t>toute question concerna</w:t>
      </w:r>
      <w:r w:rsidR="00021E35" w:rsidRPr="007A1A00">
        <w:rPr>
          <w:noProof/>
        </w:rPr>
        <w:t>n</w:t>
      </w:r>
      <w:r w:rsidR="00993AA5" w:rsidRPr="007A1A00">
        <w:rPr>
          <w:noProof/>
        </w:rPr>
        <w:t>t les</w:t>
      </w:r>
      <w:r w:rsidR="00021E35" w:rsidRPr="007A1A00">
        <w:rPr>
          <w:noProof/>
        </w:rPr>
        <w:t xml:space="preserve"> </w:t>
      </w:r>
      <w:r w:rsidR="00993AA5" w:rsidRPr="007A1A00">
        <w:t>descriptions variétales et le rôle du matériel végétal</w:t>
      </w:r>
      <w:r w:rsidR="00993AA5" w:rsidRPr="007A1A00">
        <w:rPr>
          <w:noProof/>
        </w:rPr>
        <w:t xml:space="preserve"> </w:t>
      </w:r>
      <w:r w:rsidR="00164BFE" w:rsidRPr="007A1A00">
        <w:rPr>
          <w:noProof/>
        </w:rPr>
        <w:t>destinée à être examinée par le </w:t>
      </w:r>
      <w:r w:rsidR="00137357" w:rsidRPr="007A1A00">
        <w:rPr>
          <w:noProof/>
        </w:rPr>
        <w:t xml:space="preserve">CAJ </w:t>
      </w:r>
      <w:r w:rsidR="00164BFE" w:rsidRPr="007A1A00">
        <w:rPr>
          <w:noProof/>
        </w:rPr>
        <w:t>sera</w:t>
      </w:r>
      <w:r w:rsidR="00137357" w:rsidRPr="007A1A00">
        <w:rPr>
          <w:noProof/>
        </w:rPr>
        <w:t xml:space="preserve"> </w:t>
      </w:r>
      <w:r w:rsidR="00164BFE" w:rsidRPr="007A1A00">
        <w:rPr>
          <w:noProof/>
        </w:rPr>
        <w:t>communiqué</w:t>
      </w:r>
      <w:r w:rsidR="001D6F29" w:rsidRPr="007A1A00">
        <w:rPr>
          <w:noProof/>
        </w:rPr>
        <w:t>e</w:t>
      </w:r>
      <w:r w:rsidR="00E94EB0" w:rsidRPr="007A1A00">
        <w:rPr>
          <w:noProof/>
        </w:rPr>
        <w:t xml:space="preserve"> au CAJ</w:t>
      </w:r>
      <w:r w:rsidR="008B04B8" w:rsidRPr="007A1A00">
        <w:rPr>
          <w:noProof/>
        </w:rPr>
        <w:t xml:space="preserve"> </w:t>
      </w:r>
      <w:r w:rsidR="001D6F29" w:rsidRPr="007A1A00">
        <w:rPr>
          <w:noProof/>
        </w:rPr>
        <w:t>par le</w:t>
      </w:r>
      <w:r w:rsidR="00E94EB0" w:rsidRPr="007A1A00">
        <w:rPr>
          <w:noProof/>
        </w:rPr>
        <w:t> TC</w:t>
      </w:r>
      <w:r w:rsidR="001D6F29" w:rsidRPr="007A1A00">
        <w:rPr>
          <w:noProof/>
        </w:rPr>
        <w:t xml:space="preserve"> </w:t>
      </w:r>
      <w:r w:rsidR="008B04B8" w:rsidRPr="007A1A00">
        <w:rPr>
          <w:noProof/>
        </w:rPr>
        <w:t>(</w:t>
      </w:r>
      <w:r w:rsidR="00CD24A5" w:rsidRPr="007A1A00">
        <w:rPr>
          <w:noProof/>
        </w:rPr>
        <w:t>voir le</w:t>
      </w:r>
      <w:r w:rsidR="00164BFE" w:rsidRPr="007A1A00">
        <w:rPr>
          <w:noProof/>
        </w:rPr>
        <w:t> </w:t>
      </w:r>
      <w:r w:rsidR="00CD24A5" w:rsidRPr="007A1A00">
        <w:rPr>
          <w:noProof/>
        </w:rPr>
        <w:t xml:space="preserve">paragraphe 24 du </w:t>
      </w:r>
      <w:r w:rsidR="008B04B8" w:rsidRPr="007A1A00">
        <w:rPr>
          <w:noProof/>
        </w:rPr>
        <w:t>document CAJ/71/10 “</w:t>
      </w:r>
      <w:r w:rsidR="00CD24A5" w:rsidRPr="007A1A00">
        <w:rPr>
          <w:noProof/>
        </w:rPr>
        <w:t>Compte rendu des conclusions”</w:t>
      </w:r>
      <w:r w:rsidR="008B04B8" w:rsidRPr="007A1A00">
        <w:rPr>
          <w:noProof/>
        </w:rPr>
        <w:t>).</w:t>
      </w:r>
    </w:p>
    <w:p w:rsidR="0031661C" w:rsidRPr="007A1A00" w:rsidRDefault="0031661C" w:rsidP="00F21AB5">
      <w:pPr>
        <w:rPr>
          <w:noProof/>
        </w:rPr>
      </w:pPr>
    </w:p>
    <w:p w:rsidR="0031661C" w:rsidRPr="007A1A00" w:rsidRDefault="0031661C" w:rsidP="00E3447B">
      <w:pPr>
        <w:rPr>
          <w:noProof/>
        </w:rPr>
      </w:pPr>
    </w:p>
    <w:p w:rsidR="0031661C" w:rsidRPr="007A1A00" w:rsidRDefault="0031661C" w:rsidP="0031661C">
      <w:pPr>
        <w:pStyle w:val="Heading2"/>
        <w:keepNext/>
        <w:rPr>
          <w:noProof/>
          <w:lang w:val="fr-FR"/>
        </w:rPr>
      </w:pPr>
      <w:r w:rsidRPr="007A1A00">
        <w:rPr>
          <w:noProof/>
          <w:lang w:val="fr-FR"/>
        </w:rPr>
        <w:t>Dénominations variétales</w:t>
      </w:r>
    </w:p>
    <w:p w:rsidR="0031661C" w:rsidRPr="007A1A00" w:rsidRDefault="0031661C" w:rsidP="00363446">
      <w:pPr>
        <w:keepNext/>
        <w:rPr>
          <w:noProof/>
        </w:rPr>
      </w:pPr>
    </w:p>
    <w:p w:rsidR="0031661C" w:rsidRPr="007A1A00" w:rsidRDefault="004F3B3C" w:rsidP="0031661C">
      <w:pPr>
        <w:rPr>
          <w:noProof/>
        </w:rPr>
      </w:pPr>
      <w:r w:rsidRPr="004F3B3C">
        <w:rPr>
          <w:noProof/>
          <w:vertAlign w:val="superscript"/>
        </w:rPr>
        <w:t>*</w:t>
      </w:r>
      <w:r w:rsidR="00AE08BE" w:rsidRPr="007A1A00">
        <w:rPr>
          <w:noProof/>
        </w:rPr>
        <w:fldChar w:fldCharType="begin"/>
      </w:r>
      <w:r w:rsidR="003F5F2E" w:rsidRPr="007A1A00">
        <w:rPr>
          <w:noProof/>
        </w:rPr>
        <w:instrText xml:space="preserve"> AUTONUM  </w:instrText>
      </w:r>
      <w:r w:rsidR="00AE08BE" w:rsidRPr="007A1A00">
        <w:rPr>
          <w:noProof/>
        </w:rPr>
        <w:fldChar w:fldCharType="end"/>
      </w:r>
      <w:r w:rsidR="003F5F2E" w:rsidRPr="007A1A00">
        <w:rPr>
          <w:noProof/>
        </w:rPr>
        <w:tab/>
      </w:r>
      <w:r w:rsidR="0031661C" w:rsidRPr="007A1A00">
        <w:rPr>
          <w:noProof/>
        </w:rPr>
        <w:t>Le CAJ examine le document CAJ/72/3.</w:t>
      </w:r>
    </w:p>
    <w:p w:rsidR="0031661C" w:rsidRPr="007A1A00" w:rsidRDefault="0031661C" w:rsidP="003F5F2E">
      <w:pPr>
        <w:rPr>
          <w:noProof/>
        </w:rPr>
      </w:pPr>
    </w:p>
    <w:p w:rsidR="0031661C" w:rsidRPr="007A1A00" w:rsidRDefault="004F3B3C" w:rsidP="0013376E">
      <w:pPr>
        <w:rPr>
          <w:noProof/>
        </w:rPr>
      </w:pPr>
      <w:r w:rsidRPr="004F3B3C">
        <w:rPr>
          <w:noProof/>
          <w:vertAlign w:val="superscript"/>
        </w:rPr>
        <w:t>*</w:t>
      </w:r>
      <w:r w:rsidR="00AE08BE" w:rsidRPr="007A1A00">
        <w:rPr>
          <w:noProof/>
        </w:rPr>
        <w:fldChar w:fldCharType="begin"/>
      </w:r>
      <w:r w:rsidR="00F97E28" w:rsidRPr="007A1A00">
        <w:rPr>
          <w:noProof/>
        </w:rPr>
        <w:instrText xml:space="preserve"> AUTONUM  </w:instrText>
      </w:r>
      <w:r w:rsidR="00AE08BE" w:rsidRPr="007A1A00">
        <w:rPr>
          <w:noProof/>
        </w:rPr>
        <w:fldChar w:fldCharType="end"/>
      </w:r>
      <w:r w:rsidR="00F97E28" w:rsidRPr="007A1A00">
        <w:rPr>
          <w:noProof/>
        </w:rPr>
        <w:tab/>
      </w:r>
      <w:r w:rsidR="00BD3B10" w:rsidRPr="007A1A00">
        <w:rPr>
          <w:noProof/>
          <w:snapToGrid w:val="0"/>
        </w:rPr>
        <w:t xml:space="preserve">Le </w:t>
      </w:r>
      <w:r w:rsidR="00F97E28" w:rsidRPr="007A1A00">
        <w:rPr>
          <w:noProof/>
        </w:rPr>
        <w:t xml:space="preserve">CAJ </w:t>
      </w:r>
      <w:r w:rsidR="009542B9" w:rsidRPr="007A1A00">
        <w:rPr>
          <w:noProof/>
        </w:rPr>
        <w:t xml:space="preserve">prend </w:t>
      </w:r>
      <w:r w:rsidR="00F97E28" w:rsidRPr="007A1A00">
        <w:rPr>
          <w:noProof/>
        </w:rPr>
        <w:t>note</w:t>
      </w:r>
      <w:r w:rsidR="009542B9" w:rsidRPr="007A1A00">
        <w:rPr>
          <w:noProof/>
        </w:rPr>
        <w:t xml:space="preserve"> d</w:t>
      </w:r>
      <w:r w:rsidR="00F97E28" w:rsidRPr="007A1A00">
        <w:rPr>
          <w:noProof/>
        </w:rPr>
        <w:t xml:space="preserve">e </w:t>
      </w:r>
      <w:r w:rsidR="009542B9" w:rsidRPr="007A1A00">
        <w:rPr>
          <w:noProof/>
        </w:rPr>
        <w:t>l</w:t>
      </w:r>
      <w:r w:rsidR="00E94EB0" w:rsidRPr="007A1A00">
        <w:rPr>
          <w:noProof/>
        </w:rPr>
        <w:t>’</w:t>
      </w:r>
      <w:r w:rsidR="009542B9" w:rsidRPr="007A1A00">
        <w:rPr>
          <w:noProof/>
        </w:rPr>
        <w:t>exposé de l</w:t>
      </w:r>
      <w:r w:rsidR="00E94EB0" w:rsidRPr="007A1A00">
        <w:rPr>
          <w:noProof/>
        </w:rPr>
        <w:t>’</w:t>
      </w:r>
      <w:r w:rsidR="00F97E28" w:rsidRPr="007A1A00">
        <w:rPr>
          <w:noProof/>
        </w:rPr>
        <w:t>Arg</w:t>
      </w:r>
      <w:r w:rsidR="009542B9" w:rsidRPr="007A1A00">
        <w:rPr>
          <w:noProof/>
        </w:rPr>
        <w:t>entine</w:t>
      </w:r>
      <w:r w:rsidR="00C63A29" w:rsidRPr="007A1A00">
        <w:rPr>
          <w:noProof/>
        </w:rPr>
        <w:t xml:space="preserve"> </w:t>
      </w:r>
      <w:r w:rsidR="009542B9" w:rsidRPr="007A1A00">
        <w:rPr>
          <w:noProof/>
        </w:rPr>
        <w:t>sur les dé</w:t>
      </w:r>
      <w:r w:rsidR="00C63A29" w:rsidRPr="007A1A00">
        <w:rPr>
          <w:noProof/>
        </w:rPr>
        <w:t>nominations</w:t>
      </w:r>
      <w:r w:rsidR="009542B9" w:rsidRPr="007A1A00">
        <w:rPr>
          <w:noProof/>
        </w:rPr>
        <w:t xml:space="preserve"> variétales</w:t>
      </w:r>
      <w:r w:rsidR="00C63A29" w:rsidRPr="007A1A00">
        <w:rPr>
          <w:noProof/>
        </w:rPr>
        <w:t>,</w:t>
      </w:r>
      <w:r w:rsidR="003F5F2E" w:rsidRPr="007A1A00">
        <w:rPr>
          <w:noProof/>
        </w:rPr>
        <w:t xml:space="preserve"> </w:t>
      </w:r>
      <w:r w:rsidR="00B079DB" w:rsidRPr="007A1A00">
        <w:rPr>
          <w:noProof/>
        </w:rPr>
        <w:t>dont une copie figurera dans un</w:t>
      </w:r>
      <w:r w:rsidR="00B079DB" w:rsidRPr="007A1A00">
        <w:t xml:space="preserve"> </w:t>
      </w:r>
      <w:r w:rsidR="00B079DB" w:rsidRPr="007A1A00">
        <w:rPr>
          <w:noProof/>
        </w:rPr>
        <w:t xml:space="preserve">additif au </w:t>
      </w:r>
      <w:r w:rsidR="003F5F2E" w:rsidRPr="007A1A00">
        <w:rPr>
          <w:noProof/>
        </w:rPr>
        <w:t>document CAJ/72/3.</w:t>
      </w:r>
    </w:p>
    <w:p w:rsidR="0031661C" w:rsidRPr="007A1A00" w:rsidRDefault="0031661C" w:rsidP="0013376E">
      <w:pPr>
        <w:rPr>
          <w:noProof/>
        </w:rPr>
      </w:pPr>
    </w:p>
    <w:p w:rsidR="0031661C" w:rsidRPr="007A1A00" w:rsidRDefault="004F3B3C" w:rsidP="00D81319">
      <w:pPr>
        <w:rPr>
          <w:noProof/>
          <w:snapToGrid w:val="0"/>
          <w:lang w:eastAsia="ja-JP"/>
        </w:rPr>
      </w:pPr>
      <w:r w:rsidRPr="004F3B3C">
        <w:rPr>
          <w:noProof/>
          <w:vertAlign w:val="superscript"/>
        </w:rPr>
        <w:t>*</w:t>
      </w:r>
      <w:r w:rsidR="00AE08BE" w:rsidRPr="007A1A00">
        <w:rPr>
          <w:noProof/>
        </w:rPr>
        <w:fldChar w:fldCharType="begin"/>
      </w:r>
      <w:r w:rsidR="00D81319" w:rsidRPr="007A1A00">
        <w:rPr>
          <w:noProof/>
        </w:rPr>
        <w:instrText xml:space="preserve"> AUTONUM  </w:instrText>
      </w:r>
      <w:r w:rsidR="00AE08BE" w:rsidRPr="007A1A00">
        <w:rPr>
          <w:noProof/>
        </w:rPr>
        <w:fldChar w:fldCharType="end"/>
      </w:r>
      <w:r w:rsidR="00D81319" w:rsidRPr="007A1A00">
        <w:rPr>
          <w:noProof/>
        </w:rPr>
        <w:tab/>
      </w:r>
      <w:r w:rsidR="00BD3B10" w:rsidRPr="007A1A00">
        <w:rPr>
          <w:noProof/>
          <w:snapToGrid w:val="0"/>
        </w:rPr>
        <w:t xml:space="preserve">Le </w:t>
      </w:r>
      <w:r w:rsidR="00D81319" w:rsidRPr="007A1A00">
        <w:rPr>
          <w:iCs/>
          <w:noProof/>
          <w:spacing w:val="-4"/>
          <w:lang w:eastAsia="ja-JP"/>
        </w:rPr>
        <w:t>CAJ</w:t>
      </w:r>
      <w:r w:rsidR="00D81319" w:rsidRPr="007A1A00">
        <w:rPr>
          <w:iCs/>
          <w:noProof/>
          <w:spacing w:val="-4"/>
        </w:rPr>
        <w:t xml:space="preserve"> </w:t>
      </w:r>
      <w:r w:rsidR="00F93BC0" w:rsidRPr="007A1A00">
        <w:rPr>
          <w:noProof/>
        </w:rPr>
        <w:t xml:space="preserve">prend note des travaux </w:t>
      </w:r>
      <w:r w:rsidR="00F95B02" w:rsidRPr="007A1A00">
        <w:rPr>
          <w:noProof/>
        </w:rPr>
        <w:t>réalisés par le</w:t>
      </w:r>
      <w:r w:rsidR="00F93BC0" w:rsidRPr="007A1A00">
        <w:rPr>
          <w:noProof/>
        </w:rPr>
        <w:t xml:space="preserve"> Groupe de travail </w:t>
      </w:r>
      <w:r w:rsidR="00000E10" w:rsidRPr="007A1A00">
        <w:rPr>
          <w:rFonts w:cs="Arial"/>
          <w:noProof/>
          <w:snapToGrid w:val="0"/>
          <w:lang w:eastAsia="ja-JP"/>
        </w:rPr>
        <w:t>sur l</w:t>
      </w:r>
      <w:r w:rsidR="00E94EB0" w:rsidRPr="007A1A00">
        <w:rPr>
          <w:rFonts w:cs="Arial"/>
          <w:noProof/>
          <w:snapToGrid w:val="0"/>
          <w:lang w:eastAsia="ja-JP"/>
        </w:rPr>
        <w:t>’</w:t>
      </w:r>
      <w:r w:rsidR="00000E10" w:rsidRPr="007A1A00">
        <w:rPr>
          <w:rFonts w:cs="Arial"/>
          <w:noProof/>
          <w:snapToGrid w:val="0"/>
          <w:lang w:eastAsia="ja-JP"/>
        </w:rPr>
        <w:t>élaboration d</w:t>
      </w:r>
      <w:r w:rsidR="00E94EB0" w:rsidRPr="007A1A00">
        <w:rPr>
          <w:rFonts w:cs="Arial"/>
          <w:noProof/>
          <w:snapToGrid w:val="0"/>
          <w:lang w:eastAsia="ja-JP"/>
        </w:rPr>
        <w:t>’</w:t>
      </w:r>
      <w:r w:rsidR="00000E10" w:rsidRPr="007A1A00">
        <w:rPr>
          <w:rFonts w:cs="Arial"/>
          <w:noProof/>
          <w:snapToGrid w:val="0"/>
          <w:lang w:eastAsia="ja-JP"/>
        </w:rPr>
        <w:t>un moteur de recherche de similitudes de l</w:t>
      </w:r>
      <w:r w:rsidR="00E94EB0" w:rsidRPr="007A1A00">
        <w:rPr>
          <w:rFonts w:cs="Arial"/>
          <w:noProof/>
          <w:snapToGrid w:val="0"/>
          <w:lang w:eastAsia="ja-JP"/>
        </w:rPr>
        <w:t>’</w:t>
      </w:r>
      <w:r w:rsidR="00000E10" w:rsidRPr="007A1A00">
        <w:rPr>
          <w:rFonts w:cs="Arial"/>
          <w:noProof/>
          <w:snapToGrid w:val="0"/>
          <w:lang w:eastAsia="ja-JP"/>
        </w:rPr>
        <w:t xml:space="preserve">UPOV aux fins de la dénomination variétale </w:t>
      </w:r>
      <w:r w:rsidR="00EF7A0C" w:rsidRPr="007A1A00">
        <w:rPr>
          <w:rFonts w:cs="Arial"/>
          <w:noProof/>
          <w:snapToGrid w:val="0"/>
          <w:lang w:eastAsia="ja-JP"/>
        </w:rPr>
        <w:t>(WG</w:t>
      </w:r>
      <w:r w:rsidR="00805E4D" w:rsidRPr="007A1A00">
        <w:rPr>
          <w:rFonts w:cs="Arial"/>
          <w:noProof/>
          <w:snapToGrid w:val="0"/>
          <w:lang w:eastAsia="ja-JP"/>
        </w:rPr>
        <w:noBreakHyphen/>
      </w:r>
      <w:r w:rsidR="001A515E" w:rsidRPr="007A1A00">
        <w:rPr>
          <w:rFonts w:cs="Arial"/>
          <w:noProof/>
          <w:snapToGrid w:val="0"/>
          <w:lang w:eastAsia="ja-JP"/>
        </w:rPr>
        <w:t>DST)</w:t>
      </w:r>
      <w:r w:rsidR="00D81319" w:rsidRPr="007A1A00">
        <w:rPr>
          <w:noProof/>
          <w:snapToGrid w:val="0"/>
          <w:lang w:eastAsia="ja-JP"/>
        </w:rPr>
        <w:t xml:space="preserve"> </w:t>
      </w:r>
      <w:r w:rsidR="00000E10" w:rsidRPr="007A1A00">
        <w:rPr>
          <w:noProof/>
          <w:snapToGrid w:val="0"/>
          <w:lang w:eastAsia="ja-JP"/>
        </w:rPr>
        <w:t xml:space="preserve">relatifs à </w:t>
      </w:r>
      <w:r w:rsidR="00F95B02" w:rsidRPr="007A1A00">
        <w:rPr>
          <w:noProof/>
          <w:snapToGrid w:val="0"/>
          <w:lang w:eastAsia="ja-JP"/>
        </w:rPr>
        <w:t>la possibilité</w:t>
      </w:r>
      <w:r w:rsidR="00000E10" w:rsidRPr="007A1A00">
        <w:rPr>
          <w:noProof/>
          <w:snapToGrid w:val="0"/>
          <w:lang w:eastAsia="ja-JP"/>
        </w:rPr>
        <w:t xml:space="preserve"> </w:t>
      </w:r>
      <w:r w:rsidR="00F95B02" w:rsidRPr="007A1A00">
        <w:rPr>
          <w:noProof/>
          <w:snapToGrid w:val="0"/>
          <w:lang w:eastAsia="ja-JP"/>
        </w:rPr>
        <w:t>d</w:t>
      </w:r>
      <w:r w:rsidR="00E94EB0" w:rsidRPr="007A1A00">
        <w:rPr>
          <w:noProof/>
          <w:snapToGrid w:val="0"/>
          <w:lang w:eastAsia="ja-JP"/>
        </w:rPr>
        <w:t>’</w:t>
      </w:r>
      <w:r w:rsidR="00000E10" w:rsidRPr="007A1A00">
        <w:rPr>
          <w:rFonts w:cs="Arial"/>
          <w:noProof/>
          <w:snapToGrid w:val="0"/>
          <w:lang w:eastAsia="ja-JP"/>
        </w:rPr>
        <w:t>élabor</w:t>
      </w:r>
      <w:r w:rsidR="00F95B02" w:rsidRPr="007A1A00">
        <w:rPr>
          <w:rFonts w:cs="Arial"/>
          <w:noProof/>
          <w:snapToGrid w:val="0"/>
          <w:lang w:eastAsia="ja-JP"/>
        </w:rPr>
        <w:t xml:space="preserve">er </w:t>
      </w:r>
      <w:r w:rsidR="00000E10" w:rsidRPr="007A1A00">
        <w:rPr>
          <w:noProof/>
          <w:snapToGrid w:val="0"/>
          <w:lang w:eastAsia="ja-JP"/>
        </w:rPr>
        <w:t>un</w:t>
      </w:r>
      <w:r w:rsidR="00D81319" w:rsidRPr="007A1A00">
        <w:rPr>
          <w:noProof/>
          <w:snapToGrid w:val="0"/>
          <w:lang w:eastAsia="ja-JP"/>
        </w:rPr>
        <w:t xml:space="preserve"> </w:t>
      </w:r>
      <w:r w:rsidR="00000E10" w:rsidRPr="007A1A00">
        <w:rPr>
          <w:rFonts w:cs="Arial"/>
          <w:noProof/>
          <w:snapToGrid w:val="0"/>
          <w:lang w:eastAsia="ja-JP"/>
        </w:rPr>
        <w:t>moteur de recherche de similitudes de l</w:t>
      </w:r>
      <w:r w:rsidR="00E94EB0" w:rsidRPr="007A1A00">
        <w:rPr>
          <w:rFonts w:cs="Arial"/>
          <w:noProof/>
          <w:snapToGrid w:val="0"/>
          <w:lang w:eastAsia="ja-JP"/>
        </w:rPr>
        <w:t>’</w:t>
      </w:r>
      <w:r w:rsidR="00000E10" w:rsidRPr="007A1A00">
        <w:rPr>
          <w:rFonts w:cs="Arial"/>
          <w:noProof/>
          <w:snapToGrid w:val="0"/>
          <w:lang w:eastAsia="ja-JP"/>
        </w:rPr>
        <w:t>UPOV aux fins de la dénomination variétale</w:t>
      </w:r>
      <w:r w:rsidR="001E184E" w:rsidRPr="007A1A00">
        <w:rPr>
          <w:noProof/>
          <w:snapToGrid w:val="0"/>
          <w:lang w:eastAsia="ja-JP"/>
        </w:rPr>
        <w:t>.</w:t>
      </w:r>
    </w:p>
    <w:p w:rsidR="0031661C" w:rsidRPr="007A1A00" w:rsidRDefault="0031661C" w:rsidP="00D81319">
      <w:pPr>
        <w:rPr>
          <w:noProof/>
          <w:snapToGrid w:val="0"/>
          <w:lang w:eastAsia="ja-JP"/>
        </w:rPr>
      </w:pPr>
    </w:p>
    <w:p w:rsidR="0031661C" w:rsidRPr="007A1A00" w:rsidRDefault="004F3B3C" w:rsidP="00D81319">
      <w:pPr>
        <w:rPr>
          <w:noProof/>
          <w:snapToGrid w:val="0"/>
          <w:lang w:eastAsia="ja-JP"/>
        </w:rPr>
      </w:pPr>
      <w:r w:rsidRPr="004F3B3C">
        <w:rPr>
          <w:noProof/>
          <w:vertAlign w:val="superscript"/>
        </w:rPr>
        <w:t>*</w:t>
      </w:r>
      <w:r w:rsidR="00AE08BE" w:rsidRPr="007A1A00">
        <w:rPr>
          <w:noProof/>
          <w:snapToGrid w:val="0"/>
          <w:lang w:eastAsia="ja-JP"/>
        </w:rPr>
        <w:fldChar w:fldCharType="begin"/>
      </w:r>
      <w:r w:rsidR="001E184E" w:rsidRPr="007A1A00">
        <w:rPr>
          <w:noProof/>
          <w:snapToGrid w:val="0"/>
          <w:lang w:eastAsia="ja-JP"/>
        </w:rPr>
        <w:instrText xml:space="preserve"> AUTONUM  </w:instrText>
      </w:r>
      <w:r w:rsidR="00AE08BE" w:rsidRPr="007A1A00">
        <w:rPr>
          <w:noProof/>
          <w:snapToGrid w:val="0"/>
          <w:lang w:eastAsia="ja-JP"/>
        </w:rPr>
        <w:fldChar w:fldCharType="end"/>
      </w:r>
      <w:r w:rsidR="001E184E" w:rsidRPr="007A1A00">
        <w:rPr>
          <w:noProof/>
          <w:snapToGrid w:val="0"/>
          <w:lang w:eastAsia="ja-JP"/>
        </w:rPr>
        <w:tab/>
      </w:r>
      <w:r w:rsidR="00BD3B10" w:rsidRPr="007A1A00">
        <w:rPr>
          <w:noProof/>
          <w:snapToGrid w:val="0"/>
        </w:rPr>
        <w:t xml:space="preserve">Le </w:t>
      </w:r>
      <w:r w:rsidR="001E184E" w:rsidRPr="007A1A00">
        <w:rPr>
          <w:noProof/>
          <w:snapToGrid w:val="0"/>
          <w:lang w:eastAsia="ja-JP"/>
        </w:rPr>
        <w:t xml:space="preserve">CAJ </w:t>
      </w:r>
      <w:r w:rsidR="0015785A" w:rsidRPr="007A1A00">
        <w:rPr>
          <w:noProof/>
        </w:rPr>
        <w:t xml:space="preserve">prend note des </w:t>
      </w:r>
      <w:r w:rsidR="0015785A" w:rsidRPr="007A1A00">
        <w:rPr>
          <w:noProof/>
          <w:snapToGrid w:val="0"/>
          <w:lang w:eastAsia="ja-JP"/>
        </w:rPr>
        <w:t>élé</w:t>
      </w:r>
      <w:r w:rsidR="001E184E" w:rsidRPr="007A1A00">
        <w:rPr>
          <w:noProof/>
          <w:snapToGrid w:val="0"/>
          <w:lang w:eastAsia="ja-JP"/>
        </w:rPr>
        <w:t xml:space="preserve">ments </w:t>
      </w:r>
      <w:r w:rsidR="0015785A" w:rsidRPr="007A1A00">
        <w:rPr>
          <w:noProof/>
          <w:snapToGrid w:val="0"/>
          <w:lang w:eastAsia="ja-JP"/>
        </w:rPr>
        <w:t>ci</w:t>
      </w:r>
      <w:r w:rsidR="00805E4D" w:rsidRPr="007A1A00">
        <w:rPr>
          <w:noProof/>
          <w:snapToGrid w:val="0"/>
          <w:lang w:eastAsia="ja-JP"/>
        </w:rPr>
        <w:noBreakHyphen/>
      </w:r>
      <w:r w:rsidR="0015785A" w:rsidRPr="007A1A00">
        <w:rPr>
          <w:noProof/>
          <w:snapToGrid w:val="0"/>
          <w:lang w:eastAsia="ja-JP"/>
        </w:rPr>
        <w:t>après</w:t>
      </w:r>
      <w:r w:rsidR="001E184E" w:rsidRPr="007A1A00">
        <w:rPr>
          <w:noProof/>
          <w:snapToGrid w:val="0"/>
          <w:lang w:eastAsia="ja-JP"/>
        </w:rPr>
        <w:t xml:space="preserve"> </w:t>
      </w:r>
      <w:r w:rsidR="004001C0" w:rsidRPr="007A1A00">
        <w:rPr>
          <w:noProof/>
          <w:snapToGrid w:val="0"/>
          <w:lang w:eastAsia="ja-JP"/>
        </w:rPr>
        <w:t>à partir du</w:t>
      </w:r>
      <w:r w:rsidR="001E184E" w:rsidRPr="007A1A00">
        <w:rPr>
          <w:noProof/>
          <w:snapToGrid w:val="0"/>
          <w:lang w:eastAsia="ja-JP"/>
        </w:rPr>
        <w:t xml:space="preserve"> </w:t>
      </w:r>
      <w:r w:rsidR="00254220" w:rsidRPr="007A1A00">
        <w:rPr>
          <w:noProof/>
          <w:snapToGrid w:val="0"/>
          <w:lang w:eastAsia="ja-JP"/>
        </w:rPr>
        <w:t xml:space="preserve">rapport verbal </w:t>
      </w:r>
      <w:r w:rsidR="004001C0" w:rsidRPr="007A1A00">
        <w:rPr>
          <w:noProof/>
          <w:snapToGrid w:val="0"/>
          <w:lang w:eastAsia="ja-JP"/>
        </w:rPr>
        <w:t>fait par le</w:t>
      </w:r>
      <w:r w:rsidR="00254220" w:rsidRPr="007A1A00">
        <w:rPr>
          <w:noProof/>
          <w:snapToGrid w:val="0"/>
          <w:lang w:eastAsia="ja-JP"/>
        </w:rPr>
        <w:t xml:space="preserve"> secrétaire général adjoint </w:t>
      </w:r>
      <w:r w:rsidR="004001C0" w:rsidRPr="007A1A00">
        <w:rPr>
          <w:noProof/>
          <w:snapToGrid w:val="0"/>
          <w:lang w:eastAsia="ja-JP"/>
        </w:rPr>
        <w:t>sur la troisième réunion du WG</w:t>
      </w:r>
      <w:r w:rsidR="00805E4D" w:rsidRPr="007A1A00">
        <w:rPr>
          <w:noProof/>
          <w:snapToGrid w:val="0"/>
          <w:lang w:eastAsia="ja-JP"/>
        </w:rPr>
        <w:noBreakHyphen/>
      </w:r>
      <w:r w:rsidR="002F541F" w:rsidRPr="007A1A00">
        <w:rPr>
          <w:noProof/>
          <w:snapToGrid w:val="0"/>
          <w:lang w:eastAsia="ja-JP"/>
        </w:rPr>
        <w:t xml:space="preserve">DST, </w:t>
      </w:r>
      <w:r w:rsidR="0015785A" w:rsidRPr="007A1A00">
        <w:rPr>
          <w:noProof/>
          <w:snapToGrid w:val="0"/>
          <w:lang w:eastAsia="ja-JP"/>
        </w:rPr>
        <w:t>qui s</w:t>
      </w:r>
      <w:r w:rsidR="00E94EB0" w:rsidRPr="007A1A00">
        <w:rPr>
          <w:noProof/>
          <w:snapToGrid w:val="0"/>
          <w:lang w:eastAsia="ja-JP"/>
        </w:rPr>
        <w:t>’</w:t>
      </w:r>
      <w:r w:rsidR="0015785A" w:rsidRPr="007A1A00">
        <w:rPr>
          <w:noProof/>
          <w:snapToGrid w:val="0"/>
          <w:lang w:eastAsia="ja-JP"/>
        </w:rPr>
        <w:t>est tenue à Genève</w:t>
      </w:r>
      <w:r w:rsidR="004D3826" w:rsidRPr="007A1A00">
        <w:rPr>
          <w:noProof/>
          <w:snapToGrid w:val="0"/>
          <w:lang w:eastAsia="ja-JP"/>
        </w:rPr>
        <w:t xml:space="preserve"> </w:t>
      </w:r>
      <w:r w:rsidR="0015785A" w:rsidRPr="007A1A00">
        <w:rPr>
          <w:noProof/>
          <w:snapToGrid w:val="0"/>
          <w:lang w:eastAsia="ja-JP"/>
        </w:rPr>
        <w:t>le</w:t>
      </w:r>
      <w:r w:rsidR="002F541F" w:rsidRPr="007A1A00">
        <w:rPr>
          <w:noProof/>
          <w:snapToGrid w:val="0"/>
          <w:lang w:eastAsia="ja-JP"/>
        </w:rPr>
        <w:t xml:space="preserve"> </w:t>
      </w:r>
      <w:r w:rsidR="0015785A" w:rsidRPr="007A1A00">
        <w:rPr>
          <w:noProof/>
          <w:snapToGrid w:val="0"/>
          <w:lang w:eastAsia="ja-JP"/>
        </w:rPr>
        <w:t>2 octobre </w:t>
      </w:r>
      <w:r w:rsidR="00D13DBC" w:rsidRPr="007A1A00">
        <w:rPr>
          <w:noProof/>
          <w:snapToGrid w:val="0"/>
          <w:lang w:eastAsia="ja-JP"/>
        </w:rPr>
        <w:t>2015</w:t>
      </w:r>
      <w:r w:rsidR="00F93BC0" w:rsidRPr="007A1A00">
        <w:rPr>
          <w:noProof/>
          <w:snapToGrid w:val="0"/>
          <w:lang w:eastAsia="ja-JP"/>
        </w:rPr>
        <w:t> </w:t>
      </w:r>
      <w:r w:rsidR="001E184E" w:rsidRPr="007A1A00">
        <w:rPr>
          <w:noProof/>
          <w:snapToGrid w:val="0"/>
          <w:lang w:eastAsia="ja-JP"/>
        </w:rPr>
        <w:t>:</w:t>
      </w:r>
    </w:p>
    <w:p w:rsidR="0031661C" w:rsidRPr="007A1A00" w:rsidRDefault="0031661C" w:rsidP="001A515E">
      <w:pPr>
        <w:rPr>
          <w:noProof/>
          <w:lang w:eastAsia="ja-JP"/>
        </w:rPr>
      </w:pPr>
    </w:p>
    <w:p w:rsidR="0031661C" w:rsidRPr="007A1A00" w:rsidRDefault="00BD3B10" w:rsidP="00F1234B">
      <w:pPr>
        <w:rPr>
          <w:rFonts w:cs="Arial"/>
          <w:noProof/>
          <w:lang w:eastAsia="ja-JP"/>
        </w:rPr>
      </w:pPr>
      <w:r w:rsidRPr="007A1A00">
        <w:rPr>
          <w:noProof/>
          <w:lang w:eastAsia="ja-JP"/>
        </w:rPr>
        <w:tab/>
      </w:r>
      <w:r w:rsidR="00363446" w:rsidRPr="007A1A00">
        <w:rPr>
          <w:noProof/>
          <w:lang w:eastAsia="ja-JP"/>
        </w:rPr>
        <w:t>a)</w:t>
      </w:r>
      <w:r w:rsidR="00363446" w:rsidRPr="007A1A00">
        <w:rPr>
          <w:noProof/>
          <w:lang w:eastAsia="ja-JP"/>
        </w:rPr>
        <w:tab/>
      </w:r>
      <w:r w:rsidR="004001C0" w:rsidRPr="007A1A00">
        <w:rPr>
          <w:noProof/>
          <w:lang w:eastAsia="ja-JP"/>
        </w:rPr>
        <w:t xml:space="preserve">Les membres de </w:t>
      </w:r>
      <w:r w:rsidR="004001C0" w:rsidRPr="007A1A00">
        <w:rPr>
          <w:noProof/>
        </w:rPr>
        <w:t>l</w:t>
      </w:r>
      <w:r w:rsidR="00E94EB0" w:rsidRPr="007A1A00">
        <w:rPr>
          <w:noProof/>
        </w:rPr>
        <w:t>’</w:t>
      </w:r>
      <w:r w:rsidR="001A638B" w:rsidRPr="007A1A00">
        <w:rPr>
          <w:noProof/>
        </w:rPr>
        <w:t>Union</w:t>
      </w:r>
      <w:r w:rsidR="001A638B" w:rsidRPr="007A1A00">
        <w:rPr>
          <w:noProof/>
          <w:snapToGrid w:val="0"/>
        </w:rPr>
        <w:t xml:space="preserve"> </w:t>
      </w:r>
      <w:r w:rsidR="00B525A1" w:rsidRPr="007A1A00">
        <w:rPr>
          <w:noProof/>
        </w:rPr>
        <w:t>ont été</w:t>
      </w:r>
      <w:r w:rsidR="00C63A29" w:rsidRPr="007A1A00">
        <w:rPr>
          <w:noProof/>
        </w:rPr>
        <w:t xml:space="preserve"> </w:t>
      </w:r>
      <w:r w:rsidR="00B525A1" w:rsidRPr="007A1A00">
        <w:rPr>
          <w:noProof/>
        </w:rPr>
        <w:t>invités</w:t>
      </w:r>
      <w:r w:rsidR="00C63A29" w:rsidRPr="007A1A00">
        <w:rPr>
          <w:noProof/>
        </w:rPr>
        <w:t xml:space="preserve">, </w:t>
      </w:r>
      <w:r w:rsidR="00B525A1" w:rsidRPr="007A1A00">
        <w:rPr>
          <w:noProof/>
        </w:rPr>
        <w:t>au moyen de la</w:t>
      </w:r>
      <w:r w:rsidR="00C63A29" w:rsidRPr="007A1A00">
        <w:rPr>
          <w:noProof/>
        </w:rPr>
        <w:t xml:space="preserve"> circula</w:t>
      </w:r>
      <w:r w:rsidR="00B525A1" w:rsidRPr="007A1A00">
        <w:rPr>
          <w:noProof/>
        </w:rPr>
        <w:t>i</w:t>
      </w:r>
      <w:r w:rsidR="00C63A29" w:rsidRPr="007A1A00">
        <w:rPr>
          <w:noProof/>
        </w:rPr>
        <w:t>r</w:t>
      </w:r>
      <w:r w:rsidR="00B525A1" w:rsidRPr="007A1A00">
        <w:rPr>
          <w:noProof/>
        </w:rPr>
        <w:t>e</w:t>
      </w:r>
      <w:r w:rsidR="00315E8B" w:rsidRPr="007A1A00">
        <w:rPr>
          <w:noProof/>
        </w:rPr>
        <w:t xml:space="preserve"> E</w:t>
      </w:r>
      <w:r w:rsidR="00805E4D" w:rsidRPr="007A1A00">
        <w:rPr>
          <w:noProof/>
        </w:rPr>
        <w:noBreakHyphen/>
      </w:r>
      <w:r w:rsidR="00315E8B" w:rsidRPr="007A1A00">
        <w:rPr>
          <w:noProof/>
        </w:rPr>
        <w:t>15/1</w:t>
      </w:r>
      <w:r w:rsidR="00467DE3" w:rsidRPr="007A1A00">
        <w:rPr>
          <w:noProof/>
        </w:rPr>
        <w:t>56</w:t>
      </w:r>
      <w:r w:rsidR="00315E8B" w:rsidRPr="007A1A00">
        <w:rPr>
          <w:noProof/>
        </w:rPr>
        <w:t xml:space="preserve"> </w:t>
      </w:r>
      <w:r w:rsidR="00B525A1" w:rsidRPr="007A1A00">
        <w:rPr>
          <w:noProof/>
        </w:rPr>
        <w:t>du</w:t>
      </w:r>
      <w:r w:rsidR="00315E8B" w:rsidRPr="007A1A00">
        <w:rPr>
          <w:noProof/>
        </w:rPr>
        <w:t xml:space="preserve"> </w:t>
      </w:r>
      <w:r w:rsidR="00467DE3" w:rsidRPr="007A1A00">
        <w:rPr>
          <w:noProof/>
        </w:rPr>
        <w:t>19</w:t>
      </w:r>
      <w:r w:rsidR="00B525A1" w:rsidRPr="007A1A00">
        <w:rPr>
          <w:noProof/>
        </w:rPr>
        <w:t> août </w:t>
      </w:r>
      <w:r w:rsidR="00315E8B" w:rsidRPr="007A1A00">
        <w:rPr>
          <w:noProof/>
        </w:rPr>
        <w:t>2015</w:t>
      </w:r>
      <w:r w:rsidR="00C63A29" w:rsidRPr="007A1A00">
        <w:rPr>
          <w:noProof/>
        </w:rPr>
        <w:t>,</w:t>
      </w:r>
      <w:r w:rsidR="001A638B" w:rsidRPr="007A1A00">
        <w:rPr>
          <w:noProof/>
        </w:rPr>
        <w:t xml:space="preserve"> </w:t>
      </w:r>
      <w:r w:rsidR="00D66CBC" w:rsidRPr="007A1A00">
        <w:rPr>
          <w:noProof/>
        </w:rPr>
        <w:t>à</w:t>
      </w:r>
      <w:r w:rsidR="00D63C7F" w:rsidRPr="007A1A00">
        <w:rPr>
          <w:noProof/>
        </w:rPr>
        <w:t> </w:t>
      </w:r>
      <w:r w:rsidR="001A638B" w:rsidRPr="007A1A00">
        <w:rPr>
          <w:noProof/>
        </w:rPr>
        <w:t>particip</w:t>
      </w:r>
      <w:r w:rsidR="00D66CBC" w:rsidRPr="007A1A00">
        <w:rPr>
          <w:noProof/>
        </w:rPr>
        <w:t>er</w:t>
      </w:r>
      <w:r w:rsidR="001A638B" w:rsidRPr="007A1A00">
        <w:rPr>
          <w:noProof/>
        </w:rPr>
        <w:t xml:space="preserve"> </w:t>
      </w:r>
      <w:r w:rsidR="00D66CBC" w:rsidRPr="007A1A00">
        <w:rPr>
          <w:noProof/>
        </w:rPr>
        <w:t>à la deuxième étape</w:t>
      </w:r>
      <w:r w:rsidR="001A638B" w:rsidRPr="007A1A00">
        <w:rPr>
          <w:noProof/>
        </w:rPr>
        <w:t xml:space="preserve"> </w:t>
      </w:r>
      <w:r w:rsidR="00D66CBC" w:rsidRPr="007A1A00">
        <w:rPr>
          <w:noProof/>
        </w:rPr>
        <w:t>de l</w:t>
      </w:r>
      <w:r w:rsidR="00E94EB0" w:rsidRPr="007A1A00">
        <w:rPr>
          <w:noProof/>
        </w:rPr>
        <w:t>’</w:t>
      </w:r>
      <w:r w:rsidR="00D66CBC" w:rsidRPr="007A1A00">
        <w:rPr>
          <w:noProof/>
        </w:rPr>
        <w:t xml:space="preserve">étude test en vue de </w:t>
      </w:r>
      <w:r w:rsidR="00F95B02" w:rsidRPr="007A1A00">
        <w:rPr>
          <w:noProof/>
        </w:rPr>
        <w:t>l</w:t>
      </w:r>
      <w:r w:rsidR="00E94EB0" w:rsidRPr="007A1A00">
        <w:rPr>
          <w:noProof/>
        </w:rPr>
        <w:t>’</w:t>
      </w:r>
      <w:r w:rsidR="00F95B02" w:rsidRPr="007A1A00">
        <w:rPr>
          <w:noProof/>
        </w:rPr>
        <w:t>élaboration</w:t>
      </w:r>
      <w:r w:rsidR="00D66CBC" w:rsidRPr="007A1A00">
        <w:rPr>
          <w:noProof/>
        </w:rPr>
        <w:t xml:space="preserve"> </w:t>
      </w:r>
      <w:r w:rsidR="00D63C7F" w:rsidRPr="007A1A00">
        <w:rPr>
          <w:noProof/>
        </w:rPr>
        <w:t>d</w:t>
      </w:r>
      <w:r w:rsidR="00E94EB0" w:rsidRPr="007A1A00">
        <w:rPr>
          <w:noProof/>
        </w:rPr>
        <w:t>’</w:t>
      </w:r>
      <w:r w:rsidR="00D66CBC" w:rsidRPr="007A1A00">
        <w:rPr>
          <w:noProof/>
        </w:rPr>
        <w:t xml:space="preserve">un </w:t>
      </w:r>
      <w:r w:rsidR="00F95B02" w:rsidRPr="007A1A00">
        <w:rPr>
          <w:noProof/>
        </w:rPr>
        <w:t>moteur</w:t>
      </w:r>
      <w:r w:rsidR="00D66CBC" w:rsidRPr="007A1A00">
        <w:rPr>
          <w:noProof/>
        </w:rPr>
        <w:t xml:space="preserve"> de recherche efficace de similarités aux fins de la dénomination variéta</w:t>
      </w:r>
      <w:r w:rsidR="00805E4D" w:rsidRPr="007A1A00">
        <w:rPr>
          <w:noProof/>
        </w:rPr>
        <w:t>le.  L’o</w:t>
      </w:r>
      <w:r w:rsidR="00A019F5" w:rsidRPr="007A1A00">
        <w:rPr>
          <w:noProof/>
        </w:rPr>
        <w:t>bjectif</w:t>
      </w:r>
      <w:r w:rsidR="001A638B" w:rsidRPr="007A1A00">
        <w:rPr>
          <w:noProof/>
        </w:rPr>
        <w:t xml:space="preserve"> </w:t>
      </w:r>
      <w:r w:rsidR="00C6219B" w:rsidRPr="007A1A00">
        <w:rPr>
          <w:noProof/>
        </w:rPr>
        <w:t>de la deuxième étape est</w:t>
      </w:r>
      <w:r w:rsidR="001A638B" w:rsidRPr="007A1A00">
        <w:rPr>
          <w:noProof/>
        </w:rPr>
        <w:t xml:space="preserve"> </w:t>
      </w:r>
      <w:r w:rsidR="00C6219B" w:rsidRPr="007A1A00">
        <w:rPr>
          <w:noProof/>
        </w:rPr>
        <w:t>d</w:t>
      </w:r>
      <w:r w:rsidR="00E94EB0" w:rsidRPr="007A1A00">
        <w:rPr>
          <w:noProof/>
        </w:rPr>
        <w:t>’</w:t>
      </w:r>
      <w:r w:rsidR="00C6219B" w:rsidRPr="007A1A00">
        <w:rPr>
          <w:noProof/>
        </w:rPr>
        <w:t>affiner l</w:t>
      </w:r>
      <w:r w:rsidR="00E94EB0" w:rsidRPr="007A1A00">
        <w:rPr>
          <w:noProof/>
        </w:rPr>
        <w:t>’</w:t>
      </w:r>
      <w:r w:rsidR="001A638B" w:rsidRPr="007A1A00">
        <w:rPr>
          <w:noProof/>
        </w:rPr>
        <w:t>algorithm</w:t>
      </w:r>
      <w:r w:rsidR="00C6219B" w:rsidRPr="007A1A00">
        <w:rPr>
          <w:noProof/>
        </w:rPr>
        <w:t>e</w:t>
      </w:r>
      <w:r w:rsidR="001A638B" w:rsidRPr="007A1A00">
        <w:rPr>
          <w:noProof/>
        </w:rPr>
        <w:t xml:space="preserve"> </w:t>
      </w:r>
      <w:r w:rsidR="00F64863" w:rsidRPr="007A1A00">
        <w:rPr>
          <w:noProof/>
        </w:rPr>
        <w:t>considéré comme le meilleur algorithme dans la première étape de l</w:t>
      </w:r>
      <w:r w:rsidR="00E94EB0" w:rsidRPr="007A1A00">
        <w:rPr>
          <w:noProof/>
        </w:rPr>
        <w:t>’</w:t>
      </w:r>
      <w:r w:rsidR="00F64863" w:rsidRPr="007A1A00">
        <w:rPr>
          <w:noProof/>
        </w:rPr>
        <w:t>étude te</w:t>
      </w:r>
      <w:r w:rsidR="00805E4D" w:rsidRPr="007A1A00">
        <w:rPr>
          <w:noProof/>
        </w:rPr>
        <w:t>st.  En</w:t>
      </w:r>
      <w:r w:rsidR="00050A9C" w:rsidRPr="007A1A00">
        <w:rPr>
          <w:noProof/>
        </w:rPr>
        <w:t xml:space="preserve"> fonction des ré</w:t>
      </w:r>
      <w:r w:rsidR="00F1234B" w:rsidRPr="007A1A00">
        <w:rPr>
          <w:noProof/>
        </w:rPr>
        <w:t>sult</w:t>
      </w:r>
      <w:r w:rsidR="00050A9C" w:rsidRPr="007A1A00">
        <w:rPr>
          <w:noProof/>
        </w:rPr>
        <w:t>at</w:t>
      </w:r>
      <w:r w:rsidR="00F1234B" w:rsidRPr="007A1A00">
        <w:rPr>
          <w:noProof/>
        </w:rPr>
        <w:t xml:space="preserve">s </w:t>
      </w:r>
      <w:r w:rsidR="00050A9C" w:rsidRPr="007A1A00">
        <w:rPr>
          <w:noProof/>
        </w:rPr>
        <w:t>de</w:t>
      </w:r>
      <w:r w:rsidR="00F1234B" w:rsidRPr="007A1A00">
        <w:rPr>
          <w:noProof/>
        </w:rPr>
        <w:t xml:space="preserve"> </w:t>
      </w:r>
      <w:r w:rsidR="00050A9C" w:rsidRPr="007A1A00">
        <w:rPr>
          <w:noProof/>
        </w:rPr>
        <w:t>la deuxième étape</w:t>
      </w:r>
      <w:r w:rsidR="00F1234B" w:rsidRPr="007A1A00">
        <w:rPr>
          <w:noProof/>
        </w:rPr>
        <w:t xml:space="preserve">, </w:t>
      </w:r>
      <w:r w:rsidR="005E7D54" w:rsidRPr="007A1A00">
        <w:rPr>
          <w:noProof/>
        </w:rPr>
        <w:t>le</w:t>
      </w:r>
      <w:r w:rsidR="00F1234B" w:rsidRPr="007A1A00">
        <w:rPr>
          <w:noProof/>
        </w:rPr>
        <w:t xml:space="preserve"> </w:t>
      </w:r>
      <w:r w:rsidR="005E7D54" w:rsidRPr="007A1A00">
        <w:rPr>
          <w:noProof/>
        </w:rPr>
        <w:t>Bureau</w:t>
      </w:r>
      <w:r w:rsidR="00F1234B" w:rsidRPr="007A1A00">
        <w:rPr>
          <w:noProof/>
        </w:rPr>
        <w:t xml:space="preserve"> </w:t>
      </w:r>
      <w:r w:rsidR="005E7D54" w:rsidRPr="007A1A00">
        <w:rPr>
          <w:noProof/>
        </w:rPr>
        <w:t>de</w:t>
      </w:r>
      <w:r w:rsidR="00F1234B" w:rsidRPr="007A1A00">
        <w:rPr>
          <w:noProof/>
        </w:rPr>
        <w:t xml:space="preserve"> </w:t>
      </w:r>
      <w:r w:rsidR="005E7D54" w:rsidRPr="007A1A00">
        <w:rPr>
          <w:noProof/>
        </w:rPr>
        <w:t>l</w:t>
      </w:r>
      <w:r w:rsidR="00E94EB0" w:rsidRPr="007A1A00">
        <w:rPr>
          <w:noProof/>
        </w:rPr>
        <w:t>’</w:t>
      </w:r>
      <w:r w:rsidR="00F1234B" w:rsidRPr="007A1A00">
        <w:rPr>
          <w:noProof/>
        </w:rPr>
        <w:t xml:space="preserve">Union </w:t>
      </w:r>
      <w:r w:rsidR="000B664F" w:rsidRPr="007A1A00">
        <w:rPr>
          <w:noProof/>
        </w:rPr>
        <w:t>affinera</w:t>
      </w:r>
      <w:r w:rsidR="00F1234B" w:rsidRPr="007A1A00">
        <w:rPr>
          <w:noProof/>
        </w:rPr>
        <w:t xml:space="preserve"> </w:t>
      </w:r>
      <w:r w:rsidR="00CD4C6B" w:rsidRPr="007A1A00">
        <w:rPr>
          <w:noProof/>
        </w:rPr>
        <w:t>l</w:t>
      </w:r>
      <w:r w:rsidR="00E94EB0" w:rsidRPr="007A1A00">
        <w:rPr>
          <w:noProof/>
        </w:rPr>
        <w:t>’</w:t>
      </w:r>
      <w:r w:rsidR="00CD4C6B" w:rsidRPr="007A1A00">
        <w:rPr>
          <w:noProof/>
        </w:rPr>
        <w:t xml:space="preserve">algorithme </w:t>
      </w:r>
      <w:r w:rsidR="00C93C1A" w:rsidRPr="007A1A00">
        <w:rPr>
          <w:noProof/>
        </w:rPr>
        <w:t>en</w:t>
      </w:r>
      <w:r w:rsidR="005E7D54" w:rsidRPr="007A1A00">
        <w:rPr>
          <w:noProof/>
        </w:rPr>
        <w:t xml:space="preserve"> novembre/dé</w:t>
      </w:r>
      <w:r w:rsidR="00F1234B" w:rsidRPr="007A1A00">
        <w:rPr>
          <w:noProof/>
        </w:rPr>
        <w:t>cemb</w:t>
      </w:r>
      <w:r w:rsidR="005E7D54" w:rsidRPr="007A1A00">
        <w:rPr>
          <w:noProof/>
        </w:rPr>
        <w:t>re </w:t>
      </w:r>
      <w:r w:rsidR="00F1234B" w:rsidRPr="007A1A00">
        <w:rPr>
          <w:noProof/>
        </w:rPr>
        <w:t xml:space="preserve">2015 </w:t>
      </w:r>
      <w:r w:rsidR="00C93C1A" w:rsidRPr="007A1A00">
        <w:rPr>
          <w:noProof/>
        </w:rPr>
        <w:t>et</w:t>
      </w:r>
      <w:r w:rsidR="00F1234B" w:rsidRPr="007A1A00">
        <w:rPr>
          <w:noProof/>
        </w:rPr>
        <w:t xml:space="preserve"> </w:t>
      </w:r>
      <w:r w:rsidR="00567283" w:rsidRPr="007A1A00">
        <w:rPr>
          <w:noProof/>
        </w:rPr>
        <w:t>l</w:t>
      </w:r>
      <w:r w:rsidR="00E94EB0" w:rsidRPr="007A1A00">
        <w:rPr>
          <w:noProof/>
        </w:rPr>
        <w:t>’</w:t>
      </w:r>
      <w:r w:rsidR="00567283" w:rsidRPr="007A1A00">
        <w:rPr>
          <w:noProof/>
        </w:rPr>
        <w:t>adaptera</w:t>
      </w:r>
      <w:r w:rsidR="00F1234B" w:rsidRPr="007A1A00">
        <w:rPr>
          <w:noProof/>
        </w:rPr>
        <w:t xml:space="preserve"> </w:t>
      </w:r>
      <w:r w:rsidR="00567283" w:rsidRPr="007A1A00">
        <w:rPr>
          <w:noProof/>
        </w:rPr>
        <w:t>en</w:t>
      </w:r>
      <w:r w:rsidR="00F1234B" w:rsidRPr="007A1A00">
        <w:rPr>
          <w:noProof/>
        </w:rPr>
        <w:t xml:space="preserve"> </w:t>
      </w:r>
      <w:r w:rsidR="00DE2A40" w:rsidRPr="007A1A00">
        <w:rPr>
          <w:noProof/>
        </w:rPr>
        <w:t>décembre </w:t>
      </w:r>
      <w:r w:rsidR="00F1234B" w:rsidRPr="007A1A00">
        <w:rPr>
          <w:noProof/>
        </w:rPr>
        <w:t xml:space="preserve">2015. </w:t>
      </w:r>
      <w:r w:rsidR="00CD4C6B" w:rsidRPr="007A1A00">
        <w:rPr>
          <w:noProof/>
        </w:rPr>
        <w:t xml:space="preserve"> L</w:t>
      </w:r>
      <w:r w:rsidR="00E94EB0" w:rsidRPr="007A1A00">
        <w:rPr>
          <w:noProof/>
        </w:rPr>
        <w:t>’</w:t>
      </w:r>
      <w:r w:rsidR="00CD4C6B" w:rsidRPr="007A1A00">
        <w:rPr>
          <w:noProof/>
        </w:rPr>
        <w:t xml:space="preserve">algorithme </w:t>
      </w:r>
      <w:r w:rsidR="00567283" w:rsidRPr="007A1A00">
        <w:rPr>
          <w:rFonts w:cs="Arial"/>
          <w:noProof/>
          <w:lang w:eastAsia="ja-JP"/>
        </w:rPr>
        <w:t>révisé</w:t>
      </w:r>
      <w:r w:rsidR="00F1234B" w:rsidRPr="007A1A00">
        <w:rPr>
          <w:rFonts w:cs="Arial"/>
          <w:noProof/>
          <w:lang w:eastAsia="ja-JP"/>
        </w:rPr>
        <w:t xml:space="preserve"> </w:t>
      </w:r>
      <w:r w:rsidR="00567283" w:rsidRPr="007A1A00">
        <w:rPr>
          <w:rFonts w:cs="Arial"/>
          <w:noProof/>
          <w:lang w:eastAsia="ja-JP"/>
        </w:rPr>
        <w:t>sera examiné par le WG</w:t>
      </w:r>
      <w:r w:rsidR="00805E4D" w:rsidRPr="007A1A00">
        <w:rPr>
          <w:rFonts w:cs="Arial"/>
          <w:noProof/>
          <w:lang w:eastAsia="ja-JP"/>
        </w:rPr>
        <w:noBreakHyphen/>
      </w:r>
      <w:r w:rsidR="00F1234B" w:rsidRPr="007A1A00">
        <w:rPr>
          <w:rFonts w:cs="Arial"/>
          <w:noProof/>
          <w:lang w:eastAsia="ja-JP"/>
        </w:rPr>
        <w:t xml:space="preserve">DST </w:t>
      </w:r>
      <w:r w:rsidR="00567283" w:rsidRPr="007A1A00">
        <w:rPr>
          <w:rFonts w:cs="Arial"/>
          <w:noProof/>
          <w:lang w:eastAsia="ja-JP"/>
        </w:rPr>
        <w:t>à sa quatrième</w:t>
      </w:r>
      <w:r w:rsidR="00F1234B" w:rsidRPr="007A1A00">
        <w:rPr>
          <w:rFonts w:cs="Arial"/>
          <w:noProof/>
          <w:lang w:eastAsia="ja-JP"/>
        </w:rPr>
        <w:t xml:space="preserve"> </w:t>
      </w:r>
      <w:r w:rsidR="00567283" w:rsidRPr="007A1A00">
        <w:rPr>
          <w:rFonts w:cs="Arial"/>
          <w:noProof/>
          <w:lang w:eastAsia="ja-JP"/>
        </w:rPr>
        <w:t>réunion</w:t>
      </w:r>
      <w:r w:rsidR="00F1234B" w:rsidRPr="007A1A00">
        <w:rPr>
          <w:rFonts w:cs="Arial"/>
          <w:noProof/>
          <w:lang w:eastAsia="ja-JP"/>
        </w:rPr>
        <w:t xml:space="preserve">, </w:t>
      </w:r>
      <w:r w:rsidR="00567283" w:rsidRPr="007A1A00">
        <w:rPr>
          <w:rFonts w:cs="Arial"/>
          <w:noProof/>
          <w:lang w:eastAsia="ja-JP"/>
        </w:rPr>
        <w:t>qui se tiendra le </w:t>
      </w:r>
      <w:r w:rsidR="00F1234B" w:rsidRPr="007A1A00">
        <w:rPr>
          <w:rFonts w:cs="Arial"/>
          <w:noProof/>
          <w:lang w:eastAsia="ja-JP"/>
        </w:rPr>
        <w:t>4</w:t>
      </w:r>
      <w:r w:rsidR="00AE3D91" w:rsidRPr="007A1A00">
        <w:rPr>
          <w:rFonts w:cs="Arial"/>
          <w:noProof/>
          <w:lang w:eastAsia="ja-JP"/>
        </w:rPr>
        <w:t> février </w:t>
      </w:r>
      <w:r w:rsidR="00F1234B" w:rsidRPr="007A1A00">
        <w:rPr>
          <w:rFonts w:cs="Arial"/>
          <w:noProof/>
          <w:lang w:eastAsia="ja-JP"/>
        </w:rPr>
        <w:t>2016;</w:t>
      </w:r>
    </w:p>
    <w:p w:rsidR="0031661C" w:rsidRPr="007A1A00" w:rsidRDefault="0031661C" w:rsidP="001A638B">
      <w:pPr>
        <w:rPr>
          <w:noProof/>
        </w:rPr>
      </w:pPr>
    </w:p>
    <w:p w:rsidR="0031661C" w:rsidRPr="007A1A00" w:rsidRDefault="00BD3B10" w:rsidP="008D3449">
      <w:pPr>
        <w:rPr>
          <w:noProof/>
        </w:rPr>
      </w:pPr>
      <w:r w:rsidRPr="007A1A00">
        <w:rPr>
          <w:noProof/>
        </w:rPr>
        <w:tab/>
      </w:r>
      <w:r w:rsidR="00C63A29" w:rsidRPr="007A1A00">
        <w:rPr>
          <w:noProof/>
        </w:rPr>
        <w:t>b</w:t>
      </w:r>
      <w:r w:rsidR="008D3449" w:rsidRPr="007A1A00">
        <w:rPr>
          <w:noProof/>
        </w:rPr>
        <w:t>)</w:t>
      </w:r>
      <w:r w:rsidR="008D3449" w:rsidRPr="007A1A00">
        <w:rPr>
          <w:noProof/>
        </w:rPr>
        <w:tab/>
      </w:r>
      <w:r w:rsidR="006B1450" w:rsidRPr="007A1A00">
        <w:rPr>
          <w:noProof/>
        </w:rPr>
        <w:t>S</w:t>
      </w:r>
      <w:r w:rsidR="00E94EB0" w:rsidRPr="007A1A00">
        <w:rPr>
          <w:noProof/>
        </w:rPr>
        <w:t>’</w:t>
      </w:r>
      <w:r w:rsidR="006B1450" w:rsidRPr="007A1A00">
        <w:rPr>
          <w:noProof/>
        </w:rPr>
        <w:t>agissant des termes non acceptables</w:t>
      </w:r>
      <w:r w:rsidR="00A87869" w:rsidRPr="007A1A00">
        <w:rPr>
          <w:noProof/>
        </w:rPr>
        <w:t>, le</w:t>
      </w:r>
      <w:r w:rsidR="00C63A29" w:rsidRPr="007A1A00">
        <w:rPr>
          <w:noProof/>
        </w:rPr>
        <w:t xml:space="preserv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6B1450" w:rsidRPr="007A1A00">
        <w:rPr>
          <w:noProof/>
        </w:rPr>
        <w:t>a</w:t>
      </w:r>
      <w:r w:rsidR="00C63A29" w:rsidRPr="007A1A00">
        <w:rPr>
          <w:noProof/>
        </w:rPr>
        <w:t xml:space="preserve"> propos</w:t>
      </w:r>
      <w:r w:rsidR="006B1450" w:rsidRPr="007A1A00">
        <w:rPr>
          <w:noProof/>
        </w:rPr>
        <w:t>é</w:t>
      </w:r>
      <w:r w:rsidR="00C63A29" w:rsidRPr="007A1A00">
        <w:rPr>
          <w:noProof/>
        </w:rPr>
        <w:t xml:space="preserve"> </w:t>
      </w:r>
      <w:r w:rsidR="006B1450" w:rsidRPr="007A1A00">
        <w:rPr>
          <w:noProof/>
        </w:rPr>
        <w:t>de considé</w:t>
      </w:r>
      <w:r w:rsidR="00C63A29" w:rsidRPr="007A1A00">
        <w:rPr>
          <w:noProof/>
        </w:rPr>
        <w:t>r</w:t>
      </w:r>
      <w:r w:rsidR="006B1450" w:rsidRPr="007A1A00">
        <w:rPr>
          <w:noProof/>
        </w:rPr>
        <w:t>er</w:t>
      </w:r>
      <w:r w:rsidR="00C63A29" w:rsidRPr="007A1A00">
        <w:rPr>
          <w:noProof/>
        </w:rPr>
        <w:t xml:space="preserve"> </w:t>
      </w:r>
      <w:r w:rsidR="006B1450" w:rsidRPr="007A1A00">
        <w:rPr>
          <w:noProof/>
        </w:rPr>
        <w:t>les noms botaniques et communs comme</w:t>
      </w:r>
      <w:r w:rsidR="00C63A29" w:rsidRPr="007A1A00">
        <w:rPr>
          <w:noProof/>
        </w:rPr>
        <w:t xml:space="preserve"> </w:t>
      </w:r>
      <w:r w:rsidR="006B1450" w:rsidRPr="007A1A00">
        <w:rPr>
          <w:noProof/>
        </w:rPr>
        <w:t>termes non acceptabl</w:t>
      </w:r>
      <w:r w:rsidR="00805E4D" w:rsidRPr="007A1A00">
        <w:rPr>
          <w:noProof/>
        </w:rPr>
        <w:t>es.  Il</w:t>
      </w:r>
      <w:r w:rsidR="006B1450" w:rsidRPr="007A1A00">
        <w:rPr>
          <w:noProof/>
        </w:rPr>
        <w:t xml:space="preserve"> est convenu qu</w:t>
      </w:r>
      <w:r w:rsidR="00E94EB0" w:rsidRPr="007A1A00">
        <w:rPr>
          <w:noProof/>
        </w:rPr>
        <w:t>’</w:t>
      </w:r>
      <w:r w:rsidR="006B1450" w:rsidRPr="007A1A00">
        <w:rPr>
          <w:noProof/>
        </w:rPr>
        <w:t>il serait nécessaire de restreindre les noms communs</w:t>
      </w:r>
      <w:r w:rsidR="00C63A29" w:rsidRPr="007A1A00">
        <w:rPr>
          <w:noProof/>
        </w:rPr>
        <w:t xml:space="preserve">, </w:t>
      </w:r>
      <w:r w:rsidR="006B1450" w:rsidRPr="007A1A00">
        <w:rPr>
          <w:noProof/>
        </w:rPr>
        <w:t>peut</w:t>
      </w:r>
      <w:r w:rsidR="00805E4D" w:rsidRPr="007A1A00">
        <w:rPr>
          <w:noProof/>
        </w:rPr>
        <w:noBreakHyphen/>
      </w:r>
      <w:r w:rsidR="006B1450" w:rsidRPr="007A1A00">
        <w:rPr>
          <w:noProof/>
        </w:rPr>
        <w:t>être à ceux</w:t>
      </w:r>
      <w:r w:rsidR="00C63A29" w:rsidRPr="007A1A00">
        <w:rPr>
          <w:noProof/>
        </w:rPr>
        <w:t xml:space="preserve"> </w:t>
      </w:r>
      <w:r w:rsidR="006B1450" w:rsidRPr="007A1A00">
        <w:rPr>
          <w:noProof/>
        </w:rPr>
        <w:t>de la base de données</w:t>
      </w:r>
      <w:r w:rsidR="00C63A29" w:rsidRPr="007A1A00">
        <w:rPr>
          <w:noProof/>
        </w:rPr>
        <w:t xml:space="preserve"> GENIE </w:t>
      </w:r>
      <w:r w:rsidR="00AE490A" w:rsidRPr="007A1A00">
        <w:rPr>
          <w:noProof/>
        </w:rPr>
        <w:t>et uniquement pour certaines</w:t>
      </w:r>
      <w:r w:rsidR="006B1450" w:rsidRPr="007A1A00">
        <w:rPr>
          <w:noProof/>
        </w:rPr>
        <w:t xml:space="preserve"> </w:t>
      </w:r>
      <w:r w:rsidR="00AE490A" w:rsidRPr="007A1A00">
        <w:rPr>
          <w:noProof/>
        </w:rPr>
        <w:t>plantes ou espèces déterminé</w:t>
      </w:r>
      <w:r w:rsidR="006E5854" w:rsidRPr="007A1A00">
        <w:rPr>
          <w:noProof/>
        </w:rPr>
        <w:t>e</w:t>
      </w:r>
      <w:r w:rsidR="00AE490A" w:rsidRPr="007A1A00">
        <w:rPr>
          <w:noProof/>
        </w:rPr>
        <w:t>s</w:t>
      </w:r>
      <w:r w:rsidR="00C63A29" w:rsidRPr="007A1A00">
        <w:rPr>
          <w:noProof/>
        </w:rPr>
        <w:t>;</w:t>
      </w:r>
    </w:p>
    <w:p w:rsidR="0031661C" w:rsidRPr="007A1A00" w:rsidRDefault="0031661C" w:rsidP="008D3449">
      <w:pPr>
        <w:rPr>
          <w:noProof/>
        </w:rPr>
      </w:pPr>
    </w:p>
    <w:p w:rsidR="0031661C" w:rsidRPr="007A1A00" w:rsidRDefault="00BD3B10" w:rsidP="008D3449">
      <w:pPr>
        <w:rPr>
          <w:noProof/>
        </w:rPr>
      </w:pPr>
      <w:r w:rsidRPr="007A1A00">
        <w:rPr>
          <w:noProof/>
        </w:rPr>
        <w:tab/>
      </w:r>
      <w:r w:rsidR="00C63A29" w:rsidRPr="007A1A00">
        <w:rPr>
          <w:noProof/>
        </w:rPr>
        <w:t>c)</w:t>
      </w:r>
      <w:r w:rsidR="00C63A29" w:rsidRPr="007A1A00">
        <w:rPr>
          <w:noProof/>
        </w:rPr>
        <w:tab/>
      </w:r>
      <w:r w:rsidR="00CB4E42" w:rsidRPr="007A1A00">
        <w:rPr>
          <w:noProof/>
        </w:rPr>
        <w:t>S</w:t>
      </w:r>
      <w:r w:rsidR="00E94EB0" w:rsidRPr="007A1A00">
        <w:rPr>
          <w:noProof/>
        </w:rPr>
        <w:t>’</w:t>
      </w:r>
      <w:r w:rsidR="00CB4E42" w:rsidRPr="007A1A00">
        <w:rPr>
          <w:noProof/>
        </w:rPr>
        <w:t>agissant des comparatifs/superlatif</w:t>
      </w:r>
      <w:r w:rsidR="00A87869" w:rsidRPr="007A1A00">
        <w:rPr>
          <w:noProof/>
        </w:rPr>
        <w:t>s, 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CB4E42" w:rsidRPr="007A1A00">
        <w:rPr>
          <w:noProof/>
        </w:rPr>
        <w:t xml:space="preserve">est convenu </w:t>
      </w:r>
      <w:r w:rsidR="00F55A66" w:rsidRPr="007A1A00">
        <w:rPr>
          <w:noProof/>
        </w:rPr>
        <w:t>d</w:t>
      </w:r>
      <w:r w:rsidR="00E94EB0" w:rsidRPr="007A1A00">
        <w:rPr>
          <w:noProof/>
        </w:rPr>
        <w:t>’</w:t>
      </w:r>
      <w:r w:rsidR="00F55A66" w:rsidRPr="007A1A00">
        <w:rPr>
          <w:noProof/>
        </w:rPr>
        <w:t>étudier la possibilité d</w:t>
      </w:r>
      <w:r w:rsidR="00E94EB0" w:rsidRPr="007A1A00">
        <w:rPr>
          <w:noProof/>
        </w:rPr>
        <w:t>’</w:t>
      </w:r>
      <w:r w:rsidR="00C63A29" w:rsidRPr="007A1A00">
        <w:rPr>
          <w:noProof/>
        </w:rPr>
        <w:t>inclu</w:t>
      </w:r>
      <w:r w:rsidR="00F55A66" w:rsidRPr="007A1A00">
        <w:rPr>
          <w:noProof/>
        </w:rPr>
        <w:t>re</w:t>
      </w:r>
      <w:r w:rsidR="00C63A29" w:rsidRPr="007A1A00">
        <w:rPr>
          <w:noProof/>
        </w:rPr>
        <w:t xml:space="preserve"> </w:t>
      </w:r>
      <w:r w:rsidR="00F55A66" w:rsidRPr="007A1A00">
        <w:rPr>
          <w:noProof/>
        </w:rPr>
        <w:t>une</w:t>
      </w:r>
      <w:r w:rsidR="00C63A29" w:rsidRPr="007A1A00">
        <w:rPr>
          <w:noProof/>
        </w:rPr>
        <w:t xml:space="preserve"> list</w:t>
      </w:r>
      <w:r w:rsidR="00F55A66" w:rsidRPr="007A1A00">
        <w:rPr>
          <w:noProof/>
        </w:rPr>
        <w:t>e</w:t>
      </w:r>
      <w:r w:rsidR="00C63A29" w:rsidRPr="007A1A00">
        <w:rPr>
          <w:noProof/>
        </w:rPr>
        <w:t xml:space="preserve"> </w:t>
      </w:r>
      <w:r w:rsidR="00F55A66" w:rsidRPr="007A1A00">
        <w:rPr>
          <w:noProof/>
        </w:rPr>
        <w:t>de comparatifs/superlatif</w:t>
      </w:r>
      <w:r w:rsidR="00C63A29" w:rsidRPr="007A1A00">
        <w:rPr>
          <w:noProof/>
        </w:rPr>
        <w:t xml:space="preserve">s </w:t>
      </w:r>
      <w:r w:rsidR="00F55A66" w:rsidRPr="007A1A00">
        <w:rPr>
          <w:noProof/>
        </w:rPr>
        <w:t>considérés comme</w:t>
      </w:r>
      <w:r w:rsidR="00C63A29" w:rsidRPr="007A1A00">
        <w:rPr>
          <w:noProof/>
        </w:rPr>
        <w:t xml:space="preserve"> </w:t>
      </w:r>
      <w:r w:rsidR="00F55A66" w:rsidRPr="007A1A00">
        <w:rPr>
          <w:noProof/>
        </w:rPr>
        <w:t>termes non acceptabl</w:t>
      </w:r>
      <w:r w:rsidR="00805E4D" w:rsidRPr="007A1A00">
        <w:rPr>
          <w:noProof/>
        </w:rPr>
        <w:t>es.  Ce</w:t>
      </w:r>
      <w:r w:rsidR="00F55A66" w:rsidRPr="007A1A00">
        <w:rPr>
          <w:noProof/>
        </w:rPr>
        <w:t>tte éventualité sera examinée par</w:t>
      </w:r>
      <w:r w:rsidR="00C63A29" w:rsidRPr="007A1A00">
        <w:rPr>
          <w:noProof/>
        </w:rPr>
        <w:t xml:space="preserve"> </w:t>
      </w:r>
      <w:r w:rsidR="00A87869" w:rsidRPr="007A1A00">
        <w:rPr>
          <w:noProof/>
        </w:rPr>
        <w:t>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F55A66" w:rsidRPr="007A1A00">
        <w:rPr>
          <w:rFonts w:cs="Arial"/>
          <w:noProof/>
          <w:lang w:eastAsia="ja-JP"/>
        </w:rPr>
        <w:t>à sa quatrième réunion</w:t>
      </w:r>
      <w:r w:rsidR="00014875" w:rsidRPr="007A1A00">
        <w:rPr>
          <w:noProof/>
        </w:rPr>
        <w:t>;</w:t>
      </w:r>
    </w:p>
    <w:p w:rsidR="0031661C" w:rsidRPr="007A1A00" w:rsidRDefault="0031661C" w:rsidP="008D3449">
      <w:pPr>
        <w:rPr>
          <w:noProof/>
        </w:rPr>
      </w:pPr>
    </w:p>
    <w:p w:rsidR="0031661C" w:rsidRPr="007A1A00" w:rsidRDefault="00BD3B10" w:rsidP="008D3449">
      <w:pPr>
        <w:rPr>
          <w:noProof/>
        </w:rPr>
      </w:pPr>
      <w:r w:rsidRPr="007A1A00">
        <w:rPr>
          <w:noProof/>
        </w:rPr>
        <w:tab/>
      </w:r>
      <w:r w:rsidR="00A87869" w:rsidRPr="007A1A00">
        <w:rPr>
          <w:noProof/>
        </w:rPr>
        <w:t>d)</w:t>
      </w:r>
      <w:r w:rsidR="00A87869" w:rsidRPr="007A1A00">
        <w:rPr>
          <w:noProof/>
        </w:rPr>
        <w:tab/>
        <w:t>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F97179" w:rsidRPr="007A1A00">
        <w:rPr>
          <w:noProof/>
        </w:rPr>
        <w:t>a</w:t>
      </w:r>
      <w:r w:rsidR="00C63A29" w:rsidRPr="007A1A00">
        <w:rPr>
          <w:noProof/>
        </w:rPr>
        <w:t xml:space="preserve"> conclu</w:t>
      </w:r>
      <w:r w:rsidR="00F97179" w:rsidRPr="007A1A00">
        <w:rPr>
          <w:noProof/>
        </w:rPr>
        <w:t xml:space="preserve"> qu</w:t>
      </w:r>
      <w:r w:rsidR="00E94EB0" w:rsidRPr="007A1A00">
        <w:rPr>
          <w:noProof/>
        </w:rPr>
        <w:t>’</w:t>
      </w:r>
      <w:r w:rsidR="00F97179" w:rsidRPr="007A1A00">
        <w:rPr>
          <w:noProof/>
        </w:rPr>
        <w:t>il ne sera pas possible</w:t>
      </w:r>
      <w:r w:rsidR="00C63A29" w:rsidRPr="007A1A00">
        <w:rPr>
          <w:noProof/>
        </w:rPr>
        <w:t xml:space="preserve"> </w:t>
      </w:r>
      <w:r w:rsidR="008E2A55" w:rsidRPr="007A1A00">
        <w:rPr>
          <w:noProof/>
        </w:rPr>
        <w:t>de traiter</w:t>
      </w:r>
      <w:r w:rsidR="006E533D" w:rsidRPr="007A1A00">
        <w:rPr>
          <w:noProof/>
        </w:rPr>
        <w:t xml:space="preserve"> </w:t>
      </w:r>
      <w:r w:rsidR="004E4480" w:rsidRPr="007A1A00">
        <w:rPr>
          <w:noProof/>
        </w:rPr>
        <w:t xml:space="preserve">les </w:t>
      </w:r>
      <w:r w:rsidR="00C63A29" w:rsidRPr="007A1A00">
        <w:rPr>
          <w:noProof/>
        </w:rPr>
        <w:t>“</w:t>
      </w:r>
      <w:r w:rsidR="004E4480" w:rsidRPr="007A1A00">
        <w:rPr>
          <w:noProof/>
        </w:rPr>
        <w:t>pratiques établies</w:t>
      </w:r>
      <w:r w:rsidR="00C63A29" w:rsidRPr="007A1A00">
        <w:rPr>
          <w:noProof/>
        </w:rPr>
        <w:t xml:space="preserve">” </w:t>
      </w:r>
      <w:r w:rsidR="00E94EB0" w:rsidRPr="007A1A00">
        <w:rPr>
          <w:noProof/>
        </w:rPr>
        <w:t>à l’égard</w:t>
      </w:r>
      <w:r w:rsidR="003F752D" w:rsidRPr="007A1A00">
        <w:rPr>
          <w:noProof/>
        </w:rPr>
        <w:t xml:space="preserve"> de l</w:t>
      </w:r>
      <w:r w:rsidR="00E94EB0" w:rsidRPr="007A1A00">
        <w:rPr>
          <w:noProof/>
        </w:rPr>
        <w:t>’</w:t>
      </w:r>
      <w:r w:rsidR="003F752D" w:rsidRPr="007A1A00">
        <w:rPr>
          <w:noProof/>
        </w:rPr>
        <w:t>utilisation des</w:t>
      </w:r>
      <w:r w:rsidR="00C63A29" w:rsidRPr="007A1A00">
        <w:rPr>
          <w:noProof/>
        </w:rPr>
        <w:t xml:space="preserve"> </w:t>
      </w:r>
      <w:r w:rsidR="003F752D" w:rsidRPr="007A1A00">
        <w:rPr>
          <w:noProof/>
        </w:rPr>
        <w:t>dé</w:t>
      </w:r>
      <w:r w:rsidR="00C63A29" w:rsidRPr="007A1A00">
        <w:rPr>
          <w:noProof/>
        </w:rPr>
        <w:t>nomination</w:t>
      </w:r>
      <w:r w:rsidR="00014875" w:rsidRPr="007A1A00">
        <w:rPr>
          <w:noProof/>
        </w:rPr>
        <w:t>s</w:t>
      </w:r>
      <w:r w:rsidR="00C63A29" w:rsidRPr="007A1A00">
        <w:rPr>
          <w:noProof/>
        </w:rPr>
        <w:t xml:space="preserve"> </w:t>
      </w:r>
      <w:r w:rsidR="003F752D" w:rsidRPr="007A1A00">
        <w:rPr>
          <w:noProof/>
        </w:rPr>
        <w:t>composée uniquement</w:t>
      </w:r>
      <w:r w:rsidR="009F54EF" w:rsidRPr="007A1A00">
        <w:rPr>
          <w:noProof/>
        </w:rPr>
        <w:t xml:space="preserve"> </w:t>
      </w:r>
      <w:r w:rsidR="003F752D" w:rsidRPr="007A1A00">
        <w:rPr>
          <w:noProof/>
        </w:rPr>
        <w:t>de</w:t>
      </w:r>
      <w:r w:rsidR="003F752D" w:rsidRPr="007A1A00">
        <w:t xml:space="preserve"> </w:t>
      </w:r>
      <w:r w:rsidR="003F752D" w:rsidRPr="007A1A00">
        <w:rPr>
          <w:noProof/>
        </w:rPr>
        <w:t>chiffres</w:t>
      </w:r>
      <w:r w:rsidR="009F54EF" w:rsidRPr="007A1A00">
        <w:rPr>
          <w:noProof/>
        </w:rPr>
        <w:t xml:space="preserve"> </w:t>
      </w:r>
      <w:r w:rsidR="003F752D" w:rsidRPr="007A1A00">
        <w:rPr>
          <w:noProof/>
        </w:rPr>
        <w:t xml:space="preserve">et </w:t>
      </w:r>
      <w:r w:rsidR="00CA66F6" w:rsidRPr="007A1A00">
        <w:rPr>
          <w:noProof/>
        </w:rPr>
        <w:t>a indiqué</w:t>
      </w:r>
      <w:r w:rsidR="003F752D" w:rsidRPr="007A1A00">
        <w:rPr>
          <w:noProof/>
        </w:rPr>
        <w:t xml:space="preserve"> que, pour les membres de l</w:t>
      </w:r>
      <w:r w:rsidR="00E94EB0" w:rsidRPr="007A1A00">
        <w:rPr>
          <w:noProof/>
        </w:rPr>
        <w:t>’</w:t>
      </w:r>
      <w:r w:rsidR="003F752D" w:rsidRPr="007A1A00">
        <w:rPr>
          <w:noProof/>
        </w:rPr>
        <w:t xml:space="preserve">Union, ce </w:t>
      </w:r>
      <w:r w:rsidR="00CA66F6" w:rsidRPr="007A1A00">
        <w:rPr>
          <w:noProof/>
        </w:rPr>
        <w:t>n</w:t>
      </w:r>
      <w:r w:rsidR="00E94EB0" w:rsidRPr="007A1A00">
        <w:rPr>
          <w:noProof/>
        </w:rPr>
        <w:t>’</w:t>
      </w:r>
      <w:r w:rsidR="00CA66F6" w:rsidRPr="007A1A00">
        <w:rPr>
          <w:noProof/>
        </w:rPr>
        <w:t>était</w:t>
      </w:r>
      <w:r w:rsidR="003F752D" w:rsidRPr="007A1A00">
        <w:rPr>
          <w:noProof/>
        </w:rPr>
        <w:t xml:space="preserve"> pas une question difficile</w:t>
      </w:r>
      <w:r w:rsidR="009F54EF" w:rsidRPr="007A1A00">
        <w:rPr>
          <w:noProof/>
        </w:rPr>
        <w:t xml:space="preserve"> </w:t>
      </w:r>
      <w:r w:rsidR="003F752D" w:rsidRPr="007A1A00">
        <w:rPr>
          <w:noProof/>
        </w:rPr>
        <w:t>à</w:t>
      </w:r>
      <w:r w:rsidR="009F54EF" w:rsidRPr="007A1A00">
        <w:rPr>
          <w:noProof/>
        </w:rPr>
        <w:t xml:space="preserve"> </w:t>
      </w:r>
      <w:r w:rsidR="003F752D" w:rsidRPr="007A1A00">
        <w:rPr>
          <w:noProof/>
        </w:rPr>
        <w:t>mettre en œuvre</w:t>
      </w:r>
      <w:r w:rsidR="009F54EF" w:rsidRPr="007A1A00">
        <w:rPr>
          <w:noProof/>
        </w:rPr>
        <w:t>.</w:t>
      </w:r>
    </w:p>
    <w:p w:rsidR="0031661C" w:rsidRPr="007A1A00" w:rsidRDefault="0031661C" w:rsidP="00B765F8">
      <w:pPr>
        <w:rPr>
          <w:rFonts w:cs="Arial"/>
          <w:noProof/>
          <w:lang w:eastAsia="ja-JP"/>
        </w:rPr>
      </w:pPr>
    </w:p>
    <w:p w:rsidR="0031661C" w:rsidRPr="007A1A00" w:rsidRDefault="004F3B3C" w:rsidP="008B04B8">
      <w:pPr>
        <w:rPr>
          <w:noProof/>
        </w:rPr>
      </w:pPr>
      <w:r w:rsidRPr="004F3B3C">
        <w:rPr>
          <w:noProof/>
          <w:vertAlign w:val="superscript"/>
        </w:rPr>
        <w:t>*</w:t>
      </w:r>
      <w:r w:rsidR="00AE08BE" w:rsidRPr="007A1A00">
        <w:rPr>
          <w:noProof/>
        </w:rPr>
        <w:fldChar w:fldCharType="begin"/>
      </w:r>
      <w:r w:rsidR="008B04B8" w:rsidRPr="007A1A00">
        <w:rPr>
          <w:noProof/>
        </w:rPr>
        <w:instrText xml:space="preserve"> AUTONUM  </w:instrText>
      </w:r>
      <w:r w:rsidR="00AE08BE" w:rsidRPr="007A1A00">
        <w:rPr>
          <w:noProof/>
        </w:rPr>
        <w:fldChar w:fldCharType="end"/>
      </w:r>
      <w:r w:rsidR="008B04B8" w:rsidRPr="007A1A00">
        <w:rPr>
          <w:noProof/>
        </w:rPr>
        <w:tab/>
      </w:r>
      <w:r w:rsidR="00BD3B10" w:rsidRPr="007A1A00">
        <w:rPr>
          <w:noProof/>
          <w:snapToGrid w:val="0"/>
        </w:rPr>
        <w:t xml:space="preserve">Le </w:t>
      </w:r>
      <w:r w:rsidR="008B04B8" w:rsidRPr="007A1A00">
        <w:rPr>
          <w:noProof/>
        </w:rPr>
        <w:t xml:space="preserve">CAJ </w:t>
      </w:r>
      <w:r w:rsidR="008F2BE2" w:rsidRPr="007A1A00">
        <w:rPr>
          <w:noProof/>
        </w:rPr>
        <w:t>approuve l</w:t>
      </w:r>
      <w:r w:rsidR="003F752D" w:rsidRPr="007A1A00">
        <w:rPr>
          <w:noProof/>
        </w:rPr>
        <w:t>es</w:t>
      </w:r>
      <w:r w:rsidR="008B04B8" w:rsidRPr="007A1A00">
        <w:rPr>
          <w:noProof/>
        </w:rPr>
        <w:t xml:space="preserve"> </w:t>
      </w:r>
      <w:r w:rsidR="00050A9C" w:rsidRPr="007A1A00">
        <w:rPr>
          <w:noProof/>
        </w:rPr>
        <w:t>étapes</w:t>
      </w:r>
      <w:r w:rsidR="008B04B8" w:rsidRPr="007A1A00">
        <w:rPr>
          <w:noProof/>
        </w:rPr>
        <w:t xml:space="preserve"> </w:t>
      </w:r>
      <w:r w:rsidR="003F752D" w:rsidRPr="007A1A00">
        <w:rPr>
          <w:noProof/>
        </w:rPr>
        <w:t>ci</w:t>
      </w:r>
      <w:r w:rsidR="00805E4D" w:rsidRPr="007A1A00">
        <w:rPr>
          <w:noProof/>
        </w:rPr>
        <w:noBreakHyphen/>
      </w:r>
      <w:r w:rsidR="003F752D" w:rsidRPr="007A1A00">
        <w:rPr>
          <w:noProof/>
        </w:rPr>
        <w:t>après pour la</w:t>
      </w:r>
      <w:r w:rsidR="00014875" w:rsidRPr="007A1A00">
        <w:rPr>
          <w:noProof/>
        </w:rPr>
        <w:t xml:space="preserve"> </w:t>
      </w:r>
      <w:r w:rsidR="003F752D" w:rsidRPr="007A1A00">
        <w:rPr>
          <w:noProof/>
        </w:rPr>
        <w:t>ré</w:t>
      </w:r>
      <w:r w:rsidR="00014875" w:rsidRPr="007A1A00">
        <w:rPr>
          <w:noProof/>
        </w:rPr>
        <w:t xml:space="preserve">vision </w:t>
      </w:r>
      <w:r w:rsidR="003F752D" w:rsidRPr="007A1A00">
        <w:rPr>
          <w:noProof/>
        </w:rPr>
        <w:t>des</w:t>
      </w:r>
      <w:r w:rsidR="00014875" w:rsidRPr="007A1A00">
        <w:rPr>
          <w:noProof/>
        </w:rPr>
        <w:t xml:space="preserve"> “</w:t>
      </w:r>
      <w:r w:rsidR="003F752D" w:rsidRPr="007A1A00">
        <w:rPr>
          <w:noProof/>
        </w:rPr>
        <w:t xml:space="preserve">Notes explicatives sur les dénominations variétales selon la </w:t>
      </w:r>
      <w:r w:rsidR="00E94EB0" w:rsidRPr="007A1A00">
        <w:rPr>
          <w:noProof/>
        </w:rPr>
        <w:t>Convention UPOV</w:t>
      </w:r>
      <w:r w:rsidR="008B04B8" w:rsidRPr="007A1A00">
        <w:rPr>
          <w:noProof/>
        </w:rPr>
        <w:t>”</w:t>
      </w:r>
      <w:r w:rsidR="00050A9C" w:rsidRPr="007A1A00">
        <w:rPr>
          <w:noProof/>
        </w:rPr>
        <w:t> </w:t>
      </w:r>
      <w:r w:rsidR="008B04B8" w:rsidRPr="007A1A00">
        <w:rPr>
          <w:noProof/>
        </w:rPr>
        <w:t>:</w:t>
      </w:r>
    </w:p>
    <w:p w:rsidR="0031661C" w:rsidRPr="007A1A00" w:rsidRDefault="0031661C" w:rsidP="008B04B8">
      <w:pPr>
        <w:rPr>
          <w:noProof/>
        </w:rPr>
      </w:pPr>
    </w:p>
    <w:p w:rsidR="0031661C" w:rsidRPr="007A1A00" w:rsidRDefault="00EF7A0C" w:rsidP="008B04B8">
      <w:pPr>
        <w:ind w:firstLine="567"/>
        <w:rPr>
          <w:noProof/>
        </w:rPr>
      </w:pPr>
      <w:r w:rsidRPr="007A1A00">
        <w:rPr>
          <w:noProof/>
        </w:rPr>
        <w:t>a)</w:t>
      </w:r>
      <w:r w:rsidRPr="007A1A00">
        <w:rPr>
          <w:noProof/>
        </w:rPr>
        <w:tab/>
      </w:r>
      <w:r w:rsidR="00D60318" w:rsidRPr="007A1A00">
        <w:rPr>
          <w:noProof/>
        </w:rPr>
        <w:t>élargissement</w:t>
      </w:r>
      <w:r w:rsidR="007E6104" w:rsidRPr="007A1A00">
        <w:rPr>
          <w:noProof/>
        </w:rPr>
        <w:t xml:space="preserve"> </w:t>
      </w:r>
      <w:r w:rsidR="00D60318" w:rsidRPr="007A1A00">
        <w:rPr>
          <w:noProof/>
        </w:rPr>
        <w:t>du</w:t>
      </w:r>
      <w:r w:rsidRPr="007A1A00">
        <w:rPr>
          <w:noProof/>
        </w:rPr>
        <w:t xml:space="preserve"> mandat</w:t>
      </w:r>
      <w:r w:rsidR="008B04B8" w:rsidRPr="007A1A00">
        <w:rPr>
          <w:noProof/>
        </w:rPr>
        <w:t xml:space="preserve"> </w:t>
      </w:r>
      <w:r w:rsidRPr="007A1A00">
        <w:rPr>
          <w:noProof/>
        </w:rPr>
        <w:t xml:space="preserve">et </w:t>
      </w:r>
      <w:r w:rsidR="00D60318" w:rsidRPr="007A1A00">
        <w:rPr>
          <w:noProof/>
        </w:rPr>
        <w:t xml:space="preserve">de </w:t>
      </w:r>
      <w:r w:rsidRPr="007A1A00">
        <w:rPr>
          <w:noProof/>
        </w:rPr>
        <w:t>la</w:t>
      </w:r>
      <w:r w:rsidR="008B04B8" w:rsidRPr="007A1A00">
        <w:rPr>
          <w:noProof/>
        </w:rPr>
        <w:t xml:space="preserve"> composition </w:t>
      </w:r>
      <w:r w:rsidRPr="007A1A00">
        <w:rPr>
          <w:noProof/>
        </w:rPr>
        <w:t>du</w:t>
      </w:r>
      <w:r w:rsidR="008B04B8" w:rsidRPr="007A1A00">
        <w:rPr>
          <w:noProof/>
        </w:rPr>
        <w:t xml:space="preserve"> </w:t>
      </w:r>
      <w:r w:rsidRPr="007A1A00">
        <w:rPr>
          <w:noProof/>
        </w:rPr>
        <w:t xml:space="preserve">Groupe de travail </w:t>
      </w:r>
      <w:r w:rsidRPr="007A1A00">
        <w:rPr>
          <w:rFonts w:cs="Arial"/>
          <w:noProof/>
          <w:snapToGrid w:val="0"/>
          <w:lang w:eastAsia="ja-JP"/>
        </w:rPr>
        <w:t>sur l</w:t>
      </w:r>
      <w:r w:rsidR="00E94EB0" w:rsidRPr="007A1A00">
        <w:rPr>
          <w:rFonts w:cs="Arial"/>
          <w:noProof/>
          <w:snapToGrid w:val="0"/>
          <w:lang w:eastAsia="ja-JP"/>
        </w:rPr>
        <w:t>’</w:t>
      </w:r>
      <w:r w:rsidRPr="007A1A00">
        <w:rPr>
          <w:rFonts w:cs="Arial"/>
          <w:noProof/>
          <w:snapToGrid w:val="0"/>
          <w:lang w:eastAsia="ja-JP"/>
        </w:rPr>
        <w:t>élaboration d</w:t>
      </w:r>
      <w:r w:rsidR="00E94EB0" w:rsidRPr="007A1A00">
        <w:rPr>
          <w:rFonts w:cs="Arial"/>
          <w:noProof/>
          <w:snapToGrid w:val="0"/>
          <w:lang w:eastAsia="ja-JP"/>
        </w:rPr>
        <w:t>’</w:t>
      </w:r>
      <w:r w:rsidRPr="007A1A00">
        <w:rPr>
          <w:rFonts w:cs="Arial"/>
          <w:noProof/>
          <w:snapToGrid w:val="0"/>
          <w:lang w:eastAsia="ja-JP"/>
        </w:rPr>
        <w:t>un moteur de recherche de similitudes de l</w:t>
      </w:r>
      <w:r w:rsidR="00E94EB0" w:rsidRPr="007A1A00">
        <w:rPr>
          <w:rFonts w:cs="Arial"/>
          <w:noProof/>
          <w:snapToGrid w:val="0"/>
          <w:lang w:eastAsia="ja-JP"/>
        </w:rPr>
        <w:t>’</w:t>
      </w:r>
      <w:r w:rsidRPr="007A1A00">
        <w:rPr>
          <w:rFonts w:cs="Arial"/>
          <w:noProof/>
          <w:snapToGrid w:val="0"/>
          <w:lang w:eastAsia="ja-JP"/>
        </w:rPr>
        <w:t xml:space="preserve">UPOV aux fins de la dénomination variétale </w:t>
      </w:r>
      <w:r w:rsidR="008B04B8" w:rsidRPr="007A1A00">
        <w:rPr>
          <w:rFonts w:cs="Arial"/>
          <w:noProof/>
          <w:snapToGrid w:val="0"/>
          <w:lang w:eastAsia="ja-JP"/>
        </w:rPr>
        <w:t>(</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8B04B8" w:rsidRPr="007A1A00">
        <w:rPr>
          <w:rFonts w:cs="Arial"/>
          <w:noProof/>
          <w:snapToGrid w:val="0"/>
          <w:lang w:eastAsia="ja-JP"/>
        </w:rPr>
        <w:t xml:space="preserve">) </w:t>
      </w:r>
      <w:r w:rsidRPr="007A1A00">
        <w:rPr>
          <w:rFonts w:cs="Arial"/>
          <w:noProof/>
          <w:snapToGrid w:val="0"/>
          <w:lang w:eastAsia="ja-JP"/>
        </w:rPr>
        <w:t>afin de</w:t>
      </w:r>
      <w:r w:rsidR="008B04B8" w:rsidRPr="007A1A00">
        <w:rPr>
          <w:rFonts w:cs="Arial"/>
          <w:noProof/>
          <w:snapToGrid w:val="0"/>
          <w:lang w:eastAsia="ja-JP"/>
        </w:rPr>
        <w:t xml:space="preserve"> </w:t>
      </w:r>
      <w:r w:rsidR="00B65755" w:rsidRPr="007A1A00">
        <w:rPr>
          <w:rFonts w:cs="Arial"/>
          <w:noProof/>
          <w:snapToGrid w:val="0"/>
          <w:lang w:eastAsia="ja-JP"/>
        </w:rPr>
        <w:t>formuler des recommandations pour</w:t>
      </w:r>
      <w:r w:rsidR="00E94EB0" w:rsidRPr="007A1A00">
        <w:rPr>
          <w:rFonts w:cs="Arial"/>
          <w:noProof/>
          <w:snapToGrid w:val="0"/>
          <w:lang w:eastAsia="ja-JP"/>
        </w:rPr>
        <w:t xml:space="preserve"> le CAJ</w:t>
      </w:r>
      <w:r w:rsidR="008B04B8" w:rsidRPr="007A1A00">
        <w:rPr>
          <w:rFonts w:cs="Arial"/>
          <w:noProof/>
          <w:snapToGrid w:val="0"/>
          <w:lang w:eastAsia="ja-JP"/>
        </w:rPr>
        <w:t xml:space="preserve"> </w:t>
      </w:r>
      <w:r w:rsidR="00B65755" w:rsidRPr="007A1A00">
        <w:rPr>
          <w:rFonts w:cs="Arial"/>
          <w:noProof/>
          <w:snapToGrid w:val="0"/>
          <w:lang w:eastAsia="ja-JP"/>
        </w:rPr>
        <w:t>au sujet de la</w:t>
      </w:r>
      <w:r w:rsidR="008B04B8" w:rsidRPr="007A1A00">
        <w:rPr>
          <w:rFonts w:cs="Arial"/>
          <w:noProof/>
          <w:snapToGrid w:val="0"/>
          <w:lang w:eastAsia="ja-JP"/>
        </w:rPr>
        <w:t xml:space="preserve"> </w:t>
      </w:r>
      <w:r w:rsidR="00B65755" w:rsidRPr="007A1A00">
        <w:rPr>
          <w:rFonts w:cs="Arial"/>
          <w:noProof/>
          <w:snapToGrid w:val="0"/>
          <w:lang w:eastAsia="ja-JP"/>
        </w:rPr>
        <w:t>ré</w:t>
      </w:r>
      <w:r w:rsidR="008B04B8" w:rsidRPr="007A1A00">
        <w:rPr>
          <w:rFonts w:cs="Arial"/>
          <w:noProof/>
          <w:snapToGrid w:val="0"/>
          <w:lang w:eastAsia="ja-JP"/>
        </w:rPr>
        <w:t xml:space="preserve">vision </w:t>
      </w:r>
      <w:r w:rsidR="00B65755" w:rsidRPr="007A1A00">
        <w:rPr>
          <w:rFonts w:cs="Arial"/>
          <w:noProof/>
          <w:snapToGrid w:val="0"/>
          <w:lang w:eastAsia="ja-JP"/>
        </w:rPr>
        <w:t>du</w:t>
      </w:r>
      <w:r w:rsidR="008B04B8" w:rsidRPr="007A1A00">
        <w:rPr>
          <w:rFonts w:cs="Arial"/>
          <w:noProof/>
          <w:snapToGrid w:val="0"/>
          <w:lang w:eastAsia="ja-JP"/>
        </w:rPr>
        <w:t xml:space="preserve"> document UPOV/INF/12 “</w:t>
      </w:r>
      <w:r w:rsidR="003F752D" w:rsidRPr="007A1A00">
        <w:rPr>
          <w:rFonts w:cs="Arial"/>
          <w:noProof/>
          <w:snapToGrid w:val="0"/>
          <w:lang w:eastAsia="ja-JP"/>
        </w:rPr>
        <w:t xml:space="preserve">Notes explicatives sur les dénominations variétales selon la </w:t>
      </w:r>
      <w:r w:rsidR="00E94EB0" w:rsidRPr="007A1A00">
        <w:rPr>
          <w:rFonts w:cs="Arial"/>
          <w:noProof/>
          <w:snapToGrid w:val="0"/>
          <w:lang w:eastAsia="ja-JP"/>
        </w:rPr>
        <w:t>Convention UPOV</w:t>
      </w:r>
      <w:r w:rsidR="008B04B8" w:rsidRPr="007A1A00">
        <w:rPr>
          <w:rFonts w:cs="Arial"/>
          <w:noProof/>
          <w:snapToGrid w:val="0"/>
          <w:lang w:eastAsia="ja-JP"/>
        </w:rPr>
        <w:t>” (</w:t>
      </w:r>
      <w:r w:rsidR="003B39C9" w:rsidRPr="007A1A00">
        <w:rPr>
          <w:rFonts w:cs="Arial"/>
          <w:noProof/>
          <w:snapToGrid w:val="0"/>
          <w:lang w:eastAsia="ja-JP"/>
        </w:rPr>
        <w:t xml:space="preserve">Groupe de travail sur les dénominations variétales </w:t>
      </w:r>
      <w:r w:rsidR="00B65755" w:rsidRPr="007A1A00">
        <w:rPr>
          <w:rFonts w:cs="Arial"/>
          <w:noProof/>
          <w:snapToGrid w:val="0"/>
          <w:lang w:eastAsia="ja-JP"/>
        </w:rPr>
        <w:t>(WG</w:t>
      </w:r>
      <w:r w:rsidR="00805E4D" w:rsidRPr="007A1A00">
        <w:rPr>
          <w:rFonts w:cs="Arial"/>
          <w:noProof/>
          <w:snapToGrid w:val="0"/>
          <w:lang w:eastAsia="ja-JP"/>
        </w:rPr>
        <w:noBreakHyphen/>
      </w:r>
      <w:r w:rsidR="00967268" w:rsidRPr="007A1A00">
        <w:rPr>
          <w:rFonts w:cs="Arial"/>
          <w:noProof/>
          <w:snapToGrid w:val="0"/>
          <w:lang w:eastAsia="ja-JP"/>
        </w:rPr>
        <w:t>DEN)</w:t>
      </w:r>
      <w:r w:rsidR="008B04B8" w:rsidRPr="007A1A00">
        <w:rPr>
          <w:rFonts w:cs="Arial"/>
          <w:noProof/>
          <w:snapToGrid w:val="0"/>
          <w:lang w:eastAsia="ja-JP"/>
        </w:rPr>
        <w:t>);</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b)</w:t>
      </w:r>
      <w:r w:rsidR="008B04B8" w:rsidRPr="007A1A00">
        <w:rPr>
          <w:noProof/>
        </w:rPr>
        <w:tab/>
      </w:r>
      <w:r w:rsidR="009B46B9" w:rsidRPr="007A1A00">
        <w:rPr>
          <w:noProof/>
        </w:rPr>
        <w:t>le Bureau de</w:t>
      </w:r>
      <w:r w:rsidR="008B04B8" w:rsidRPr="007A1A00">
        <w:rPr>
          <w:noProof/>
        </w:rPr>
        <w:t xml:space="preserve"> </w:t>
      </w:r>
      <w:r w:rsidR="009B46B9" w:rsidRPr="007A1A00">
        <w:rPr>
          <w:noProof/>
        </w:rPr>
        <w:t>l</w:t>
      </w:r>
      <w:r w:rsidR="00E94EB0" w:rsidRPr="007A1A00">
        <w:rPr>
          <w:noProof/>
        </w:rPr>
        <w:t>’</w:t>
      </w:r>
      <w:r w:rsidR="008B04B8" w:rsidRPr="007A1A00">
        <w:rPr>
          <w:noProof/>
        </w:rPr>
        <w:t xml:space="preserve">Union </w:t>
      </w:r>
      <w:r w:rsidR="00D60318" w:rsidRPr="007A1A00">
        <w:rPr>
          <w:noProof/>
        </w:rPr>
        <w:t>publiera une</w:t>
      </w:r>
      <w:r w:rsidR="008B04B8" w:rsidRPr="007A1A00">
        <w:rPr>
          <w:noProof/>
        </w:rPr>
        <w:t xml:space="preserve"> </w:t>
      </w:r>
      <w:r w:rsidR="009B46B9" w:rsidRPr="007A1A00">
        <w:rPr>
          <w:noProof/>
        </w:rPr>
        <w:t>circulaire</w:t>
      </w:r>
      <w:r w:rsidR="008B04B8" w:rsidRPr="007A1A00">
        <w:rPr>
          <w:noProof/>
        </w:rPr>
        <w:t xml:space="preserve"> </w:t>
      </w:r>
      <w:r w:rsidR="00652981" w:rsidRPr="007A1A00">
        <w:rPr>
          <w:noProof/>
        </w:rPr>
        <w:t>dans laquelle il sera demand</w:t>
      </w:r>
      <w:r w:rsidR="00D60318" w:rsidRPr="007A1A00">
        <w:rPr>
          <w:noProof/>
        </w:rPr>
        <w:t>é aux membres et aux observateurs</w:t>
      </w:r>
      <w:r w:rsidR="00E94EB0" w:rsidRPr="007A1A00">
        <w:rPr>
          <w:noProof/>
        </w:rPr>
        <w:t xml:space="preserve"> du CAJ</w:t>
      </w:r>
      <w:r w:rsidR="008B04B8" w:rsidRPr="007A1A00">
        <w:rPr>
          <w:noProof/>
        </w:rPr>
        <w:t xml:space="preserve"> </w:t>
      </w:r>
      <w:r w:rsidR="00D60318" w:rsidRPr="007A1A00">
        <w:rPr>
          <w:noProof/>
        </w:rPr>
        <w:t>de</w:t>
      </w:r>
      <w:r w:rsidR="008B04B8" w:rsidRPr="007A1A00">
        <w:rPr>
          <w:noProof/>
        </w:rPr>
        <w:t xml:space="preserve"> </w:t>
      </w:r>
      <w:r w:rsidR="00967268" w:rsidRPr="007A1A00">
        <w:rPr>
          <w:noProof/>
        </w:rPr>
        <w:t>particip</w:t>
      </w:r>
      <w:r w:rsidR="003B39C9" w:rsidRPr="007A1A00">
        <w:rPr>
          <w:noProof/>
        </w:rPr>
        <w:t>er</w:t>
      </w:r>
      <w:r w:rsidR="00967268" w:rsidRPr="007A1A00">
        <w:rPr>
          <w:noProof/>
        </w:rPr>
        <w:t xml:space="preserve"> </w:t>
      </w:r>
      <w:r w:rsidR="003B39C9" w:rsidRPr="007A1A00">
        <w:rPr>
          <w:noProof/>
        </w:rPr>
        <w:t>au</w:t>
      </w:r>
      <w:r w:rsidR="002C3732" w:rsidRPr="007A1A00">
        <w:rPr>
          <w:noProof/>
        </w:rPr>
        <w:t xml:space="preserve"> WG</w:t>
      </w:r>
      <w:r w:rsidR="00805E4D" w:rsidRPr="007A1A00">
        <w:rPr>
          <w:noProof/>
        </w:rPr>
        <w:noBreakHyphen/>
      </w:r>
      <w:r w:rsidR="00967268" w:rsidRPr="007A1A00">
        <w:rPr>
          <w:noProof/>
        </w:rPr>
        <w:t>DEN</w:t>
      </w:r>
      <w:r w:rsidR="008B04B8" w:rsidRPr="007A1A00">
        <w:rPr>
          <w:noProof/>
        </w:rPr>
        <w:t xml:space="preserve"> </w:t>
      </w:r>
      <w:r w:rsidR="007150FF" w:rsidRPr="007A1A00">
        <w:rPr>
          <w:noProof/>
        </w:rPr>
        <w:t>et</w:t>
      </w:r>
      <w:r w:rsidR="002B5A23" w:rsidRPr="007A1A00">
        <w:rPr>
          <w:noProof/>
        </w:rPr>
        <w:t xml:space="preserve">, </w:t>
      </w:r>
      <w:r w:rsidR="007150FF" w:rsidRPr="007A1A00">
        <w:rPr>
          <w:noProof/>
        </w:rPr>
        <w:t>le cas échéant</w:t>
      </w:r>
      <w:r w:rsidR="002B5A23" w:rsidRPr="007A1A00">
        <w:rPr>
          <w:noProof/>
        </w:rPr>
        <w:t>,</w:t>
      </w:r>
      <w:r w:rsidR="00967268" w:rsidRPr="007A1A00">
        <w:rPr>
          <w:noProof/>
        </w:rPr>
        <w:t xml:space="preserve"> </w:t>
      </w:r>
      <w:r w:rsidR="007150FF" w:rsidRPr="007A1A00">
        <w:rPr>
          <w:noProof/>
        </w:rPr>
        <w:t>de</w:t>
      </w:r>
      <w:r w:rsidR="008B04B8" w:rsidRPr="007A1A00">
        <w:rPr>
          <w:noProof/>
        </w:rPr>
        <w:t xml:space="preserve"> </w:t>
      </w:r>
      <w:r w:rsidR="007150FF" w:rsidRPr="007A1A00">
        <w:rPr>
          <w:noProof/>
        </w:rPr>
        <w:t>formuler des propositions de ré</w:t>
      </w:r>
      <w:r w:rsidR="008B04B8" w:rsidRPr="007A1A00">
        <w:rPr>
          <w:noProof/>
        </w:rPr>
        <w:t xml:space="preserve">vision </w:t>
      </w:r>
      <w:r w:rsidR="007150FF" w:rsidRPr="007A1A00">
        <w:rPr>
          <w:noProof/>
        </w:rPr>
        <w:t xml:space="preserve">du document UPOV/INF/12 au plus tard </w:t>
      </w:r>
      <w:r w:rsidR="007150FF" w:rsidRPr="007A1A00">
        <w:rPr>
          <w:noProof/>
          <w:u w:val="single"/>
        </w:rPr>
        <w:t>le 20 janvier </w:t>
      </w:r>
      <w:r w:rsidR="008B04B8" w:rsidRPr="007A1A00">
        <w:rPr>
          <w:noProof/>
          <w:u w:val="single"/>
        </w:rPr>
        <w:t>2016</w:t>
      </w:r>
      <w:r w:rsidR="008B04B8" w:rsidRPr="007A1A00">
        <w:rPr>
          <w:noProof/>
        </w:rPr>
        <w:t>;</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c)</w:t>
      </w:r>
      <w:r w:rsidR="008B04B8" w:rsidRPr="007A1A00">
        <w:rPr>
          <w:noProof/>
        </w:rPr>
        <w:tab/>
      </w:r>
      <w:r w:rsidR="008B52BB" w:rsidRPr="007A1A00">
        <w:rPr>
          <w:noProof/>
        </w:rPr>
        <w:t>le</w:t>
      </w:r>
      <w:r w:rsidR="00014875" w:rsidRPr="007A1A00">
        <w:rPr>
          <w:noProof/>
        </w:rPr>
        <w:t xml:space="preserve"> </w:t>
      </w:r>
      <w:r w:rsidR="002C3732" w:rsidRPr="007A1A00">
        <w:rPr>
          <w:noProof/>
        </w:rPr>
        <w:t>WG</w:t>
      </w:r>
      <w:r w:rsidR="00805E4D" w:rsidRPr="007A1A00">
        <w:rPr>
          <w:noProof/>
        </w:rPr>
        <w:noBreakHyphen/>
      </w:r>
      <w:r w:rsidR="00967268" w:rsidRPr="007A1A00">
        <w:rPr>
          <w:noProof/>
        </w:rPr>
        <w:t xml:space="preserve">DEN </w:t>
      </w:r>
      <w:r w:rsidR="008E5F63" w:rsidRPr="007A1A00">
        <w:rPr>
          <w:noProof/>
        </w:rPr>
        <w:t>se réunira en mars 2016</w:t>
      </w:r>
      <w:r w:rsidR="00652981" w:rsidRPr="007A1A00">
        <w:rPr>
          <w:noProof/>
        </w:rPr>
        <w:t>, la semaine où auront lieu</w:t>
      </w:r>
      <w:r w:rsidR="008E5F63" w:rsidRPr="007A1A00">
        <w:rPr>
          <w:noProof/>
        </w:rPr>
        <w:t xml:space="preserve"> les</w:t>
      </w:r>
      <w:r w:rsidR="00F1234B" w:rsidRPr="007A1A00">
        <w:rPr>
          <w:noProof/>
        </w:rPr>
        <w:t xml:space="preserve"> </w:t>
      </w:r>
      <w:r w:rsidR="008E5F63" w:rsidRPr="007A1A00">
        <w:rPr>
          <w:noProof/>
        </w:rPr>
        <w:t>sessions de l</w:t>
      </w:r>
      <w:r w:rsidR="00E94EB0" w:rsidRPr="007A1A00">
        <w:rPr>
          <w:noProof/>
        </w:rPr>
        <w:t>’</w:t>
      </w:r>
      <w:r w:rsidR="008B04B8" w:rsidRPr="007A1A00">
        <w:rPr>
          <w:noProof/>
        </w:rPr>
        <w:t>UPOV;</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d)</w:t>
      </w:r>
      <w:r w:rsidR="008B04B8" w:rsidRPr="007A1A00">
        <w:rPr>
          <w:noProof/>
        </w:rPr>
        <w:tab/>
      </w:r>
      <w:r w:rsidR="008B52BB" w:rsidRPr="007A1A00">
        <w:rPr>
          <w:noProof/>
        </w:rPr>
        <w:t>l</w:t>
      </w:r>
      <w:r w:rsidR="00014875" w:rsidRPr="007A1A00">
        <w:rPr>
          <w:noProof/>
        </w:rPr>
        <w:t xml:space="preserve">e </w:t>
      </w:r>
      <w:r w:rsidR="002C3732" w:rsidRPr="007A1A00">
        <w:rPr>
          <w:noProof/>
        </w:rPr>
        <w:t>WG</w:t>
      </w:r>
      <w:r w:rsidR="00805E4D" w:rsidRPr="007A1A00">
        <w:rPr>
          <w:noProof/>
        </w:rPr>
        <w:noBreakHyphen/>
      </w:r>
      <w:r w:rsidR="00967268" w:rsidRPr="007A1A00">
        <w:rPr>
          <w:noProof/>
        </w:rPr>
        <w:t xml:space="preserve">DEN </w:t>
      </w:r>
      <w:r w:rsidR="0039339D" w:rsidRPr="007A1A00">
        <w:rPr>
          <w:noProof/>
        </w:rPr>
        <w:t>recevra l</w:t>
      </w:r>
      <w:r w:rsidR="003F565C" w:rsidRPr="007A1A00">
        <w:rPr>
          <w:noProof/>
        </w:rPr>
        <w:t>es</w:t>
      </w:r>
      <w:r w:rsidR="008B04B8" w:rsidRPr="007A1A00">
        <w:rPr>
          <w:noProof/>
        </w:rPr>
        <w:t xml:space="preserve"> </w:t>
      </w:r>
      <w:r w:rsidR="003F565C" w:rsidRPr="007A1A00">
        <w:rPr>
          <w:noProof/>
        </w:rPr>
        <w:t>propositions reçues en ré</w:t>
      </w:r>
      <w:r w:rsidR="002B5A23" w:rsidRPr="007A1A00">
        <w:rPr>
          <w:noProof/>
        </w:rPr>
        <w:t xml:space="preserve">ponse </w:t>
      </w:r>
      <w:r w:rsidR="007C6219" w:rsidRPr="007A1A00">
        <w:rPr>
          <w:noProof/>
        </w:rPr>
        <w:t>à la</w:t>
      </w:r>
      <w:r w:rsidR="002B5A23" w:rsidRPr="007A1A00">
        <w:rPr>
          <w:noProof/>
        </w:rPr>
        <w:t xml:space="preserve"> </w:t>
      </w:r>
      <w:r w:rsidR="009B46B9" w:rsidRPr="007A1A00">
        <w:rPr>
          <w:noProof/>
        </w:rPr>
        <w:t>circulaire</w:t>
      </w:r>
      <w:r w:rsidR="0039339D" w:rsidRPr="007A1A00">
        <w:rPr>
          <w:noProof/>
        </w:rPr>
        <w:t xml:space="preserve"> mentionnée</w:t>
      </w:r>
      <w:r w:rsidR="002B5A23" w:rsidRPr="007A1A00">
        <w:rPr>
          <w:noProof/>
        </w:rPr>
        <w:t xml:space="preserve"> </w:t>
      </w:r>
      <w:r w:rsidR="007C6219" w:rsidRPr="007A1A00">
        <w:rPr>
          <w:noProof/>
        </w:rPr>
        <w:t>au</w:t>
      </w:r>
      <w:r w:rsidR="00F1234B" w:rsidRPr="007A1A00">
        <w:rPr>
          <w:noProof/>
        </w:rPr>
        <w:t xml:space="preserve"> paragraph</w:t>
      </w:r>
      <w:r w:rsidR="007C6219" w:rsidRPr="007A1A00">
        <w:rPr>
          <w:noProof/>
        </w:rPr>
        <w:t>e </w:t>
      </w:r>
      <w:r w:rsidR="00F1234B" w:rsidRPr="007A1A00">
        <w:rPr>
          <w:noProof/>
        </w:rPr>
        <w:t>b</w:t>
      </w:r>
      <w:r w:rsidR="008B04B8" w:rsidRPr="007A1A00">
        <w:rPr>
          <w:noProof/>
        </w:rPr>
        <w:t>)</w:t>
      </w:r>
      <w:r w:rsidR="00F1234B" w:rsidRPr="007A1A00">
        <w:rPr>
          <w:noProof/>
        </w:rPr>
        <w:t xml:space="preserve"> </w:t>
      </w:r>
      <w:r w:rsidR="007C6219" w:rsidRPr="007A1A00">
        <w:rPr>
          <w:noProof/>
        </w:rPr>
        <w:t>ci</w:t>
      </w:r>
      <w:r w:rsidR="00805E4D" w:rsidRPr="007A1A00">
        <w:rPr>
          <w:noProof/>
        </w:rPr>
        <w:noBreakHyphen/>
      </w:r>
      <w:r w:rsidR="007C6219" w:rsidRPr="007A1A00">
        <w:rPr>
          <w:noProof/>
        </w:rPr>
        <w:t>dessus</w:t>
      </w:r>
      <w:r w:rsidR="008B04B8" w:rsidRPr="007A1A00">
        <w:rPr>
          <w:noProof/>
        </w:rPr>
        <w:t xml:space="preserve"> </w:t>
      </w:r>
      <w:r w:rsidR="0039339D" w:rsidRPr="007A1A00">
        <w:rPr>
          <w:noProof/>
        </w:rPr>
        <w:t>et l</w:t>
      </w:r>
      <w:r w:rsidR="007C6219" w:rsidRPr="007A1A00">
        <w:rPr>
          <w:noProof/>
        </w:rPr>
        <w:t xml:space="preserve">es propositions </w:t>
      </w:r>
      <w:r w:rsidR="003F565C" w:rsidRPr="007A1A00">
        <w:rPr>
          <w:noProof/>
        </w:rPr>
        <w:t>figurant aux</w:t>
      </w:r>
      <w:r w:rsidR="008B04B8" w:rsidRPr="007A1A00">
        <w:rPr>
          <w:noProof/>
        </w:rPr>
        <w:t xml:space="preserve"> paragraph</w:t>
      </w:r>
      <w:r w:rsidR="007C6219" w:rsidRPr="007A1A00">
        <w:rPr>
          <w:noProof/>
        </w:rPr>
        <w:t>es </w:t>
      </w:r>
      <w:r w:rsidR="008B04B8" w:rsidRPr="007A1A00">
        <w:rPr>
          <w:noProof/>
        </w:rPr>
        <w:t xml:space="preserve">28 </w:t>
      </w:r>
      <w:r w:rsidR="007C6219" w:rsidRPr="007A1A00">
        <w:rPr>
          <w:noProof/>
        </w:rPr>
        <w:t>à</w:t>
      </w:r>
      <w:r w:rsidR="008B04B8" w:rsidRPr="007A1A00">
        <w:rPr>
          <w:noProof/>
        </w:rPr>
        <w:t xml:space="preserve"> 37 </w:t>
      </w:r>
      <w:r w:rsidR="007C6219" w:rsidRPr="007A1A00">
        <w:rPr>
          <w:noProof/>
        </w:rPr>
        <w:t>et</w:t>
      </w:r>
      <w:r w:rsidR="008B04B8" w:rsidRPr="007A1A00">
        <w:rPr>
          <w:noProof/>
        </w:rPr>
        <w:t xml:space="preserve"> 41 </w:t>
      </w:r>
      <w:r w:rsidR="007C6219" w:rsidRPr="007A1A00">
        <w:rPr>
          <w:noProof/>
        </w:rPr>
        <w:t>du</w:t>
      </w:r>
      <w:r w:rsidR="008B04B8" w:rsidRPr="007A1A00">
        <w:rPr>
          <w:noProof/>
        </w:rPr>
        <w:t xml:space="preserve"> document CAJ/72</w:t>
      </w:r>
      <w:r w:rsidR="002B5A23" w:rsidRPr="007A1A00">
        <w:rPr>
          <w:noProof/>
        </w:rPr>
        <w:t>/3 conj</w:t>
      </w:r>
      <w:r w:rsidR="003F565C" w:rsidRPr="007A1A00">
        <w:rPr>
          <w:noProof/>
        </w:rPr>
        <w:t>ointement avec les travaux sur l</w:t>
      </w:r>
      <w:r w:rsidR="00E94EB0" w:rsidRPr="007A1A00">
        <w:rPr>
          <w:noProof/>
        </w:rPr>
        <w:t>’</w:t>
      </w:r>
      <w:r w:rsidR="003F565C" w:rsidRPr="007A1A00">
        <w:rPr>
          <w:noProof/>
        </w:rPr>
        <w:t>élaboration d</w:t>
      </w:r>
      <w:r w:rsidR="00E94EB0" w:rsidRPr="007A1A00">
        <w:rPr>
          <w:noProof/>
        </w:rPr>
        <w:t>’</w:t>
      </w:r>
      <w:r w:rsidR="003F565C" w:rsidRPr="007A1A00">
        <w:rPr>
          <w:noProof/>
        </w:rPr>
        <w:t xml:space="preserve">un </w:t>
      </w:r>
      <w:r w:rsidR="007C6F2E" w:rsidRPr="007A1A00">
        <w:rPr>
          <w:rFonts w:cs="Arial"/>
          <w:noProof/>
          <w:snapToGrid w:val="0"/>
          <w:lang w:eastAsia="ja-JP"/>
        </w:rPr>
        <w:t>moteur de recherche de similitudes de l</w:t>
      </w:r>
      <w:r w:rsidR="00E94EB0" w:rsidRPr="007A1A00">
        <w:rPr>
          <w:rFonts w:cs="Arial"/>
          <w:noProof/>
          <w:snapToGrid w:val="0"/>
          <w:lang w:eastAsia="ja-JP"/>
        </w:rPr>
        <w:t>’</w:t>
      </w:r>
      <w:r w:rsidR="007C6F2E" w:rsidRPr="007A1A00">
        <w:rPr>
          <w:rFonts w:cs="Arial"/>
          <w:noProof/>
          <w:snapToGrid w:val="0"/>
          <w:lang w:eastAsia="ja-JP"/>
        </w:rPr>
        <w:t>UPOV aux fins de la dénomination variétale</w:t>
      </w:r>
      <w:r w:rsidR="008B04B8" w:rsidRPr="007A1A00">
        <w:rPr>
          <w:noProof/>
        </w:rPr>
        <w:t>;</w:t>
      </w:r>
    </w:p>
    <w:p w:rsidR="0031661C" w:rsidRPr="007A1A00" w:rsidRDefault="0031661C" w:rsidP="008B04B8">
      <w:pPr>
        <w:rPr>
          <w:noProof/>
        </w:rPr>
      </w:pPr>
    </w:p>
    <w:p w:rsidR="0031661C" w:rsidRPr="007A1A00" w:rsidRDefault="00BD3B10" w:rsidP="00A85994">
      <w:pPr>
        <w:rPr>
          <w:noProof/>
          <w:snapToGrid w:val="0"/>
          <w:lang w:eastAsia="ja-JP"/>
        </w:rPr>
      </w:pPr>
      <w:r w:rsidRPr="007A1A00">
        <w:rPr>
          <w:noProof/>
        </w:rPr>
        <w:tab/>
      </w:r>
      <w:r w:rsidR="008B04B8" w:rsidRPr="007A1A00">
        <w:rPr>
          <w:noProof/>
        </w:rPr>
        <w:t>e)</w:t>
      </w:r>
      <w:r w:rsidR="008B04B8" w:rsidRPr="007A1A00">
        <w:rPr>
          <w:noProof/>
        </w:rPr>
        <w:tab/>
      </w:r>
      <w:r w:rsidR="00D51938" w:rsidRPr="007A1A00">
        <w:rPr>
          <w:noProof/>
        </w:rPr>
        <w:t>l</w:t>
      </w:r>
      <w:r w:rsidR="00014875" w:rsidRPr="007A1A00">
        <w:rPr>
          <w:noProof/>
        </w:rPr>
        <w:t xml:space="preserve">e </w:t>
      </w:r>
      <w:r w:rsidR="00642B05" w:rsidRPr="007A1A00">
        <w:rPr>
          <w:noProof/>
        </w:rPr>
        <w:t>WG</w:t>
      </w:r>
      <w:r w:rsidR="00805E4D" w:rsidRPr="007A1A00">
        <w:rPr>
          <w:noProof/>
        </w:rPr>
        <w:noBreakHyphen/>
      </w:r>
      <w:r w:rsidR="00967268" w:rsidRPr="007A1A00">
        <w:rPr>
          <w:noProof/>
        </w:rPr>
        <w:t xml:space="preserve">DEN </w:t>
      </w:r>
      <w:r w:rsidR="009C19C2" w:rsidRPr="007A1A00">
        <w:rPr>
          <w:noProof/>
        </w:rPr>
        <w:t>examinera les</w:t>
      </w:r>
      <w:r w:rsidR="008B04B8" w:rsidRPr="007A1A00">
        <w:rPr>
          <w:noProof/>
        </w:rPr>
        <w:t xml:space="preserve"> </w:t>
      </w:r>
      <w:r w:rsidR="009C19C2" w:rsidRPr="007A1A00">
        <w:rPr>
          <w:noProof/>
        </w:rPr>
        <w:t>propositions d</w:t>
      </w:r>
      <w:r w:rsidR="00E94EB0" w:rsidRPr="007A1A00">
        <w:rPr>
          <w:noProof/>
        </w:rPr>
        <w:t>’</w:t>
      </w:r>
      <w:r w:rsidR="009C19C2" w:rsidRPr="007A1A00">
        <w:rPr>
          <w:noProof/>
        </w:rPr>
        <w:t>élargissement du contenu de</w:t>
      </w:r>
      <w:r w:rsidR="008B04B8" w:rsidRPr="007A1A00">
        <w:rPr>
          <w:noProof/>
        </w:rPr>
        <w:t xml:space="preserve"> </w:t>
      </w:r>
      <w:r w:rsidR="009C19C2" w:rsidRPr="007A1A00">
        <w:rPr>
          <w:noProof/>
        </w:rPr>
        <w:t xml:space="preserve">la base de données </w:t>
      </w:r>
      <w:r w:rsidR="008B04B8" w:rsidRPr="007A1A00">
        <w:rPr>
          <w:noProof/>
        </w:rPr>
        <w:t xml:space="preserve">PLUTO </w:t>
      </w:r>
      <w:r w:rsidR="009C19C2" w:rsidRPr="007A1A00">
        <w:rPr>
          <w:noProof/>
        </w:rPr>
        <w:t>en vue d</w:t>
      </w:r>
      <w:r w:rsidR="00E94EB0" w:rsidRPr="007A1A00">
        <w:rPr>
          <w:noProof/>
        </w:rPr>
        <w:t>’</w:t>
      </w:r>
      <w:r w:rsidR="009C19C2" w:rsidRPr="007A1A00">
        <w:rPr>
          <w:noProof/>
        </w:rPr>
        <w:t>inclur</w:t>
      </w:r>
      <w:r w:rsidR="008B04B8" w:rsidRPr="007A1A00">
        <w:rPr>
          <w:noProof/>
        </w:rPr>
        <w:t xml:space="preserve">e </w:t>
      </w:r>
      <w:r w:rsidR="009C19C2" w:rsidRPr="007A1A00">
        <w:rPr>
          <w:noProof/>
          <w:lang w:eastAsia="ja-JP"/>
        </w:rPr>
        <w:t>toutes les variétés</w:t>
      </w:r>
      <w:r w:rsidR="008B04B8" w:rsidRPr="007A1A00">
        <w:rPr>
          <w:noProof/>
          <w:lang w:eastAsia="ja-JP"/>
        </w:rPr>
        <w:t xml:space="preserve"> </w:t>
      </w:r>
      <w:r w:rsidR="009C19C2" w:rsidRPr="007A1A00">
        <w:rPr>
          <w:noProof/>
          <w:lang w:eastAsia="ja-JP"/>
        </w:rPr>
        <w:t>reconnues</w:t>
      </w:r>
      <w:r w:rsidR="008B04B8" w:rsidRPr="007A1A00">
        <w:rPr>
          <w:noProof/>
          <w:lang w:eastAsia="ja-JP"/>
        </w:rPr>
        <w:t>,</w:t>
      </w:r>
      <w:r w:rsidR="008B04B8" w:rsidRPr="007A1A00">
        <w:rPr>
          <w:noProof/>
        </w:rPr>
        <w:t xml:space="preserve"> </w:t>
      </w:r>
      <w:r w:rsidR="00E94EB0" w:rsidRPr="007A1A00">
        <w:rPr>
          <w:noProof/>
          <w:lang w:eastAsia="ja-JP"/>
        </w:rPr>
        <w:t>y compris</w:t>
      </w:r>
      <w:r w:rsidR="009C19C2" w:rsidRPr="007A1A00">
        <w:rPr>
          <w:noProof/>
          <w:lang w:eastAsia="ja-JP"/>
        </w:rPr>
        <w:t xml:space="preserve"> celles</w:t>
      </w:r>
      <w:r w:rsidR="008B04B8" w:rsidRPr="007A1A00">
        <w:rPr>
          <w:noProof/>
          <w:lang w:eastAsia="ja-JP"/>
        </w:rPr>
        <w:t xml:space="preserve"> </w:t>
      </w:r>
      <w:r w:rsidR="0002578C" w:rsidRPr="007A1A00">
        <w:rPr>
          <w:noProof/>
          <w:lang w:eastAsia="ja-JP"/>
        </w:rPr>
        <w:t>qui n</w:t>
      </w:r>
      <w:r w:rsidR="00E94EB0" w:rsidRPr="007A1A00">
        <w:rPr>
          <w:noProof/>
          <w:lang w:eastAsia="ja-JP"/>
        </w:rPr>
        <w:t>’</w:t>
      </w:r>
      <w:r w:rsidR="0002578C" w:rsidRPr="007A1A00">
        <w:rPr>
          <w:noProof/>
          <w:lang w:eastAsia="ja-JP"/>
        </w:rPr>
        <w:t>ont pas été</w:t>
      </w:r>
      <w:r w:rsidR="008B04B8" w:rsidRPr="007A1A00">
        <w:rPr>
          <w:noProof/>
          <w:lang w:eastAsia="ja-JP"/>
        </w:rPr>
        <w:t xml:space="preserve">, </w:t>
      </w:r>
      <w:r w:rsidR="0002578C" w:rsidRPr="007A1A00">
        <w:rPr>
          <w:noProof/>
          <w:lang w:eastAsia="ja-JP"/>
        </w:rPr>
        <w:t>ou ne sont plus</w:t>
      </w:r>
      <w:r w:rsidR="008B04B8" w:rsidRPr="007A1A00">
        <w:rPr>
          <w:noProof/>
          <w:lang w:eastAsia="ja-JP"/>
        </w:rPr>
        <w:t xml:space="preserve">, </w:t>
      </w:r>
      <w:r w:rsidR="0002578C" w:rsidRPr="007A1A00">
        <w:rPr>
          <w:noProof/>
          <w:lang w:eastAsia="ja-JP"/>
        </w:rPr>
        <w:t>en</w:t>
      </w:r>
      <w:r w:rsidR="008B04B8" w:rsidRPr="007A1A00">
        <w:rPr>
          <w:noProof/>
          <w:lang w:eastAsia="ja-JP"/>
        </w:rPr>
        <w:t>regist</w:t>
      </w:r>
      <w:r w:rsidR="007B41B0" w:rsidRPr="007A1A00">
        <w:rPr>
          <w:noProof/>
          <w:lang w:eastAsia="ja-JP"/>
        </w:rPr>
        <w:t>ré</w:t>
      </w:r>
      <w:r w:rsidR="0002578C" w:rsidRPr="007A1A00">
        <w:rPr>
          <w:noProof/>
          <w:lang w:eastAsia="ja-JP"/>
        </w:rPr>
        <w:t>es</w:t>
      </w:r>
      <w:r w:rsidR="000A6DEF" w:rsidRPr="007A1A00">
        <w:rPr>
          <w:noProof/>
          <w:lang w:eastAsia="ja-JP"/>
        </w:rPr>
        <w:t xml:space="preserve"> ou </w:t>
      </w:r>
      <w:r w:rsidR="008B04B8" w:rsidRPr="007A1A00">
        <w:rPr>
          <w:noProof/>
          <w:lang w:eastAsia="ja-JP"/>
        </w:rPr>
        <w:t>prot</w:t>
      </w:r>
      <w:r w:rsidR="0002578C" w:rsidRPr="007A1A00">
        <w:rPr>
          <w:noProof/>
          <w:lang w:eastAsia="ja-JP"/>
        </w:rPr>
        <w:t xml:space="preserve">égées </w:t>
      </w:r>
      <w:r w:rsidR="008B04B8" w:rsidRPr="007A1A00">
        <w:rPr>
          <w:noProof/>
          <w:lang w:eastAsia="ja-JP"/>
        </w:rPr>
        <w:t>(</w:t>
      </w:r>
      <w:r w:rsidR="0002578C" w:rsidRPr="007A1A00">
        <w:rPr>
          <w:noProof/>
          <w:lang w:eastAsia="ja-JP"/>
        </w:rPr>
        <w:t>voir le</w:t>
      </w:r>
      <w:r w:rsidR="008B04B8" w:rsidRPr="007A1A00">
        <w:rPr>
          <w:noProof/>
          <w:lang w:eastAsia="ja-JP"/>
        </w:rPr>
        <w:t xml:space="preserve"> </w:t>
      </w:r>
      <w:r w:rsidR="0002578C" w:rsidRPr="007A1A00">
        <w:rPr>
          <w:noProof/>
          <w:lang w:eastAsia="ja-JP"/>
        </w:rPr>
        <w:t xml:space="preserve">paragraphe 38 du </w:t>
      </w:r>
      <w:r w:rsidR="008B04B8" w:rsidRPr="007A1A00">
        <w:rPr>
          <w:noProof/>
          <w:lang w:eastAsia="ja-JP"/>
        </w:rPr>
        <w:t>document CAJ/72/6 “</w:t>
      </w:r>
      <w:r w:rsidR="00E379E4" w:rsidRPr="007A1A00">
        <w:rPr>
          <w:noProof/>
          <w:lang w:eastAsia="ja-JP"/>
        </w:rPr>
        <w:t>Bases de données d</w:t>
      </w:r>
      <w:r w:rsidR="00E94EB0" w:rsidRPr="007A1A00">
        <w:rPr>
          <w:noProof/>
          <w:lang w:eastAsia="ja-JP"/>
        </w:rPr>
        <w:t>’</w:t>
      </w:r>
      <w:r w:rsidR="00E379E4" w:rsidRPr="007A1A00">
        <w:rPr>
          <w:noProof/>
          <w:lang w:eastAsia="ja-JP"/>
        </w:rPr>
        <w:t>information de l</w:t>
      </w:r>
      <w:r w:rsidR="00E94EB0" w:rsidRPr="007A1A00">
        <w:rPr>
          <w:noProof/>
          <w:lang w:eastAsia="ja-JP"/>
        </w:rPr>
        <w:t>’</w:t>
      </w:r>
      <w:r w:rsidR="00E379E4" w:rsidRPr="007A1A00">
        <w:rPr>
          <w:noProof/>
          <w:lang w:eastAsia="ja-JP"/>
        </w:rPr>
        <w:t>UPOV</w:t>
      </w:r>
      <w:r w:rsidR="0002578C" w:rsidRPr="007A1A00">
        <w:rPr>
          <w:noProof/>
          <w:lang w:eastAsia="ja-JP"/>
        </w:rPr>
        <w:t>”</w:t>
      </w:r>
      <w:r w:rsidR="008B04B8" w:rsidRPr="007A1A00">
        <w:rPr>
          <w:noProof/>
          <w:lang w:eastAsia="ja-JP"/>
        </w:rPr>
        <w:t>).</w:t>
      </w:r>
    </w:p>
    <w:p w:rsidR="0031661C" w:rsidRPr="007A1A00" w:rsidRDefault="0031661C" w:rsidP="003779B0">
      <w:pPr>
        <w:rPr>
          <w:noProof/>
          <w:lang w:eastAsia="ja-JP"/>
        </w:rPr>
      </w:pPr>
    </w:p>
    <w:p w:rsidR="0031661C" w:rsidRPr="007A1A00" w:rsidRDefault="0031661C" w:rsidP="003779B0">
      <w:pPr>
        <w:rPr>
          <w:noProof/>
        </w:rPr>
      </w:pPr>
    </w:p>
    <w:p w:rsidR="0031661C" w:rsidRPr="007A1A00" w:rsidRDefault="0031661C" w:rsidP="0031661C">
      <w:pPr>
        <w:keepNext/>
        <w:rPr>
          <w:noProof/>
          <w:u w:val="single"/>
        </w:rPr>
      </w:pPr>
      <w:r w:rsidRPr="007A1A00">
        <w:rPr>
          <w:noProof/>
          <w:u w:val="single"/>
        </w:rPr>
        <w:t>Produit de la récolte</w:t>
      </w:r>
    </w:p>
    <w:p w:rsidR="0031661C" w:rsidRPr="007A1A00" w:rsidRDefault="0031661C" w:rsidP="00BB5844">
      <w:pPr>
        <w:keepNext/>
        <w:rPr>
          <w:noProof/>
        </w:rPr>
      </w:pPr>
    </w:p>
    <w:p w:rsidR="0031661C" w:rsidRPr="007A1A00" w:rsidRDefault="004F3B3C" w:rsidP="0031661C">
      <w:pPr>
        <w:rPr>
          <w:noProof/>
        </w:rPr>
      </w:pPr>
      <w:r w:rsidRPr="004F3B3C">
        <w:rPr>
          <w:noProof/>
          <w:vertAlign w:val="superscript"/>
        </w:rPr>
        <w:t>*</w:t>
      </w:r>
      <w:r w:rsidR="00AE08BE" w:rsidRPr="007A1A00">
        <w:rPr>
          <w:noProof/>
        </w:rPr>
        <w:fldChar w:fldCharType="begin"/>
      </w:r>
      <w:r w:rsidR="009465B7" w:rsidRPr="007A1A00">
        <w:rPr>
          <w:noProof/>
        </w:rPr>
        <w:instrText xml:space="preserve"> AUTONUM  </w:instrText>
      </w:r>
      <w:r w:rsidR="00AE08BE" w:rsidRPr="007A1A00">
        <w:rPr>
          <w:noProof/>
        </w:rPr>
        <w:fldChar w:fldCharType="end"/>
      </w:r>
      <w:r w:rsidR="009465B7" w:rsidRPr="007A1A00">
        <w:rPr>
          <w:noProof/>
        </w:rPr>
        <w:tab/>
      </w:r>
      <w:r w:rsidR="0031661C" w:rsidRPr="007A1A00">
        <w:rPr>
          <w:noProof/>
        </w:rPr>
        <w:t>Le CAJ examine les documents CAJ/72/4 et CAJ/72/4</w:t>
      </w:r>
      <w:r w:rsidR="00E73D21" w:rsidRPr="007A1A00">
        <w:rPr>
          <w:noProof/>
        </w:rPr>
        <w:t> </w:t>
      </w:r>
      <w:r w:rsidR="0031661C" w:rsidRPr="007A1A00">
        <w:rPr>
          <w:noProof/>
        </w:rPr>
        <w:t>Add.</w:t>
      </w:r>
    </w:p>
    <w:p w:rsidR="0031661C" w:rsidRPr="007A1A00" w:rsidRDefault="0031661C" w:rsidP="009465B7">
      <w:pPr>
        <w:rPr>
          <w:noProof/>
        </w:rPr>
      </w:pPr>
    </w:p>
    <w:p w:rsidR="0031661C" w:rsidRPr="007A1A00" w:rsidRDefault="004F3B3C" w:rsidP="003B6C88">
      <w:pPr>
        <w:rPr>
          <w:noProof/>
        </w:rPr>
      </w:pPr>
      <w:r w:rsidRPr="004F3B3C">
        <w:rPr>
          <w:noProof/>
          <w:vertAlign w:val="superscript"/>
        </w:rPr>
        <w:t>*</w:t>
      </w:r>
      <w:r w:rsidR="00AE08BE" w:rsidRPr="007A1A00">
        <w:rPr>
          <w:noProof/>
        </w:rPr>
        <w:fldChar w:fldCharType="begin"/>
      </w:r>
      <w:r w:rsidR="009465B7" w:rsidRPr="007A1A00">
        <w:rPr>
          <w:noProof/>
        </w:rPr>
        <w:instrText xml:space="preserve"> AUTONUM  </w:instrText>
      </w:r>
      <w:r w:rsidR="00AE08BE" w:rsidRPr="007A1A00">
        <w:rPr>
          <w:noProof/>
        </w:rPr>
        <w:fldChar w:fldCharType="end"/>
      </w:r>
      <w:r w:rsidR="009465B7" w:rsidRPr="007A1A00">
        <w:rPr>
          <w:noProof/>
        </w:rPr>
        <w:tab/>
      </w:r>
      <w:r w:rsidR="00BD3B10" w:rsidRPr="007A1A00">
        <w:rPr>
          <w:noProof/>
          <w:snapToGrid w:val="0"/>
        </w:rPr>
        <w:t xml:space="preserve">Le </w:t>
      </w:r>
      <w:r w:rsidR="009465B7" w:rsidRPr="007A1A00">
        <w:rPr>
          <w:noProof/>
        </w:rPr>
        <w:t xml:space="preserve">CAJ </w:t>
      </w:r>
      <w:r w:rsidR="00B73147" w:rsidRPr="007A1A00">
        <w:rPr>
          <w:noProof/>
        </w:rPr>
        <w:t>prend note des</w:t>
      </w:r>
      <w:r w:rsidR="009465B7" w:rsidRPr="007A1A00">
        <w:rPr>
          <w:noProof/>
        </w:rPr>
        <w:t xml:space="preserve"> </w:t>
      </w:r>
      <w:r w:rsidR="0016246D" w:rsidRPr="007A1A00">
        <w:rPr>
          <w:noProof/>
        </w:rPr>
        <w:t xml:space="preserve">exposés </w:t>
      </w:r>
      <w:r w:rsidR="00F7357A" w:rsidRPr="007A1A00">
        <w:rPr>
          <w:noProof/>
          <w:snapToGrid w:val="0"/>
        </w:rPr>
        <w:t xml:space="preserve">présentés </w:t>
      </w:r>
      <w:r w:rsidR="0016246D" w:rsidRPr="007A1A00">
        <w:rPr>
          <w:noProof/>
        </w:rPr>
        <w:t xml:space="preserve">par </w:t>
      </w:r>
      <w:r w:rsidR="0016246D" w:rsidRPr="007A1A00">
        <w:rPr>
          <w:noProof/>
          <w:snapToGrid w:val="0"/>
        </w:rPr>
        <w:t>l</w:t>
      </w:r>
      <w:r w:rsidR="00E94EB0" w:rsidRPr="007A1A00">
        <w:rPr>
          <w:noProof/>
          <w:snapToGrid w:val="0"/>
        </w:rPr>
        <w:t>’</w:t>
      </w:r>
      <w:r w:rsidR="0016246D" w:rsidRPr="007A1A00">
        <w:rPr>
          <w:noProof/>
          <w:snapToGrid w:val="0"/>
        </w:rPr>
        <w:t>Argentine</w:t>
      </w:r>
      <w:r w:rsidR="009465B7" w:rsidRPr="007A1A00">
        <w:rPr>
          <w:noProof/>
        </w:rPr>
        <w:t xml:space="preserve">, </w:t>
      </w:r>
      <w:r w:rsidR="0016246D" w:rsidRPr="007A1A00">
        <w:rPr>
          <w:noProof/>
          <w:snapToGrid w:val="0"/>
        </w:rPr>
        <w:t>l</w:t>
      </w:r>
      <w:r w:rsidR="00E94EB0" w:rsidRPr="007A1A00">
        <w:rPr>
          <w:noProof/>
          <w:snapToGrid w:val="0"/>
        </w:rPr>
        <w:t>’</w:t>
      </w:r>
      <w:r w:rsidR="0016246D" w:rsidRPr="007A1A00">
        <w:rPr>
          <w:noProof/>
          <w:snapToGrid w:val="0"/>
        </w:rPr>
        <w:t xml:space="preserve">Union européenne </w:t>
      </w:r>
      <w:r w:rsidR="0016246D" w:rsidRPr="007A1A00">
        <w:rPr>
          <w:noProof/>
        </w:rPr>
        <w:t>et</w:t>
      </w:r>
      <w:r w:rsidR="009465B7" w:rsidRPr="007A1A00">
        <w:rPr>
          <w:noProof/>
        </w:rPr>
        <w:t xml:space="preserve"> </w:t>
      </w:r>
      <w:r w:rsidR="0016246D" w:rsidRPr="007A1A00">
        <w:rPr>
          <w:noProof/>
          <w:snapToGrid w:val="0"/>
        </w:rPr>
        <w:t xml:space="preserve">la Fédération </w:t>
      </w:r>
      <w:r w:rsidR="00C87F55">
        <w:rPr>
          <w:noProof/>
          <w:snapToGrid w:val="0"/>
        </w:rPr>
        <w:t>de R</w:t>
      </w:r>
      <w:r w:rsidR="0016246D" w:rsidRPr="007A1A00">
        <w:rPr>
          <w:noProof/>
          <w:snapToGrid w:val="0"/>
        </w:rPr>
        <w:t>uss</w:t>
      </w:r>
      <w:r w:rsidR="00C87F55">
        <w:rPr>
          <w:noProof/>
          <w:snapToGrid w:val="0"/>
        </w:rPr>
        <w:t>i</w:t>
      </w:r>
      <w:r w:rsidR="0016246D" w:rsidRPr="007A1A00">
        <w:rPr>
          <w:noProof/>
          <w:snapToGrid w:val="0"/>
        </w:rPr>
        <w:t xml:space="preserve">e </w:t>
      </w:r>
      <w:r w:rsidR="00F203F3" w:rsidRPr="007A1A00">
        <w:rPr>
          <w:noProof/>
          <w:snapToGrid w:val="0"/>
        </w:rPr>
        <w:t>sur le produit de la récolte</w:t>
      </w:r>
      <w:r w:rsidR="009465B7" w:rsidRPr="007A1A00">
        <w:rPr>
          <w:noProof/>
        </w:rPr>
        <w:t>.</w:t>
      </w:r>
    </w:p>
    <w:p w:rsidR="0031661C" w:rsidRDefault="0031661C" w:rsidP="00A02E67">
      <w:pPr>
        <w:rPr>
          <w:noProof/>
        </w:rPr>
      </w:pPr>
    </w:p>
    <w:p w:rsidR="009B2464" w:rsidRPr="00A63D26" w:rsidRDefault="009B2464" w:rsidP="009B2464">
      <w:r w:rsidRPr="00A63D26">
        <w:fldChar w:fldCharType="begin"/>
      </w:r>
      <w:r w:rsidRPr="00A63D26">
        <w:instrText xml:space="preserve"> AUTONUM  </w:instrText>
      </w:r>
      <w:r w:rsidRPr="00A63D26">
        <w:fldChar w:fldCharType="end"/>
      </w:r>
      <w:r w:rsidRPr="00A63D26">
        <w:tab/>
        <w:t>L</w:t>
      </w:r>
      <w:r w:rsidR="00EA1D68" w:rsidRPr="00A63D26">
        <w:t>a</w:t>
      </w:r>
      <w:r w:rsidRPr="00A63D26">
        <w:t xml:space="preserve"> représentant</w:t>
      </w:r>
      <w:r w:rsidR="00EA1D68" w:rsidRPr="00A63D26">
        <w:t>e</w:t>
      </w:r>
      <w:r w:rsidRPr="00A63D26">
        <w:t xml:space="preserve"> de la CIOPORA indique que le règlement de base de l’Union européenne ne définit pas le terme “matériel de récolte” mais donne une définition du terme “constituants variétaux” pour désigner les plantes et les parties de plantes pouvant produire des plantes entières correspondant à leur type.</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l’Union européenne confirme que le règlement de base ne donne pas de définition de “matériel de récolte”.  C’est pourquoi la délégation parle de “constituants variétaux”.  Elle indique qu’une plante ou partie de plante peut être considérée soit comme matériel de récolte, soit comme constituant variétal.</w:t>
      </w:r>
    </w:p>
    <w:p w:rsidR="009B2464" w:rsidRPr="00A63D26" w:rsidRDefault="009B2464" w:rsidP="009B2464"/>
    <w:p w:rsidR="009B2464" w:rsidRPr="00A63D26" w:rsidRDefault="009B2464" w:rsidP="009B2464">
      <w:pPr>
        <w:rPr>
          <w:i/>
        </w:rPr>
      </w:pPr>
      <w:r w:rsidRPr="00A63D26">
        <w:fldChar w:fldCharType="begin"/>
      </w:r>
      <w:r w:rsidRPr="00A63D26">
        <w:instrText xml:space="preserve"> AUTONUM  </w:instrText>
      </w:r>
      <w:r w:rsidRPr="00A63D26">
        <w:fldChar w:fldCharType="end"/>
      </w:r>
      <w:r w:rsidRPr="00A63D26">
        <w:tab/>
        <w:t>Le secrétaire général adjoint demande des éclaircissements au sujet de l’exemple relatif à l’article 16.a) ou b) du règlement de base, qui peut être interprété comme indiquant qu’une action pour atteinte peut être intentée en dehors du territoire de l’Union européenne.</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l’Union européenne explique qu’elle se réfère spécifiquement au matériel qui a été exporté vers un pays tiers à des fins de consommation finale mais qui a été effectivement utilisé comme matériel de reproduction ou de multiplication sans l’autorisation de l’obtenteur.  Elle dit que, dans de telles circonstances, l’obtenteur est en mesure d’intenter une action pour atteinte au matériel de récolte ayant pénétré dans le territoire de l’Union européenne.</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l’Argentine indique que des actions pour atteinte peuvent être intentées lorsque l’obtenteur n’a pas donné son autorisation.  La délégation indique également que le matériel de récolte n’est pas défini dans le règlement de base de l’Union européenne.  Elle demande par ailleurs des éclaircissements sur le fait que les constituants de la variété peuvent être exportés sous une autre forme qui permet une utilisation illicite.</w:t>
      </w:r>
    </w:p>
    <w:p w:rsidR="009B2464" w:rsidRPr="00A63D26" w:rsidRDefault="009B2464" w:rsidP="009B2464"/>
    <w:p w:rsidR="00990933" w:rsidRPr="00990933" w:rsidRDefault="009B2464" w:rsidP="00990933">
      <w:pPr>
        <w:rPr>
          <w:rFonts w:cs="Arial"/>
          <w:lang w:val="fr-CH"/>
        </w:rPr>
      </w:pPr>
      <w:r w:rsidRPr="00990933">
        <w:rPr>
          <w:rFonts w:cs="Arial"/>
        </w:rPr>
        <w:fldChar w:fldCharType="begin"/>
      </w:r>
      <w:r w:rsidRPr="00990933">
        <w:rPr>
          <w:rFonts w:cs="Arial"/>
        </w:rPr>
        <w:instrText xml:space="preserve"> AUTONUM  </w:instrText>
      </w:r>
      <w:r w:rsidRPr="00990933">
        <w:rPr>
          <w:rFonts w:cs="Arial"/>
        </w:rPr>
        <w:fldChar w:fldCharType="end"/>
      </w:r>
      <w:r w:rsidRPr="00990933">
        <w:rPr>
          <w:rFonts w:cs="Arial"/>
        </w:rPr>
        <w:tab/>
        <w:t xml:space="preserve">La délégation de l’Union européenne explique que les obtenteurs, lorsqu’ils signent des contrats concernant une reproduction ou une multiplication ultérieure, n’envisagent pas nécessairement toutes les situations susceptibles de se produire par la suite, particulièrement en ce qui concerne l’utilisation du matériel de récolte à des fins de reproduction ou de multiplication.  La délégation indique que souvent les contrats ne prévoient pas de disposition selon laquelle le matériel de récolte doit être utilisé à des fins de consommation finale.  </w:t>
      </w:r>
      <w:r w:rsidR="00990933" w:rsidRPr="00990933">
        <w:rPr>
          <w:rFonts w:cs="Arial"/>
          <w:lang w:val="fr-CH"/>
        </w:rPr>
        <w:t>Toutefois, la délégation précise que l'utilisation du produit de la récolte à des fins de reproduction ou de multiplication ultérieure serait considérée comme une infraction, sauf s’il y a autorisation.</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l’Argentine indique qu’il y a diverses situations où le matériel de récolte peut être utilisé comme matériel de reproduction ou de multiplication, y compris des situations où il n’y a aucun contrat, par exemple l’utilisation par un tiers.  Elle indique que l’obtenteur a le droit d’interrompre l’exportation et peut également intenter une action pour atteinte dans un deuxième pays ou un troisième pays, à la condition que la variété soit protégée dans ces pays.</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l’Union européenne s’est félicitée de l’exposé présenté par l’Argentine, tout en signalant qu’il y a des similitudes et des différences dans la façon dont les membres de l’Union abordent la question du matériel de récolte.  Il semble capital de continuer à échanger des vues afin de mieux appréhender la question avant de commencer à rédiger des principes directeurs.  À cet égard, la délégation souhaite inviter les experts à fournir des informations supplémentaires sur le sujet.</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l’Argentine a fait part de son soutien à la proposition faite par la délégation de l’Union européenne d’inviter des experts provenant des pays membres de l’Union à échanger leurs vues et leurs connaissances.</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l’Organisation africaine de la propriété intellectuelle (OAPI), tout comme les délégations de l’Union européenne et de l’Argentine, est d’avis que les échanges de vues et les exposés concernant les diverses interprétations données au matériel de récolte par les membres de l’Union doivent être organisés afin de progresser sur le sujet.</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des États</w:t>
      </w:r>
      <w:r w:rsidRPr="00A63D26">
        <w:noBreakHyphen/>
        <w:t>Unis d’Amérique exprime son soutien à l’organisation d’une réunion ou d’un séminaire afin d’échanger des vues aux fins d’une meilleure compréhension des différentes interprétations du matériel de récolte.</w:t>
      </w:r>
    </w:p>
    <w:p w:rsidR="009B2464" w:rsidRPr="00A63D26" w:rsidRDefault="009B2464" w:rsidP="009B2464">
      <w:pPr>
        <w:tabs>
          <w:tab w:val="left" w:pos="2078"/>
        </w:tabs>
      </w:pPr>
    </w:p>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l’Union européenne soutient la proposition d’organiser un séminaire sur le sujet du matériel de récolte, tout en proposant d’inviter des conférenciers ayant des compétences juridiques à faire part de leurs expériences.</w:t>
      </w:r>
    </w:p>
    <w:p w:rsidR="004F3B3C" w:rsidRPr="00A63D26" w:rsidRDefault="004F3B3C" w:rsidP="00A02E67">
      <w:pPr>
        <w:rPr>
          <w:noProof/>
        </w:rPr>
      </w:pPr>
    </w:p>
    <w:p w:rsidR="00E94EB0" w:rsidRPr="00A63D26" w:rsidRDefault="009B2464" w:rsidP="003B6C88">
      <w:pPr>
        <w:rPr>
          <w:noProof/>
        </w:rPr>
      </w:pPr>
      <w:r w:rsidRPr="00A63D26">
        <w:rPr>
          <w:noProof/>
          <w:snapToGrid w:val="0"/>
          <w:vertAlign w:val="superscript"/>
        </w:rPr>
        <w:t>*</w:t>
      </w:r>
      <w:r w:rsidR="00AE08BE" w:rsidRPr="00A63D26">
        <w:rPr>
          <w:noProof/>
        </w:rPr>
        <w:fldChar w:fldCharType="begin"/>
      </w:r>
      <w:r w:rsidR="002B5A23" w:rsidRPr="00A63D26">
        <w:rPr>
          <w:noProof/>
        </w:rPr>
        <w:instrText xml:space="preserve"> AUTONUM  </w:instrText>
      </w:r>
      <w:r w:rsidR="00AE08BE" w:rsidRPr="00A63D26">
        <w:rPr>
          <w:noProof/>
        </w:rPr>
        <w:fldChar w:fldCharType="end"/>
      </w:r>
      <w:r w:rsidR="002B5A23" w:rsidRPr="00A63D26">
        <w:rPr>
          <w:noProof/>
        </w:rPr>
        <w:tab/>
      </w:r>
      <w:r w:rsidR="00BD3B10" w:rsidRPr="00A63D26">
        <w:rPr>
          <w:noProof/>
          <w:snapToGrid w:val="0"/>
        </w:rPr>
        <w:t xml:space="preserve">Le </w:t>
      </w:r>
      <w:r w:rsidR="008968E2" w:rsidRPr="00A63D26">
        <w:rPr>
          <w:noProof/>
        </w:rPr>
        <w:t xml:space="preserve">CAJ </w:t>
      </w:r>
      <w:r w:rsidR="00AD67B0" w:rsidRPr="00A63D26">
        <w:rPr>
          <w:noProof/>
        </w:rPr>
        <w:t>convient</w:t>
      </w:r>
      <w:r w:rsidR="000F2897" w:rsidRPr="00A63D26">
        <w:rPr>
          <w:noProof/>
        </w:rPr>
        <w:t xml:space="preserve"> de proposer au Conseil d</w:t>
      </w:r>
      <w:r w:rsidR="00E94EB0" w:rsidRPr="00A63D26">
        <w:rPr>
          <w:noProof/>
        </w:rPr>
        <w:t>’</w:t>
      </w:r>
      <w:r w:rsidR="000F2897" w:rsidRPr="00A63D26">
        <w:rPr>
          <w:noProof/>
        </w:rPr>
        <w:t>organis</w:t>
      </w:r>
      <w:r w:rsidR="00F1234B" w:rsidRPr="00A63D26">
        <w:rPr>
          <w:noProof/>
        </w:rPr>
        <w:t>e</w:t>
      </w:r>
      <w:r w:rsidR="000F2897" w:rsidRPr="00A63D26">
        <w:rPr>
          <w:noProof/>
        </w:rPr>
        <w:t>r</w:t>
      </w:r>
      <w:r w:rsidR="00F1234B" w:rsidRPr="00A63D26">
        <w:rPr>
          <w:noProof/>
        </w:rPr>
        <w:t xml:space="preserve"> </w:t>
      </w:r>
      <w:r w:rsidR="000F2897" w:rsidRPr="00A63D26">
        <w:rPr>
          <w:noProof/>
        </w:rPr>
        <w:t>un séminaire</w:t>
      </w:r>
      <w:r w:rsidR="00F1234B" w:rsidRPr="00A63D26">
        <w:rPr>
          <w:noProof/>
        </w:rPr>
        <w:t xml:space="preserve"> </w:t>
      </w:r>
      <w:r w:rsidR="000F2897" w:rsidRPr="00A63D26">
        <w:rPr>
          <w:noProof/>
        </w:rPr>
        <w:t>d</w:t>
      </w:r>
      <w:r w:rsidR="00E94EB0" w:rsidRPr="00A63D26">
        <w:rPr>
          <w:noProof/>
        </w:rPr>
        <w:t>’</w:t>
      </w:r>
      <w:r w:rsidR="000F2897" w:rsidRPr="00A63D26">
        <w:rPr>
          <w:noProof/>
        </w:rPr>
        <w:t>un jour sur le matériel</w:t>
      </w:r>
      <w:r w:rsidR="00F1234B" w:rsidRPr="00A63D26">
        <w:rPr>
          <w:noProof/>
        </w:rPr>
        <w:t xml:space="preserve"> </w:t>
      </w:r>
      <w:r w:rsidR="00603A78" w:rsidRPr="00A63D26">
        <w:rPr>
          <w:noProof/>
        </w:rPr>
        <w:t>de reproduction ou de multiplication</w:t>
      </w:r>
      <w:r w:rsidR="00990E61" w:rsidRPr="00A63D26">
        <w:rPr>
          <w:noProof/>
        </w:rPr>
        <w:t xml:space="preserve"> végétative</w:t>
      </w:r>
      <w:r w:rsidR="00603A78" w:rsidRPr="00A63D26">
        <w:rPr>
          <w:noProof/>
        </w:rPr>
        <w:t xml:space="preserve"> et</w:t>
      </w:r>
      <w:r w:rsidR="00F1234B" w:rsidRPr="00A63D26">
        <w:rPr>
          <w:noProof/>
        </w:rPr>
        <w:t xml:space="preserve"> </w:t>
      </w:r>
      <w:r w:rsidR="00382642" w:rsidRPr="00A63D26">
        <w:rPr>
          <w:noProof/>
        </w:rPr>
        <w:t>le</w:t>
      </w:r>
      <w:r w:rsidR="00382642" w:rsidRPr="00A63D26">
        <w:t xml:space="preserve"> </w:t>
      </w:r>
      <w:r w:rsidR="00382642" w:rsidRPr="00A63D26">
        <w:rPr>
          <w:noProof/>
        </w:rPr>
        <w:t xml:space="preserve">produit de la récolte, qui se tiendrait </w:t>
      </w:r>
      <w:r w:rsidR="00331590" w:rsidRPr="00A63D26">
        <w:rPr>
          <w:noProof/>
        </w:rPr>
        <w:t>conjointement avec les sessions de l</w:t>
      </w:r>
      <w:r w:rsidR="00E94EB0" w:rsidRPr="00A63D26">
        <w:rPr>
          <w:noProof/>
        </w:rPr>
        <w:t>’</w:t>
      </w:r>
      <w:r w:rsidR="00331590" w:rsidRPr="00A63D26">
        <w:rPr>
          <w:noProof/>
        </w:rPr>
        <w:t>UPOV en octobre </w:t>
      </w:r>
      <w:r w:rsidR="008968E2" w:rsidRPr="00A63D26">
        <w:rPr>
          <w:noProof/>
        </w:rPr>
        <w:t xml:space="preserve">2016.  </w:t>
      </w:r>
      <w:r w:rsidR="000049AA" w:rsidRPr="00A63D26">
        <w:rPr>
          <w:noProof/>
        </w:rPr>
        <w:t>C</w:t>
      </w:r>
      <w:r w:rsidR="00382642" w:rsidRPr="00A63D26">
        <w:rPr>
          <w:noProof/>
        </w:rPr>
        <w:t>e séminaire</w:t>
      </w:r>
      <w:r w:rsidR="008968E2" w:rsidRPr="00A63D26">
        <w:rPr>
          <w:noProof/>
        </w:rPr>
        <w:t xml:space="preserve"> </w:t>
      </w:r>
      <w:r w:rsidR="00382642" w:rsidRPr="00A63D26">
        <w:rPr>
          <w:noProof/>
        </w:rPr>
        <w:t>devra inclure des</w:t>
      </w:r>
      <w:r w:rsidR="008968E2" w:rsidRPr="00A63D26">
        <w:rPr>
          <w:noProof/>
        </w:rPr>
        <w:t xml:space="preserve"> </w:t>
      </w:r>
      <w:r w:rsidR="00382642" w:rsidRPr="00A63D26">
        <w:rPr>
          <w:noProof/>
        </w:rPr>
        <w:t xml:space="preserve">conférenciers </w:t>
      </w:r>
      <w:r w:rsidR="00705CB9" w:rsidRPr="00A63D26">
        <w:rPr>
          <w:noProof/>
        </w:rPr>
        <w:t>qui feront rapport</w:t>
      </w:r>
      <w:r w:rsidR="008968E2" w:rsidRPr="00A63D26">
        <w:rPr>
          <w:noProof/>
        </w:rPr>
        <w:t xml:space="preserve"> </w:t>
      </w:r>
      <w:r w:rsidR="00705CB9" w:rsidRPr="00A63D26">
        <w:rPr>
          <w:noProof/>
        </w:rPr>
        <w:t>sur des cas</w:t>
      </w:r>
      <w:r w:rsidR="008968E2" w:rsidRPr="00A63D26">
        <w:rPr>
          <w:noProof/>
        </w:rPr>
        <w:t xml:space="preserve"> </w:t>
      </w:r>
      <w:r w:rsidR="00705CB9" w:rsidRPr="00A63D26">
        <w:rPr>
          <w:noProof/>
        </w:rPr>
        <w:t>où</w:t>
      </w:r>
      <w:r w:rsidR="008968E2" w:rsidRPr="00A63D26">
        <w:rPr>
          <w:noProof/>
        </w:rPr>
        <w:t xml:space="preserve"> </w:t>
      </w:r>
      <w:r w:rsidR="00FE61B6" w:rsidRPr="00A63D26">
        <w:rPr>
          <w:noProof/>
        </w:rPr>
        <w:t>les</w:t>
      </w:r>
      <w:r w:rsidR="008968E2" w:rsidRPr="00A63D26">
        <w:rPr>
          <w:noProof/>
        </w:rPr>
        <w:t xml:space="preserve"> notions </w:t>
      </w:r>
      <w:r w:rsidR="00FE61B6" w:rsidRPr="00A63D26">
        <w:rPr>
          <w:noProof/>
        </w:rPr>
        <w:t>de</w:t>
      </w:r>
      <w:r w:rsidR="008968E2" w:rsidRPr="00A63D26">
        <w:rPr>
          <w:noProof/>
        </w:rPr>
        <w:t xml:space="preserve"> </w:t>
      </w:r>
      <w:r w:rsidR="00705CB9" w:rsidRPr="00A63D26">
        <w:rPr>
          <w:noProof/>
        </w:rPr>
        <w:t xml:space="preserve">produit de la récolte ou de matériel de reproduction ou de multiplication </w:t>
      </w:r>
      <w:r w:rsidR="00990E61" w:rsidRPr="00A63D26">
        <w:rPr>
          <w:noProof/>
        </w:rPr>
        <w:t xml:space="preserve">végétative </w:t>
      </w:r>
      <w:r w:rsidR="00705CB9" w:rsidRPr="00A63D26">
        <w:rPr>
          <w:noProof/>
        </w:rPr>
        <w:t>ont été examinées</w:t>
      </w:r>
      <w:r w:rsidR="008968E2" w:rsidRPr="00A63D26">
        <w:rPr>
          <w:noProof/>
        </w:rPr>
        <w:t xml:space="preserve"> </w:t>
      </w:r>
      <w:r w:rsidR="00705CB9" w:rsidRPr="00A63D26">
        <w:rPr>
          <w:noProof/>
        </w:rPr>
        <w:t>et des</w:t>
      </w:r>
      <w:r w:rsidR="008968E2" w:rsidRPr="00A63D26">
        <w:rPr>
          <w:noProof/>
        </w:rPr>
        <w:t xml:space="preserve"> </w:t>
      </w:r>
      <w:r w:rsidR="00705CB9" w:rsidRPr="00A63D26">
        <w:rPr>
          <w:noProof/>
        </w:rPr>
        <w:t xml:space="preserve">conférenciers </w:t>
      </w:r>
      <w:r w:rsidR="008D3546" w:rsidRPr="00A63D26">
        <w:rPr>
          <w:noProof/>
        </w:rPr>
        <w:t>issus d</w:t>
      </w:r>
      <w:r w:rsidR="00E94EB0" w:rsidRPr="00A63D26">
        <w:rPr>
          <w:noProof/>
        </w:rPr>
        <w:t>’</w:t>
      </w:r>
      <w:r w:rsidR="0085188F" w:rsidRPr="00A63D26">
        <w:rPr>
          <w:noProof/>
        </w:rPr>
        <w:t xml:space="preserve">institutions universitaires </w:t>
      </w:r>
      <w:r w:rsidR="00705CB9" w:rsidRPr="00A63D26">
        <w:rPr>
          <w:noProof/>
        </w:rPr>
        <w:t>et</w:t>
      </w:r>
      <w:r w:rsidR="00DC0D64" w:rsidRPr="00A63D26">
        <w:rPr>
          <w:noProof/>
        </w:rPr>
        <w:t xml:space="preserve"> </w:t>
      </w:r>
      <w:r w:rsidR="0005597A" w:rsidRPr="00A63D26">
        <w:rPr>
          <w:noProof/>
        </w:rPr>
        <w:t>d</w:t>
      </w:r>
      <w:r w:rsidR="00E94EB0" w:rsidRPr="00A63D26">
        <w:rPr>
          <w:noProof/>
        </w:rPr>
        <w:t>’</w:t>
      </w:r>
      <w:r w:rsidR="0005597A" w:rsidRPr="00A63D26">
        <w:rPr>
          <w:noProof/>
        </w:rPr>
        <w:t xml:space="preserve">autorités judiciaires </w:t>
      </w:r>
      <w:r w:rsidR="00513070" w:rsidRPr="00A63D26">
        <w:rPr>
          <w:noProof/>
        </w:rPr>
        <w:t xml:space="preserve">compétentes </w:t>
      </w:r>
      <w:r w:rsidR="00A07128" w:rsidRPr="00A63D26">
        <w:rPr>
          <w:noProof/>
        </w:rPr>
        <w:t>qui s</w:t>
      </w:r>
      <w:r w:rsidR="00E94EB0" w:rsidRPr="00A63D26">
        <w:rPr>
          <w:noProof/>
        </w:rPr>
        <w:t>’</w:t>
      </w:r>
      <w:r w:rsidR="00A07128" w:rsidRPr="00A63D26">
        <w:rPr>
          <w:noProof/>
        </w:rPr>
        <w:t>exprimeront sur le suj</w:t>
      </w:r>
      <w:r w:rsidR="00805E4D" w:rsidRPr="00A63D26">
        <w:rPr>
          <w:noProof/>
        </w:rPr>
        <w:t>et.  Le</w:t>
      </w:r>
      <w:r w:rsidR="004C430E" w:rsidRPr="00A63D26">
        <w:rPr>
          <w:noProof/>
        </w:rPr>
        <w:t>s membres et les observateurs</w:t>
      </w:r>
      <w:r w:rsidR="00E94EB0" w:rsidRPr="00A63D26">
        <w:rPr>
          <w:noProof/>
        </w:rPr>
        <w:t xml:space="preserve"> du CAJ</w:t>
      </w:r>
      <w:r w:rsidR="008968E2" w:rsidRPr="00A63D26">
        <w:rPr>
          <w:noProof/>
        </w:rPr>
        <w:t xml:space="preserve"> </w:t>
      </w:r>
      <w:r w:rsidR="00A07128" w:rsidRPr="00A63D26">
        <w:rPr>
          <w:noProof/>
        </w:rPr>
        <w:t>seront invités à</w:t>
      </w:r>
      <w:r w:rsidR="008968E2" w:rsidRPr="00A63D26">
        <w:rPr>
          <w:noProof/>
        </w:rPr>
        <w:t xml:space="preserve"> propose</w:t>
      </w:r>
      <w:r w:rsidR="00A07128" w:rsidRPr="00A63D26">
        <w:rPr>
          <w:noProof/>
        </w:rPr>
        <w:t>r des</w:t>
      </w:r>
      <w:r w:rsidR="008968E2" w:rsidRPr="00A63D26">
        <w:rPr>
          <w:noProof/>
        </w:rPr>
        <w:t xml:space="preserve"> </w:t>
      </w:r>
      <w:r w:rsidR="00722A3A" w:rsidRPr="00A63D26">
        <w:rPr>
          <w:noProof/>
        </w:rPr>
        <w:t>conférencie</w:t>
      </w:r>
      <w:r w:rsidR="00805E4D" w:rsidRPr="00A63D26">
        <w:rPr>
          <w:noProof/>
        </w:rPr>
        <w:t>rs.  Le</w:t>
      </w:r>
      <w:r w:rsidR="00A07128" w:rsidRPr="00A63D26">
        <w:t> </w:t>
      </w:r>
      <w:r w:rsidR="00382642" w:rsidRPr="00A63D26">
        <w:rPr>
          <w:noProof/>
        </w:rPr>
        <w:t>Bureau de l</w:t>
      </w:r>
      <w:r w:rsidR="00E94EB0" w:rsidRPr="00A63D26">
        <w:rPr>
          <w:noProof/>
        </w:rPr>
        <w:t>’</w:t>
      </w:r>
      <w:r w:rsidR="00382642" w:rsidRPr="00A63D26">
        <w:rPr>
          <w:noProof/>
        </w:rPr>
        <w:t>Union, le président</w:t>
      </w:r>
      <w:r w:rsidR="00E94EB0" w:rsidRPr="00A63D26">
        <w:rPr>
          <w:noProof/>
        </w:rPr>
        <w:t xml:space="preserve"> du CAJ</w:t>
      </w:r>
      <w:r w:rsidR="008968E2" w:rsidRPr="00A63D26">
        <w:rPr>
          <w:noProof/>
        </w:rPr>
        <w:t xml:space="preserve"> </w:t>
      </w:r>
      <w:r w:rsidR="00990E61" w:rsidRPr="00A63D26">
        <w:rPr>
          <w:noProof/>
        </w:rPr>
        <w:t>et le</w:t>
      </w:r>
      <w:r w:rsidR="008968E2" w:rsidRPr="00A63D26">
        <w:rPr>
          <w:noProof/>
        </w:rPr>
        <w:t xml:space="preserve"> </w:t>
      </w:r>
      <w:r w:rsidR="00990E61" w:rsidRPr="00A63D26">
        <w:rPr>
          <w:noProof/>
        </w:rPr>
        <w:t>président</w:t>
      </w:r>
      <w:r w:rsidR="00722A3A" w:rsidRPr="00A63D26">
        <w:rPr>
          <w:noProof/>
        </w:rPr>
        <w:t xml:space="preserve"> du Conseil </w:t>
      </w:r>
      <w:r w:rsidR="00AB3433" w:rsidRPr="00A63D26">
        <w:rPr>
          <w:noProof/>
        </w:rPr>
        <w:t>élaboreront un projet de</w:t>
      </w:r>
      <w:r w:rsidR="008968E2" w:rsidRPr="00A63D26">
        <w:rPr>
          <w:noProof/>
        </w:rPr>
        <w:t xml:space="preserve"> program</w:t>
      </w:r>
      <w:r w:rsidR="00AB3433" w:rsidRPr="00A63D26">
        <w:rPr>
          <w:noProof/>
        </w:rPr>
        <w:t>me</w:t>
      </w:r>
      <w:r w:rsidR="008968E2" w:rsidRPr="00A63D26">
        <w:rPr>
          <w:noProof/>
        </w:rPr>
        <w:t xml:space="preserve"> </w:t>
      </w:r>
      <w:r w:rsidR="008F295D" w:rsidRPr="00A63D26">
        <w:rPr>
          <w:noProof/>
        </w:rPr>
        <w:t>pour examen par le Comité consultatif et</w:t>
      </w:r>
      <w:r w:rsidR="008968E2" w:rsidRPr="00A63D26">
        <w:rPr>
          <w:noProof/>
        </w:rPr>
        <w:t xml:space="preserve"> </w:t>
      </w:r>
      <w:r w:rsidR="00116CB5" w:rsidRPr="00A63D26">
        <w:rPr>
          <w:noProof/>
        </w:rPr>
        <w:t xml:space="preserve">pour </w:t>
      </w:r>
      <w:r w:rsidR="008968E2" w:rsidRPr="00A63D26">
        <w:rPr>
          <w:noProof/>
        </w:rPr>
        <w:t>appro</w:t>
      </w:r>
      <w:r w:rsidR="008F295D" w:rsidRPr="00A63D26">
        <w:rPr>
          <w:noProof/>
        </w:rPr>
        <w:t>bation</w:t>
      </w:r>
      <w:r w:rsidR="008968E2" w:rsidRPr="00A63D26">
        <w:rPr>
          <w:noProof/>
        </w:rPr>
        <w:t xml:space="preserve"> </w:t>
      </w:r>
      <w:r w:rsidR="008F295D" w:rsidRPr="00A63D26">
        <w:rPr>
          <w:noProof/>
        </w:rPr>
        <w:t>par le</w:t>
      </w:r>
      <w:r w:rsidR="008968E2" w:rsidRPr="00A63D26">
        <w:rPr>
          <w:noProof/>
        </w:rPr>
        <w:t xml:space="preserve"> </w:t>
      </w:r>
      <w:r w:rsidR="004B0562" w:rsidRPr="00A63D26">
        <w:rPr>
          <w:noProof/>
        </w:rPr>
        <w:t>Conseil e</w:t>
      </w:r>
      <w:r w:rsidR="008968E2" w:rsidRPr="00A63D26">
        <w:rPr>
          <w:noProof/>
        </w:rPr>
        <w:t xml:space="preserve">n </w:t>
      </w:r>
      <w:r w:rsidR="00567023" w:rsidRPr="00A63D26">
        <w:rPr>
          <w:noProof/>
        </w:rPr>
        <w:t>mars </w:t>
      </w:r>
      <w:r w:rsidR="008968E2" w:rsidRPr="00A63D26">
        <w:rPr>
          <w:noProof/>
        </w:rPr>
        <w:t>2016.</w:t>
      </w:r>
    </w:p>
    <w:p w:rsidR="0031661C" w:rsidRPr="00A63D26" w:rsidRDefault="0031661C" w:rsidP="003B6C88">
      <w:pPr>
        <w:rPr>
          <w:noProof/>
        </w:rPr>
      </w:pPr>
    </w:p>
    <w:p w:rsidR="0031661C" w:rsidRPr="00A63D26" w:rsidRDefault="0031661C" w:rsidP="003B6C88">
      <w:pPr>
        <w:rPr>
          <w:noProof/>
        </w:rPr>
      </w:pPr>
    </w:p>
    <w:p w:rsidR="0031661C" w:rsidRPr="00A63D26" w:rsidRDefault="0031661C" w:rsidP="0031661C">
      <w:pPr>
        <w:keepNext/>
        <w:rPr>
          <w:noProof/>
          <w:u w:val="single"/>
        </w:rPr>
      </w:pPr>
      <w:r w:rsidRPr="00A63D26">
        <w:rPr>
          <w:noProof/>
          <w:u w:val="single"/>
        </w:rPr>
        <w:t>Information et bases de données</w:t>
      </w:r>
    </w:p>
    <w:p w:rsidR="0031661C" w:rsidRPr="00A63D26" w:rsidRDefault="0031661C" w:rsidP="00363446">
      <w:pPr>
        <w:keepNext/>
        <w:rPr>
          <w:noProof/>
        </w:rPr>
      </w:pPr>
    </w:p>
    <w:p w:rsidR="0031661C" w:rsidRPr="00A63D26" w:rsidRDefault="0031661C" w:rsidP="0031661C">
      <w:pPr>
        <w:keepNext/>
        <w:rPr>
          <w:i/>
          <w:noProof/>
        </w:rPr>
      </w:pPr>
      <w:r w:rsidRPr="00A63D26">
        <w:rPr>
          <w:i/>
          <w:noProof/>
        </w:rPr>
        <w:t>a)</w:t>
      </w:r>
      <w:r w:rsidRPr="00A63D26">
        <w:rPr>
          <w:noProof/>
        </w:rPr>
        <w:tab/>
      </w:r>
      <w:r w:rsidRPr="00A63D26">
        <w:rPr>
          <w:i/>
          <w:noProof/>
        </w:rPr>
        <w:t>Systèmes de dépôt électronique des demandes</w:t>
      </w:r>
    </w:p>
    <w:p w:rsidR="0031661C" w:rsidRPr="00A63D26" w:rsidRDefault="0031661C" w:rsidP="00363446">
      <w:pPr>
        <w:keepNext/>
        <w:rPr>
          <w:noProof/>
        </w:rPr>
      </w:pPr>
    </w:p>
    <w:p w:rsidR="0031661C" w:rsidRPr="00A63D26" w:rsidRDefault="009B2464" w:rsidP="009C1A87">
      <w:pPr>
        <w:rPr>
          <w:noProof/>
        </w:rPr>
      </w:pPr>
      <w:r w:rsidRPr="00A63D26">
        <w:rPr>
          <w:noProof/>
          <w:snapToGrid w:val="0"/>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BD3B10" w:rsidRPr="00A63D26">
        <w:rPr>
          <w:noProof/>
          <w:snapToGrid w:val="0"/>
        </w:rPr>
        <w:t xml:space="preserve">Le </w:t>
      </w:r>
      <w:r w:rsidR="009C1A87" w:rsidRPr="00A63D26">
        <w:rPr>
          <w:noProof/>
        </w:rPr>
        <w:t xml:space="preserve">CAJ </w:t>
      </w:r>
      <w:r w:rsidR="00F203F3" w:rsidRPr="00A63D26">
        <w:rPr>
          <w:noProof/>
        </w:rPr>
        <w:t>examine le</w:t>
      </w:r>
      <w:r w:rsidR="009C1A87" w:rsidRPr="00A63D26">
        <w:rPr>
          <w:noProof/>
        </w:rPr>
        <w:t xml:space="preserve"> document CAJ/72/5 </w:t>
      </w:r>
      <w:r w:rsidR="00F203F3" w:rsidRPr="00A63D26">
        <w:rPr>
          <w:noProof/>
        </w:rPr>
        <w:t>et</w:t>
      </w:r>
      <w:r w:rsidR="009C1A87" w:rsidRPr="00A63D26">
        <w:rPr>
          <w:noProof/>
        </w:rPr>
        <w:t xml:space="preserve"> </w:t>
      </w:r>
      <w:r w:rsidR="00F203F3" w:rsidRPr="00A63D26">
        <w:rPr>
          <w:noProof/>
        </w:rPr>
        <w:t>reçoit un</w:t>
      </w:r>
      <w:r w:rsidR="009C1A87" w:rsidRPr="00A63D26">
        <w:rPr>
          <w:noProof/>
        </w:rPr>
        <w:t xml:space="preserve"> </w:t>
      </w:r>
      <w:r w:rsidR="00F203F3" w:rsidRPr="00A63D26">
        <w:rPr>
          <w:noProof/>
          <w:snapToGrid w:val="0"/>
          <w:lang w:eastAsia="ja-JP"/>
        </w:rPr>
        <w:t xml:space="preserve">rapport verbal du secrétaire général adjoint </w:t>
      </w:r>
      <w:r w:rsidR="00ED17F1" w:rsidRPr="00A63D26">
        <w:rPr>
          <w:noProof/>
        </w:rPr>
        <w:t xml:space="preserve">sur </w:t>
      </w:r>
      <w:r w:rsidR="0029236A" w:rsidRPr="00A63D26">
        <w:rPr>
          <w:noProof/>
        </w:rPr>
        <w:t>la</w:t>
      </w:r>
      <w:r w:rsidR="003549DD" w:rsidRPr="00A63D26">
        <w:rPr>
          <w:noProof/>
        </w:rPr>
        <w:t xml:space="preserve"> sixième réunion en vue de l</w:t>
      </w:r>
      <w:r w:rsidR="00E94EB0" w:rsidRPr="00A63D26">
        <w:rPr>
          <w:noProof/>
        </w:rPr>
        <w:t>’</w:t>
      </w:r>
      <w:r w:rsidR="003549DD" w:rsidRPr="00A63D26">
        <w:rPr>
          <w:noProof/>
        </w:rPr>
        <w:t>élaboration d</w:t>
      </w:r>
      <w:r w:rsidR="00E94EB0" w:rsidRPr="00A63D26">
        <w:rPr>
          <w:noProof/>
        </w:rPr>
        <w:t>’</w:t>
      </w:r>
      <w:r w:rsidR="003549DD" w:rsidRPr="00A63D26">
        <w:rPr>
          <w:noProof/>
        </w:rPr>
        <w:t>un prototype de formulaire électronique</w:t>
      </w:r>
      <w:r w:rsidR="009C1A87" w:rsidRPr="00A63D26">
        <w:rPr>
          <w:noProof/>
        </w:rPr>
        <w:t xml:space="preserve">, </w:t>
      </w:r>
      <w:r w:rsidR="007111ED" w:rsidRPr="00A63D26">
        <w:rPr>
          <w:noProof/>
        </w:rPr>
        <w:t>qui s</w:t>
      </w:r>
      <w:r w:rsidR="00E94EB0" w:rsidRPr="00A63D26">
        <w:rPr>
          <w:noProof/>
        </w:rPr>
        <w:t>’</w:t>
      </w:r>
      <w:r w:rsidR="007111ED" w:rsidRPr="00A63D26">
        <w:rPr>
          <w:noProof/>
        </w:rPr>
        <w:t>est tenue à</w:t>
      </w:r>
      <w:r w:rsidR="00433B12" w:rsidRPr="00A63D26">
        <w:rPr>
          <w:noProof/>
        </w:rPr>
        <w:t> </w:t>
      </w:r>
      <w:r w:rsidR="007111ED" w:rsidRPr="00A63D26">
        <w:rPr>
          <w:noProof/>
        </w:rPr>
        <w:t>Genève le 26 octobre </w:t>
      </w:r>
      <w:r w:rsidR="009C1A87" w:rsidRPr="00A63D26">
        <w:rPr>
          <w:noProof/>
        </w:rPr>
        <w:t xml:space="preserve">2015, </w:t>
      </w:r>
      <w:r w:rsidR="00331590" w:rsidRPr="00A63D26">
        <w:rPr>
          <w:noProof/>
        </w:rPr>
        <w:t>comme résumé ci</w:t>
      </w:r>
      <w:r w:rsidR="00805E4D" w:rsidRPr="00A63D26">
        <w:rPr>
          <w:noProof/>
        </w:rPr>
        <w:noBreakHyphen/>
      </w:r>
      <w:r w:rsidR="00331590" w:rsidRPr="00A63D26">
        <w:rPr>
          <w:noProof/>
        </w:rPr>
        <w:t>dessous</w:t>
      </w:r>
      <w:r w:rsidR="009C1A87" w:rsidRPr="00A63D26">
        <w:rPr>
          <w:noProof/>
        </w:rPr>
        <w:t>.</w:t>
      </w:r>
    </w:p>
    <w:p w:rsidR="0031661C" w:rsidRPr="00A63D26" w:rsidRDefault="0031661C" w:rsidP="009C1A87">
      <w:pPr>
        <w:rPr>
          <w:noProof/>
        </w:rPr>
      </w:pPr>
    </w:p>
    <w:p w:rsidR="00E94EB0" w:rsidRPr="00A63D26" w:rsidRDefault="009B2464" w:rsidP="009C1A87">
      <w:pPr>
        <w:rPr>
          <w:noProof/>
        </w:rPr>
      </w:pPr>
      <w:r w:rsidRPr="00A63D26">
        <w:rPr>
          <w:noProof/>
          <w:snapToGrid w:val="0"/>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ED17F1" w:rsidRPr="00A63D26">
        <w:rPr>
          <w:noProof/>
        </w:rPr>
        <w:t>Le</w:t>
      </w:r>
      <w:r w:rsidR="009C1A87" w:rsidRPr="00A63D26">
        <w:rPr>
          <w:noProof/>
        </w:rPr>
        <w:t xml:space="preserve"> CAJ </w:t>
      </w:r>
      <w:r w:rsidR="00040E7D" w:rsidRPr="00A63D26">
        <w:rPr>
          <w:noProof/>
        </w:rPr>
        <w:t>indique</w:t>
      </w:r>
      <w:r w:rsidR="006829DE" w:rsidRPr="00A63D26">
        <w:rPr>
          <w:noProof/>
        </w:rPr>
        <w:t xml:space="preserve"> que </w:t>
      </w:r>
      <w:r w:rsidR="00185FC0" w:rsidRPr="00A63D26">
        <w:rPr>
          <w:noProof/>
        </w:rPr>
        <w:t xml:space="preserve">lors de </w:t>
      </w:r>
      <w:r w:rsidR="006829DE" w:rsidRPr="00A63D26">
        <w:rPr>
          <w:noProof/>
        </w:rPr>
        <w:t>la</w:t>
      </w:r>
      <w:r w:rsidR="009C1A87" w:rsidRPr="00A63D26">
        <w:rPr>
          <w:noProof/>
        </w:rPr>
        <w:t xml:space="preserve"> </w:t>
      </w:r>
      <w:r w:rsidR="00185FC0" w:rsidRPr="00A63D26">
        <w:rPr>
          <w:noProof/>
        </w:rPr>
        <w:t>sixième réunion en vue de l</w:t>
      </w:r>
      <w:r w:rsidR="00E94EB0" w:rsidRPr="00A63D26">
        <w:rPr>
          <w:noProof/>
        </w:rPr>
        <w:t>’</w:t>
      </w:r>
      <w:r w:rsidR="00185FC0" w:rsidRPr="00A63D26">
        <w:rPr>
          <w:noProof/>
        </w:rPr>
        <w:t>élaboration d</w:t>
      </w:r>
      <w:r w:rsidR="00E94EB0" w:rsidRPr="00A63D26">
        <w:rPr>
          <w:noProof/>
        </w:rPr>
        <w:t>’</w:t>
      </w:r>
      <w:r w:rsidR="00185FC0" w:rsidRPr="00A63D26">
        <w:rPr>
          <w:noProof/>
        </w:rPr>
        <w:t>un prototype de formulaire électronique</w:t>
      </w:r>
      <w:r w:rsidR="00040E7D" w:rsidRPr="00A63D26">
        <w:rPr>
          <w:noProof/>
        </w:rPr>
        <w:t>, il a été</w:t>
      </w:r>
      <w:r w:rsidR="00185FC0" w:rsidRPr="00A63D26">
        <w:rPr>
          <w:noProof/>
        </w:rPr>
        <w:t xml:space="preserve"> </w:t>
      </w:r>
      <w:r w:rsidR="00040E7D" w:rsidRPr="00A63D26">
        <w:rPr>
          <w:noProof/>
        </w:rPr>
        <w:t>convenu que la</w:t>
      </w:r>
      <w:r w:rsidR="00DF0F24" w:rsidRPr="00A63D26">
        <w:t xml:space="preserve"> </w:t>
      </w:r>
      <w:r w:rsidR="00DF0F24" w:rsidRPr="00A63D26">
        <w:rPr>
          <w:noProof/>
        </w:rPr>
        <w:t xml:space="preserve">version 1 du prototype de formulaire de </w:t>
      </w:r>
      <w:r w:rsidR="00E67919" w:rsidRPr="00A63D26">
        <w:rPr>
          <w:noProof/>
        </w:rPr>
        <w:t>dépôt</w:t>
      </w:r>
      <w:r w:rsidR="00DF0F24" w:rsidRPr="00A63D26">
        <w:rPr>
          <w:noProof/>
        </w:rPr>
        <w:t xml:space="preserve"> électronique</w:t>
      </w:r>
      <w:r w:rsidR="00E67919" w:rsidRPr="00A63D26">
        <w:rPr>
          <w:noProof/>
        </w:rPr>
        <w:t xml:space="preserve"> des demandes</w:t>
      </w:r>
      <w:r w:rsidR="009C1A87" w:rsidRPr="00A63D26">
        <w:rPr>
          <w:noProof/>
        </w:rPr>
        <w:t xml:space="preserve"> (PV1) </w:t>
      </w:r>
      <w:r w:rsidR="008013FC" w:rsidRPr="00A63D26">
        <w:rPr>
          <w:noProof/>
        </w:rPr>
        <w:t xml:space="preserve">a démontré </w:t>
      </w:r>
      <w:r w:rsidR="00331FA4" w:rsidRPr="00A63D26">
        <w:rPr>
          <w:noProof/>
        </w:rPr>
        <w:t>la faisabilité du projet</w:t>
      </w:r>
      <w:r w:rsidR="009C1A87" w:rsidRPr="00A63D26">
        <w:rPr>
          <w:noProof/>
        </w:rPr>
        <w:t xml:space="preserve">, </w:t>
      </w:r>
      <w:r w:rsidR="00E94EB0" w:rsidRPr="00A63D26">
        <w:rPr>
          <w:noProof/>
        </w:rPr>
        <w:t>y compris</w:t>
      </w:r>
      <w:r w:rsidR="00331FA4" w:rsidRPr="00A63D26">
        <w:rPr>
          <w:noProof/>
        </w:rPr>
        <w:t xml:space="preserve"> la</w:t>
      </w:r>
      <w:r w:rsidR="009C1A87" w:rsidRPr="00A63D26">
        <w:rPr>
          <w:noProof/>
        </w:rPr>
        <w:t xml:space="preserve"> validation </w:t>
      </w:r>
      <w:r w:rsidR="00331FA4" w:rsidRPr="00A63D26">
        <w:rPr>
          <w:noProof/>
        </w:rPr>
        <w:t xml:space="preserve">pour le transfert de données des obtenteurs </w:t>
      </w:r>
      <w:r w:rsidR="00706D66" w:rsidRPr="00A63D26">
        <w:rPr>
          <w:noProof/>
        </w:rPr>
        <w:t>aux services de protection des obtentions végétales participants</w:t>
      </w:r>
      <w:r w:rsidR="00E67E75" w:rsidRPr="00A63D26">
        <w:rPr>
          <w:noProof/>
        </w:rPr>
        <w:t>,</w:t>
      </w:r>
      <w:r w:rsidR="009C1A87" w:rsidRPr="00A63D26">
        <w:rPr>
          <w:noProof/>
        </w:rPr>
        <w:t xml:space="preserve"> </w:t>
      </w:r>
      <w:r w:rsidR="002220F0" w:rsidRPr="00A63D26">
        <w:rPr>
          <w:noProof/>
        </w:rPr>
        <w:t>en termes d</w:t>
      </w:r>
      <w:r w:rsidR="00E94EB0" w:rsidRPr="00A63D26">
        <w:rPr>
          <w:noProof/>
        </w:rPr>
        <w:t>’</w:t>
      </w:r>
      <w:r w:rsidR="00E60779" w:rsidRPr="00A63D26">
        <w:rPr>
          <w:noProof/>
        </w:rPr>
        <w:t>exhaustivité des données et de conformité avec le modèle de données conve</w:t>
      </w:r>
      <w:r w:rsidR="00805E4D" w:rsidRPr="00A63D26">
        <w:rPr>
          <w:noProof/>
        </w:rPr>
        <w:t>nu.  Le</w:t>
      </w:r>
      <w:r w:rsidR="00E94EB0" w:rsidRPr="00A63D26">
        <w:rPr>
          <w:noProof/>
        </w:rPr>
        <w:t> CAJ</w:t>
      </w:r>
      <w:r w:rsidR="009C1A87" w:rsidRPr="00A63D26">
        <w:rPr>
          <w:noProof/>
        </w:rPr>
        <w:t xml:space="preserve"> </w:t>
      </w:r>
      <w:r w:rsidR="000B5F76" w:rsidRPr="00A63D26">
        <w:rPr>
          <w:noProof/>
        </w:rPr>
        <w:t>a souscrit aux propositions ci</w:t>
      </w:r>
      <w:r w:rsidR="00805E4D" w:rsidRPr="00A63D26">
        <w:rPr>
          <w:rFonts w:ascii="Menlo Regular" w:hAnsi="Menlo Regular" w:cs="Menlo Regular"/>
          <w:noProof/>
        </w:rPr>
        <w:noBreakHyphen/>
      </w:r>
      <w:r w:rsidR="000B5F76" w:rsidRPr="00A63D26">
        <w:rPr>
          <w:noProof/>
        </w:rPr>
        <w:t xml:space="preserve">après </w:t>
      </w:r>
      <w:r w:rsidR="00E67E75" w:rsidRPr="00A63D26">
        <w:rPr>
          <w:noProof/>
        </w:rPr>
        <w:t>formulées</w:t>
      </w:r>
      <w:r w:rsidR="000B5F76" w:rsidRPr="00A63D26">
        <w:rPr>
          <w:noProof/>
        </w:rPr>
        <w:t xml:space="preserve"> </w:t>
      </w:r>
      <w:r w:rsidR="00E67E75" w:rsidRPr="00A63D26">
        <w:rPr>
          <w:noProof/>
        </w:rPr>
        <w:t>lors</w:t>
      </w:r>
      <w:r w:rsidR="000B5F76" w:rsidRPr="00A63D26">
        <w:rPr>
          <w:noProof/>
        </w:rPr>
        <w:t xml:space="preserve"> </w:t>
      </w:r>
      <w:r w:rsidR="005F2885" w:rsidRPr="00A63D26">
        <w:rPr>
          <w:noProof/>
        </w:rPr>
        <w:t>de cette</w:t>
      </w:r>
      <w:r w:rsidR="009C1A87" w:rsidRPr="00A63D26">
        <w:rPr>
          <w:noProof/>
        </w:rPr>
        <w:t xml:space="preserve"> </w:t>
      </w:r>
      <w:r w:rsidR="000B5F76" w:rsidRPr="00A63D26">
        <w:rPr>
          <w:noProof/>
        </w:rPr>
        <w:t>sixième</w:t>
      </w:r>
      <w:r w:rsidR="005F2885" w:rsidRPr="00A63D26">
        <w:rPr>
          <w:noProof/>
        </w:rPr>
        <w:t xml:space="preserve"> réunion</w:t>
      </w:r>
      <w:r w:rsidR="000B5F76" w:rsidRPr="00A63D26">
        <w:rPr>
          <w:noProof/>
        </w:rPr>
        <w:t> </w:t>
      </w:r>
      <w:r w:rsidR="009C1A87" w:rsidRPr="00A63D26">
        <w:rPr>
          <w:noProof/>
        </w:rPr>
        <w:t>:</w:t>
      </w:r>
    </w:p>
    <w:p w:rsidR="0031661C" w:rsidRPr="00A63D26" w:rsidRDefault="0031661C" w:rsidP="009C1A87">
      <w:pPr>
        <w:rPr>
          <w:noProof/>
        </w:rPr>
      </w:pPr>
    </w:p>
    <w:p w:rsidR="0031661C" w:rsidRPr="00A63D26" w:rsidRDefault="0029236A" w:rsidP="00833794">
      <w:pPr>
        <w:pStyle w:val="Heading2"/>
        <w:keepNext/>
        <w:ind w:left="567"/>
        <w:rPr>
          <w:noProof/>
          <w:lang w:val="fr-FR"/>
        </w:rPr>
      </w:pPr>
      <w:bookmarkStart w:id="7" w:name="_Toc414608730"/>
      <w:bookmarkStart w:id="8" w:name="_Toc430252784"/>
      <w:r w:rsidRPr="00A63D26">
        <w:rPr>
          <w:noProof/>
          <w:lang w:val="fr-FR"/>
        </w:rPr>
        <w:t>Version </w:t>
      </w:r>
      <w:r w:rsidR="009C1A87" w:rsidRPr="00A63D26">
        <w:rPr>
          <w:noProof/>
          <w:lang w:val="fr-FR"/>
        </w:rPr>
        <w:t>2</w:t>
      </w:r>
      <w:bookmarkEnd w:id="7"/>
      <w:bookmarkEnd w:id="8"/>
      <w:r w:rsidR="009C1A87" w:rsidRPr="00A63D26">
        <w:rPr>
          <w:noProof/>
          <w:lang w:val="fr-FR"/>
        </w:rPr>
        <w:t xml:space="preserve"> </w:t>
      </w:r>
      <w:r w:rsidR="00DF0F24" w:rsidRPr="00A63D26">
        <w:rPr>
          <w:noProof/>
          <w:lang w:val="fr-FR"/>
        </w:rPr>
        <w:t xml:space="preserve">du prototype </w:t>
      </w:r>
      <w:r w:rsidR="009C1A87" w:rsidRPr="00A63D26">
        <w:rPr>
          <w:noProof/>
          <w:lang w:val="fr-FR"/>
        </w:rPr>
        <w:t>(PV2)</w:t>
      </w:r>
    </w:p>
    <w:p w:rsidR="0031661C" w:rsidRPr="00A63D26" w:rsidRDefault="0031661C" w:rsidP="009C1A87">
      <w:pPr>
        <w:keepNext/>
        <w:ind w:left="567"/>
        <w:rPr>
          <w:noProof/>
        </w:rPr>
      </w:pPr>
    </w:p>
    <w:p w:rsidR="0031661C" w:rsidRPr="00A63D26" w:rsidRDefault="009C1A87" w:rsidP="00833794">
      <w:pPr>
        <w:ind w:left="1134" w:hanging="567"/>
        <w:rPr>
          <w:noProof/>
        </w:rPr>
      </w:pPr>
      <w:r w:rsidRPr="00A63D26">
        <w:rPr>
          <w:noProof/>
        </w:rPr>
        <w:t>a)</w:t>
      </w:r>
      <w:r w:rsidRPr="00A63D26">
        <w:rPr>
          <w:noProof/>
        </w:rPr>
        <w:tab/>
      </w:r>
      <w:r w:rsidR="000B5F76" w:rsidRPr="00A63D26">
        <w:rPr>
          <w:noProof/>
        </w:rPr>
        <w:t>L</w:t>
      </w:r>
      <w:r w:rsidR="00E94EB0" w:rsidRPr="00A63D26">
        <w:rPr>
          <w:noProof/>
        </w:rPr>
        <w:t>’</w:t>
      </w:r>
      <w:r w:rsidR="004071FD" w:rsidRPr="00A63D26">
        <w:rPr>
          <w:noProof/>
        </w:rPr>
        <w:t>objectif de la version </w:t>
      </w:r>
      <w:r w:rsidRPr="00A63D26">
        <w:rPr>
          <w:noProof/>
        </w:rPr>
        <w:t xml:space="preserve">2 </w:t>
      </w:r>
      <w:r w:rsidR="004071FD" w:rsidRPr="00A63D26">
        <w:rPr>
          <w:noProof/>
        </w:rPr>
        <w:t xml:space="preserve">du prototype </w:t>
      </w:r>
      <w:r w:rsidRPr="00A63D26">
        <w:rPr>
          <w:noProof/>
        </w:rPr>
        <w:t xml:space="preserve">(PV2) </w:t>
      </w:r>
      <w:r w:rsidR="004071FD" w:rsidRPr="00A63D26">
        <w:rPr>
          <w:noProof/>
        </w:rPr>
        <w:t>sera de</w:t>
      </w:r>
      <w:r w:rsidRPr="00A63D26">
        <w:rPr>
          <w:noProof/>
        </w:rPr>
        <w:t xml:space="preserve"> </w:t>
      </w:r>
      <w:r w:rsidR="000B5F76" w:rsidRPr="00A63D26">
        <w:rPr>
          <w:noProof/>
        </w:rPr>
        <w:t>démontrer l</w:t>
      </w:r>
      <w:r w:rsidR="00E94EB0" w:rsidRPr="00A63D26">
        <w:rPr>
          <w:noProof/>
        </w:rPr>
        <w:t>’</w:t>
      </w:r>
      <w:r w:rsidR="004071FD" w:rsidRPr="00A63D26">
        <w:rPr>
          <w:noProof/>
        </w:rPr>
        <w:t>évolutivité du système</w:t>
      </w:r>
      <w:r w:rsidRPr="00A63D26">
        <w:rPr>
          <w:noProof/>
        </w:rPr>
        <w:t xml:space="preserve">, </w:t>
      </w:r>
      <w:r w:rsidR="00E94EB0" w:rsidRPr="00A63D26">
        <w:rPr>
          <w:noProof/>
        </w:rPr>
        <w:t>à savoir</w:t>
      </w:r>
      <w:r w:rsidR="000B5F76" w:rsidRPr="00A63D26">
        <w:rPr>
          <w:noProof/>
        </w:rPr>
        <w:t xml:space="preserve"> l</w:t>
      </w:r>
      <w:r w:rsidR="00E94EB0" w:rsidRPr="00A63D26">
        <w:rPr>
          <w:noProof/>
        </w:rPr>
        <w:t>’</w:t>
      </w:r>
      <w:r w:rsidR="004071FD" w:rsidRPr="00A63D26">
        <w:rPr>
          <w:noProof/>
        </w:rPr>
        <w:t>ajout de nouveaux types de plantes, de nouvelles langues et de nouveaux services de protection des obtentions végétales</w:t>
      </w:r>
      <w:r w:rsidRPr="00A63D26">
        <w:rPr>
          <w:noProof/>
        </w:rPr>
        <w:t xml:space="preserve">, </w:t>
      </w:r>
      <w:r w:rsidR="000B5F76" w:rsidRPr="00A63D26">
        <w:rPr>
          <w:noProof/>
        </w:rPr>
        <w:t>ainsi que la faisabilité de sa mise en œuvre par les</w:t>
      </w:r>
      <w:r w:rsidRPr="00A63D26">
        <w:rPr>
          <w:noProof/>
        </w:rPr>
        <w:t xml:space="preserve"> </w:t>
      </w:r>
      <w:r w:rsidR="000B5F76" w:rsidRPr="00A63D26">
        <w:rPr>
          <w:noProof/>
        </w:rPr>
        <w:t>services de protection des obtentions végétales</w:t>
      </w:r>
      <w:r w:rsidRPr="00A63D26">
        <w:rPr>
          <w:noProof/>
        </w:rPr>
        <w:t>.</w:t>
      </w:r>
    </w:p>
    <w:p w:rsidR="0031661C" w:rsidRPr="00A63D26" w:rsidRDefault="0031661C" w:rsidP="009C1A87">
      <w:pPr>
        <w:ind w:left="567"/>
        <w:rPr>
          <w:noProof/>
        </w:rPr>
      </w:pPr>
    </w:p>
    <w:p w:rsidR="0031661C" w:rsidRPr="00A63D26" w:rsidRDefault="009C1A87" w:rsidP="003779B0">
      <w:pPr>
        <w:keepNext/>
        <w:ind w:left="567"/>
        <w:rPr>
          <w:rFonts w:cs="Arial"/>
          <w:noProof/>
        </w:rPr>
      </w:pPr>
      <w:r w:rsidRPr="00A63D26">
        <w:rPr>
          <w:rFonts w:cs="Arial"/>
          <w:noProof/>
          <w:spacing w:val="-2"/>
        </w:rPr>
        <w:t>b)</w:t>
      </w:r>
      <w:r w:rsidRPr="00A63D26">
        <w:rPr>
          <w:rFonts w:cs="Arial"/>
          <w:noProof/>
          <w:spacing w:val="-2"/>
        </w:rPr>
        <w:tab/>
      </w:r>
      <w:r w:rsidR="00C87F55" w:rsidRPr="00A63D26">
        <w:rPr>
          <w:rFonts w:cs="Arial"/>
          <w:noProof/>
          <w:spacing w:val="-2"/>
        </w:rPr>
        <w:t xml:space="preserve">Les </w:t>
      </w:r>
      <w:r w:rsidR="00E2619B" w:rsidRPr="00A63D26">
        <w:rPr>
          <w:rFonts w:cs="Arial"/>
          <w:noProof/>
          <w:spacing w:val="-2"/>
        </w:rPr>
        <w:t xml:space="preserve">points suivants seront examinés </w:t>
      </w:r>
      <w:r w:rsidR="007625CA" w:rsidRPr="00A63D26">
        <w:rPr>
          <w:rFonts w:cs="Arial"/>
          <w:noProof/>
        </w:rPr>
        <w:t>sur la</w:t>
      </w:r>
      <w:r w:rsidRPr="00A63D26">
        <w:rPr>
          <w:rFonts w:cs="Arial"/>
          <w:noProof/>
        </w:rPr>
        <w:t xml:space="preserve"> PV2</w:t>
      </w:r>
      <w:r w:rsidR="00E2619B" w:rsidRPr="00A63D26">
        <w:rPr>
          <w:rFonts w:cs="Arial"/>
          <w:noProof/>
        </w:rPr>
        <w:t> </w:t>
      </w:r>
      <w:r w:rsidRPr="00A63D26">
        <w:rPr>
          <w:rFonts w:cs="Arial"/>
          <w:noProof/>
        </w:rPr>
        <w:t>:</w:t>
      </w:r>
    </w:p>
    <w:p w:rsidR="00E94EB0" w:rsidRPr="00A63D26" w:rsidRDefault="0031661C" w:rsidP="00194188">
      <w:pPr>
        <w:pStyle w:val="ListParagraph"/>
        <w:keepNext/>
        <w:numPr>
          <w:ilvl w:val="0"/>
          <w:numId w:val="10"/>
        </w:numPr>
        <w:spacing w:before="120" w:after="120"/>
        <w:ind w:left="1701" w:hanging="567"/>
        <w:contextualSpacing w:val="0"/>
        <w:rPr>
          <w:rFonts w:cs="Arial"/>
          <w:noProof/>
        </w:rPr>
      </w:pPr>
      <w:r w:rsidRPr="00A63D26">
        <w:rPr>
          <w:rFonts w:cs="Arial"/>
          <w:noProof/>
        </w:rPr>
        <w:t>différentes langues;</w:t>
      </w:r>
    </w:p>
    <w:p w:rsidR="0031661C" w:rsidRPr="00A63D26" w:rsidRDefault="00AC2D2A" w:rsidP="00194188">
      <w:pPr>
        <w:pStyle w:val="ListParagraph"/>
        <w:keepNext/>
        <w:numPr>
          <w:ilvl w:val="0"/>
          <w:numId w:val="10"/>
        </w:numPr>
        <w:spacing w:before="120" w:after="120"/>
        <w:ind w:left="1701" w:hanging="567"/>
        <w:contextualSpacing w:val="0"/>
        <w:rPr>
          <w:rFonts w:cs="Arial"/>
          <w:noProof/>
        </w:rPr>
      </w:pPr>
      <w:r w:rsidRPr="00A63D26">
        <w:rPr>
          <w:rFonts w:cs="Arial"/>
          <w:noProof/>
        </w:rPr>
        <w:t>l</w:t>
      </w:r>
      <w:r w:rsidR="00E94EB0" w:rsidRPr="00A63D26">
        <w:rPr>
          <w:rFonts w:cs="Arial"/>
          <w:noProof/>
        </w:rPr>
        <w:t>’</w:t>
      </w:r>
      <w:r w:rsidR="0031661C" w:rsidRPr="00A63D26">
        <w:rPr>
          <w:rFonts w:cs="Arial"/>
          <w:noProof/>
        </w:rPr>
        <w:t>ajout de nouvelles plantes;</w:t>
      </w:r>
    </w:p>
    <w:p w:rsidR="0031661C" w:rsidRPr="00A63D26" w:rsidRDefault="008352C4" w:rsidP="009C1A87">
      <w:pPr>
        <w:keepNext/>
        <w:spacing w:before="120" w:after="120"/>
        <w:ind w:left="2122"/>
        <w:rPr>
          <w:rFonts w:cs="Arial"/>
          <w:noProof/>
        </w:rPr>
      </w:pPr>
      <w:r w:rsidRPr="00A63D26">
        <w:rPr>
          <w:rFonts w:cs="Arial"/>
          <w:noProof/>
        </w:rPr>
        <w:t>ajouter</w:t>
      </w:r>
      <w:r w:rsidR="009C1A87" w:rsidRPr="00A63D26">
        <w:rPr>
          <w:rFonts w:cs="Arial"/>
          <w:noProof/>
        </w:rPr>
        <w:t xml:space="preserve"> </w:t>
      </w:r>
      <w:r w:rsidR="00F8030D" w:rsidRPr="00A63D26">
        <w:rPr>
          <w:rFonts w:cs="Arial"/>
          <w:noProof/>
        </w:rPr>
        <w:t>trois</w:t>
      </w:r>
      <w:r w:rsidR="00E73D21" w:rsidRPr="00A63D26">
        <w:rPr>
          <w:rFonts w:cs="Arial"/>
          <w:noProof/>
        </w:rPr>
        <w:t> </w:t>
      </w:r>
      <w:r w:rsidR="00F8030D" w:rsidRPr="00A63D26">
        <w:rPr>
          <w:rFonts w:cs="Arial"/>
          <w:noProof/>
        </w:rPr>
        <w:t>ou</w:t>
      </w:r>
      <w:r w:rsidR="009C1A87" w:rsidRPr="00A63D26">
        <w:rPr>
          <w:rFonts w:cs="Arial"/>
          <w:noProof/>
        </w:rPr>
        <w:t xml:space="preserve"> </w:t>
      </w:r>
      <w:r w:rsidR="00F8030D" w:rsidRPr="00A63D26">
        <w:rPr>
          <w:rFonts w:cs="Arial"/>
          <w:noProof/>
        </w:rPr>
        <w:t>quatre des plantes</w:t>
      </w:r>
      <w:r w:rsidR="009C1A87" w:rsidRPr="00A63D26">
        <w:rPr>
          <w:rFonts w:cs="Arial"/>
          <w:noProof/>
        </w:rPr>
        <w:t xml:space="preserve"> </w:t>
      </w:r>
      <w:r w:rsidR="00F8030D" w:rsidRPr="00A63D26">
        <w:rPr>
          <w:rFonts w:cs="Arial"/>
          <w:noProof/>
        </w:rPr>
        <w:t>suivantes </w:t>
      </w:r>
      <w:r w:rsidR="009C1A87" w:rsidRPr="00A63D26">
        <w:rPr>
          <w:rFonts w:cs="Arial"/>
          <w:noProof/>
        </w:rPr>
        <w:t xml:space="preserve">: </w:t>
      </w:r>
      <w:r w:rsidR="00B65A63" w:rsidRPr="00A63D26">
        <w:rPr>
          <w:rFonts w:cs="Arial"/>
          <w:noProof/>
        </w:rPr>
        <w:t>l</w:t>
      </w:r>
      <w:r w:rsidR="00207B1A" w:rsidRPr="00A63D26">
        <w:rPr>
          <w:rFonts w:cs="Arial"/>
          <w:noProof/>
        </w:rPr>
        <w:t>e</w:t>
      </w:r>
      <w:r w:rsidR="00B65A63" w:rsidRPr="00A63D26">
        <w:rPr>
          <w:rFonts w:cs="Arial"/>
          <w:noProof/>
        </w:rPr>
        <w:t xml:space="preserve"> </w:t>
      </w:r>
      <w:r w:rsidR="00F8030D" w:rsidRPr="00A63D26">
        <w:rPr>
          <w:rFonts w:cs="Arial"/>
          <w:noProof/>
        </w:rPr>
        <w:t>pomm</w:t>
      </w:r>
      <w:r w:rsidR="00207B1A" w:rsidRPr="00A63D26">
        <w:rPr>
          <w:rFonts w:cs="Arial"/>
          <w:noProof/>
        </w:rPr>
        <w:t>i</w:t>
      </w:r>
      <w:r w:rsidR="00F8030D" w:rsidRPr="00A63D26">
        <w:rPr>
          <w:rFonts w:cs="Arial"/>
          <w:noProof/>
        </w:rPr>
        <w:t>e</w:t>
      </w:r>
      <w:r w:rsidR="00207B1A" w:rsidRPr="00A63D26">
        <w:rPr>
          <w:rFonts w:cs="Arial"/>
          <w:noProof/>
        </w:rPr>
        <w:t>r</w:t>
      </w:r>
      <w:r w:rsidR="009C1A87" w:rsidRPr="00A63D26">
        <w:rPr>
          <w:rFonts w:cs="Arial"/>
          <w:noProof/>
        </w:rPr>
        <w:t xml:space="preserve">; </w:t>
      </w:r>
      <w:r w:rsidR="00B65A63" w:rsidRPr="00A63D26">
        <w:rPr>
          <w:rFonts w:cs="Arial"/>
          <w:noProof/>
        </w:rPr>
        <w:t xml:space="preserve"> la pomme de terre</w:t>
      </w:r>
      <w:r w:rsidR="000F68FB" w:rsidRPr="00A63D26">
        <w:rPr>
          <w:rFonts w:cs="Arial"/>
          <w:noProof/>
        </w:rPr>
        <w:t>;  le </w:t>
      </w:r>
      <w:r w:rsidR="009C1A87" w:rsidRPr="00A63D26">
        <w:rPr>
          <w:rFonts w:cs="Arial"/>
          <w:noProof/>
        </w:rPr>
        <w:t>ros</w:t>
      </w:r>
      <w:r w:rsidR="00F8030D" w:rsidRPr="00A63D26">
        <w:rPr>
          <w:rFonts w:cs="Arial"/>
          <w:noProof/>
        </w:rPr>
        <w:t>i</w:t>
      </w:r>
      <w:r w:rsidR="009C1A87" w:rsidRPr="00A63D26">
        <w:rPr>
          <w:rFonts w:cs="Arial"/>
          <w:noProof/>
        </w:rPr>
        <w:t>e</w:t>
      </w:r>
      <w:r w:rsidR="00F8030D" w:rsidRPr="00A63D26">
        <w:rPr>
          <w:rFonts w:cs="Arial"/>
          <w:noProof/>
        </w:rPr>
        <w:t>r</w:t>
      </w:r>
      <w:r w:rsidR="009C1A87" w:rsidRPr="00A63D26">
        <w:rPr>
          <w:rFonts w:cs="Arial"/>
          <w:noProof/>
        </w:rPr>
        <w:t xml:space="preserve">; </w:t>
      </w:r>
      <w:r w:rsidR="00F8030D" w:rsidRPr="00A63D26">
        <w:rPr>
          <w:rFonts w:cs="Arial"/>
          <w:noProof/>
        </w:rPr>
        <w:t xml:space="preserve"> </w:t>
      </w:r>
      <w:r w:rsidR="00B65A63" w:rsidRPr="00A63D26">
        <w:rPr>
          <w:rFonts w:cs="Arial"/>
          <w:noProof/>
        </w:rPr>
        <w:t xml:space="preserve">le </w:t>
      </w:r>
      <w:r w:rsidR="00F8030D" w:rsidRPr="00A63D26">
        <w:rPr>
          <w:rFonts w:cs="Arial"/>
          <w:noProof/>
        </w:rPr>
        <w:t>soja</w:t>
      </w:r>
      <w:r w:rsidR="009C1A87" w:rsidRPr="00A63D26">
        <w:rPr>
          <w:rFonts w:cs="Arial"/>
          <w:noProof/>
        </w:rPr>
        <w:t xml:space="preserve">, </w:t>
      </w:r>
      <w:r w:rsidR="001E297D" w:rsidRPr="00A63D26">
        <w:rPr>
          <w:rFonts w:cs="Arial"/>
          <w:noProof/>
        </w:rPr>
        <w:t>selon un ordre de priorité</w:t>
      </w:r>
      <w:r w:rsidR="009C1A87" w:rsidRPr="00A63D26">
        <w:rPr>
          <w:rFonts w:cs="Arial"/>
          <w:noProof/>
        </w:rPr>
        <w:t xml:space="preserve"> </w:t>
      </w:r>
      <w:r w:rsidR="001E297D" w:rsidRPr="00A63D26">
        <w:rPr>
          <w:rFonts w:cs="Arial"/>
          <w:noProof/>
        </w:rPr>
        <w:t xml:space="preserve">qui </w:t>
      </w:r>
      <w:r w:rsidR="00A9733E" w:rsidRPr="00A63D26">
        <w:rPr>
          <w:rFonts w:cs="Arial"/>
          <w:noProof/>
        </w:rPr>
        <w:t>sera</w:t>
      </w:r>
      <w:r w:rsidR="001E297D" w:rsidRPr="00A63D26">
        <w:rPr>
          <w:rFonts w:cs="Arial"/>
          <w:noProof/>
        </w:rPr>
        <w:t xml:space="preserve"> établi conformément à l</w:t>
      </w:r>
      <w:r w:rsidR="00E94EB0" w:rsidRPr="00A63D26">
        <w:rPr>
          <w:rFonts w:cs="Arial"/>
          <w:noProof/>
        </w:rPr>
        <w:t>’</w:t>
      </w:r>
      <w:r w:rsidR="001E297D" w:rsidRPr="00A63D26">
        <w:rPr>
          <w:rFonts w:cs="Arial"/>
          <w:noProof/>
        </w:rPr>
        <w:t>intérêt des</w:t>
      </w:r>
      <w:r w:rsidR="009C1A87" w:rsidRPr="00A63D26">
        <w:rPr>
          <w:rFonts w:cs="Arial"/>
          <w:noProof/>
        </w:rPr>
        <w:t xml:space="preserve"> </w:t>
      </w:r>
      <w:r w:rsidR="00D55471" w:rsidRPr="00A63D26">
        <w:rPr>
          <w:noProof/>
        </w:rPr>
        <w:t xml:space="preserve">services de protection des obtentions végétales </w:t>
      </w:r>
      <w:r w:rsidR="006A1711" w:rsidRPr="00A63D26">
        <w:rPr>
          <w:rFonts w:cs="Arial"/>
          <w:noProof/>
        </w:rPr>
        <w:t>et des</w:t>
      </w:r>
      <w:r w:rsidR="009C1A87" w:rsidRPr="00A63D26">
        <w:rPr>
          <w:rFonts w:cs="Arial"/>
          <w:noProof/>
        </w:rPr>
        <w:t xml:space="preserve"> </w:t>
      </w:r>
      <w:r w:rsidR="00D831CA" w:rsidRPr="00A63D26">
        <w:rPr>
          <w:rFonts w:cs="Arial"/>
          <w:noProof/>
        </w:rPr>
        <w:t>obtenteurs</w:t>
      </w:r>
      <w:r w:rsidR="009C1A87" w:rsidRPr="00A63D26">
        <w:rPr>
          <w:rFonts w:cs="Arial"/>
          <w:noProof/>
        </w:rPr>
        <w:t xml:space="preserve"> </w:t>
      </w:r>
      <w:r w:rsidR="00D831CA" w:rsidRPr="00A63D26">
        <w:rPr>
          <w:noProof/>
        </w:rPr>
        <w:t xml:space="preserve">participants </w:t>
      </w:r>
      <w:r w:rsidR="00D55471" w:rsidRPr="00A63D26">
        <w:rPr>
          <w:rFonts w:cs="Arial"/>
          <w:noProof/>
        </w:rPr>
        <w:t>et la</w:t>
      </w:r>
      <w:r w:rsidR="009C1A87" w:rsidRPr="00A63D26">
        <w:rPr>
          <w:rFonts w:cs="Arial"/>
          <w:noProof/>
        </w:rPr>
        <w:t xml:space="preserve"> </w:t>
      </w:r>
      <w:r w:rsidR="00D831CA" w:rsidRPr="00A63D26">
        <w:rPr>
          <w:rFonts w:cs="Arial"/>
          <w:noProof/>
        </w:rPr>
        <w:t>capacité</w:t>
      </w:r>
      <w:r w:rsidR="009C1A87" w:rsidRPr="00A63D26">
        <w:rPr>
          <w:rFonts w:cs="Arial"/>
          <w:noProof/>
        </w:rPr>
        <w:t xml:space="preserve"> </w:t>
      </w:r>
      <w:r w:rsidR="00D55471" w:rsidRPr="00A63D26">
        <w:rPr>
          <w:rFonts w:cs="Arial"/>
          <w:noProof/>
        </w:rPr>
        <w:t>des</w:t>
      </w:r>
      <w:r w:rsidR="009C1A87" w:rsidRPr="00A63D26">
        <w:rPr>
          <w:rFonts w:cs="Arial"/>
          <w:noProof/>
        </w:rPr>
        <w:t xml:space="preserve"> </w:t>
      </w:r>
      <w:r w:rsidR="00D55471" w:rsidRPr="00A63D26">
        <w:rPr>
          <w:noProof/>
        </w:rPr>
        <w:t xml:space="preserve">services de protection des obtentions végétales participants </w:t>
      </w:r>
      <w:r w:rsidR="00D831CA" w:rsidRPr="00A63D26">
        <w:rPr>
          <w:rFonts w:cs="Arial"/>
          <w:noProof/>
        </w:rPr>
        <w:t>à</w:t>
      </w:r>
      <w:r w:rsidR="00D831CA" w:rsidRPr="00A63D26">
        <w:t xml:space="preserve"> </w:t>
      </w:r>
      <w:r w:rsidR="00D831CA" w:rsidRPr="00A63D26">
        <w:rPr>
          <w:rFonts w:cs="Arial"/>
          <w:noProof/>
        </w:rPr>
        <w:t xml:space="preserve">fournir des </w:t>
      </w:r>
      <w:r w:rsidR="00027C49" w:rsidRPr="00A63D26">
        <w:t xml:space="preserve">renseignements </w:t>
      </w:r>
      <w:r w:rsidR="00027C49" w:rsidRPr="00A63D26">
        <w:rPr>
          <w:rFonts w:cs="Arial"/>
          <w:noProof/>
        </w:rPr>
        <w:t>pertinent</w:t>
      </w:r>
      <w:r w:rsidR="00D831CA" w:rsidRPr="00A63D26">
        <w:rPr>
          <w:rFonts w:cs="Arial"/>
          <w:noProof/>
        </w:rPr>
        <w:t>s</w:t>
      </w:r>
      <w:r w:rsidR="009C1A87" w:rsidRPr="00A63D26">
        <w:rPr>
          <w:rFonts w:cs="Arial"/>
          <w:noProof/>
        </w:rPr>
        <w:t xml:space="preserve"> </w:t>
      </w:r>
      <w:r w:rsidR="00027C49" w:rsidRPr="00A63D26">
        <w:t>dans le questionnaire technique</w:t>
      </w:r>
      <w:r w:rsidR="009C1A87" w:rsidRPr="00A63D26">
        <w:rPr>
          <w:rFonts w:cs="Arial"/>
          <w:noProof/>
        </w:rPr>
        <w:t>;</w:t>
      </w:r>
    </w:p>
    <w:p w:rsidR="0031661C" w:rsidRPr="00A63D26" w:rsidRDefault="003779B0" w:rsidP="003779B0">
      <w:pPr>
        <w:keepNext/>
        <w:spacing w:before="120" w:after="120"/>
        <w:ind w:left="567"/>
        <w:rPr>
          <w:rFonts w:cs="Arial"/>
          <w:noProof/>
        </w:rPr>
      </w:pPr>
      <w:r w:rsidRPr="00A63D26">
        <w:rPr>
          <w:rFonts w:cs="Arial"/>
          <w:noProof/>
        </w:rPr>
        <w:t>c)</w:t>
      </w:r>
      <w:r w:rsidRPr="00A63D26">
        <w:rPr>
          <w:rFonts w:cs="Arial"/>
          <w:noProof/>
        </w:rPr>
        <w:tab/>
      </w:r>
      <w:r w:rsidR="00C87F55" w:rsidRPr="00A63D26">
        <w:rPr>
          <w:rFonts w:cs="Arial"/>
          <w:noProof/>
        </w:rPr>
        <w:t>L</w:t>
      </w:r>
      <w:r w:rsidR="00E94EB0" w:rsidRPr="00A63D26">
        <w:rPr>
          <w:rFonts w:cs="Arial"/>
          <w:noProof/>
        </w:rPr>
        <w:t>’</w:t>
      </w:r>
      <w:r w:rsidR="007119DB" w:rsidRPr="00A63D26">
        <w:rPr>
          <w:rFonts w:cs="Arial"/>
          <w:noProof/>
        </w:rPr>
        <w:t>a</w:t>
      </w:r>
      <w:r w:rsidR="000C212C" w:rsidRPr="00A63D26">
        <w:rPr>
          <w:noProof/>
        </w:rPr>
        <w:t xml:space="preserve">jout de nouveaux </w:t>
      </w:r>
      <w:r w:rsidR="00AA5368" w:rsidRPr="00A63D26">
        <w:rPr>
          <w:noProof/>
        </w:rPr>
        <w:t>services de protection des obtentions végétales</w:t>
      </w:r>
      <w:r w:rsidRPr="00A63D26">
        <w:rPr>
          <w:rFonts w:cs="Arial"/>
          <w:noProof/>
        </w:rPr>
        <w:t>;</w:t>
      </w:r>
    </w:p>
    <w:p w:rsidR="00E94EB0" w:rsidRPr="00A63D26" w:rsidRDefault="0031661C" w:rsidP="0031661C">
      <w:pPr>
        <w:keepNext/>
        <w:spacing w:before="120" w:after="120"/>
        <w:ind w:left="567"/>
        <w:rPr>
          <w:rFonts w:cs="Arial"/>
          <w:iCs/>
          <w:noProof/>
        </w:rPr>
      </w:pPr>
      <w:r w:rsidRPr="00A63D26">
        <w:rPr>
          <w:rFonts w:cs="Arial"/>
          <w:iCs/>
          <w:noProof/>
        </w:rPr>
        <w:t>d)</w:t>
      </w:r>
      <w:r w:rsidRPr="00A63D26">
        <w:rPr>
          <w:rFonts w:cs="Arial"/>
          <w:iCs/>
          <w:noProof/>
        </w:rPr>
        <w:tab/>
      </w:r>
      <w:r w:rsidR="00C87F55" w:rsidRPr="00A63D26">
        <w:rPr>
          <w:rFonts w:cs="Arial"/>
          <w:iCs/>
          <w:noProof/>
        </w:rPr>
        <w:t xml:space="preserve">Les </w:t>
      </w:r>
      <w:r w:rsidRPr="00A63D26">
        <w:rPr>
          <w:rFonts w:cs="Arial"/>
          <w:iCs/>
          <w:noProof/>
        </w:rPr>
        <w:t xml:space="preserve">modalités de paiement et </w:t>
      </w:r>
      <w:r w:rsidR="00AC2D2A" w:rsidRPr="00A63D26">
        <w:rPr>
          <w:rFonts w:cs="Arial"/>
          <w:iCs/>
          <w:noProof/>
        </w:rPr>
        <w:t>l</w:t>
      </w:r>
      <w:r w:rsidR="00E94EB0" w:rsidRPr="00A63D26">
        <w:rPr>
          <w:rFonts w:cs="Arial"/>
          <w:iCs/>
          <w:noProof/>
        </w:rPr>
        <w:t>’</w:t>
      </w:r>
      <w:r w:rsidRPr="00A63D26">
        <w:rPr>
          <w:rFonts w:cs="Arial"/>
          <w:iCs/>
          <w:noProof/>
        </w:rPr>
        <w:t>identification des utilisateurs;</w:t>
      </w:r>
    </w:p>
    <w:p w:rsidR="00E94EB0" w:rsidRPr="00A63D26" w:rsidRDefault="0031661C" w:rsidP="0031661C">
      <w:pPr>
        <w:keepNext/>
        <w:spacing w:before="120" w:after="120"/>
        <w:ind w:left="1134" w:hanging="567"/>
        <w:rPr>
          <w:rFonts w:cs="Arial"/>
          <w:noProof/>
        </w:rPr>
      </w:pPr>
      <w:r w:rsidRPr="00A63D26">
        <w:rPr>
          <w:rFonts w:cs="Arial"/>
          <w:noProof/>
        </w:rPr>
        <w:t>e)</w:t>
      </w:r>
      <w:r w:rsidRPr="00A63D26">
        <w:rPr>
          <w:rFonts w:cs="Arial"/>
          <w:noProof/>
        </w:rPr>
        <w:tab/>
      </w:r>
      <w:r w:rsidR="00C87F55" w:rsidRPr="00A63D26">
        <w:rPr>
          <w:rFonts w:cs="Arial"/>
          <w:noProof/>
        </w:rPr>
        <w:t xml:space="preserve">La </w:t>
      </w:r>
      <w:r w:rsidRPr="00A63D26">
        <w:rPr>
          <w:rFonts w:cs="Arial"/>
          <w:noProof/>
        </w:rPr>
        <w:t>possibilité pour les membres de l</w:t>
      </w:r>
      <w:r w:rsidR="00E94EB0" w:rsidRPr="00A63D26">
        <w:rPr>
          <w:rFonts w:cs="Arial"/>
          <w:noProof/>
        </w:rPr>
        <w:t>’</w:t>
      </w:r>
      <w:r w:rsidRPr="00A63D26">
        <w:rPr>
          <w:rFonts w:cs="Arial"/>
          <w:noProof/>
        </w:rPr>
        <w:t>UPOV d</w:t>
      </w:r>
      <w:r w:rsidR="00E94EB0" w:rsidRPr="00A63D26">
        <w:rPr>
          <w:rFonts w:cs="Arial"/>
          <w:noProof/>
        </w:rPr>
        <w:t>’</w:t>
      </w:r>
      <w:r w:rsidRPr="00A63D26">
        <w:rPr>
          <w:rFonts w:cs="Arial"/>
          <w:noProof/>
        </w:rPr>
        <w:t>introduire ou de modifier leurs questions dans le formulaire au moyen d</w:t>
      </w:r>
      <w:r w:rsidR="00E94EB0" w:rsidRPr="00A63D26">
        <w:rPr>
          <w:rFonts w:cs="Arial"/>
          <w:noProof/>
        </w:rPr>
        <w:t>’</w:t>
      </w:r>
      <w:r w:rsidRPr="00A63D26">
        <w:rPr>
          <w:rFonts w:cs="Arial"/>
          <w:noProof/>
        </w:rPr>
        <w:t>une interface en ligne;</w:t>
      </w:r>
    </w:p>
    <w:p w:rsidR="0031661C" w:rsidRPr="00A63D26" w:rsidRDefault="003779B0" w:rsidP="003779B0">
      <w:pPr>
        <w:spacing w:before="120"/>
        <w:ind w:left="567"/>
        <w:rPr>
          <w:rFonts w:cs="Arial"/>
          <w:noProof/>
        </w:rPr>
      </w:pPr>
      <w:r w:rsidRPr="00A63D26">
        <w:rPr>
          <w:rFonts w:cs="Arial"/>
          <w:noProof/>
        </w:rPr>
        <w:t>f)</w:t>
      </w:r>
      <w:r w:rsidRPr="00A63D26">
        <w:rPr>
          <w:rFonts w:cs="Arial"/>
          <w:noProof/>
        </w:rPr>
        <w:tab/>
      </w:r>
      <w:r w:rsidR="00C87F55" w:rsidRPr="00A63D26">
        <w:rPr>
          <w:rFonts w:cs="Arial"/>
          <w:noProof/>
        </w:rPr>
        <w:t xml:space="preserve">Les </w:t>
      </w:r>
      <w:r w:rsidR="009C1A87" w:rsidRPr="00A63D26">
        <w:rPr>
          <w:rFonts w:cs="Arial"/>
          <w:noProof/>
        </w:rPr>
        <w:t>aspects</w:t>
      </w:r>
      <w:r w:rsidR="00697E26" w:rsidRPr="00A63D26">
        <w:rPr>
          <w:rFonts w:cs="Arial"/>
          <w:noProof/>
        </w:rPr>
        <w:t xml:space="preserve"> juridiques</w:t>
      </w:r>
      <w:r w:rsidR="009C1A87" w:rsidRPr="00A63D26">
        <w:rPr>
          <w:rFonts w:cs="Arial"/>
          <w:noProof/>
        </w:rPr>
        <w:t>;</w:t>
      </w:r>
    </w:p>
    <w:p w:rsidR="0031661C" w:rsidRPr="00A63D26" w:rsidRDefault="0031661C" w:rsidP="0031661C">
      <w:pPr>
        <w:spacing w:before="120"/>
        <w:ind w:left="567"/>
        <w:rPr>
          <w:rFonts w:cs="Arial"/>
          <w:noProof/>
        </w:rPr>
      </w:pPr>
      <w:r w:rsidRPr="00A63D26">
        <w:rPr>
          <w:rFonts w:cs="Arial"/>
          <w:noProof/>
        </w:rPr>
        <w:t>g)</w:t>
      </w:r>
      <w:r w:rsidRPr="00A63D26">
        <w:rPr>
          <w:rFonts w:cs="Arial"/>
          <w:noProof/>
        </w:rPr>
        <w:tab/>
      </w:r>
      <w:r w:rsidR="00C87F55" w:rsidRPr="00A63D26">
        <w:rPr>
          <w:rFonts w:cs="Arial"/>
          <w:noProof/>
        </w:rPr>
        <w:t xml:space="preserve">Le </w:t>
      </w:r>
      <w:r w:rsidRPr="00A63D26">
        <w:rPr>
          <w:rFonts w:cs="Arial"/>
          <w:noProof/>
        </w:rPr>
        <w:t>respect des lignes directrices en matière d</w:t>
      </w:r>
      <w:r w:rsidR="00E94EB0" w:rsidRPr="00A63D26">
        <w:rPr>
          <w:rFonts w:cs="Arial"/>
          <w:noProof/>
        </w:rPr>
        <w:t>’</w:t>
      </w:r>
      <w:r w:rsidRPr="00A63D26">
        <w:rPr>
          <w:rFonts w:cs="Arial"/>
          <w:noProof/>
        </w:rPr>
        <w:t>accessibilité des contenus Web;</w:t>
      </w:r>
    </w:p>
    <w:p w:rsidR="0031661C" w:rsidRPr="00A63D26" w:rsidRDefault="0031661C" w:rsidP="0031661C">
      <w:pPr>
        <w:spacing w:before="120"/>
        <w:ind w:left="567"/>
        <w:rPr>
          <w:rFonts w:cs="Arial"/>
          <w:noProof/>
        </w:rPr>
      </w:pPr>
      <w:r w:rsidRPr="00A63D26">
        <w:rPr>
          <w:rFonts w:cs="Arial"/>
          <w:noProof/>
        </w:rPr>
        <w:t>h)</w:t>
      </w:r>
      <w:r w:rsidRPr="00A63D26">
        <w:rPr>
          <w:rFonts w:cs="Arial"/>
          <w:noProof/>
        </w:rPr>
        <w:tab/>
      </w:r>
      <w:r w:rsidR="00C87F55" w:rsidRPr="00A63D26">
        <w:rPr>
          <w:rFonts w:cs="Arial"/>
          <w:noProof/>
        </w:rPr>
        <w:t xml:space="preserve">Les </w:t>
      </w:r>
      <w:r w:rsidRPr="00A63D26">
        <w:rPr>
          <w:rFonts w:cs="Arial"/>
          <w:noProof/>
        </w:rPr>
        <w:t>exigences en matière de sécurité telles que</w:t>
      </w:r>
      <w:r w:rsidR="00E73D21" w:rsidRPr="00A63D26">
        <w:rPr>
          <w:rFonts w:cs="Arial"/>
          <w:noProof/>
        </w:rPr>
        <w:t> </w:t>
      </w:r>
      <w:r w:rsidRPr="00A63D26">
        <w:rPr>
          <w:rFonts w:cs="Arial"/>
          <w:noProof/>
        </w:rPr>
        <w:t>:</w:t>
      </w:r>
    </w:p>
    <w:p w:rsidR="00E94EB0" w:rsidRPr="00A63D26" w:rsidRDefault="00AC2D2A" w:rsidP="00194188">
      <w:pPr>
        <w:pStyle w:val="ListParagraph"/>
        <w:keepNext/>
        <w:numPr>
          <w:ilvl w:val="0"/>
          <w:numId w:val="14"/>
        </w:numPr>
        <w:spacing w:before="120" w:after="120"/>
        <w:ind w:left="1701" w:hanging="567"/>
        <w:contextualSpacing w:val="0"/>
        <w:rPr>
          <w:rFonts w:cs="Arial"/>
          <w:noProof/>
        </w:rPr>
      </w:pPr>
      <w:r w:rsidRPr="00A63D26">
        <w:rPr>
          <w:rFonts w:cs="Arial"/>
          <w:noProof/>
        </w:rPr>
        <w:t xml:space="preserve">la </w:t>
      </w:r>
      <w:r w:rsidR="0031661C" w:rsidRPr="00A63D26">
        <w:rPr>
          <w:rFonts w:cs="Arial"/>
          <w:noProof/>
        </w:rPr>
        <w:t>confidentialité des données;</w:t>
      </w:r>
    </w:p>
    <w:p w:rsidR="00E94EB0" w:rsidRPr="00A63D26" w:rsidRDefault="00AC2D2A" w:rsidP="00194188">
      <w:pPr>
        <w:pStyle w:val="ListParagraph"/>
        <w:keepNext/>
        <w:numPr>
          <w:ilvl w:val="0"/>
          <w:numId w:val="14"/>
        </w:numPr>
        <w:spacing w:before="120" w:after="120"/>
        <w:ind w:left="1701" w:hanging="567"/>
        <w:contextualSpacing w:val="0"/>
        <w:rPr>
          <w:rFonts w:cs="Arial"/>
          <w:noProof/>
        </w:rPr>
      </w:pPr>
      <w:r w:rsidRPr="00A63D26">
        <w:rPr>
          <w:rFonts w:cs="Arial"/>
          <w:noProof/>
        </w:rPr>
        <w:t xml:space="preserve">la </w:t>
      </w:r>
      <w:r w:rsidR="0031661C" w:rsidRPr="00A63D26">
        <w:rPr>
          <w:rFonts w:cs="Arial"/>
          <w:noProof/>
        </w:rPr>
        <w:t>gestion des droits d</w:t>
      </w:r>
      <w:r w:rsidR="00E94EB0" w:rsidRPr="00A63D26">
        <w:rPr>
          <w:rFonts w:cs="Arial"/>
          <w:noProof/>
        </w:rPr>
        <w:t>’</w:t>
      </w:r>
      <w:r w:rsidR="0031661C" w:rsidRPr="00A63D26">
        <w:rPr>
          <w:rFonts w:cs="Arial"/>
          <w:noProof/>
        </w:rPr>
        <w:t>accès;</w:t>
      </w:r>
    </w:p>
    <w:p w:rsidR="0031661C" w:rsidRPr="00A63D26" w:rsidRDefault="0031661C" w:rsidP="0031661C">
      <w:pPr>
        <w:spacing w:before="120"/>
        <w:ind w:left="567"/>
        <w:rPr>
          <w:rFonts w:cs="Arial"/>
          <w:noProof/>
        </w:rPr>
      </w:pPr>
      <w:r w:rsidRPr="00A63D26">
        <w:rPr>
          <w:rFonts w:cs="Arial"/>
          <w:noProof/>
        </w:rPr>
        <w:t>i)</w:t>
      </w:r>
      <w:r w:rsidRPr="00A63D26">
        <w:rPr>
          <w:rFonts w:cs="Arial"/>
          <w:noProof/>
        </w:rPr>
        <w:tab/>
      </w:r>
      <w:r w:rsidR="00C87F55" w:rsidRPr="00A63D26">
        <w:rPr>
          <w:rFonts w:cs="Arial"/>
          <w:noProof/>
        </w:rPr>
        <w:t xml:space="preserve">Le </w:t>
      </w:r>
      <w:r w:rsidRPr="00A63D26">
        <w:rPr>
          <w:rFonts w:cs="Arial"/>
          <w:noProof/>
        </w:rPr>
        <w:t>taux de disponibilité du système;</w:t>
      </w:r>
    </w:p>
    <w:p w:rsidR="0031661C" w:rsidRPr="00A63D26" w:rsidRDefault="00833794" w:rsidP="00833794">
      <w:pPr>
        <w:spacing w:before="120"/>
        <w:ind w:left="1134" w:hanging="567"/>
        <w:rPr>
          <w:rFonts w:cs="Arial"/>
          <w:noProof/>
        </w:rPr>
      </w:pPr>
      <w:r w:rsidRPr="00A63D26">
        <w:rPr>
          <w:rFonts w:cs="Arial"/>
          <w:noProof/>
        </w:rPr>
        <w:t>j)</w:t>
      </w:r>
      <w:r w:rsidRPr="00A63D26">
        <w:rPr>
          <w:rFonts w:cs="Arial"/>
          <w:noProof/>
        </w:rPr>
        <w:tab/>
      </w:r>
      <w:r w:rsidR="00C87F55" w:rsidRPr="00A63D26">
        <w:rPr>
          <w:rFonts w:cs="Arial"/>
          <w:noProof/>
        </w:rPr>
        <w:t xml:space="preserve">La </w:t>
      </w:r>
      <w:r w:rsidR="00AC2D2A" w:rsidRPr="00A63D26">
        <w:rPr>
          <w:rFonts w:cs="Arial"/>
          <w:noProof/>
        </w:rPr>
        <w:t>c</w:t>
      </w:r>
      <w:r w:rsidR="009C1A87" w:rsidRPr="00A63D26">
        <w:rPr>
          <w:rFonts w:cs="Arial"/>
          <w:noProof/>
        </w:rPr>
        <w:t xml:space="preserve">ommunication </w:t>
      </w:r>
      <w:r w:rsidR="00BF4BEA" w:rsidRPr="00A63D26">
        <w:rPr>
          <w:rFonts w:cs="Arial"/>
          <w:noProof/>
        </w:rPr>
        <w:t>avec les systèmes internes et externes existants tels que la base de données GENIE</w:t>
      </w:r>
      <w:r w:rsidR="009C1A87" w:rsidRPr="00A63D26">
        <w:rPr>
          <w:rFonts w:cs="Arial"/>
          <w:noProof/>
        </w:rPr>
        <w:t xml:space="preserve">, </w:t>
      </w:r>
      <w:r w:rsidR="00BF4BEA" w:rsidRPr="00A63D26">
        <w:rPr>
          <w:rFonts w:cs="Arial"/>
          <w:noProof/>
        </w:rPr>
        <w:t>les comptes d</w:t>
      </w:r>
      <w:r w:rsidR="00E94EB0" w:rsidRPr="00A63D26">
        <w:rPr>
          <w:rFonts w:cs="Arial"/>
          <w:noProof/>
        </w:rPr>
        <w:t>’</w:t>
      </w:r>
      <w:r w:rsidR="00BF4BEA" w:rsidRPr="00A63D26">
        <w:rPr>
          <w:rFonts w:cs="Arial"/>
          <w:noProof/>
        </w:rPr>
        <w:t>utilisateurs de l</w:t>
      </w:r>
      <w:r w:rsidR="00E94EB0" w:rsidRPr="00A63D26">
        <w:rPr>
          <w:rFonts w:cs="Arial"/>
          <w:noProof/>
        </w:rPr>
        <w:t>’</w:t>
      </w:r>
      <w:r w:rsidR="00BF4BEA" w:rsidRPr="00A63D26">
        <w:rPr>
          <w:rFonts w:cs="Arial"/>
          <w:noProof/>
        </w:rPr>
        <w:t xml:space="preserve">OMPI et les systèmes existants </w:t>
      </w:r>
      <w:r w:rsidR="00D55471" w:rsidRPr="00A63D26">
        <w:rPr>
          <w:rFonts w:cs="Arial"/>
          <w:noProof/>
        </w:rPr>
        <w:t>au sein des services de protection des obtentions végétales</w:t>
      </w:r>
      <w:r w:rsidR="009C1A87" w:rsidRPr="00A63D26">
        <w:rPr>
          <w:rFonts w:cs="Arial"/>
          <w:noProof/>
        </w:rPr>
        <w:t>;</w:t>
      </w:r>
    </w:p>
    <w:p w:rsidR="0031661C" w:rsidRPr="00A63D26" w:rsidRDefault="0031661C" w:rsidP="0031661C">
      <w:pPr>
        <w:spacing w:before="120"/>
        <w:ind w:left="567"/>
        <w:rPr>
          <w:rFonts w:cs="Arial"/>
          <w:noProof/>
        </w:rPr>
      </w:pPr>
      <w:r w:rsidRPr="00A63D26">
        <w:rPr>
          <w:rFonts w:cs="Arial"/>
          <w:noProof/>
        </w:rPr>
        <w:t>k)</w:t>
      </w:r>
      <w:r w:rsidRPr="00A63D26">
        <w:rPr>
          <w:rFonts w:cs="Arial"/>
          <w:noProof/>
        </w:rPr>
        <w:tab/>
      </w:r>
      <w:r w:rsidR="00C87F55" w:rsidRPr="00A63D26">
        <w:rPr>
          <w:rFonts w:cs="Arial"/>
          <w:noProof/>
        </w:rPr>
        <w:t xml:space="preserve">L’architecture </w:t>
      </w:r>
      <w:r w:rsidRPr="00A63D26">
        <w:rPr>
          <w:rFonts w:cs="Arial"/>
          <w:noProof/>
        </w:rPr>
        <w:t>du système.</w:t>
      </w:r>
    </w:p>
    <w:p w:rsidR="0031661C" w:rsidRPr="00A63D26" w:rsidRDefault="0031661C" w:rsidP="009C1A87">
      <w:pPr>
        <w:ind w:left="567"/>
        <w:rPr>
          <w:noProof/>
        </w:rPr>
      </w:pPr>
    </w:p>
    <w:p w:rsidR="00E94EB0" w:rsidRPr="00A63D26" w:rsidRDefault="009B2464" w:rsidP="009C1A87">
      <w:pPr>
        <w:rPr>
          <w:noProof/>
        </w:rPr>
      </w:pPr>
      <w:r w:rsidRPr="00A63D26">
        <w:rPr>
          <w:noProof/>
          <w:snapToGrid w:val="0"/>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AF1562" w:rsidRPr="00A63D26">
        <w:rPr>
          <w:noProof/>
        </w:rPr>
        <w:t>Le</w:t>
      </w:r>
      <w:r w:rsidR="009C1A87" w:rsidRPr="00A63D26">
        <w:rPr>
          <w:noProof/>
        </w:rPr>
        <w:t xml:space="preserve"> CAJ </w:t>
      </w:r>
      <w:r w:rsidR="00AF1562" w:rsidRPr="00A63D26">
        <w:rPr>
          <w:noProof/>
        </w:rPr>
        <w:t>indi</w:t>
      </w:r>
      <w:r w:rsidR="007D5B99" w:rsidRPr="00A63D26">
        <w:rPr>
          <w:noProof/>
        </w:rPr>
        <w:t>que que les membres participant</w:t>
      </w:r>
      <w:r w:rsidR="009C1A87" w:rsidRPr="00A63D26">
        <w:rPr>
          <w:noProof/>
        </w:rPr>
        <w:t xml:space="preserve"> </w:t>
      </w:r>
      <w:r w:rsidR="007D5B99" w:rsidRPr="00A63D26">
        <w:rPr>
          <w:rFonts w:eastAsia="MS Mincho"/>
          <w:noProof/>
          <w:spacing w:val="-2"/>
        </w:rPr>
        <w:t xml:space="preserve">à </w:t>
      </w:r>
      <w:r w:rsidR="007D5B99" w:rsidRPr="00A63D26">
        <w:rPr>
          <w:noProof/>
        </w:rPr>
        <w:t>l</w:t>
      </w:r>
      <w:r w:rsidR="00E94EB0" w:rsidRPr="00A63D26">
        <w:rPr>
          <w:noProof/>
        </w:rPr>
        <w:t>’</w:t>
      </w:r>
      <w:r w:rsidR="007D5B99" w:rsidRPr="00A63D26">
        <w:rPr>
          <w:noProof/>
        </w:rPr>
        <w:t>élaboration d</w:t>
      </w:r>
      <w:r w:rsidR="00E94EB0" w:rsidRPr="00A63D26">
        <w:rPr>
          <w:noProof/>
        </w:rPr>
        <w:t>’</w:t>
      </w:r>
      <w:r w:rsidR="007D5B99" w:rsidRPr="00A63D26">
        <w:rPr>
          <w:noProof/>
        </w:rPr>
        <w:t>un prototype de formulaire électronique</w:t>
      </w:r>
      <w:r w:rsidR="009C1A87" w:rsidRPr="00A63D26">
        <w:rPr>
          <w:rFonts w:eastAsia="MS Mincho"/>
          <w:noProof/>
          <w:spacing w:val="-2"/>
        </w:rPr>
        <w:t xml:space="preserve"> </w:t>
      </w:r>
      <w:r w:rsidR="00F76B52" w:rsidRPr="00A63D26">
        <w:rPr>
          <w:rFonts w:eastAsia="MS Mincho"/>
          <w:noProof/>
          <w:spacing w:val="-2"/>
        </w:rPr>
        <w:t>seront invités à</w:t>
      </w:r>
      <w:r w:rsidR="009C31C1" w:rsidRPr="00A63D26">
        <w:rPr>
          <w:rFonts w:eastAsia="MS Mincho"/>
          <w:noProof/>
          <w:spacing w:val="-2"/>
        </w:rPr>
        <w:t> </w:t>
      </w:r>
      <w:r w:rsidR="00F76B52" w:rsidRPr="00A63D26">
        <w:rPr>
          <w:rFonts w:eastAsia="MS Mincho"/>
          <w:noProof/>
          <w:spacing w:val="-2"/>
        </w:rPr>
        <w:t>procéder à des essais du système par étapes</w:t>
      </w:r>
      <w:r w:rsidR="009C1A87" w:rsidRPr="00A63D26">
        <w:rPr>
          <w:rFonts w:eastAsia="MS Mincho"/>
          <w:noProof/>
          <w:spacing w:val="-2"/>
        </w:rPr>
        <w:t xml:space="preserve">, </w:t>
      </w:r>
      <w:r w:rsidR="00F76B52" w:rsidRPr="00A63D26">
        <w:rPr>
          <w:rFonts w:eastAsia="MS Mincho"/>
          <w:noProof/>
          <w:spacing w:val="-2"/>
        </w:rPr>
        <w:t>sur la base de différentes versions intermédiaires, afin d</w:t>
      </w:r>
      <w:r w:rsidR="00E94EB0" w:rsidRPr="00A63D26">
        <w:rPr>
          <w:rFonts w:eastAsia="MS Mincho"/>
          <w:noProof/>
          <w:spacing w:val="-2"/>
        </w:rPr>
        <w:t>’</w:t>
      </w:r>
      <w:r w:rsidR="00F76B52" w:rsidRPr="00A63D26">
        <w:rPr>
          <w:rFonts w:eastAsia="MS Mincho"/>
          <w:noProof/>
          <w:spacing w:val="-2"/>
        </w:rPr>
        <w:t>obtenir un retour d</w:t>
      </w:r>
      <w:r w:rsidR="00E94EB0" w:rsidRPr="00A63D26">
        <w:rPr>
          <w:rFonts w:eastAsia="MS Mincho"/>
          <w:noProof/>
          <w:spacing w:val="-2"/>
        </w:rPr>
        <w:t>’</w:t>
      </w:r>
      <w:r w:rsidR="00F76B52" w:rsidRPr="00A63D26">
        <w:rPr>
          <w:rFonts w:eastAsia="MS Mincho"/>
          <w:noProof/>
          <w:spacing w:val="-2"/>
        </w:rPr>
        <w:t>information réguli</w:t>
      </w:r>
      <w:r w:rsidR="00805E4D" w:rsidRPr="00A63D26">
        <w:rPr>
          <w:rFonts w:eastAsia="MS Mincho"/>
          <w:noProof/>
          <w:spacing w:val="-2"/>
        </w:rPr>
        <w:t>er.  Le</w:t>
      </w:r>
      <w:r w:rsidR="00732ECB" w:rsidRPr="00A63D26">
        <w:rPr>
          <w:rFonts w:eastAsia="MS Mincho"/>
          <w:noProof/>
          <w:spacing w:val="-2"/>
        </w:rPr>
        <w:t>s observations seront prises en considération pour l</w:t>
      </w:r>
      <w:r w:rsidR="00E94EB0" w:rsidRPr="00A63D26">
        <w:rPr>
          <w:rFonts w:eastAsia="MS Mincho"/>
          <w:noProof/>
          <w:spacing w:val="-2"/>
        </w:rPr>
        <w:t>’</w:t>
      </w:r>
      <w:r w:rsidR="00732ECB" w:rsidRPr="00A63D26">
        <w:rPr>
          <w:rFonts w:eastAsia="MS Mincho"/>
          <w:noProof/>
          <w:spacing w:val="-2"/>
        </w:rPr>
        <w:t xml:space="preserve">élaboration des versions </w:t>
      </w:r>
      <w:r w:rsidR="00901207" w:rsidRPr="00A63D26">
        <w:rPr>
          <w:rFonts w:eastAsia="MS Mincho"/>
          <w:noProof/>
          <w:spacing w:val="-2"/>
        </w:rPr>
        <w:t xml:space="preserve">intermédiaires suivantes </w:t>
      </w:r>
      <w:r w:rsidR="00732ECB" w:rsidRPr="00A63D26">
        <w:rPr>
          <w:rFonts w:eastAsia="MS Mincho"/>
          <w:noProof/>
          <w:spacing w:val="-2"/>
        </w:rPr>
        <w:t>afin d</w:t>
      </w:r>
      <w:r w:rsidR="00E94EB0" w:rsidRPr="00A63D26">
        <w:rPr>
          <w:rFonts w:eastAsia="MS Mincho"/>
          <w:noProof/>
          <w:spacing w:val="-2"/>
        </w:rPr>
        <w:t>’</w:t>
      </w:r>
      <w:r w:rsidR="00732ECB" w:rsidRPr="00A63D26">
        <w:rPr>
          <w:rFonts w:eastAsia="MS Mincho"/>
          <w:noProof/>
          <w:spacing w:val="-2"/>
        </w:rPr>
        <w:t>obtenir un</w:t>
      </w:r>
      <w:r w:rsidR="00B25798" w:rsidRPr="00A63D26">
        <w:rPr>
          <w:rFonts w:eastAsia="MS Mincho"/>
          <w:noProof/>
          <w:spacing w:val="-2"/>
        </w:rPr>
        <w:t>e version du</w:t>
      </w:r>
      <w:r w:rsidR="00732ECB" w:rsidRPr="00A63D26">
        <w:rPr>
          <w:rFonts w:eastAsia="MS Mincho"/>
          <w:noProof/>
          <w:spacing w:val="-2"/>
        </w:rPr>
        <w:t xml:space="preserve"> prototype </w:t>
      </w:r>
      <w:r w:rsidR="009C1A87" w:rsidRPr="00A63D26">
        <w:rPr>
          <w:rFonts w:eastAsia="MS Mincho"/>
          <w:noProof/>
          <w:spacing w:val="-2"/>
        </w:rPr>
        <w:t xml:space="preserve">(PV2) </w:t>
      </w:r>
      <w:r w:rsidR="009951E5" w:rsidRPr="00A63D26">
        <w:rPr>
          <w:rFonts w:eastAsia="MS Mincho"/>
          <w:noProof/>
          <w:spacing w:val="-2"/>
        </w:rPr>
        <w:t>pleinement fonctionnel</w:t>
      </w:r>
      <w:r w:rsidR="00B25798" w:rsidRPr="00A63D26">
        <w:rPr>
          <w:rFonts w:eastAsia="MS Mincho"/>
          <w:noProof/>
          <w:spacing w:val="-2"/>
        </w:rPr>
        <w:t>le</w:t>
      </w:r>
      <w:r w:rsidR="009951E5" w:rsidRPr="00A63D26">
        <w:rPr>
          <w:rFonts w:eastAsia="MS Mincho"/>
          <w:noProof/>
          <w:spacing w:val="-2"/>
        </w:rPr>
        <w:t xml:space="preserve"> </w:t>
      </w:r>
      <w:r w:rsidR="00732ECB" w:rsidRPr="00A63D26">
        <w:rPr>
          <w:rFonts w:eastAsia="MS Mincho"/>
          <w:noProof/>
          <w:spacing w:val="-2"/>
        </w:rPr>
        <w:t>d</w:t>
      </w:r>
      <w:r w:rsidR="00E94EB0" w:rsidRPr="00A63D26">
        <w:rPr>
          <w:rFonts w:eastAsia="MS Mincho"/>
          <w:noProof/>
          <w:spacing w:val="-2"/>
        </w:rPr>
        <w:t>’</w:t>
      </w:r>
      <w:r w:rsidR="009951E5" w:rsidRPr="00A63D26">
        <w:rPr>
          <w:rFonts w:eastAsia="MS Mincho"/>
          <w:noProof/>
          <w:spacing w:val="-2"/>
        </w:rPr>
        <w:t>ici août </w:t>
      </w:r>
      <w:r w:rsidR="009C1A87" w:rsidRPr="00A63D26">
        <w:rPr>
          <w:rFonts w:eastAsia="MS Mincho"/>
          <w:noProof/>
          <w:spacing w:val="-2"/>
        </w:rPr>
        <w:t xml:space="preserve">2016 </w:t>
      </w:r>
      <w:r w:rsidR="00890929" w:rsidRPr="00A63D26">
        <w:rPr>
          <w:rFonts w:eastAsia="MS Mincho"/>
          <w:noProof/>
          <w:spacing w:val="-2"/>
        </w:rPr>
        <w:t>en vue d</w:t>
      </w:r>
      <w:r w:rsidR="00E94EB0" w:rsidRPr="00A63D26">
        <w:rPr>
          <w:rFonts w:eastAsia="MS Mincho"/>
          <w:noProof/>
          <w:spacing w:val="-2"/>
        </w:rPr>
        <w:t>’</w:t>
      </w:r>
      <w:r w:rsidR="006C5E16" w:rsidRPr="00A63D26">
        <w:rPr>
          <w:rFonts w:eastAsia="MS Mincho"/>
          <w:noProof/>
          <w:spacing w:val="-2"/>
        </w:rPr>
        <w:t>une série finale d</w:t>
      </w:r>
      <w:r w:rsidR="00E94EB0" w:rsidRPr="00A63D26">
        <w:rPr>
          <w:rFonts w:eastAsia="MS Mincho"/>
          <w:noProof/>
          <w:spacing w:val="-2"/>
        </w:rPr>
        <w:t>’</w:t>
      </w:r>
      <w:r w:rsidR="009951E5" w:rsidRPr="00A63D26">
        <w:rPr>
          <w:rFonts w:eastAsia="MS Mincho"/>
          <w:noProof/>
          <w:spacing w:val="-2"/>
        </w:rPr>
        <w:t>essais en septembre </w:t>
      </w:r>
      <w:r w:rsidR="009C1A87" w:rsidRPr="00A63D26">
        <w:rPr>
          <w:rFonts w:eastAsia="MS Mincho"/>
          <w:noProof/>
          <w:spacing w:val="-2"/>
        </w:rPr>
        <w:t xml:space="preserve">2016, </w:t>
      </w:r>
      <w:r w:rsidR="009951E5" w:rsidRPr="00A63D26">
        <w:rPr>
          <w:rFonts w:eastAsia="MS Mincho"/>
          <w:noProof/>
          <w:spacing w:val="-2"/>
        </w:rPr>
        <w:t>avant la présentation éventuelle aux sessions du </w:t>
      </w:r>
      <w:r w:rsidR="00F1234B" w:rsidRPr="00A63D26">
        <w:rPr>
          <w:noProof/>
        </w:rPr>
        <w:t>CAJ,</w:t>
      </w:r>
      <w:r w:rsidR="009C1A87" w:rsidRPr="00A63D26">
        <w:rPr>
          <w:noProof/>
        </w:rPr>
        <w:t xml:space="preserve"> </w:t>
      </w:r>
      <w:r w:rsidR="009951E5" w:rsidRPr="00A63D26">
        <w:rPr>
          <w:noProof/>
        </w:rPr>
        <w:t>du Comité consultatif et du Conse</w:t>
      </w:r>
      <w:r w:rsidR="00F1234B" w:rsidRPr="00A63D26">
        <w:rPr>
          <w:noProof/>
        </w:rPr>
        <w:t>il</w:t>
      </w:r>
      <w:r w:rsidR="009C1A87" w:rsidRPr="00A63D26">
        <w:rPr>
          <w:rFonts w:eastAsia="MS Mincho"/>
          <w:noProof/>
          <w:spacing w:val="-2"/>
        </w:rPr>
        <w:t xml:space="preserve"> </w:t>
      </w:r>
      <w:r w:rsidR="009951E5" w:rsidRPr="00A63D26">
        <w:rPr>
          <w:noProof/>
        </w:rPr>
        <w:t>en octobre 2016</w:t>
      </w:r>
      <w:r w:rsidR="009C1A87" w:rsidRPr="00A63D26">
        <w:rPr>
          <w:noProof/>
        </w:rPr>
        <w:t>.</w:t>
      </w:r>
    </w:p>
    <w:p w:rsidR="0031661C" w:rsidRPr="00A63D26" w:rsidRDefault="0031661C" w:rsidP="009C1A87">
      <w:pPr>
        <w:rPr>
          <w:noProof/>
        </w:rPr>
      </w:pPr>
    </w:p>
    <w:p w:rsidR="0031661C" w:rsidRPr="00A63D26" w:rsidRDefault="009B2464" w:rsidP="009B2464">
      <w:pPr>
        <w:keepNext/>
        <w:rPr>
          <w:noProof/>
        </w:rPr>
      </w:pPr>
      <w:r w:rsidRPr="00A63D26">
        <w:rPr>
          <w:noProof/>
          <w:snapToGrid w:val="0"/>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AF1562" w:rsidRPr="00A63D26">
        <w:rPr>
          <w:noProof/>
        </w:rPr>
        <w:t xml:space="preserve">Le </w:t>
      </w:r>
      <w:r w:rsidR="009C1A87" w:rsidRPr="00A63D26">
        <w:rPr>
          <w:noProof/>
        </w:rPr>
        <w:t xml:space="preserve">CAJ </w:t>
      </w:r>
      <w:r w:rsidR="00342A37" w:rsidRPr="00A63D26">
        <w:rPr>
          <w:noProof/>
        </w:rPr>
        <w:t>convient</w:t>
      </w:r>
      <w:r w:rsidR="008C6FE6" w:rsidRPr="00A63D26">
        <w:rPr>
          <w:noProof/>
        </w:rPr>
        <w:t xml:space="preserve"> que tous les membres de l</w:t>
      </w:r>
      <w:r w:rsidR="00E94EB0" w:rsidRPr="00A63D26">
        <w:rPr>
          <w:noProof/>
        </w:rPr>
        <w:t>’</w:t>
      </w:r>
      <w:r w:rsidR="009C1A87" w:rsidRPr="00A63D26">
        <w:rPr>
          <w:noProof/>
        </w:rPr>
        <w:t xml:space="preserve">Union </w:t>
      </w:r>
      <w:r w:rsidR="00890929" w:rsidRPr="00A63D26">
        <w:rPr>
          <w:noProof/>
        </w:rPr>
        <w:t>doivent avoir</w:t>
      </w:r>
      <w:r w:rsidR="009C1A87" w:rsidRPr="00A63D26">
        <w:rPr>
          <w:noProof/>
        </w:rPr>
        <w:t xml:space="preserve"> </w:t>
      </w:r>
      <w:r w:rsidR="003D4186" w:rsidRPr="00A63D26">
        <w:rPr>
          <w:noProof/>
        </w:rPr>
        <w:t>la possibilité de participer à l</w:t>
      </w:r>
      <w:r w:rsidR="00E94EB0" w:rsidRPr="00A63D26">
        <w:rPr>
          <w:noProof/>
        </w:rPr>
        <w:t>’</w:t>
      </w:r>
      <w:r w:rsidR="003D4186" w:rsidRPr="00A63D26">
        <w:rPr>
          <w:noProof/>
        </w:rPr>
        <w:t xml:space="preserve">élaboration </w:t>
      </w:r>
      <w:r w:rsidR="00B25798" w:rsidRPr="00A63D26">
        <w:rPr>
          <w:noProof/>
        </w:rPr>
        <w:t>de la</w:t>
      </w:r>
      <w:r w:rsidR="003D4186" w:rsidRPr="00A63D26">
        <w:rPr>
          <w:noProof/>
        </w:rPr>
        <w:t xml:space="preserve"> </w:t>
      </w:r>
      <w:r w:rsidR="009C1A87" w:rsidRPr="00A63D26">
        <w:rPr>
          <w:noProof/>
        </w:rPr>
        <w:t xml:space="preserve">PV2, </w:t>
      </w:r>
      <w:r w:rsidR="00207B1A" w:rsidRPr="00A63D26">
        <w:rPr>
          <w:noProof/>
        </w:rPr>
        <w:t xml:space="preserve">tout en notant </w:t>
      </w:r>
      <w:r w:rsidR="003D4186" w:rsidRPr="00A63D26">
        <w:rPr>
          <w:noProof/>
        </w:rPr>
        <w:t>que, à cet effet,</w:t>
      </w:r>
      <w:r w:rsidR="009C1A87" w:rsidRPr="00A63D26">
        <w:rPr>
          <w:noProof/>
        </w:rPr>
        <w:t xml:space="preserve"> </w:t>
      </w:r>
      <w:r w:rsidR="003D4186" w:rsidRPr="00A63D26">
        <w:rPr>
          <w:noProof/>
        </w:rPr>
        <w:t>les</w:t>
      </w:r>
      <w:r w:rsidR="009C1A87" w:rsidRPr="00A63D26">
        <w:rPr>
          <w:noProof/>
        </w:rPr>
        <w:t xml:space="preserve"> information</w:t>
      </w:r>
      <w:r w:rsidR="003D4186" w:rsidRPr="00A63D26">
        <w:rPr>
          <w:noProof/>
        </w:rPr>
        <w:t>s</w:t>
      </w:r>
      <w:r w:rsidR="009C1A87" w:rsidRPr="00A63D26">
        <w:rPr>
          <w:noProof/>
        </w:rPr>
        <w:t xml:space="preserve"> </w:t>
      </w:r>
      <w:r w:rsidR="003D4186" w:rsidRPr="00A63D26">
        <w:rPr>
          <w:noProof/>
        </w:rPr>
        <w:t>ci</w:t>
      </w:r>
      <w:r w:rsidR="00805E4D" w:rsidRPr="00A63D26">
        <w:rPr>
          <w:noProof/>
        </w:rPr>
        <w:noBreakHyphen/>
      </w:r>
      <w:r w:rsidR="003D4186" w:rsidRPr="00A63D26">
        <w:rPr>
          <w:noProof/>
        </w:rPr>
        <w:t>après devront être fournies</w:t>
      </w:r>
      <w:r w:rsidR="009C1A87" w:rsidRPr="00A63D26">
        <w:rPr>
          <w:noProof/>
        </w:rPr>
        <w:t xml:space="preserve"> </w:t>
      </w:r>
      <w:r w:rsidR="003D4186" w:rsidRPr="00A63D26">
        <w:rPr>
          <w:noProof/>
        </w:rPr>
        <w:t>au Bureau de</w:t>
      </w:r>
      <w:r w:rsidR="009C1A87" w:rsidRPr="00A63D26">
        <w:rPr>
          <w:noProof/>
        </w:rPr>
        <w:t xml:space="preserve"> </w:t>
      </w:r>
      <w:r w:rsidR="003D4186" w:rsidRPr="00A63D26">
        <w:rPr>
          <w:noProof/>
        </w:rPr>
        <w:t>l</w:t>
      </w:r>
      <w:r w:rsidR="00E94EB0" w:rsidRPr="00A63D26">
        <w:rPr>
          <w:noProof/>
        </w:rPr>
        <w:t>’</w:t>
      </w:r>
      <w:r w:rsidR="003D4186" w:rsidRPr="00A63D26">
        <w:rPr>
          <w:noProof/>
        </w:rPr>
        <w:t>Union d</w:t>
      </w:r>
      <w:r w:rsidR="00E94EB0" w:rsidRPr="00A63D26">
        <w:rPr>
          <w:noProof/>
        </w:rPr>
        <w:t>’</w:t>
      </w:r>
      <w:r w:rsidR="003D4186" w:rsidRPr="00A63D26">
        <w:rPr>
          <w:noProof/>
        </w:rPr>
        <w:t xml:space="preserve">ici au </w:t>
      </w:r>
      <w:r w:rsidR="009C1A87" w:rsidRPr="00A63D26">
        <w:rPr>
          <w:noProof/>
        </w:rPr>
        <w:t>30</w:t>
      </w:r>
      <w:r w:rsidR="00093452" w:rsidRPr="00A63D26">
        <w:rPr>
          <w:noProof/>
        </w:rPr>
        <w:t> novembre </w:t>
      </w:r>
      <w:r w:rsidR="009C1A87" w:rsidRPr="00A63D26">
        <w:rPr>
          <w:noProof/>
        </w:rPr>
        <w:t>2015</w:t>
      </w:r>
      <w:r w:rsidR="00E76464" w:rsidRPr="00A63D26">
        <w:rPr>
          <w:noProof/>
        </w:rPr>
        <w:t> </w:t>
      </w:r>
      <w:r w:rsidR="009C1A87" w:rsidRPr="00A63D26">
        <w:rPr>
          <w:noProof/>
        </w:rPr>
        <w:t>:</w:t>
      </w:r>
    </w:p>
    <w:p w:rsidR="0031661C" w:rsidRPr="00A63D26" w:rsidRDefault="0031661C" w:rsidP="009B2464">
      <w:pPr>
        <w:keepNext/>
        <w:rPr>
          <w:noProof/>
        </w:rPr>
      </w:pPr>
    </w:p>
    <w:p w:rsidR="0031661C" w:rsidRPr="00A63D26" w:rsidRDefault="00C87F55" w:rsidP="00A95122">
      <w:pPr>
        <w:pStyle w:val="ListParagraph"/>
        <w:numPr>
          <w:ilvl w:val="0"/>
          <w:numId w:val="8"/>
        </w:numPr>
        <w:spacing w:after="120"/>
        <w:ind w:left="1134" w:hanging="567"/>
        <w:contextualSpacing w:val="0"/>
        <w:rPr>
          <w:noProof/>
        </w:rPr>
      </w:pPr>
      <w:r w:rsidRPr="00A63D26">
        <w:rPr>
          <w:noProof/>
        </w:rPr>
        <w:t xml:space="preserve">Formulaires </w:t>
      </w:r>
      <w:r w:rsidR="00207B1A" w:rsidRPr="00A63D26">
        <w:rPr>
          <w:noProof/>
        </w:rPr>
        <w:t>de demande et autres exigenc</w:t>
      </w:r>
      <w:r w:rsidR="00027C49" w:rsidRPr="00A63D26">
        <w:rPr>
          <w:noProof/>
        </w:rPr>
        <w:t>es relatives à la divulgation d</w:t>
      </w:r>
      <w:r w:rsidR="00E94EB0" w:rsidRPr="00A63D26">
        <w:rPr>
          <w:noProof/>
        </w:rPr>
        <w:t>’</w:t>
      </w:r>
      <w:r w:rsidR="00207B1A" w:rsidRPr="00A63D26">
        <w:rPr>
          <w:noProof/>
        </w:rPr>
        <w:t>informations dans les demandes pour les services de protec</w:t>
      </w:r>
      <w:r w:rsidR="00027C49" w:rsidRPr="00A63D26">
        <w:rPr>
          <w:noProof/>
        </w:rPr>
        <w:t>tion des obtentions végétales n</w:t>
      </w:r>
      <w:r w:rsidR="00E94EB0" w:rsidRPr="00A63D26">
        <w:rPr>
          <w:noProof/>
        </w:rPr>
        <w:t>’</w:t>
      </w:r>
      <w:r w:rsidR="00207B1A" w:rsidRPr="00A63D26">
        <w:rPr>
          <w:noProof/>
        </w:rPr>
        <w:t xml:space="preserve">ayant pas adressé de formulaire pour la </w:t>
      </w:r>
      <w:r w:rsidR="009C1A87" w:rsidRPr="00A63D26">
        <w:rPr>
          <w:noProof/>
        </w:rPr>
        <w:t>PV1;</w:t>
      </w:r>
    </w:p>
    <w:p w:rsidR="0031661C" w:rsidRPr="00A63D26" w:rsidRDefault="00C87F55" w:rsidP="00833794">
      <w:pPr>
        <w:pStyle w:val="ListParagraph"/>
        <w:numPr>
          <w:ilvl w:val="0"/>
          <w:numId w:val="8"/>
        </w:numPr>
        <w:spacing w:before="120" w:after="120"/>
        <w:ind w:left="1134" w:hanging="567"/>
        <w:contextualSpacing w:val="0"/>
        <w:rPr>
          <w:noProof/>
        </w:rPr>
      </w:pPr>
      <w:r w:rsidRPr="00A63D26">
        <w:rPr>
          <w:noProof/>
          <w:snapToGrid w:val="0"/>
        </w:rPr>
        <w:t xml:space="preserve">Renseignements </w:t>
      </w:r>
      <w:r w:rsidR="00207B1A" w:rsidRPr="00A63D26">
        <w:rPr>
          <w:noProof/>
          <w:snapToGrid w:val="0"/>
        </w:rPr>
        <w:t>figurant dans le questionnaire technique pour le pommier, la pomme de terre, le rosier et le soja</w:t>
      </w:r>
      <w:r w:rsidR="009C1A87" w:rsidRPr="00A63D26">
        <w:rPr>
          <w:noProof/>
        </w:rPr>
        <w:t>;</w:t>
      </w:r>
    </w:p>
    <w:p w:rsidR="0031661C" w:rsidRPr="00A63D26" w:rsidRDefault="00C87F55" w:rsidP="00833794">
      <w:pPr>
        <w:pStyle w:val="ListParagraph"/>
        <w:numPr>
          <w:ilvl w:val="0"/>
          <w:numId w:val="8"/>
        </w:numPr>
        <w:spacing w:before="120" w:after="120"/>
        <w:ind w:left="1134" w:hanging="567"/>
        <w:contextualSpacing w:val="0"/>
        <w:rPr>
          <w:noProof/>
        </w:rPr>
      </w:pPr>
      <w:r w:rsidRPr="00A63D26">
        <w:rPr>
          <w:noProof/>
        </w:rPr>
        <w:t xml:space="preserve">Procédures </w:t>
      </w:r>
      <w:r w:rsidR="00207B1A" w:rsidRPr="00A63D26">
        <w:rPr>
          <w:noProof/>
        </w:rPr>
        <w:t>de paiement</w:t>
      </w:r>
      <w:r w:rsidR="009C1A87" w:rsidRPr="00A63D26">
        <w:rPr>
          <w:noProof/>
        </w:rPr>
        <w:t>;</w:t>
      </w:r>
    </w:p>
    <w:p w:rsidR="0031661C" w:rsidRPr="00A63D26" w:rsidRDefault="00C87F55" w:rsidP="00833794">
      <w:pPr>
        <w:pStyle w:val="ListParagraph"/>
        <w:numPr>
          <w:ilvl w:val="0"/>
          <w:numId w:val="8"/>
        </w:numPr>
        <w:spacing w:before="120" w:after="120"/>
        <w:ind w:left="1134" w:hanging="567"/>
        <w:contextualSpacing w:val="0"/>
        <w:rPr>
          <w:noProof/>
        </w:rPr>
      </w:pPr>
      <w:r w:rsidRPr="00A63D26">
        <w:rPr>
          <w:noProof/>
        </w:rPr>
        <w:t xml:space="preserve">Procédures </w:t>
      </w:r>
      <w:r w:rsidR="000B1FBE" w:rsidRPr="00A63D26">
        <w:rPr>
          <w:noProof/>
        </w:rPr>
        <w:t>d</w:t>
      </w:r>
      <w:r w:rsidR="00E94EB0" w:rsidRPr="00A63D26">
        <w:rPr>
          <w:noProof/>
        </w:rPr>
        <w:t>’</w:t>
      </w:r>
      <w:r w:rsidR="00207B1A" w:rsidRPr="00A63D26">
        <w:rPr>
          <w:noProof/>
        </w:rPr>
        <w:t>autorisation de demande</w:t>
      </w:r>
      <w:r w:rsidR="009C1A87" w:rsidRPr="00A63D26">
        <w:rPr>
          <w:noProof/>
        </w:rPr>
        <w:t>;</w:t>
      </w:r>
    </w:p>
    <w:p w:rsidR="0031661C" w:rsidRPr="00A63D26" w:rsidRDefault="00C87F55" w:rsidP="00833794">
      <w:pPr>
        <w:pStyle w:val="ListParagraph"/>
        <w:numPr>
          <w:ilvl w:val="0"/>
          <w:numId w:val="8"/>
        </w:numPr>
        <w:spacing w:before="120" w:after="120"/>
        <w:ind w:left="1134" w:hanging="567"/>
        <w:contextualSpacing w:val="0"/>
        <w:rPr>
          <w:noProof/>
        </w:rPr>
      </w:pPr>
      <w:r w:rsidRPr="00A63D26">
        <w:rPr>
          <w:noProof/>
        </w:rPr>
        <w:t xml:space="preserve">Exigences </w:t>
      </w:r>
      <w:r w:rsidR="00207B1A" w:rsidRPr="00A63D26">
        <w:rPr>
          <w:noProof/>
        </w:rPr>
        <w:t>relatives à la sécurité pour le transfert et la réception de données</w:t>
      </w:r>
      <w:r w:rsidR="009C1A87" w:rsidRPr="00A63D26">
        <w:rPr>
          <w:noProof/>
        </w:rPr>
        <w:t>;</w:t>
      </w:r>
    </w:p>
    <w:p w:rsidR="0031661C" w:rsidRPr="00A63D26" w:rsidRDefault="00C87F55" w:rsidP="00194188">
      <w:pPr>
        <w:pStyle w:val="ListParagraph"/>
        <w:numPr>
          <w:ilvl w:val="0"/>
          <w:numId w:val="8"/>
        </w:numPr>
        <w:spacing w:before="120" w:after="120"/>
        <w:ind w:left="1134" w:hanging="567"/>
        <w:contextualSpacing w:val="0"/>
        <w:rPr>
          <w:rFonts w:cs="Arial"/>
          <w:noProof/>
        </w:rPr>
      </w:pPr>
      <w:r w:rsidRPr="00A63D26">
        <w:rPr>
          <w:noProof/>
        </w:rPr>
        <w:t xml:space="preserve">Protocoles </w:t>
      </w:r>
      <w:r w:rsidR="004539FE" w:rsidRPr="00A63D26">
        <w:rPr>
          <w:noProof/>
        </w:rPr>
        <w:t xml:space="preserve">de communication pour les services de protection des obtentions végétales qui </w:t>
      </w:r>
      <w:r w:rsidR="004539FE" w:rsidRPr="00A63D26">
        <w:rPr>
          <w:rFonts w:cs="Arial"/>
          <w:noProof/>
        </w:rPr>
        <w:t>souhaitent </w:t>
      </w:r>
      <w:r w:rsidR="00833794" w:rsidRPr="00A63D26">
        <w:rPr>
          <w:rFonts w:cs="Arial"/>
          <w:noProof/>
        </w:rPr>
        <w:t>:</w:t>
      </w:r>
    </w:p>
    <w:p w:rsidR="0031661C" w:rsidRPr="00A63D26" w:rsidRDefault="004539FE" w:rsidP="007A1A00">
      <w:pPr>
        <w:pStyle w:val="ListParagraph"/>
        <w:keepNext/>
        <w:numPr>
          <w:ilvl w:val="0"/>
          <w:numId w:val="15"/>
        </w:numPr>
        <w:spacing w:before="120" w:after="120"/>
        <w:ind w:left="1701" w:hanging="567"/>
        <w:contextualSpacing w:val="0"/>
        <w:rPr>
          <w:rFonts w:cs="Arial"/>
          <w:noProof/>
        </w:rPr>
      </w:pPr>
      <w:r w:rsidRPr="00A63D26">
        <w:rPr>
          <w:rFonts w:cs="Arial"/>
          <w:noProof/>
        </w:rPr>
        <w:t>recevoir les données relatives aux demandes par l</w:t>
      </w:r>
      <w:r w:rsidR="00E94EB0" w:rsidRPr="00A63D26">
        <w:rPr>
          <w:rFonts w:cs="Arial"/>
          <w:noProof/>
        </w:rPr>
        <w:t>’</w:t>
      </w:r>
      <w:r w:rsidRPr="00A63D26">
        <w:rPr>
          <w:rFonts w:cs="Arial"/>
          <w:noProof/>
        </w:rPr>
        <w:t>intermédiaire du système de formulaire électronique</w:t>
      </w:r>
      <w:r w:rsidR="00833794" w:rsidRPr="00A63D26">
        <w:rPr>
          <w:rFonts w:cs="Arial"/>
          <w:noProof/>
        </w:rPr>
        <w:t>;</w:t>
      </w:r>
    </w:p>
    <w:p w:rsidR="0031661C" w:rsidRPr="00A63D26" w:rsidRDefault="00531BA7" w:rsidP="007A1A00">
      <w:pPr>
        <w:pStyle w:val="ListParagraph"/>
        <w:keepNext/>
        <w:numPr>
          <w:ilvl w:val="0"/>
          <w:numId w:val="15"/>
        </w:numPr>
        <w:spacing w:before="120" w:after="120"/>
        <w:ind w:left="1701" w:hanging="567"/>
        <w:contextualSpacing w:val="0"/>
        <w:rPr>
          <w:rFonts w:cs="Arial"/>
          <w:noProof/>
        </w:rPr>
      </w:pPr>
      <w:r w:rsidRPr="00A63D26">
        <w:rPr>
          <w:rFonts w:cs="Arial"/>
          <w:noProof/>
        </w:rPr>
        <w:t>permettre aux obtenteurs d</w:t>
      </w:r>
      <w:r w:rsidR="00E94EB0" w:rsidRPr="00A63D26">
        <w:rPr>
          <w:rFonts w:cs="Arial"/>
          <w:noProof/>
        </w:rPr>
        <w:t>’</w:t>
      </w:r>
      <w:r w:rsidR="00484BDC" w:rsidRPr="00A63D26">
        <w:rPr>
          <w:rFonts w:cs="Arial"/>
          <w:noProof/>
        </w:rPr>
        <w:t>obtenir des données auprès de leur service de protection</w:t>
      </w:r>
      <w:r w:rsidRPr="00A63D26">
        <w:rPr>
          <w:rFonts w:cs="Arial"/>
          <w:noProof/>
        </w:rPr>
        <w:t xml:space="preserve"> des obtentions végétales par l</w:t>
      </w:r>
      <w:r w:rsidR="00E94EB0" w:rsidRPr="00A63D26">
        <w:rPr>
          <w:rFonts w:cs="Arial"/>
          <w:noProof/>
        </w:rPr>
        <w:t>’</w:t>
      </w:r>
      <w:r w:rsidR="00484BDC" w:rsidRPr="00A63D26">
        <w:rPr>
          <w:rFonts w:cs="Arial"/>
          <w:noProof/>
        </w:rPr>
        <w:t>intermédiaire du système de formulaire électronique</w:t>
      </w:r>
      <w:r w:rsidR="009C1A87" w:rsidRPr="00A63D26">
        <w:rPr>
          <w:rFonts w:cs="Arial"/>
          <w:noProof/>
        </w:rPr>
        <w:t>.</w:t>
      </w:r>
    </w:p>
    <w:p w:rsidR="0031661C" w:rsidRPr="00A63D26" w:rsidRDefault="0031661C" w:rsidP="009C1A87">
      <w:pPr>
        <w:rPr>
          <w:noProof/>
        </w:rPr>
      </w:pPr>
    </w:p>
    <w:p w:rsidR="00E94EB0" w:rsidRPr="00A63D26" w:rsidRDefault="009B2464" w:rsidP="009C1A87">
      <w:pPr>
        <w:rPr>
          <w:noProof/>
        </w:rPr>
      </w:pPr>
      <w:r w:rsidRPr="00A63D26">
        <w:rPr>
          <w:noProof/>
          <w:snapToGrid w:val="0"/>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ED17F1" w:rsidRPr="00A63D26">
        <w:rPr>
          <w:noProof/>
        </w:rPr>
        <w:t>Le</w:t>
      </w:r>
      <w:r w:rsidR="009C1A87" w:rsidRPr="00A63D26">
        <w:rPr>
          <w:noProof/>
        </w:rPr>
        <w:t xml:space="preserve"> CAJ </w:t>
      </w:r>
      <w:r w:rsidR="00296F26" w:rsidRPr="00A63D26">
        <w:rPr>
          <w:noProof/>
        </w:rPr>
        <w:t>indique que</w:t>
      </w:r>
      <w:r w:rsidR="009C1A87" w:rsidRPr="00A63D26">
        <w:rPr>
          <w:noProof/>
        </w:rPr>
        <w:t xml:space="preserve">, </w:t>
      </w:r>
      <w:r w:rsidR="00531BA7" w:rsidRPr="00A63D26">
        <w:rPr>
          <w:noProof/>
        </w:rPr>
        <w:t>dans le cas des</w:t>
      </w:r>
      <w:r w:rsidR="009C1A87" w:rsidRPr="00A63D26">
        <w:rPr>
          <w:noProof/>
        </w:rPr>
        <w:t xml:space="preserve"> </w:t>
      </w:r>
      <w:r w:rsidR="00885464" w:rsidRPr="00A63D26">
        <w:rPr>
          <w:noProof/>
        </w:rPr>
        <w:t>services de protection des obtentions végétales utilisant des</w:t>
      </w:r>
      <w:r w:rsidR="009C1A87" w:rsidRPr="00A63D26">
        <w:rPr>
          <w:noProof/>
        </w:rPr>
        <w:t xml:space="preserve"> </w:t>
      </w:r>
      <w:r w:rsidR="0029236A" w:rsidRPr="00A63D26">
        <w:rPr>
          <w:noProof/>
        </w:rPr>
        <w:t>formulaires</w:t>
      </w:r>
      <w:r w:rsidR="009C1A87" w:rsidRPr="00A63D26">
        <w:rPr>
          <w:noProof/>
        </w:rPr>
        <w:t xml:space="preserve"> </w:t>
      </w:r>
      <w:r w:rsidR="00885464" w:rsidRPr="00A63D26">
        <w:rPr>
          <w:noProof/>
        </w:rPr>
        <w:t>dans des langu</w:t>
      </w:r>
      <w:r w:rsidR="009C1A87" w:rsidRPr="00A63D26">
        <w:rPr>
          <w:noProof/>
        </w:rPr>
        <w:t xml:space="preserve">es </w:t>
      </w:r>
      <w:r w:rsidR="00885464" w:rsidRPr="00A63D26">
        <w:rPr>
          <w:noProof/>
        </w:rPr>
        <w:t>autres que l</w:t>
      </w:r>
      <w:r w:rsidR="00E94EB0" w:rsidRPr="00A63D26">
        <w:rPr>
          <w:noProof/>
        </w:rPr>
        <w:t>’</w:t>
      </w:r>
      <w:r w:rsidR="00885464" w:rsidRPr="00A63D26">
        <w:rPr>
          <w:noProof/>
        </w:rPr>
        <w:t>allemand, l</w:t>
      </w:r>
      <w:r w:rsidR="00E94EB0" w:rsidRPr="00A63D26">
        <w:rPr>
          <w:noProof/>
        </w:rPr>
        <w:t>’</w:t>
      </w:r>
      <w:r w:rsidR="00885464" w:rsidRPr="00A63D26">
        <w:rPr>
          <w:noProof/>
        </w:rPr>
        <w:t>anglais</w:t>
      </w:r>
      <w:r w:rsidR="009C1A87" w:rsidRPr="00A63D26">
        <w:rPr>
          <w:noProof/>
        </w:rPr>
        <w:t xml:space="preserve">, </w:t>
      </w:r>
      <w:r w:rsidR="00885464" w:rsidRPr="00A63D26">
        <w:rPr>
          <w:noProof/>
        </w:rPr>
        <w:t>l</w:t>
      </w:r>
      <w:r w:rsidR="00E94EB0" w:rsidRPr="00A63D26">
        <w:rPr>
          <w:noProof/>
        </w:rPr>
        <w:t>’</w:t>
      </w:r>
      <w:r w:rsidR="00885464" w:rsidRPr="00A63D26">
        <w:rPr>
          <w:noProof/>
        </w:rPr>
        <w:t>espagnol</w:t>
      </w:r>
      <w:r w:rsidR="009C1A87" w:rsidRPr="00A63D26">
        <w:rPr>
          <w:noProof/>
        </w:rPr>
        <w:t xml:space="preserve"> </w:t>
      </w:r>
      <w:r w:rsidR="00885464" w:rsidRPr="00A63D26">
        <w:rPr>
          <w:noProof/>
        </w:rPr>
        <w:t>ou</w:t>
      </w:r>
      <w:r w:rsidR="009C1A87" w:rsidRPr="00A63D26">
        <w:rPr>
          <w:noProof/>
        </w:rPr>
        <w:t xml:space="preserve"> </w:t>
      </w:r>
      <w:r w:rsidR="00885464" w:rsidRPr="00A63D26">
        <w:rPr>
          <w:noProof/>
        </w:rPr>
        <w:t>le français</w:t>
      </w:r>
      <w:r w:rsidR="009C1A87" w:rsidRPr="00A63D26">
        <w:rPr>
          <w:noProof/>
        </w:rPr>
        <w:t xml:space="preserve">, </w:t>
      </w:r>
      <w:r w:rsidR="00885464" w:rsidRPr="00A63D26">
        <w:rPr>
          <w:noProof/>
        </w:rPr>
        <w:t>les</w:t>
      </w:r>
      <w:r w:rsidR="009C1A87" w:rsidRPr="00A63D26">
        <w:rPr>
          <w:noProof/>
        </w:rPr>
        <w:t xml:space="preserve"> </w:t>
      </w:r>
      <w:r w:rsidR="00885464" w:rsidRPr="00A63D26">
        <w:rPr>
          <w:noProof/>
        </w:rPr>
        <w:t xml:space="preserve">services de protection des obtentions végétales </w:t>
      </w:r>
      <w:r w:rsidR="00B25798" w:rsidRPr="00A63D26">
        <w:rPr>
          <w:noProof/>
        </w:rPr>
        <w:t>devront</w:t>
      </w:r>
      <w:r w:rsidR="009C1A87" w:rsidRPr="00A63D26">
        <w:rPr>
          <w:noProof/>
        </w:rPr>
        <w:t xml:space="preserve"> </w:t>
      </w:r>
      <w:r w:rsidR="00B25798" w:rsidRPr="00A63D26">
        <w:rPr>
          <w:noProof/>
        </w:rPr>
        <w:t xml:space="preserve">faire traduire </w:t>
      </w:r>
      <w:r w:rsidR="00E61854" w:rsidRPr="00A63D26">
        <w:rPr>
          <w:noProof/>
        </w:rPr>
        <w:t xml:space="preserve">dans la langue concernée </w:t>
      </w:r>
      <w:r w:rsidR="00B25798" w:rsidRPr="00A63D26">
        <w:rPr>
          <w:noProof/>
        </w:rPr>
        <w:t>l</w:t>
      </w:r>
      <w:r w:rsidR="00885464" w:rsidRPr="00A63D26">
        <w:rPr>
          <w:noProof/>
        </w:rPr>
        <w:t>es</w:t>
      </w:r>
      <w:r w:rsidR="009C1A87" w:rsidRPr="00A63D26">
        <w:rPr>
          <w:noProof/>
        </w:rPr>
        <w:t xml:space="preserve"> form</w:t>
      </w:r>
      <w:r w:rsidR="00885464" w:rsidRPr="00A63D26">
        <w:rPr>
          <w:noProof/>
        </w:rPr>
        <w:t>ulaire</w:t>
      </w:r>
      <w:r w:rsidR="009C1A87" w:rsidRPr="00A63D26">
        <w:rPr>
          <w:noProof/>
        </w:rPr>
        <w:t xml:space="preserve">s </w:t>
      </w:r>
      <w:r w:rsidR="00885464" w:rsidRPr="00A63D26">
        <w:rPr>
          <w:noProof/>
        </w:rPr>
        <w:t>de tous les</w:t>
      </w:r>
      <w:r w:rsidR="009C1A87" w:rsidRPr="00A63D26">
        <w:rPr>
          <w:noProof/>
        </w:rPr>
        <w:t xml:space="preserve"> </w:t>
      </w:r>
      <w:r w:rsidR="00885464" w:rsidRPr="00A63D26">
        <w:rPr>
          <w:noProof/>
        </w:rPr>
        <w:t xml:space="preserve">membres </w:t>
      </w:r>
      <w:r w:rsidR="009C1A87" w:rsidRPr="00A63D26">
        <w:rPr>
          <w:noProof/>
        </w:rPr>
        <w:t>participa</w:t>
      </w:r>
      <w:r w:rsidR="00885464" w:rsidRPr="00A63D26">
        <w:rPr>
          <w:noProof/>
        </w:rPr>
        <w:t>nts</w:t>
      </w:r>
      <w:r w:rsidR="009C1A87" w:rsidRPr="00A63D26">
        <w:rPr>
          <w:noProof/>
        </w:rPr>
        <w:t xml:space="preserve"> </w:t>
      </w:r>
      <w:r w:rsidR="00885464" w:rsidRPr="00A63D26">
        <w:rPr>
          <w:noProof/>
        </w:rPr>
        <w:t>de</w:t>
      </w:r>
      <w:r w:rsidR="009C1A87" w:rsidRPr="00A63D26">
        <w:rPr>
          <w:noProof/>
        </w:rPr>
        <w:t xml:space="preserve"> </w:t>
      </w:r>
      <w:r w:rsidR="00885464" w:rsidRPr="00A63D26">
        <w:rPr>
          <w:noProof/>
        </w:rPr>
        <w:t>l</w:t>
      </w:r>
      <w:r w:rsidR="00E94EB0" w:rsidRPr="00A63D26">
        <w:rPr>
          <w:noProof/>
        </w:rPr>
        <w:t>’</w:t>
      </w:r>
      <w:r w:rsidR="009C1A87" w:rsidRPr="00A63D26">
        <w:rPr>
          <w:noProof/>
        </w:rPr>
        <w:t>Union</w:t>
      </w:r>
      <w:r w:rsidR="00E61854" w:rsidRPr="00A63D26">
        <w:rPr>
          <w:noProof/>
        </w:rPr>
        <w:t>.</w:t>
      </w:r>
    </w:p>
    <w:p w:rsidR="0031661C" w:rsidRPr="00A63D26" w:rsidRDefault="0031661C" w:rsidP="009C1A87">
      <w:pPr>
        <w:rPr>
          <w:noProof/>
        </w:rPr>
      </w:pPr>
    </w:p>
    <w:p w:rsidR="0031661C" w:rsidRPr="00A63D26" w:rsidRDefault="009B2464" w:rsidP="009C1A87">
      <w:pPr>
        <w:rPr>
          <w:rFonts w:cs="Arial"/>
          <w:noProof/>
        </w:rPr>
      </w:pPr>
      <w:r w:rsidRPr="00A63D26">
        <w:rPr>
          <w:noProof/>
          <w:snapToGrid w:val="0"/>
          <w:vertAlign w:val="superscript"/>
        </w:rPr>
        <w:t>*</w:t>
      </w:r>
      <w:r w:rsidR="00AE08BE" w:rsidRPr="00A63D26">
        <w:rPr>
          <w:rFonts w:cs="Arial"/>
          <w:noProof/>
          <w:spacing w:val="-2"/>
        </w:rPr>
        <w:fldChar w:fldCharType="begin"/>
      </w:r>
      <w:r w:rsidR="009C1A87" w:rsidRPr="00A63D26">
        <w:rPr>
          <w:rFonts w:cs="Arial"/>
          <w:noProof/>
          <w:spacing w:val="-2"/>
        </w:rPr>
        <w:instrText xml:space="preserve"> AUTONUM  </w:instrText>
      </w:r>
      <w:r w:rsidR="00AE08BE" w:rsidRPr="00A63D26">
        <w:rPr>
          <w:rFonts w:cs="Arial"/>
          <w:noProof/>
          <w:spacing w:val="-2"/>
        </w:rPr>
        <w:fldChar w:fldCharType="end"/>
      </w:r>
      <w:r w:rsidR="00070593" w:rsidRPr="00A63D26">
        <w:rPr>
          <w:rFonts w:cs="Arial"/>
          <w:noProof/>
          <w:spacing w:val="-2"/>
        </w:rPr>
        <w:tab/>
      </w:r>
      <w:r w:rsidR="00B25798" w:rsidRPr="00A63D26">
        <w:rPr>
          <w:rFonts w:cs="Arial"/>
          <w:noProof/>
          <w:spacing w:val="-2"/>
        </w:rPr>
        <w:t>Parallèlement</w:t>
      </w:r>
      <w:r w:rsidR="009C1A87" w:rsidRPr="00A63D26">
        <w:rPr>
          <w:rFonts w:cs="Arial"/>
          <w:noProof/>
          <w:spacing w:val="-2"/>
        </w:rPr>
        <w:t xml:space="preserve"> </w:t>
      </w:r>
      <w:r w:rsidR="00B25798" w:rsidRPr="00A63D26">
        <w:rPr>
          <w:rFonts w:cs="Arial"/>
          <w:noProof/>
          <w:spacing w:val="-2"/>
        </w:rPr>
        <w:t>à l</w:t>
      </w:r>
      <w:r w:rsidR="00E94EB0" w:rsidRPr="00A63D26">
        <w:rPr>
          <w:rFonts w:cs="Arial"/>
          <w:noProof/>
          <w:spacing w:val="-2"/>
        </w:rPr>
        <w:t>’</w:t>
      </w:r>
      <w:r w:rsidR="00B25798" w:rsidRPr="00A63D26">
        <w:rPr>
          <w:rFonts w:cs="Arial"/>
          <w:noProof/>
          <w:spacing w:val="-2"/>
        </w:rPr>
        <w:t>élaboration</w:t>
      </w:r>
      <w:r w:rsidR="009C1A87" w:rsidRPr="00A63D26">
        <w:rPr>
          <w:rFonts w:cs="Arial"/>
          <w:noProof/>
          <w:spacing w:val="-2"/>
        </w:rPr>
        <w:t xml:space="preserve"> </w:t>
      </w:r>
      <w:r w:rsidR="00B25798" w:rsidRPr="00A63D26">
        <w:rPr>
          <w:rFonts w:cs="Arial"/>
          <w:noProof/>
          <w:spacing w:val="-2"/>
        </w:rPr>
        <w:t>de la</w:t>
      </w:r>
      <w:r w:rsidR="009C1A87" w:rsidRPr="00A63D26">
        <w:rPr>
          <w:rFonts w:cs="Arial"/>
          <w:noProof/>
          <w:spacing w:val="-2"/>
        </w:rPr>
        <w:t xml:space="preserve"> PV2,</w:t>
      </w:r>
      <w:r w:rsidR="00E94EB0" w:rsidRPr="00A63D26">
        <w:rPr>
          <w:rFonts w:cs="Arial"/>
          <w:noProof/>
          <w:spacing w:val="-2"/>
        </w:rPr>
        <w:t xml:space="preserve"> le CAJ</w:t>
      </w:r>
      <w:r w:rsidR="009C1A87" w:rsidRPr="00A63D26">
        <w:rPr>
          <w:rFonts w:cs="Arial"/>
          <w:noProof/>
          <w:spacing w:val="-2"/>
        </w:rPr>
        <w:t xml:space="preserve"> </w:t>
      </w:r>
      <w:r w:rsidR="00195E9C" w:rsidRPr="00A63D26">
        <w:rPr>
          <w:rFonts w:cs="Arial"/>
          <w:noProof/>
          <w:spacing w:val="-2"/>
        </w:rPr>
        <w:t>convient que les points ci</w:t>
      </w:r>
      <w:r w:rsidR="00805E4D" w:rsidRPr="00A63D26">
        <w:rPr>
          <w:rFonts w:cs="Arial"/>
          <w:noProof/>
          <w:spacing w:val="-2"/>
        </w:rPr>
        <w:noBreakHyphen/>
      </w:r>
      <w:r w:rsidR="00195E9C" w:rsidRPr="00A63D26">
        <w:rPr>
          <w:rFonts w:cs="Arial"/>
          <w:noProof/>
          <w:spacing w:val="-2"/>
        </w:rPr>
        <w:t>après</w:t>
      </w:r>
      <w:r w:rsidR="009C1A87" w:rsidRPr="00A63D26">
        <w:rPr>
          <w:rFonts w:cs="Arial"/>
          <w:noProof/>
          <w:spacing w:val="-2"/>
        </w:rPr>
        <w:t xml:space="preserve"> </w:t>
      </w:r>
      <w:r w:rsidR="00195E9C" w:rsidRPr="00A63D26">
        <w:rPr>
          <w:rFonts w:cs="Arial"/>
          <w:noProof/>
          <w:spacing w:val="-2"/>
        </w:rPr>
        <w:t xml:space="preserve">seront </w:t>
      </w:r>
      <w:r w:rsidR="00A77497" w:rsidRPr="00A63D26">
        <w:rPr>
          <w:rFonts w:cs="Arial"/>
          <w:noProof/>
        </w:rPr>
        <w:t>examinés</w:t>
      </w:r>
      <w:r w:rsidR="009C1A87" w:rsidRPr="00A63D26">
        <w:rPr>
          <w:rFonts w:cs="Arial"/>
          <w:noProof/>
        </w:rPr>
        <w:t xml:space="preserve"> </w:t>
      </w:r>
      <w:r w:rsidR="00A77497" w:rsidRPr="00A63D26">
        <w:rPr>
          <w:rFonts w:cs="Arial"/>
          <w:noProof/>
        </w:rPr>
        <w:t>avant le lancement</w:t>
      </w:r>
      <w:r w:rsidR="009C1A87" w:rsidRPr="00A63D26">
        <w:rPr>
          <w:rFonts w:cs="Arial"/>
          <w:noProof/>
        </w:rPr>
        <w:t xml:space="preserve"> </w:t>
      </w:r>
      <w:r w:rsidR="00E67919" w:rsidRPr="00A63D26">
        <w:rPr>
          <w:rFonts w:cs="Arial"/>
          <w:noProof/>
        </w:rPr>
        <w:t xml:space="preserve">du </w:t>
      </w:r>
      <w:r w:rsidR="00F40BDF" w:rsidRPr="00A63D26">
        <w:rPr>
          <w:noProof/>
        </w:rPr>
        <w:t xml:space="preserve">formulaire de </w:t>
      </w:r>
      <w:r w:rsidR="00E67919" w:rsidRPr="00A63D26">
        <w:rPr>
          <w:noProof/>
        </w:rPr>
        <w:t>dépôt</w:t>
      </w:r>
      <w:r w:rsidR="00F40BDF" w:rsidRPr="00A63D26">
        <w:rPr>
          <w:noProof/>
        </w:rPr>
        <w:t xml:space="preserve"> électronique</w:t>
      </w:r>
      <w:r w:rsidR="00E67919" w:rsidRPr="00A63D26">
        <w:rPr>
          <w:noProof/>
        </w:rPr>
        <w:t xml:space="preserve"> des demandes</w:t>
      </w:r>
      <w:r w:rsidR="0002311B" w:rsidRPr="00A63D26">
        <w:rPr>
          <w:rFonts w:cs="Arial"/>
          <w:noProof/>
        </w:rPr>
        <w:t> </w:t>
      </w:r>
      <w:r w:rsidR="009C1A87" w:rsidRPr="00A63D26">
        <w:rPr>
          <w:rFonts w:cs="Arial"/>
          <w:noProof/>
        </w:rPr>
        <w:t>:</w:t>
      </w:r>
    </w:p>
    <w:p w:rsidR="0031661C" w:rsidRPr="00A63D26" w:rsidRDefault="002D4597" w:rsidP="00833794">
      <w:pPr>
        <w:pStyle w:val="ListParagraph"/>
        <w:numPr>
          <w:ilvl w:val="0"/>
          <w:numId w:val="5"/>
        </w:numPr>
        <w:spacing w:before="120" w:after="120"/>
        <w:ind w:left="1134" w:hanging="567"/>
        <w:contextualSpacing w:val="0"/>
        <w:rPr>
          <w:rFonts w:cs="Arial"/>
          <w:noProof/>
        </w:rPr>
      </w:pPr>
      <w:r w:rsidRPr="00A63D26">
        <w:rPr>
          <w:rFonts w:cs="Arial"/>
          <w:noProof/>
        </w:rPr>
        <w:t>d</w:t>
      </w:r>
      <w:r w:rsidR="007E6673" w:rsidRPr="00A63D26">
        <w:rPr>
          <w:rFonts w:cs="Arial"/>
          <w:noProof/>
        </w:rPr>
        <w:t xml:space="preserve">es </w:t>
      </w:r>
      <w:r w:rsidRPr="00A63D26">
        <w:rPr>
          <w:rFonts w:cs="Arial"/>
          <w:noProof/>
        </w:rPr>
        <w:t>services</w:t>
      </w:r>
      <w:r w:rsidR="009C1A87" w:rsidRPr="00A63D26">
        <w:rPr>
          <w:rFonts w:cs="Arial"/>
          <w:noProof/>
        </w:rPr>
        <w:t xml:space="preserve"> </w:t>
      </w:r>
      <w:r w:rsidRPr="00A63D26">
        <w:rPr>
          <w:rFonts w:cs="Arial"/>
          <w:noProof/>
        </w:rPr>
        <w:t>tel</w:t>
      </w:r>
      <w:r w:rsidR="007E6673" w:rsidRPr="00A63D26">
        <w:rPr>
          <w:rFonts w:cs="Arial"/>
          <w:noProof/>
        </w:rPr>
        <w:t>s que</w:t>
      </w:r>
      <w:r w:rsidR="00B25798" w:rsidRPr="00A63D26">
        <w:rPr>
          <w:rFonts w:cs="Arial"/>
          <w:noProof/>
        </w:rPr>
        <w:t> </w:t>
      </w:r>
      <w:r w:rsidR="009C1A87" w:rsidRPr="00A63D26">
        <w:rPr>
          <w:rFonts w:cs="Arial"/>
          <w:noProof/>
        </w:rPr>
        <w:t>:</w:t>
      </w:r>
    </w:p>
    <w:p w:rsidR="0031661C" w:rsidRPr="00A63D26" w:rsidRDefault="007E6673" w:rsidP="007A1A00">
      <w:pPr>
        <w:pStyle w:val="ListParagraph"/>
        <w:keepNext/>
        <w:numPr>
          <w:ilvl w:val="0"/>
          <w:numId w:val="16"/>
        </w:numPr>
        <w:spacing w:before="120" w:after="120"/>
        <w:ind w:left="1701" w:hanging="567"/>
        <w:contextualSpacing w:val="0"/>
        <w:rPr>
          <w:rFonts w:cs="Arial"/>
          <w:noProof/>
        </w:rPr>
      </w:pPr>
      <w:r w:rsidRPr="00A63D26">
        <w:rPr>
          <w:rFonts w:cs="Arial"/>
          <w:noProof/>
        </w:rPr>
        <w:t>l</w:t>
      </w:r>
      <w:r w:rsidR="00E94EB0" w:rsidRPr="00A63D26">
        <w:rPr>
          <w:rFonts w:cs="Arial"/>
          <w:noProof/>
        </w:rPr>
        <w:t>’</w:t>
      </w:r>
      <w:r w:rsidR="0031661C" w:rsidRPr="00A63D26">
        <w:rPr>
          <w:rFonts w:cs="Arial"/>
          <w:noProof/>
        </w:rPr>
        <w:t>aide aux utilisateurs;</w:t>
      </w:r>
    </w:p>
    <w:p w:rsidR="00E94EB0" w:rsidRPr="00A63D26" w:rsidRDefault="007E6673" w:rsidP="007A1A00">
      <w:pPr>
        <w:pStyle w:val="ListParagraph"/>
        <w:keepNext/>
        <w:numPr>
          <w:ilvl w:val="0"/>
          <w:numId w:val="16"/>
        </w:numPr>
        <w:spacing w:before="120" w:after="120"/>
        <w:ind w:left="1701" w:hanging="567"/>
        <w:contextualSpacing w:val="0"/>
        <w:rPr>
          <w:rFonts w:cs="Arial"/>
          <w:noProof/>
        </w:rPr>
      </w:pPr>
      <w:r w:rsidRPr="00A63D26">
        <w:rPr>
          <w:rFonts w:cs="Arial"/>
          <w:noProof/>
        </w:rPr>
        <w:t xml:space="preserve">les </w:t>
      </w:r>
      <w:r w:rsidR="0031661C" w:rsidRPr="00A63D26">
        <w:rPr>
          <w:rFonts w:cs="Arial"/>
          <w:noProof/>
        </w:rPr>
        <w:t>dispositions en matière d</w:t>
      </w:r>
      <w:r w:rsidR="00E94EB0" w:rsidRPr="00A63D26">
        <w:rPr>
          <w:rFonts w:cs="Arial"/>
          <w:noProof/>
        </w:rPr>
        <w:t>’</w:t>
      </w:r>
      <w:r w:rsidR="0031661C" w:rsidRPr="00A63D26">
        <w:rPr>
          <w:rFonts w:cs="Arial"/>
          <w:noProof/>
        </w:rPr>
        <w:t>entretien courant;</w:t>
      </w:r>
    </w:p>
    <w:p w:rsidR="0031661C" w:rsidRPr="00A63D26" w:rsidRDefault="00EF515D" w:rsidP="00833794">
      <w:pPr>
        <w:pStyle w:val="ListParagraph"/>
        <w:numPr>
          <w:ilvl w:val="0"/>
          <w:numId w:val="5"/>
        </w:numPr>
        <w:spacing w:before="120" w:after="120"/>
        <w:ind w:left="1134" w:hanging="567"/>
        <w:contextualSpacing w:val="0"/>
        <w:rPr>
          <w:rFonts w:cs="Arial"/>
          <w:noProof/>
        </w:rPr>
      </w:pPr>
      <w:r w:rsidRPr="00A63D26">
        <w:rPr>
          <w:rFonts w:cs="Arial"/>
          <w:noProof/>
        </w:rPr>
        <w:t>l</w:t>
      </w:r>
      <w:r w:rsidR="00E94EB0" w:rsidRPr="00A63D26">
        <w:rPr>
          <w:rFonts w:cs="Arial"/>
          <w:noProof/>
        </w:rPr>
        <w:t>’</w:t>
      </w:r>
      <w:r w:rsidR="00CF3253" w:rsidRPr="00A63D26">
        <w:rPr>
          <w:rFonts w:cs="Arial"/>
          <w:noProof/>
        </w:rPr>
        <w:t xml:space="preserve">intégration avec les systèmes </w:t>
      </w:r>
      <w:r w:rsidR="00CF3253" w:rsidRPr="00A63D26">
        <w:rPr>
          <w:noProof/>
        </w:rPr>
        <w:t xml:space="preserve">des services </w:t>
      </w:r>
      <w:r w:rsidR="00CF3253" w:rsidRPr="00A63D26">
        <w:rPr>
          <w:rFonts w:cs="Arial"/>
          <w:noProof/>
        </w:rPr>
        <w:t>de protection des obtentions végétales</w:t>
      </w:r>
      <w:r w:rsidR="009C1A87" w:rsidRPr="00A63D26">
        <w:rPr>
          <w:rFonts w:cs="Arial"/>
          <w:noProof/>
        </w:rPr>
        <w:t>;</w:t>
      </w:r>
    </w:p>
    <w:p w:rsidR="0031661C" w:rsidRPr="00A63D26" w:rsidRDefault="00EF515D" w:rsidP="00833794">
      <w:pPr>
        <w:pStyle w:val="ListParagraph"/>
        <w:numPr>
          <w:ilvl w:val="0"/>
          <w:numId w:val="5"/>
        </w:numPr>
        <w:spacing w:before="120"/>
        <w:ind w:left="1134" w:hanging="567"/>
        <w:contextualSpacing w:val="0"/>
        <w:rPr>
          <w:rFonts w:cs="Arial"/>
          <w:noProof/>
        </w:rPr>
      </w:pPr>
      <w:r w:rsidRPr="00A63D26">
        <w:rPr>
          <w:rFonts w:cs="Arial"/>
          <w:noProof/>
        </w:rPr>
        <w:t>la formation</w:t>
      </w:r>
      <w:r w:rsidR="009C1A87" w:rsidRPr="00A63D26">
        <w:rPr>
          <w:rFonts w:cs="Arial"/>
          <w:noProof/>
        </w:rPr>
        <w:t xml:space="preserve"> </w:t>
      </w:r>
      <w:r w:rsidRPr="00A63D26">
        <w:rPr>
          <w:rFonts w:cs="Arial"/>
          <w:noProof/>
        </w:rPr>
        <w:t>des</w:t>
      </w:r>
      <w:r w:rsidR="009C1A87" w:rsidRPr="00A63D26">
        <w:rPr>
          <w:rFonts w:cs="Arial"/>
          <w:noProof/>
        </w:rPr>
        <w:t xml:space="preserve"> </w:t>
      </w:r>
      <w:r w:rsidR="006C0B35" w:rsidRPr="00A63D26">
        <w:rPr>
          <w:noProof/>
        </w:rPr>
        <w:t xml:space="preserve">services </w:t>
      </w:r>
      <w:r w:rsidR="006C0B35" w:rsidRPr="00A63D26">
        <w:rPr>
          <w:rFonts w:cs="Arial"/>
          <w:noProof/>
        </w:rPr>
        <w:t>de protection des obtentions végétales et des déposants</w:t>
      </w:r>
      <w:r w:rsidR="009C1A87" w:rsidRPr="00A63D26">
        <w:rPr>
          <w:rFonts w:cs="Arial"/>
          <w:noProof/>
        </w:rPr>
        <w:t xml:space="preserve">;  </w:t>
      </w:r>
      <w:r w:rsidR="0002311B" w:rsidRPr="00A63D26">
        <w:rPr>
          <w:rFonts w:cs="Arial"/>
          <w:noProof/>
        </w:rPr>
        <w:t>et</w:t>
      </w:r>
    </w:p>
    <w:p w:rsidR="0031661C" w:rsidRPr="00A63D26" w:rsidRDefault="00145DC7" w:rsidP="00833794">
      <w:pPr>
        <w:pStyle w:val="ListParagraph"/>
        <w:numPr>
          <w:ilvl w:val="0"/>
          <w:numId w:val="5"/>
        </w:numPr>
        <w:spacing w:before="120" w:after="120"/>
        <w:ind w:left="1134" w:hanging="567"/>
        <w:contextualSpacing w:val="0"/>
        <w:rPr>
          <w:rFonts w:cs="Arial"/>
          <w:noProof/>
        </w:rPr>
      </w:pPr>
      <w:r w:rsidRPr="00A63D26">
        <w:rPr>
          <w:rFonts w:cs="Arial"/>
          <w:noProof/>
        </w:rPr>
        <w:t>la</w:t>
      </w:r>
      <w:r w:rsidRPr="00A63D26">
        <w:t xml:space="preserve"> </w:t>
      </w:r>
      <w:r w:rsidRPr="00A63D26">
        <w:rPr>
          <w:rFonts w:cs="Arial"/>
          <w:noProof/>
        </w:rPr>
        <w:t>publicité</w:t>
      </w:r>
      <w:r w:rsidR="009C1A87" w:rsidRPr="00A63D26">
        <w:rPr>
          <w:rFonts w:cs="Arial"/>
          <w:noProof/>
        </w:rPr>
        <w:t xml:space="preserve"> </w:t>
      </w:r>
      <w:r w:rsidRPr="00A63D26">
        <w:rPr>
          <w:rFonts w:cs="Arial"/>
          <w:noProof/>
        </w:rPr>
        <w:t>relative à la disponibilité</w:t>
      </w:r>
      <w:r w:rsidR="009C1A87" w:rsidRPr="00A63D26">
        <w:rPr>
          <w:rFonts w:cs="Arial"/>
          <w:noProof/>
        </w:rPr>
        <w:t xml:space="preserve"> </w:t>
      </w:r>
      <w:r w:rsidR="00644409" w:rsidRPr="00A63D26">
        <w:rPr>
          <w:rFonts w:cs="Arial"/>
          <w:noProof/>
        </w:rPr>
        <w:t>du</w:t>
      </w:r>
      <w:r w:rsidR="009C1A87" w:rsidRPr="00A63D26">
        <w:rPr>
          <w:rFonts w:cs="Arial"/>
          <w:noProof/>
        </w:rPr>
        <w:t xml:space="preserve"> </w:t>
      </w:r>
      <w:r w:rsidR="00644409" w:rsidRPr="00A63D26">
        <w:rPr>
          <w:rFonts w:cs="Arial"/>
          <w:noProof/>
        </w:rPr>
        <w:t xml:space="preserve">système pour les </w:t>
      </w:r>
      <w:r w:rsidR="00E426BB" w:rsidRPr="00A63D26">
        <w:rPr>
          <w:rFonts w:cs="Arial"/>
          <w:noProof/>
        </w:rPr>
        <w:t>obtenteurs</w:t>
      </w:r>
      <w:r w:rsidR="009C1A87" w:rsidRPr="00A63D26">
        <w:rPr>
          <w:rFonts w:cs="Arial"/>
          <w:noProof/>
        </w:rPr>
        <w:t>.</w:t>
      </w:r>
    </w:p>
    <w:p w:rsidR="0031661C" w:rsidRPr="00A63D26" w:rsidRDefault="0031661C" w:rsidP="00FE50D5">
      <w:pPr>
        <w:rPr>
          <w:noProof/>
        </w:rPr>
      </w:pPr>
    </w:p>
    <w:p w:rsidR="009B2464" w:rsidRPr="00A63D26" w:rsidRDefault="009B2464" w:rsidP="009B2464">
      <w:r w:rsidRPr="00A63D26">
        <w:fldChar w:fldCharType="begin"/>
      </w:r>
      <w:r w:rsidRPr="00A63D26">
        <w:instrText xml:space="preserve"> AUTONUM  </w:instrText>
      </w:r>
      <w:r w:rsidRPr="00A63D26">
        <w:fldChar w:fldCharType="end"/>
      </w:r>
      <w:r w:rsidRPr="00A63D26">
        <w:tab/>
        <w:t>Le représentant de l’Organisation régionale africaine de la propriété intellectuelle (ARIPO) a relevé dans l’exposé que la plupart des services de protection des obtentions végétales participant à la phase d’essai sont des membres de longue date de l’Union.  Il propose de recenser des services qui viennent de déposer une demande de protection d’une obtention végétale afin d’examiner la pertinence du système à tous les niveaux.  Cette approche aidera à recenser certains des problèmes susceptibles d’être posés par le système aux services de protection des obtentions végétales les moins expérimentés.  Le représentant de l’ARIPO indique que la contribution des obtenteurs des institutions publiques doit également être prise en considération.  Il explique que ces obtenteurs sont également confrontés à des défis et sont aussi en mesure d’essayer le système.  Le représentant s’interroge sur les conséquences d’un tel système de dépôt électronique sur les taxes pour les obtenteurs et les déposants.</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Le secrétaire général adjoint explique que les membres de l’UPOV sont invités à participer au projet à tout instant.  S’agissant des obtenteurs, il fait savoir que diverses organisations d’obtenteurs participent au projet.  En ce qui concerne les taxes, le secrétaire général adjoint explique que le bureau de l’UPOV ne déterminera pas les taxes applicables aux services de protection des obtentions végétales mais que des frais modérés seront perçus pour l’utilisation du système.</w:t>
      </w:r>
    </w:p>
    <w:p w:rsidR="009B2464" w:rsidRPr="00A63D26" w:rsidRDefault="009B2464" w:rsidP="00FE50D5">
      <w:pPr>
        <w:rPr>
          <w:noProof/>
        </w:rPr>
      </w:pPr>
    </w:p>
    <w:p w:rsidR="009B2464" w:rsidRPr="00A63D26" w:rsidRDefault="00AE08BE" w:rsidP="009B2464">
      <w:r w:rsidRPr="00A63D26">
        <w:rPr>
          <w:noProof/>
        </w:rPr>
        <w:fldChar w:fldCharType="begin"/>
      </w:r>
      <w:r w:rsidR="00FE50D5" w:rsidRPr="00A63D26">
        <w:rPr>
          <w:noProof/>
        </w:rPr>
        <w:instrText xml:space="preserve"> AUTONUM  </w:instrText>
      </w:r>
      <w:r w:rsidRPr="00A63D26">
        <w:rPr>
          <w:noProof/>
        </w:rPr>
        <w:fldChar w:fldCharType="end"/>
      </w:r>
      <w:r w:rsidR="00FE50D5" w:rsidRPr="00A63D26">
        <w:rPr>
          <w:noProof/>
        </w:rPr>
        <w:tab/>
      </w:r>
      <w:r w:rsidR="00F203F3" w:rsidRPr="00A63D26">
        <w:rPr>
          <w:noProof/>
        </w:rPr>
        <w:t>La délé</w:t>
      </w:r>
      <w:r w:rsidR="00FE50D5" w:rsidRPr="00A63D26">
        <w:rPr>
          <w:noProof/>
        </w:rPr>
        <w:t xml:space="preserve">gation </w:t>
      </w:r>
      <w:r w:rsidR="0026046E" w:rsidRPr="00A63D26">
        <w:rPr>
          <w:noProof/>
        </w:rPr>
        <w:t>de</w:t>
      </w:r>
      <w:r w:rsidR="00FE50D5" w:rsidRPr="00A63D26">
        <w:rPr>
          <w:noProof/>
        </w:rPr>
        <w:t xml:space="preserve"> </w:t>
      </w:r>
      <w:r w:rsidR="000F4C97" w:rsidRPr="00A63D26">
        <w:rPr>
          <w:rFonts w:cs="Arial"/>
          <w:noProof/>
        </w:rPr>
        <w:t>l</w:t>
      </w:r>
      <w:r w:rsidR="00E94EB0" w:rsidRPr="00A63D26">
        <w:rPr>
          <w:rFonts w:cs="Arial"/>
          <w:noProof/>
        </w:rPr>
        <w:t>’</w:t>
      </w:r>
      <w:r w:rsidR="000F4C97" w:rsidRPr="00A63D26">
        <w:rPr>
          <w:rFonts w:cs="Arial"/>
          <w:noProof/>
        </w:rPr>
        <w:t xml:space="preserve">Organisation africaine de la propriété intellectuelle </w:t>
      </w:r>
      <w:r w:rsidR="00A95122" w:rsidRPr="00A63D26">
        <w:rPr>
          <w:rFonts w:cs="Arial"/>
          <w:noProof/>
        </w:rPr>
        <w:t xml:space="preserve">(OAPI) </w:t>
      </w:r>
      <w:r w:rsidR="000F4C97" w:rsidRPr="00A63D26">
        <w:rPr>
          <w:rFonts w:cs="Arial"/>
          <w:noProof/>
        </w:rPr>
        <w:t>fait part de son appui au projet et de son souhait de</w:t>
      </w:r>
      <w:r w:rsidR="00FE50D5" w:rsidRPr="00A63D26">
        <w:rPr>
          <w:rFonts w:cs="Arial"/>
          <w:noProof/>
        </w:rPr>
        <w:t xml:space="preserve"> </w:t>
      </w:r>
      <w:r w:rsidR="000F4C97" w:rsidRPr="00A63D26">
        <w:rPr>
          <w:rFonts w:cs="Arial"/>
          <w:noProof/>
        </w:rPr>
        <w:t>participer à l</w:t>
      </w:r>
      <w:r w:rsidR="00E94EB0" w:rsidRPr="00A63D26">
        <w:rPr>
          <w:rFonts w:cs="Arial"/>
          <w:noProof/>
        </w:rPr>
        <w:t>’</w:t>
      </w:r>
      <w:r w:rsidR="000F4C97" w:rsidRPr="00A63D26">
        <w:rPr>
          <w:rFonts w:cs="Arial"/>
          <w:noProof/>
        </w:rPr>
        <w:t>élaboration de</w:t>
      </w:r>
      <w:r w:rsidR="00A95122" w:rsidRPr="00A63D26">
        <w:rPr>
          <w:rFonts w:cs="Arial"/>
          <w:noProof/>
        </w:rPr>
        <w:t xml:space="preserve"> </w:t>
      </w:r>
      <w:r w:rsidR="000F4C97" w:rsidRPr="00A63D26">
        <w:rPr>
          <w:rFonts w:cs="Arial"/>
          <w:noProof/>
        </w:rPr>
        <w:t>la</w:t>
      </w:r>
      <w:r w:rsidR="00A95122" w:rsidRPr="00A63D26">
        <w:rPr>
          <w:rFonts w:cs="Arial"/>
          <w:noProof/>
        </w:rPr>
        <w:t xml:space="preserve"> PV2</w:t>
      </w:r>
      <w:r w:rsidR="00FE50D5" w:rsidRPr="00A63D26">
        <w:rPr>
          <w:rFonts w:cs="Arial"/>
          <w:noProof/>
        </w:rPr>
        <w:t>.</w:t>
      </w:r>
      <w:r w:rsidR="009B2464" w:rsidRPr="00A63D26">
        <w:rPr>
          <w:rFonts w:cs="Arial"/>
          <w:noProof/>
        </w:rPr>
        <w:t xml:space="preserve">  </w:t>
      </w:r>
      <w:r w:rsidR="009B2464" w:rsidRPr="00A63D26">
        <w:t>La délégation indique que la deuxième phase d’essai permettra à de nouvelles organisations d’obtenteurs publiques et privées et autorités nationales de se joindre au projet et que de nouvelles fonctions et langues seront ajoutées.  La délégation se dit intéressée à prendre une part active à la deuxième phase afin de transmettre les besoins particuliers de l’OAPI.</w:t>
      </w:r>
    </w:p>
    <w:p w:rsidR="009B2464" w:rsidRPr="00A63D26" w:rsidRDefault="009B2464" w:rsidP="009B2464"/>
    <w:p w:rsidR="009B2464" w:rsidRPr="00A63D26" w:rsidRDefault="009B2464" w:rsidP="009B2464">
      <w:r w:rsidRPr="00A63D26">
        <w:fldChar w:fldCharType="begin"/>
      </w:r>
      <w:r w:rsidRPr="00A63D26">
        <w:instrText xml:space="preserve"> AUTONUM  </w:instrText>
      </w:r>
      <w:r w:rsidRPr="00A63D26">
        <w:fldChar w:fldCharType="end"/>
      </w:r>
      <w:r w:rsidRPr="00A63D26">
        <w:tab/>
        <w:t>La délégation de l’Argentine demande s’il sera possible de déposer une version papier du formulaire de dépôt électronique des demandes au cas où le service de protection des obtentions végétales l’exigerait.  Le Bureau de l’Union a précisé que le projet de formulaire de demande électronique prévoyait cette option.</w:t>
      </w:r>
    </w:p>
    <w:p w:rsidR="0031661C" w:rsidRPr="00A63D26" w:rsidRDefault="0031661C" w:rsidP="009C1A87">
      <w:pPr>
        <w:rPr>
          <w:noProof/>
        </w:rPr>
      </w:pPr>
    </w:p>
    <w:p w:rsidR="0031661C" w:rsidRPr="00A63D26" w:rsidRDefault="009B2464" w:rsidP="009C1A87">
      <w:pPr>
        <w:rPr>
          <w:noProof/>
        </w:rPr>
      </w:pPr>
      <w:r w:rsidRPr="00A63D26">
        <w:rPr>
          <w:noProof/>
          <w:vertAlign w:val="superscript"/>
        </w:rPr>
        <w:t>*</w:t>
      </w:r>
      <w:r w:rsidR="00AE08BE" w:rsidRPr="00A63D26">
        <w:rPr>
          <w:noProof/>
        </w:rPr>
        <w:fldChar w:fldCharType="begin"/>
      </w:r>
      <w:r w:rsidR="009C1A87" w:rsidRPr="00A63D26">
        <w:rPr>
          <w:noProof/>
        </w:rPr>
        <w:instrText xml:space="preserve"> AUTONUM  </w:instrText>
      </w:r>
      <w:r w:rsidR="00AE08BE" w:rsidRPr="00A63D26">
        <w:rPr>
          <w:noProof/>
        </w:rPr>
        <w:fldChar w:fldCharType="end"/>
      </w:r>
      <w:r w:rsidR="009C1A87" w:rsidRPr="00A63D26">
        <w:rPr>
          <w:noProof/>
        </w:rPr>
        <w:tab/>
      </w:r>
      <w:r w:rsidR="00F203F3" w:rsidRPr="00A63D26">
        <w:rPr>
          <w:noProof/>
        </w:rPr>
        <w:t>Le</w:t>
      </w:r>
      <w:r w:rsidR="009C1A87" w:rsidRPr="00A63D26">
        <w:rPr>
          <w:noProof/>
        </w:rPr>
        <w:t xml:space="preserve"> CAJ </w:t>
      </w:r>
      <w:r w:rsidR="00DA40D0" w:rsidRPr="00A63D26">
        <w:rPr>
          <w:noProof/>
        </w:rPr>
        <w:t>souligne que</w:t>
      </w:r>
      <w:r w:rsidR="009C1A87" w:rsidRPr="00A63D26">
        <w:rPr>
          <w:noProof/>
        </w:rPr>
        <w:t xml:space="preserve"> </w:t>
      </w:r>
      <w:r w:rsidR="00541CFB" w:rsidRPr="00A63D26">
        <w:rPr>
          <w:noProof/>
        </w:rPr>
        <w:t xml:space="preserve">le </w:t>
      </w:r>
      <w:r w:rsidR="00F44959" w:rsidRPr="00A63D26">
        <w:rPr>
          <w:noProof/>
        </w:rPr>
        <w:t>Conseil</w:t>
      </w:r>
      <w:r w:rsidR="009C1A87" w:rsidRPr="00A63D26">
        <w:rPr>
          <w:noProof/>
        </w:rPr>
        <w:t xml:space="preserve"> </w:t>
      </w:r>
      <w:r w:rsidR="00DA40D0" w:rsidRPr="00A63D26">
        <w:rPr>
          <w:noProof/>
        </w:rPr>
        <w:t xml:space="preserve">devra </w:t>
      </w:r>
      <w:r w:rsidR="009C1A87" w:rsidRPr="00A63D26">
        <w:rPr>
          <w:noProof/>
        </w:rPr>
        <w:t>appro</w:t>
      </w:r>
      <w:r w:rsidR="00DA40D0" w:rsidRPr="00A63D26">
        <w:rPr>
          <w:noProof/>
        </w:rPr>
        <w:t>uver le lancement</w:t>
      </w:r>
      <w:r w:rsidR="009C1A87" w:rsidRPr="00A63D26">
        <w:rPr>
          <w:noProof/>
        </w:rPr>
        <w:t xml:space="preserve"> </w:t>
      </w:r>
      <w:r w:rsidR="00DA40D0" w:rsidRPr="00A63D26">
        <w:rPr>
          <w:noProof/>
        </w:rPr>
        <w:t>du système</w:t>
      </w:r>
      <w:r w:rsidR="009C1A87" w:rsidRPr="00A63D26">
        <w:rPr>
          <w:noProof/>
        </w:rPr>
        <w:t xml:space="preserve"> </w:t>
      </w:r>
      <w:r w:rsidR="00DA40D0" w:rsidRPr="00A63D26">
        <w:rPr>
          <w:noProof/>
        </w:rPr>
        <w:t>de formulaire de dépôt électronique des demandes</w:t>
      </w:r>
      <w:r w:rsidR="00DA40D0" w:rsidRPr="00A63D26">
        <w:rPr>
          <w:rFonts w:cs="Arial"/>
          <w:noProof/>
        </w:rPr>
        <w:t xml:space="preserve"> </w:t>
      </w:r>
      <w:r w:rsidR="00DA40D0" w:rsidRPr="00A63D26">
        <w:rPr>
          <w:noProof/>
        </w:rPr>
        <w:t>ainsi que les frais</w:t>
      </w:r>
      <w:r w:rsidR="009C1A87" w:rsidRPr="00A63D26">
        <w:rPr>
          <w:noProof/>
        </w:rPr>
        <w:t xml:space="preserve"> </w:t>
      </w:r>
      <w:r w:rsidR="00DA40D0" w:rsidRPr="00A63D26">
        <w:rPr>
          <w:noProof/>
        </w:rPr>
        <w:t xml:space="preserve">que </w:t>
      </w:r>
      <w:r w:rsidR="0052067C" w:rsidRPr="00A63D26">
        <w:rPr>
          <w:noProof/>
        </w:rPr>
        <w:t>devront</w:t>
      </w:r>
      <w:r w:rsidR="00DA40D0" w:rsidRPr="00A63D26">
        <w:rPr>
          <w:noProof/>
        </w:rPr>
        <w:t xml:space="preserve"> payer les</w:t>
      </w:r>
      <w:r w:rsidR="009C1A87" w:rsidRPr="00A63D26">
        <w:rPr>
          <w:noProof/>
        </w:rPr>
        <w:t xml:space="preserve"> </w:t>
      </w:r>
      <w:r w:rsidR="00DA40D0" w:rsidRPr="00A63D26">
        <w:rPr>
          <w:noProof/>
        </w:rPr>
        <w:t>déposants</w:t>
      </w:r>
      <w:r w:rsidR="009C1A87" w:rsidRPr="00A63D26">
        <w:rPr>
          <w:noProof/>
        </w:rPr>
        <w:t>.</w:t>
      </w:r>
    </w:p>
    <w:p w:rsidR="0031661C" w:rsidRPr="00A63D26" w:rsidRDefault="0031661C" w:rsidP="009C1A87">
      <w:pPr>
        <w:rPr>
          <w:noProof/>
        </w:rPr>
      </w:pPr>
    </w:p>
    <w:p w:rsidR="0031661C" w:rsidRPr="00A63D26" w:rsidRDefault="0031661C" w:rsidP="0031661C">
      <w:pPr>
        <w:keepNext/>
        <w:rPr>
          <w:i/>
          <w:noProof/>
        </w:rPr>
      </w:pPr>
      <w:r w:rsidRPr="00A63D26">
        <w:rPr>
          <w:i/>
          <w:noProof/>
        </w:rPr>
        <w:t>b)</w:t>
      </w:r>
      <w:r w:rsidRPr="00A63D26">
        <w:rPr>
          <w:noProof/>
        </w:rPr>
        <w:tab/>
      </w:r>
      <w:r w:rsidRPr="00A63D26">
        <w:rPr>
          <w:i/>
          <w:noProof/>
        </w:rPr>
        <w:t>Bases de données d</w:t>
      </w:r>
      <w:r w:rsidR="00E94EB0" w:rsidRPr="00A63D26">
        <w:rPr>
          <w:i/>
          <w:noProof/>
        </w:rPr>
        <w:t>’</w:t>
      </w:r>
      <w:r w:rsidRPr="00A63D26">
        <w:rPr>
          <w:i/>
          <w:noProof/>
        </w:rPr>
        <w:t>information de l</w:t>
      </w:r>
      <w:r w:rsidR="00E94EB0" w:rsidRPr="00A63D26">
        <w:rPr>
          <w:i/>
          <w:noProof/>
        </w:rPr>
        <w:t>’</w:t>
      </w:r>
      <w:r w:rsidRPr="00A63D26">
        <w:rPr>
          <w:i/>
          <w:noProof/>
        </w:rPr>
        <w:t>UPOV</w:t>
      </w:r>
    </w:p>
    <w:p w:rsidR="0031661C" w:rsidRPr="00A63D26" w:rsidRDefault="0031661C" w:rsidP="0060196B">
      <w:pPr>
        <w:keepNext/>
        <w:rPr>
          <w:noProof/>
        </w:rPr>
      </w:pPr>
    </w:p>
    <w:p w:rsidR="0031661C" w:rsidRPr="00A63D26" w:rsidRDefault="009B2464" w:rsidP="0031661C">
      <w:pPr>
        <w:keepNext/>
        <w:rPr>
          <w:noProof/>
        </w:rPr>
      </w:pPr>
      <w:r w:rsidRPr="00A63D26">
        <w:rPr>
          <w:noProof/>
          <w:vertAlign w:val="superscript"/>
        </w:rPr>
        <w:t>*</w:t>
      </w:r>
      <w:r w:rsidR="00AE08BE" w:rsidRPr="00A63D26">
        <w:rPr>
          <w:noProof/>
        </w:rPr>
        <w:fldChar w:fldCharType="begin"/>
      </w:r>
      <w:r w:rsidR="00AB12CF" w:rsidRPr="00A63D26">
        <w:rPr>
          <w:noProof/>
        </w:rPr>
        <w:instrText xml:space="preserve"> AUTONUM  </w:instrText>
      </w:r>
      <w:r w:rsidR="00AE08BE" w:rsidRPr="00A63D26">
        <w:rPr>
          <w:noProof/>
        </w:rPr>
        <w:fldChar w:fldCharType="end"/>
      </w:r>
      <w:r w:rsidR="00AB12CF" w:rsidRPr="00A63D26">
        <w:rPr>
          <w:noProof/>
        </w:rPr>
        <w:tab/>
      </w:r>
      <w:r w:rsidR="0031661C" w:rsidRPr="00A63D26">
        <w:rPr>
          <w:noProof/>
        </w:rPr>
        <w:t>Le CAJ examine le document CAJ/72/6.</w:t>
      </w:r>
    </w:p>
    <w:p w:rsidR="0031661C" w:rsidRPr="00A63D26" w:rsidRDefault="0031661C" w:rsidP="008D3449">
      <w:pPr>
        <w:rPr>
          <w:noProof/>
          <w:lang w:eastAsia="ja-JP"/>
        </w:rPr>
      </w:pPr>
    </w:p>
    <w:p w:rsidR="0031661C" w:rsidRPr="00A63D26" w:rsidRDefault="009B2464" w:rsidP="00AB12CF">
      <w:pPr>
        <w:rPr>
          <w:noProof/>
          <w:snapToGrid w:val="0"/>
          <w:lang w:eastAsia="ja-JP"/>
        </w:rPr>
      </w:pPr>
      <w:r w:rsidRPr="00A63D26">
        <w:rPr>
          <w:noProof/>
          <w:vertAlign w:val="superscript"/>
        </w:rPr>
        <w:t>*</w:t>
      </w:r>
      <w:r w:rsidR="00AE08BE" w:rsidRPr="00A63D26">
        <w:rPr>
          <w:noProof/>
        </w:rPr>
        <w:fldChar w:fldCharType="begin"/>
      </w:r>
      <w:r w:rsidR="00AB12CF" w:rsidRPr="00A63D26">
        <w:rPr>
          <w:noProof/>
        </w:rPr>
        <w:instrText xml:space="preserve"> AUTONUM  </w:instrText>
      </w:r>
      <w:r w:rsidR="00AE08BE" w:rsidRPr="00A63D26">
        <w:rPr>
          <w:noProof/>
        </w:rPr>
        <w:fldChar w:fldCharType="end"/>
      </w:r>
      <w:r w:rsidR="00AB12CF" w:rsidRPr="00A63D26">
        <w:rPr>
          <w:noProof/>
        </w:rPr>
        <w:tab/>
      </w:r>
      <w:r w:rsidR="00F203F3" w:rsidRPr="00A63D26">
        <w:rPr>
          <w:noProof/>
        </w:rPr>
        <w:t>Le</w:t>
      </w:r>
      <w:r w:rsidR="00AB12CF" w:rsidRPr="00A63D26">
        <w:rPr>
          <w:noProof/>
          <w:lang w:eastAsia="ja-JP"/>
        </w:rPr>
        <w:t xml:space="preserve"> CAJ</w:t>
      </w:r>
      <w:r w:rsidR="00AB12CF" w:rsidRPr="00A63D26">
        <w:rPr>
          <w:noProof/>
        </w:rPr>
        <w:t xml:space="preserve"> </w:t>
      </w:r>
      <w:r w:rsidR="00CC458B" w:rsidRPr="00A63D26">
        <w:rPr>
          <w:noProof/>
          <w:lang w:eastAsia="ja-JP"/>
        </w:rPr>
        <w:t>prend</w:t>
      </w:r>
      <w:r w:rsidR="00CC458B" w:rsidRPr="00A63D26">
        <w:t xml:space="preserve"> </w:t>
      </w:r>
      <w:r w:rsidR="00CC458B" w:rsidRPr="00A63D26">
        <w:rPr>
          <w:noProof/>
          <w:lang w:eastAsia="ja-JP"/>
        </w:rPr>
        <w:t>note des informations</w:t>
      </w:r>
      <w:r w:rsidR="00AB12CF" w:rsidRPr="00A63D26">
        <w:rPr>
          <w:noProof/>
          <w:lang w:eastAsia="ja-JP"/>
        </w:rPr>
        <w:t xml:space="preserve"> concern</w:t>
      </w:r>
      <w:r w:rsidR="00CC458B" w:rsidRPr="00A63D26">
        <w:rPr>
          <w:noProof/>
          <w:lang w:eastAsia="ja-JP"/>
        </w:rPr>
        <w:t>a</w:t>
      </w:r>
      <w:r w:rsidR="00AB12CF" w:rsidRPr="00A63D26">
        <w:rPr>
          <w:noProof/>
          <w:lang w:eastAsia="ja-JP"/>
        </w:rPr>
        <w:t>n</w:t>
      </w:r>
      <w:r w:rsidR="00CC458B" w:rsidRPr="00A63D26">
        <w:rPr>
          <w:noProof/>
          <w:lang w:eastAsia="ja-JP"/>
        </w:rPr>
        <w:t>t</w:t>
      </w:r>
      <w:r w:rsidR="00AB12CF" w:rsidRPr="00A63D26">
        <w:rPr>
          <w:noProof/>
          <w:lang w:eastAsia="ja-JP"/>
        </w:rPr>
        <w:t xml:space="preserve"> </w:t>
      </w:r>
      <w:r w:rsidR="00F44959" w:rsidRPr="00A63D26">
        <w:rPr>
          <w:noProof/>
          <w:lang w:eastAsia="ja-JP"/>
        </w:rPr>
        <w:t>les bases de données</w:t>
      </w:r>
      <w:r w:rsidR="00F44959" w:rsidRPr="00A63D26">
        <w:rPr>
          <w:rFonts w:eastAsia="MS Mincho"/>
          <w:noProof/>
          <w:lang w:eastAsia="ja-JP"/>
        </w:rPr>
        <w:t xml:space="preserve"> </w:t>
      </w:r>
      <w:r w:rsidR="00AB12CF" w:rsidRPr="00A63D26">
        <w:rPr>
          <w:rFonts w:eastAsia="MS Mincho"/>
          <w:noProof/>
          <w:lang w:eastAsia="ja-JP"/>
        </w:rPr>
        <w:t xml:space="preserve">GENIE </w:t>
      </w:r>
      <w:r w:rsidR="00F44959" w:rsidRPr="00A63D26">
        <w:rPr>
          <w:rFonts w:eastAsia="MS Mincho"/>
          <w:noProof/>
          <w:lang w:eastAsia="ja-JP"/>
        </w:rPr>
        <w:t>et</w:t>
      </w:r>
      <w:r w:rsidR="00AB12CF" w:rsidRPr="00A63D26">
        <w:rPr>
          <w:rFonts w:eastAsia="MS Mincho"/>
          <w:noProof/>
          <w:lang w:eastAsia="ja-JP"/>
        </w:rPr>
        <w:t xml:space="preserve"> </w:t>
      </w:r>
      <w:r w:rsidR="00F44959" w:rsidRPr="00A63D26">
        <w:rPr>
          <w:noProof/>
          <w:lang w:eastAsia="ja-JP"/>
        </w:rPr>
        <w:t>PLUTO</w:t>
      </w:r>
      <w:r w:rsidR="00AB12CF" w:rsidRPr="00A63D26">
        <w:rPr>
          <w:noProof/>
          <w:lang w:eastAsia="ja-JP"/>
        </w:rPr>
        <w:t xml:space="preserve">, </w:t>
      </w:r>
      <w:r w:rsidR="00A12035" w:rsidRPr="00A63D26">
        <w:rPr>
          <w:noProof/>
          <w:lang w:eastAsia="ja-JP"/>
        </w:rPr>
        <w:t>comme indiqué dans les</w:t>
      </w:r>
      <w:r w:rsidR="00AB12CF" w:rsidRPr="00A63D26">
        <w:rPr>
          <w:noProof/>
          <w:lang w:eastAsia="ja-JP"/>
        </w:rPr>
        <w:t xml:space="preserve"> </w:t>
      </w:r>
      <w:r w:rsidR="00CC458B" w:rsidRPr="00A63D26">
        <w:rPr>
          <w:noProof/>
          <w:lang w:eastAsia="ja-JP"/>
        </w:rPr>
        <w:t>paragraphes</w:t>
      </w:r>
      <w:r w:rsidR="00E73D21" w:rsidRPr="00A63D26">
        <w:rPr>
          <w:noProof/>
          <w:lang w:eastAsia="ja-JP"/>
        </w:rPr>
        <w:t> </w:t>
      </w:r>
      <w:r w:rsidR="00CC458B" w:rsidRPr="00A63D26">
        <w:rPr>
          <w:noProof/>
          <w:lang w:eastAsia="ja-JP"/>
        </w:rPr>
        <w:t>6 à</w:t>
      </w:r>
      <w:r w:rsidR="00805E4D" w:rsidRPr="00A63D26">
        <w:rPr>
          <w:noProof/>
          <w:lang w:eastAsia="ja-JP"/>
        </w:rPr>
        <w:t> </w:t>
      </w:r>
      <w:r w:rsidR="00CC458B" w:rsidRPr="00A63D26">
        <w:rPr>
          <w:noProof/>
          <w:lang w:eastAsia="ja-JP"/>
        </w:rPr>
        <w:t>16 du document CAJ/72/6</w:t>
      </w:r>
      <w:r w:rsidR="00AB12CF" w:rsidRPr="00A63D26">
        <w:rPr>
          <w:noProof/>
          <w:lang w:eastAsia="ja-JP"/>
        </w:rPr>
        <w:t>.</w:t>
      </w:r>
    </w:p>
    <w:p w:rsidR="0031661C" w:rsidRPr="00A63D26" w:rsidRDefault="0031661C" w:rsidP="00947EC7">
      <w:pPr>
        <w:rPr>
          <w:noProof/>
        </w:rPr>
      </w:pPr>
    </w:p>
    <w:p w:rsidR="0031661C" w:rsidRPr="00A63D26" w:rsidRDefault="009B2464" w:rsidP="00947EC7">
      <w:pPr>
        <w:rPr>
          <w:noProof/>
          <w:snapToGrid w:val="0"/>
          <w:lang w:eastAsia="ja-JP"/>
        </w:rPr>
      </w:pPr>
      <w:r w:rsidRPr="00A63D26">
        <w:rPr>
          <w:noProof/>
          <w:vertAlign w:val="superscript"/>
        </w:rPr>
        <w:t>*</w:t>
      </w:r>
      <w:r w:rsidR="00AE08BE" w:rsidRPr="00A63D26">
        <w:rPr>
          <w:noProof/>
          <w:snapToGrid w:val="0"/>
          <w:lang w:eastAsia="ja-JP"/>
        </w:rPr>
        <w:fldChar w:fldCharType="begin"/>
      </w:r>
      <w:r w:rsidR="00947EC7" w:rsidRPr="00A63D26">
        <w:rPr>
          <w:noProof/>
          <w:snapToGrid w:val="0"/>
          <w:lang w:eastAsia="ja-JP"/>
        </w:rPr>
        <w:instrText xml:space="preserve"> AUTONUM  </w:instrText>
      </w:r>
      <w:r w:rsidR="00AE08BE" w:rsidRPr="00A63D26">
        <w:rPr>
          <w:noProof/>
          <w:snapToGrid w:val="0"/>
          <w:lang w:eastAsia="ja-JP"/>
        </w:rPr>
        <w:fldChar w:fldCharType="end"/>
      </w:r>
      <w:r w:rsidR="00947EC7" w:rsidRPr="00A63D26">
        <w:rPr>
          <w:noProof/>
          <w:snapToGrid w:val="0"/>
          <w:lang w:eastAsia="ja-JP"/>
        </w:rPr>
        <w:tab/>
      </w:r>
      <w:r w:rsidR="00F203F3" w:rsidRPr="00A63D26">
        <w:rPr>
          <w:noProof/>
          <w:snapToGrid w:val="0"/>
          <w:lang w:eastAsia="ja-JP"/>
        </w:rPr>
        <w:t>Le</w:t>
      </w:r>
      <w:r w:rsidR="00947EC7" w:rsidRPr="00A63D26">
        <w:rPr>
          <w:noProof/>
          <w:snapToGrid w:val="0"/>
          <w:lang w:eastAsia="ja-JP"/>
        </w:rPr>
        <w:t xml:space="preserve"> CAJ </w:t>
      </w:r>
      <w:r w:rsidR="00A12035" w:rsidRPr="00A63D26">
        <w:rPr>
          <w:noProof/>
          <w:snapToGrid w:val="0"/>
          <w:lang w:eastAsia="ja-JP"/>
        </w:rPr>
        <w:t>reçoit</w:t>
      </w:r>
      <w:r w:rsidR="00947EC7" w:rsidRPr="00A63D26">
        <w:rPr>
          <w:noProof/>
          <w:snapToGrid w:val="0"/>
          <w:lang w:eastAsia="ja-JP"/>
        </w:rPr>
        <w:t xml:space="preserve"> </w:t>
      </w:r>
      <w:r w:rsidR="00F203F3" w:rsidRPr="00A63D26">
        <w:rPr>
          <w:noProof/>
          <w:snapToGrid w:val="0"/>
          <w:lang w:eastAsia="ja-JP"/>
        </w:rPr>
        <w:t>un</w:t>
      </w:r>
      <w:r w:rsidR="00947EC7" w:rsidRPr="00A63D26">
        <w:rPr>
          <w:noProof/>
          <w:snapToGrid w:val="0"/>
          <w:lang w:eastAsia="ja-JP"/>
        </w:rPr>
        <w:t xml:space="preserve"> </w:t>
      </w:r>
      <w:r w:rsidR="00F203F3" w:rsidRPr="00A63D26">
        <w:rPr>
          <w:noProof/>
          <w:snapToGrid w:val="0"/>
          <w:lang w:eastAsia="ja-JP"/>
        </w:rPr>
        <w:t>rapport verbal</w:t>
      </w:r>
      <w:r w:rsidR="00947EC7" w:rsidRPr="00A63D26">
        <w:rPr>
          <w:noProof/>
          <w:snapToGrid w:val="0"/>
          <w:lang w:eastAsia="ja-JP"/>
        </w:rPr>
        <w:t xml:space="preserve"> </w:t>
      </w:r>
      <w:r w:rsidR="00A12035" w:rsidRPr="00A63D26">
        <w:rPr>
          <w:noProof/>
          <w:snapToGrid w:val="0"/>
          <w:lang w:eastAsia="ja-JP"/>
        </w:rPr>
        <w:t>du secrétaire général adjoint sur la troisième</w:t>
      </w:r>
      <w:r w:rsidR="00E73D21" w:rsidRPr="00A63D26">
        <w:rPr>
          <w:noProof/>
          <w:snapToGrid w:val="0"/>
          <w:lang w:eastAsia="ja-JP"/>
        </w:rPr>
        <w:t> </w:t>
      </w:r>
      <w:r w:rsidR="00A12035" w:rsidRPr="00A63D26">
        <w:rPr>
          <w:noProof/>
          <w:snapToGrid w:val="0"/>
          <w:lang w:eastAsia="ja-JP"/>
        </w:rPr>
        <w:t>session</w:t>
      </w:r>
      <w:r w:rsidR="00947EC7" w:rsidRPr="00A63D26">
        <w:rPr>
          <w:noProof/>
          <w:snapToGrid w:val="0"/>
          <w:lang w:eastAsia="ja-JP"/>
        </w:rPr>
        <w:t xml:space="preserve"> </w:t>
      </w:r>
      <w:r w:rsidR="00F44959" w:rsidRPr="00A63D26">
        <w:rPr>
          <w:noProof/>
          <w:snapToGrid w:val="0"/>
          <w:lang w:eastAsia="ja-JP"/>
        </w:rPr>
        <w:t>du WG</w:t>
      </w:r>
      <w:r w:rsidR="00805E4D" w:rsidRPr="00A63D26">
        <w:rPr>
          <w:noProof/>
          <w:snapToGrid w:val="0"/>
          <w:lang w:eastAsia="ja-JP"/>
        </w:rPr>
        <w:noBreakHyphen/>
      </w:r>
      <w:r w:rsidR="00947EC7" w:rsidRPr="00A63D26">
        <w:rPr>
          <w:noProof/>
          <w:snapToGrid w:val="0"/>
          <w:lang w:eastAsia="ja-JP"/>
        </w:rPr>
        <w:t xml:space="preserve">DST, </w:t>
      </w:r>
      <w:r w:rsidR="00A12035" w:rsidRPr="00A63D26">
        <w:rPr>
          <w:noProof/>
          <w:snapToGrid w:val="0"/>
          <w:lang w:eastAsia="ja-JP"/>
        </w:rPr>
        <w:t>qui s</w:t>
      </w:r>
      <w:r w:rsidR="00E94EB0" w:rsidRPr="00A63D26">
        <w:rPr>
          <w:noProof/>
          <w:snapToGrid w:val="0"/>
          <w:lang w:eastAsia="ja-JP"/>
        </w:rPr>
        <w:t>’</w:t>
      </w:r>
      <w:r w:rsidR="00A12035" w:rsidRPr="00A63D26">
        <w:rPr>
          <w:noProof/>
          <w:snapToGrid w:val="0"/>
          <w:lang w:eastAsia="ja-JP"/>
        </w:rPr>
        <w:t>est tenue le</w:t>
      </w:r>
      <w:r w:rsidR="00947EC7" w:rsidRPr="00A63D26">
        <w:rPr>
          <w:noProof/>
          <w:snapToGrid w:val="0"/>
          <w:lang w:eastAsia="ja-JP"/>
        </w:rPr>
        <w:t xml:space="preserve"> 2</w:t>
      </w:r>
      <w:r w:rsidR="00A12035" w:rsidRPr="00A63D26">
        <w:rPr>
          <w:noProof/>
          <w:snapToGrid w:val="0"/>
          <w:lang w:eastAsia="ja-JP"/>
        </w:rPr>
        <w:t> octobre 2015</w:t>
      </w:r>
      <w:r w:rsidR="00947EC7" w:rsidRPr="00A63D26">
        <w:rPr>
          <w:noProof/>
          <w:snapToGrid w:val="0"/>
          <w:lang w:eastAsia="ja-JP"/>
        </w:rPr>
        <w:t xml:space="preserve"> </w:t>
      </w:r>
      <w:r w:rsidR="00F44959" w:rsidRPr="00A63D26">
        <w:rPr>
          <w:noProof/>
          <w:snapToGrid w:val="0"/>
          <w:lang w:eastAsia="ja-JP"/>
        </w:rPr>
        <w:t>à Genève</w:t>
      </w:r>
      <w:r w:rsidR="00947EC7" w:rsidRPr="00A63D26">
        <w:rPr>
          <w:noProof/>
          <w:snapToGrid w:val="0"/>
          <w:lang w:eastAsia="ja-JP"/>
        </w:rPr>
        <w:t>.</w:t>
      </w:r>
    </w:p>
    <w:p w:rsidR="0031661C" w:rsidRPr="00A63D26" w:rsidRDefault="0031661C" w:rsidP="00AB12CF">
      <w:pPr>
        <w:rPr>
          <w:noProof/>
          <w:snapToGrid w:val="0"/>
          <w:lang w:eastAsia="ja-JP"/>
        </w:rPr>
      </w:pPr>
    </w:p>
    <w:p w:rsidR="0031661C" w:rsidRPr="00A63D26" w:rsidRDefault="009B2464" w:rsidP="0031661C">
      <w:pPr>
        <w:rPr>
          <w:noProof/>
          <w:snapToGrid w:val="0"/>
          <w:lang w:eastAsia="ja-JP"/>
        </w:rPr>
      </w:pPr>
      <w:r w:rsidRPr="00A63D26">
        <w:rPr>
          <w:noProof/>
          <w:vertAlign w:val="superscript"/>
        </w:rPr>
        <w:t>*</w:t>
      </w:r>
      <w:r w:rsidR="00AE08BE" w:rsidRPr="00A63D26">
        <w:rPr>
          <w:noProof/>
        </w:rPr>
        <w:fldChar w:fldCharType="begin"/>
      </w:r>
      <w:r w:rsidR="00AB12CF" w:rsidRPr="00A63D26">
        <w:rPr>
          <w:noProof/>
        </w:rPr>
        <w:instrText xml:space="preserve"> AUTONUM  </w:instrText>
      </w:r>
      <w:r w:rsidR="00AE08BE" w:rsidRPr="00A63D26">
        <w:rPr>
          <w:noProof/>
        </w:rPr>
        <w:fldChar w:fldCharType="end"/>
      </w:r>
      <w:r w:rsidR="00AB12CF" w:rsidRPr="00A63D26">
        <w:rPr>
          <w:noProof/>
        </w:rPr>
        <w:tab/>
      </w:r>
      <w:r w:rsidR="0031661C" w:rsidRPr="00A63D26">
        <w:rPr>
          <w:noProof/>
        </w:rPr>
        <w:t>Le CAJ prend note de la proposition d</w:t>
      </w:r>
      <w:r w:rsidR="00E94EB0" w:rsidRPr="00A63D26">
        <w:rPr>
          <w:noProof/>
        </w:rPr>
        <w:t>’</w:t>
      </w:r>
      <w:r w:rsidR="0031661C" w:rsidRPr="00A63D26">
        <w:rPr>
          <w:noProof/>
        </w:rPr>
        <w:t>accepter des accents et des caractères spéciaux dans les dénominations proposées dans la base de données PLUTO, étant entendu que l</w:t>
      </w:r>
      <w:r w:rsidR="00E94EB0" w:rsidRPr="00A63D26">
        <w:rPr>
          <w:noProof/>
        </w:rPr>
        <w:t>’</w:t>
      </w:r>
      <w:r w:rsidR="0031661C" w:rsidRPr="00A63D26">
        <w:rPr>
          <w:noProof/>
        </w:rPr>
        <w:t>outil de recherche de dénomination dans la base de données PLUTO n</w:t>
      </w:r>
      <w:r w:rsidR="00E94EB0" w:rsidRPr="00A63D26">
        <w:rPr>
          <w:noProof/>
        </w:rPr>
        <w:t>’</w:t>
      </w:r>
      <w:r w:rsidR="0031661C" w:rsidRPr="00A63D26">
        <w:rPr>
          <w:noProof/>
        </w:rPr>
        <w:t>utiliserait que le jeu de caractères ASCII [Code standard américain pour l</w:t>
      </w:r>
      <w:r w:rsidR="00E94EB0" w:rsidRPr="00A63D26">
        <w:rPr>
          <w:noProof/>
        </w:rPr>
        <w:t>’</w:t>
      </w:r>
      <w:r w:rsidR="0031661C" w:rsidRPr="00A63D26">
        <w:rPr>
          <w:noProof/>
        </w:rPr>
        <w:t>échange d</w:t>
      </w:r>
      <w:r w:rsidR="00E94EB0" w:rsidRPr="00A63D26">
        <w:rPr>
          <w:noProof/>
        </w:rPr>
        <w:t>’</w:t>
      </w:r>
      <w:r w:rsidR="0031661C" w:rsidRPr="00A63D26">
        <w:rPr>
          <w:noProof/>
        </w:rPr>
        <w:t>informations], tel qu</w:t>
      </w:r>
      <w:r w:rsidR="00E94EB0" w:rsidRPr="00A63D26">
        <w:rPr>
          <w:noProof/>
        </w:rPr>
        <w:t>’</w:t>
      </w:r>
      <w:r w:rsidR="003A2737" w:rsidRPr="00A63D26">
        <w:rPr>
          <w:noProof/>
        </w:rPr>
        <w:t>il est défini dans la norme n° </w:t>
      </w:r>
      <w:r w:rsidR="0031661C" w:rsidRPr="00A63D26">
        <w:rPr>
          <w:noProof/>
        </w:rPr>
        <w:t>646 de l</w:t>
      </w:r>
      <w:r w:rsidR="00E94EB0" w:rsidRPr="00A63D26">
        <w:rPr>
          <w:noProof/>
        </w:rPr>
        <w:t>’</w:t>
      </w:r>
      <w:r w:rsidR="0031661C" w:rsidRPr="00A63D26">
        <w:rPr>
          <w:noProof/>
        </w:rPr>
        <w:t>Organisation internationale de normalisation (ISO) (voir le paragraphe</w:t>
      </w:r>
      <w:r w:rsidR="00E73D21" w:rsidRPr="00A63D26">
        <w:rPr>
          <w:noProof/>
        </w:rPr>
        <w:t> </w:t>
      </w:r>
      <w:r w:rsidR="0031661C" w:rsidRPr="00A63D26">
        <w:rPr>
          <w:noProof/>
        </w:rPr>
        <w:t>20 du document CAJ/72/6).</w:t>
      </w:r>
      <w:r w:rsidR="00A95122" w:rsidRPr="00A63D26">
        <w:rPr>
          <w:noProof/>
          <w:snapToGrid w:val="0"/>
          <w:lang w:eastAsia="ja-JP"/>
        </w:rPr>
        <w:t xml:space="preserve">  </w:t>
      </w:r>
      <w:r w:rsidR="00A12035" w:rsidRPr="00A63D26">
        <w:rPr>
          <w:noProof/>
          <w:snapToGrid w:val="0"/>
          <w:lang w:eastAsia="ja-JP"/>
        </w:rPr>
        <w:t>Il</w:t>
      </w:r>
      <w:r w:rsidR="00A95122" w:rsidRPr="00A63D26">
        <w:rPr>
          <w:noProof/>
          <w:snapToGrid w:val="0"/>
          <w:lang w:eastAsia="ja-JP"/>
        </w:rPr>
        <w:t xml:space="preserve"> </w:t>
      </w:r>
      <w:r w:rsidR="00A12035" w:rsidRPr="00A63D26">
        <w:rPr>
          <w:noProof/>
          <w:snapToGrid w:val="0"/>
          <w:lang w:eastAsia="ja-JP"/>
        </w:rPr>
        <w:t>convient que la question</w:t>
      </w:r>
      <w:r w:rsidR="00A95122" w:rsidRPr="00A63D26">
        <w:rPr>
          <w:noProof/>
          <w:snapToGrid w:val="0"/>
          <w:lang w:eastAsia="ja-JP"/>
        </w:rPr>
        <w:t xml:space="preserve"> </w:t>
      </w:r>
      <w:r w:rsidR="00A12035" w:rsidRPr="00A63D26">
        <w:rPr>
          <w:noProof/>
          <w:snapToGrid w:val="0"/>
          <w:lang w:eastAsia="ja-JP"/>
        </w:rPr>
        <w:t>doit être soumise</w:t>
      </w:r>
      <w:r w:rsidR="003A2737" w:rsidRPr="00A63D26">
        <w:rPr>
          <w:noProof/>
          <w:snapToGrid w:val="0"/>
          <w:lang w:eastAsia="ja-JP"/>
        </w:rPr>
        <w:t xml:space="preserve"> </w:t>
      </w:r>
      <w:r w:rsidR="00A12035" w:rsidRPr="00A63D26">
        <w:rPr>
          <w:noProof/>
          <w:snapToGrid w:val="0"/>
          <w:lang w:eastAsia="ja-JP"/>
        </w:rPr>
        <w:t>au</w:t>
      </w:r>
      <w:r w:rsidR="003A2737" w:rsidRPr="00A63D26">
        <w:rPr>
          <w:noProof/>
          <w:snapToGrid w:val="0"/>
          <w:lang w:eastAsia="ja-JP"/>
        </w:rPr>
        <w:t xml:space="preserve"> WG</w:t>
      </w:r>
      <w:r w:rsidR="00805E4D" w:rsidRPr="00A63D26">
        <w:rPr>
          <w:noProof/>
          <w:snapToGrid w:val="0"/>
          <w:lang w:eastAsia="ja-JP"/>
        </w:rPr>
        <w:noBreakHyphen/>
      </w:r>
      <w:r w:rsidR="00A95122" w:rsidRPr="00A63D26">
        <w:rPr>
          <w:noProof/>
          <w:snapToGrid w:val="0"/>
          <w:lang w:eastAsia="ja-JP"/>
        </w:rPr>
        <w:t>DEN.</w:t>
      </w:r>
    </w:p>
    <w:p w:rsidR="0031661C" w:rsidRPr="00A63D26" w:rsidRDefault="0031661C" w:rsidP="00AB12CF">
      <w:pPr>
        <w:rPr>
          <w:noProof/>
          <w:lang w:eastAsia="ja-JP"/>
        </w:rPr>
      </w:pPr>
    </w:p>
    <w:p w:rsidR="0031661C" w:rsidRPr="00A63D26" w:rsidRDefault="009B2464" w:rsidP="00541CFB">
      <w:pPr>
        <w:keepLines/>
        <w:rPr>
          <w:noProof/>
          <w:lang w:eastAsia="ja-JP"/>
        </w:rPr>
      </w:pPr>
      <w:r w:rsidRPr="00A63D26">
        <w:rPr>
          <w:noProof/>
          <w:vertAlign w:val="superscript"/>
        </w:rPr>
        <w:t>*</w:t>
      </w:r>
      <w:r w:rsidR="00AE08BE" w:rsidRPr="00A63D26">
        <w:rPr>
          <w:noProof/>
          <w:lang w:eastAsia="ja-JP"/>
        </w:rPr>
        <w:fldChar w:fldCharType="begin"/>
      </w:r>
      <w:r w:rsidR="00AB12CF" w:rsidRPr="00A63D26">
        <w:rPr>
          <w:noProof/>
          <w:lang w:eastAsia="ja-JP"/>
        </w:rPr>
        <w:instrText xml:space="preserve"> AUTONUM  </w:instrText>
      </w:r>
      <w:r w:rsidR="00AE08BE" w:rsidRPr="00A63D26">
        <w:rPr>
          <w:noProof/>
          <w:lang w:eastAsia="ja-JP"/>
        </w:rPr>
        <w:fldChar w:fldCharType="end"/>
      </w:r>
      <w:r w:rsidR="00AB12CF" w:rsidRPr="00A63D26">
        <w:rPr>
          <w:noProof/>
          <w:lang w:eastAsia="ja-JP"/>
        </w:rPr>
        <w:tab/>
      </w:r>
      <w:r w:rsidR="00207B1A" w:rsidRPr="00A63D26">
        <w:rPr>
          <w:noProof/>
        </w:rPr>
        <w:t>Le</w:t>
      </w:r>
      <w:r w:rsidR="008124E3" w:rsidRPr="00A63D26">
        <w:rPr>
          <w:noProof/>
          <w:lang w:eastAsia="ja-JP"/>
        </w:rPr>
        <w:t xml:space="preserve"> CAJ</w:t>
      </w:r>
      <w:r w:rsidR="008124E3" w:rsidRPr="00A63D26">
        <w:rPr>
          <w:noProof/>
        </w:rPr>
        <w:t xml:space="preserve"> </w:t>
      </w:r>
      <w:r w:rsidR="00F2626A" w:rsidRPr="00A63D26">
        <w:rPr>
          <w:noProof/>
          <w:lang w:eastAsia="ja-JP"/>
        </w:rPr>
        <w:t>convient que les questions relatives à</w:t>
      </w:r>
      <w:r w:rsidR="008124E3" w:rsidRPr="00A63D26">
        <w:rPr>
          <w:noProof/>
          <w:lang w:eastAsia="ja-JP"/>
        </w:rPr>
        <w:t xml:space="preserve"> </w:t>
      </w:r>
      <w:r w:rsidR="00F2626A" w:rsidRPr="00A63D26">
        <w:rPr>
          <w:noProof/>
          <w:lang w:eastAsia="ja-JP"/>
        </w:rPr>
        <w:t>l</w:t>
      </w:r>
      <w:r w:rsidR="00E94EB0" w:rsidRPr="00A63D26">
        <w:rPr>
          <w:noProof/>
          <w:lang w:eastAsia="ja-JP"/>
        </w:rPr>
        <w:t>’</w:t>
      </w:r>
      <w:r w:rsidR="00F2626A" w:rsidRPr="00A63D26">
        <w:rPr>
          <w:noProof/>
          <w:lang w:eastAsia="ja-JP"/>
        </w:rPr>
        <w:t>éventuel élargissement du contenu</w:t>
      </w:r>
      <w:r w:rsidR="00AB12CF" w:rsidRPr="00A63D26">
        <w:rPr>
          <w:noProof/>
          <w:lang w:eastAsia="ja-JP"/>
        </w:rPr>
        <w:t xml:space="preserve"> </w:t>
      </w:r>
      <w:r w:rsidR="00F2626A" w:rsidRPr="00A63D26">
        <w:rPr>
          <w:noProof/>
          <w:lang w:eastAsia="ja-JP"/>
        </w:rPr>
        <w:t>de la base de données</w:t>
      </w:r>
      <w:r w:rsidR="00AB12CF" w:rsidRPr="00A63D26">
        <w:rPr>
          <w:noProof/>
          <w:lang w:eastAsia="ja-JP"/>
        </w:rPr>
        <w:t xml:space="preserve"> PLUTO </w:t>
      </w:r>
      <w:r w:rsidR="001D2039" w:rsidRPr="00A63D26">
        <w:rPr>
          <w:noProof/>
        </w:rPr>
        <w:t>en vue d</w:t>
      </w:r>
      <w:r w:rsidR="00E94EB0" w:rsidRPr="00A63D26">
        <w:rPr>
          <w:noProof/>
        </w:rPr>
        <w:t>’</w:t>
      </w:r>
      <w:r w:rsidR="001D2039" w:rsidRPr="00A63D26">
        <w:rPr>
          <w:noProof/>
        </w:rPr>
        <w:t xml:space="preserve">inclure </w:t>
      </w:r>
      <w:r w:rsidR="001D2039" w:rsidRPr="00A63D26">
        <w:rPr>
          <w:noProof/>
          <w:lang w:eastAsia="ja-JP"/>
        </w:rPr>
        <w:t>toutes les variétés reconnues,</w:t>
      </w:r>
      <w:r w:rsidR="001D2039" w:rsidRPr="00A63D26">
        <w:rPr>
          <w:noProof/>
        </w:rPr>
        <w:t xml:space="preserve"> </w:t>
      </w:r>
      <w:r w:rsidR="00E94EB0" w:rsidRPr="00A63D26">
        <w:rPr>
          <w:noProof/>
          <w:lang w:eastAsia="ja-JP"/>
        </w:rPr>
        <w:t>y compris</w:t>
      </w:r>
      <w:r w:rsidR="001D2039" w:rsidRPr="00A63D26">
        <w:rPr>
          <w:noProof/>
          <w:lang w:eastAsia="ja-JP"/>
        </w:rPr>
        <w:t xml:space="preserve"> celles qui n</w:t>
      </w:r>
      <w:r w:rsidR="00E94EB0" w:rsidRPr="00A63D26">
        <w:rPr>
          <w:noProof/>
          <w:lang w:eastAsia="ja-JP"/>
        </w:rPr>
        <w:t>’</w:t>
      </w:r>
      <w:r w:rsidR="001D2039" w:rsidRPr="00A63D26">
        <w:rPr>
          <w:noProof/>
          <w:lang w:eastAsia="ja-JP"/>
        </w:rPr>
        <w:t>ont pas été, ou ne sont plus, enregistrées ou protégées,</w:t>
      </w:r>
      <w:r w:rsidR="00AB12CF" w:rsidRPr="00A63D26">
        <w:rPr>
          <w:noProof/>
          <w:lang w:eastAsia="ja-JP"/>
        </w:rPr>
        <w:t xml:space="preserve"> </w:t>
      </w:r>
      <w:r w:rsidR="00782594" w:rsidRPr="00A63D26">
        <w:rPr>
          <w:noProof/>
          <w:lang w:eastAsia="ja-JP"/>
        </w:rPr>
        <w:t>comme indiqué au</w:t>
      </w:r>
      <w:r w:rsidR="00AB12CF" w:rsidRPr="00A63D26">
        <w:rPr>
          <w:noProof/>
          <w:lang w:eastAsia="ja-JP"/>
        </w:rPr>
        <w:t xml:space="preserve"> </w:t>
      </w:r>
      <w:r w:rsidR="001D2039" w:rsidRPr="00A63D26">
        <w:rPr>
          <w:noProof/>
          <w:lang w:eastAsia="ja-JP"/>
        </w:rPr>
        <w:t>paragraphe </w:t>
      </w:r>
      <w:r w:rsidR="001D2039" w:rsidRPr="00A63D26">
        <w:rPr>
          <w:rFonts w:eastAsia="MS Mincho"/>
          <w:noProof/>
          <w:lang w:eastAsia="ja-JP"/>
        </w:rPr>
        <w:t xml:space="preserve">24 du </w:t>
      </w:r>
      <w:r w:rsidR="00AB12CF" w:rsidRPr="00A63D26">
        <w:rPr>
          <w:rFonts w:eastAsia="MS Mincho"/>
          <w:noProof/>
          <w:snapToGrid w:val="0"/>
          <w:lang w:eastAsia="ja-JP"/>
        </w:rPr>
        <w:t xml:space="preserve">document CAJ/72/6, </w:t>
      </w:r>
      <w:r w:rsidR="001D2039" w:rsidRPr="00A63D26">
        <w:rPr>
          <w:rFonts w:eastAsia="MS Mincho"/>
          <w:noProof/>
          <w:lang w:eastAsia="ja-JP"/>
        </w:rPr>
        <w:t>soient</w:t>
      </w:r>
      <w:r w:rsidR="001D2039" w:rsidRPr="00A63D26">
        <w:rPr>
          <w:noProof/>
          <w:snapToGrid w:val="0"/>
          <w:lang w:eastAsia="ja-JP"/>
        </w:rPr>
        <w:t xml:space="preserve"> soumises au</w:t>
      </w:r>
      <w:r w:rsidR="008124E3" w:rsidRPr="00A63D26">
        <w:rPr>
          <w:rFonts w:eastAsia="MS Mincho"/>
          <w:noProof/>
          <w:lang w:eastAsia="ja-JP"/>
        </w:rPr>
        <w:t xml:space="preserve"> </w:t>
      </w:r>
      <w:r w:rsidR="00A12035" w:rsidRPr="00A63D26">
        <w:rPr>
          <w:rFonts w:eastAsia="MS Mincho"/>
          <w:noProof/>
          <w:lang w:eastAsia="ja-JP"/>
        </w:rPr>
        <w:t>WG</w:t>
      </w:r>
      <w:r w:rsidR="00805E4D" w:rsidRPr="00A63D26">
        <w:rPr>
          <w:rFonts w:eastAsia="MS Mincho"/>
          <w:noProof/>
          <w:lang w:eastAsia="ja-JP"/>
        </w:rPr>
        <w:noBreakHyphen/>
      </w:r>
      <w:r w:rsidR="00A95122" w:rsidRPr="00A63D26">
        <w:rPr>
          <w:rFonts w:eastAsia="MS Mincho"/>
          <w:noProof/>
          <w:lang w:eastAsia="ja-JP"/>
        </w:rPr>
        <w:t>DEN</w:t>
      </w:r>
      <w:r w:rsidR="00AB12CF" w:rsidRPr="00A63D26">
        <w:rPr>
          <w:rFonts w:eastAsia="MS Mincho"/>
          <w:noProof/>
          <w:lang w:eastAsia="ja-JP"/>
        </w:rPr>
        <w:t>.</w:t>
      </w:r>
    </w:p>
    <w:p w:rsidR="0031661C" w:rsidRPr="00A63D26" w:rsidRDefault="0031661C" w:rsidP="0060196B">
      <w:pPr>
        <w:rPr>
          <w:rFonts w:cs="Arial"/>
          <w:noProof/>
        </w:rPr>
      </w:pPr>
    </w:p>
    <w:p w:rsidR="0031661C" w:rsidRPr="00A63D26" w:rsidRDefault="009B2464" w:rsidP="00863382">
      <w:pPr>
        <w:rPr>
          <w:noProof/>
          <w:lang w:eastAsia="ja-JP"/>
        </w:rPr>
      </w:pPr>
      <w:r w:rsidRPr="00A63D26">
        <w:rPr>
          <w:noProof/>
          <w:vertAlign w:val="superscript"/>
        </w:rPr>
        <w:t>*</w:t>
      </w:r>
      <w:r w:rsidR="00AE08BE" w:rsidRPr="00A63D26">
        <w:rPr>
          <w:noProof/>
          <w:lang w:eastAsia="ja-JP"/>
        </w:rPr>
        <w:fldChar w:fldCharType="begin"/>
      </w:r>
      <w:r w:rsidR="00AB12CF" w:rsidRPr="00A63D26">
        <w:rPr>
          <w:noProof/>
          <w:lang w:eastAsia="ja-JP"/>
        </w:rPr>
        <w:instrText xml:space="preserve"> AUTONUM  </w:instrText>
      </w:r>
      <w:r w:rsidR="00AE08BE" w:rsidRPr="00A63D26">
        <w:rPr>
          <w:noProof/>
          <w:lang w:eastAsia="ja-JP"/>
        </w:rPr>
        <w:fldChar w:fldCharType="end"/>
      </w:r>
      <w:r w:rsidR="00AB12CF" w:rsidRPr="00A63D26">
        <w:rPr>
          <w:noProof/>
          <w:lang w:eastAsia="ja-JP"/>
        </w:rPr>
        <w:tab/>
      </w:r>
      <w:r w:rsidR="00863382" w:rsidRPr="00A63D26">
        <w:rPr>
          <w:noProof/>
          <w:lang w:eastAsia="ja-JP"/>
        </w:rPr>
        <w:t>Le CAJ prend note du fait que les dernières informations concernant les termes non acceptables à des fins de dénomination variétale on</w:t>
      </w:r>
      <w:r w:rsidR="00541CFB" w:rsidRPr="00A63D26">
        <w:rPr>
          <w:noProof/>
          <w:lang w:eastAsia="ja-JP"/>
        </w:rPr>
        <w:t>t</w:t>
      </w:r>
      <w:r w:rsidR="00863382" w:rsidRPr="00A63D26">
        <w:rPr>
          <w:noProof/>
          <w:lang w:eastAsia="ja-JP"/>
        </w:rPr>
        <w:t xml:space="preserve"> été examinés dans le document CAJ/72/3 “Dénominations variétales”.</w:t>
      </w:r>
    </w:p>
    <w:p w:rsidR="0031661C" w:rsidRPr="00A63D26" w:rsidRDefault="0031661C" w:rsidP="00AB12CF">
      <w:pPr>
        <w:rPr>
          <w:noProof/>
          <w:lang w:eastAsia="ja-JP"/>
        </w:rPr>
      </w:pPr>
    </w:p>
    <w:p w:rsidR="0031661C" w:rsidRPr="00A63D26" w:rsidRDefault="009B2464" w:rsidP="00F404D8">
      <w:pPr>
        <w:rPr>
          <w:noProof/>
        </w:rPr>
      </w:pPr>
      <w:r w:rsidRPr="00A63D26">
        <w:rPr>
          <w:noProof/>
          <w:vertAlign w:val="superscript"/>
        </w:rPr>
        <w:t>*</w:t>
      </w:r>
      <w:r w:rsidR="00AE08BE" w:rsidRPr="00A63D26">
        <w:rPr>
          <w:noProof/>
        </w:rPr>
        <w:fldChar w:fldCharType="begin"/>
      </w:r>
      <w:r w:rsidR="00F404D8" w:rsidRPr="00A63D26">
        <w:rPr>
          <w:noProof/>
        </w:rPr>
        <w:instrText xml:space="preserve"> AUTONUM  </w:instrText>
      </w:r>
      <w:r w:rsidR="00AE08BE" w:rsidRPr="00A63D26">
        <w:rPr>
          <w:noProof/>
        </w:rPr>
        <w:fldChar w:fldCharType="end"/>
      </w:r>
      <w:r w:rsidR="00F404D8" w:rsidRPr="00A63D26">
        <w:rPr>
          <w:noProof/>
        </w:rPr>
        <w:tab/>
      </w:r>
      <w:r w:rsidR="00207B1A" w:rsidRPr="00A63D26">
        <w:rPr>
          <w:noProof/>
        </w:rPr>
        <w:t>Le</w:t>
      </w:r>
      <w:r w:rsidR="00782594" w:rsidRPr="00A63D26">
        <w:rPr>
          <w:noProof/>
        </w:rPr>
        <w:t xml:space="preserve"> CAJ indique que le </w:t>
      </w:r>
      <w:r w:rsidR="00F404D8" w:rsidRPr="00A63D26">
        <w:rPr>
          <w:noProof/>
        </w:rPr>
        <w:t xml:space="preserve">second </w:t>
      </w:r>
      <w:r w:rsidR="008C109A" w:rsidRPr="00A63D26">
        <w:rPr>
          <w:noProof/>
        </w:rPr>
        <w:t>cours intitulé “Contribution à la base de données PLUTO</w:t>
      </w:r>
      <w:r w:rsidR="00F404D8" w:rsidRPr="00A63D26">
        <w:rPr>
          <w:noProof/>
        </w:rPr>
        <w:t xml:space="preserve">” </w:t>
      </w:r>
      <w:r w:rsidR="006345FB" w:rsidRPr="00A63D26">
        <w:rPr>
          <w:noProof/>
        </w:rPr>
        <w:t>a été</w:t>
      </w:r>
      <w:r w:rsidR="006345FB" w:rsidRPr="00A63D26">
        <w:t xml:space="preserve"> </w:t>
      </w:r>
      <w:r w:rsidR="006345FB" w:rsidRPr="00A63D26">
        <w:rPr>
          <w:noProof/>
        </w:rPr>
        <w:t xml:space="preserve">dispensé en </w:t>
      </w:r>
      <w:r w:rsidR="00737129" w:rsidRPr="00A63D26">
        <w:rPr>
          <w:noProof/>
        </w:rPr>
        <w:t>anglais</w:t>
      </w:r>
      <w:r w:rsidR="008C109A" w:rsidRPr="00A63D26">
        <w:rPr>
          <w:noProof/>
        </w:rPr>
        <w:t xml:space="preserve"> à Genève du </w:t>
      </w:r>
      <w:r w:rsidR="00F404D8" w:rsidRPr="00A63D26">
        <w:rPr>
          <w:noProof/>
        </w:rPr>
        <w:t xml:space="preserve">7 </w:t>
      </w:r>
      <w:r w:rsidR="008C109A" w:rsidRPr="00A63D26">
        <w:rPr>
          <w:noProof/>
        </w:rPr>
        <w:t>au 9 septembre 2015</w:t>
      </w:r>
      <w:r w:rsidR="0099704B" w:rsidRPr="00A63D26">
        <w:rPr>
          <w:noProof/>
        </w:rPr>
        <w:t>,</w:t>
      </w:r>
      <w:r w:rsidR="00F404D8" w:rsidRPr="00A63D26">
        <w:rPr>
          <w:noProof/>
        </w:rPr>
        <w:t xml:space="preserve"> </w:t>
      </w:r>
      <w:r w:rsidR="008C109A" w:rsidRPr="00A63D26">
        <w:rPr>
          <w:noProof/>
        </w:rPr>
        <w:t>et que</w:t>
      </w:r>
      <w:r w:rsidR="0099704B" w:rsidRPr="00A63D26">
        <w:rPr>
          <w:noProof/>
        </w:rPr>
        <w:t xml:space="preserve"> </w:t>
      </w:r>
      <w:r w:rsidR="00CF5A06" w:rsidRPr="00A63D26">
        <w:rPr>
          <w:noProof/>
        </w:rPr>
        <w:t>l</w:t>
      </w:r>
      <w:r w:rsidR="00E94EB0" w:rsidRPr="00A63D26">
        <w:rPr>
          <w:noProof/>
        </w:rPr>
        <w:t>’</w:t>
      </w:r>
      <w:r w:rsidR="00CF5A06" w:rsidRPr="00A63D26">
        <w:rPr>
          <w:noProof/>
        </w:rPr>
        <w:t>Afrique du Sud</w:t>
      </w:r>
      <w:r w:rsidR="00F404D8" w:rsidRPr="00A63D26">
        <w:rPr>
          <w:noProof/>
        </w:rPr>
        <w:t xml:space="preserve">, </w:t>
      </w:r>
      <w:r w:rsidR="00CF5A06" w:rsidRPr="00A63D26">
        <w:rPr>
          <w:noProof/>
        </w:rPr>
        <w:t>Oman et</w:t>
      </w:r>
      <w:r w:rsidR="00F404D8" w:rsidRPr="00A63D26">
        <w:rPr>
          <w:noProof/>
        </w:rPr>
        <w:t xml:space="preserve"> </w:t>
      </w:r>
      <w:r w:rsidR="00BA7751" w:rsidRPr="00A63D26">
        <w:rPr>
          <w:noProof/>
        </w:rPr>
        <w:t>l</w:t>
      </w:r>
      <w:r w:rsidR="00E94EB0" w:rsidRPr="00A63D26">
        <w:rPr>
          <w:noProof/>
        </w:rPr>
        <w:t>’</w:t>
      </w:r>
      <w:r w:rsidR="00BA7751" w:rsidRPr="00A63D26">
        <w:rPr>
          <w:noProof/>
        </w:rPr>
        <w:t>ex</w:t>
      </w:r>
      <w:r w:rsidR="00805E4D" w:rsidRPr="00A63D26">
        <w:rPr>
          <w:noProof/>
        </w:rPr>
        <w:noBreakHyphen/>
      </w:r>
      <w:r w:rsidR="00BA7751" w:rsidRPr="00A63D26">
        <w:rPr>
          <w:noProof/>
        </w:rPr>
        <w:t xml:space="preserve">République yougoslave de Macédoine </w:t>
      </w:r>
      <w:r w:rsidR="008C109A" w:rsidRPr="00A63D26">
        <w:rPr>
          <w:noProof/>
        </w:rPr>
        <w:t>y ont</w:t>
      </w:r>
      <w:r w:rsidR="0099704B" w:rsidRPr="00A63D26">
        <w:rPr>
          <w:noProof/>
        </w:rPr>
        <w:t xml:space="preserve"> </w:t>
      </w:r>
      <w:r w:rsidR="00F404D8" w:rsidRPr="00A63D26">
        <w:rPr>
          <w:noProof/>
        </w:rPr>
        <w:t>partici</w:t>
      </w:r>
      <w:r w:rsidR="00805E4D" w:rsidRPr="00A63D26">
        <w:rPr>
          <w:noProof/>
        </w:rPr>
        <w:t>pé.  Le</w:t>
      </w:r>
      <w:r w:rsidR="00E94EB0" w:rsidRPr="00A63D26">
        <w:rPr>
          <w:noProof/>
        </w:rPr>
        <w:t> CAJ</w:t>
      </w:r>
      <w:r w:rsidR="007C1540" w:rsidRPr="00A63D26">
        <w:rPr>
          <w:noProof/>
        </w:rPr>
        <w:t xml:space="preserve"> </w:t>
      </w:r>
      <w:r w:rsidR="00DA40D0" w:rsidRPr="00A63D26">
        <w:rPr>
          <w:noProof/>
        </w:rPr>
        <w:t>souligne</w:t>
      </w:r>
      <w:r w:rsidR="00BA7751" w:rsidRPr="00A63D26">
        <w:rPr>
          <w:noProof/>
        </w:rPr>
        <w:t xml:space="preserve"> que</w:t>
      </w:r>
      <w:r w:rsidR="007C1540" w:rsidRPr="00A63D26">
        <w:rPr>
          <w:noProof/>
        </w:rPr>
        <w:t xml:space="preserve"> </w:t>
      </w:r>
      <w:r w:rsidR="00BA7751" w:rsidRPr="00A63D26">
        <w:rPr>
          <w:noProof/>
        </w:rPr>
        <w:t>l</w:t>
      </w:r>
      <w:r w:rsidR="00E94EB0" w:rsidRPr="00A63D26">
        <w:rPr>
          <w:noProof/>
        </w:rPr>
        <w:t>’</w:t>
      </w:r>
      <w:r w:rsidR="00BA7751" w:rsidRPr="00A63D26">
        <w:rPr>
          <w:noProof/>
        </w:rPr>
        <w:t>Afrique du Sud a</w:t>
      </w:r>
      <w:r w:rsidR="00F404D8" w:rsidRPr="00A63D26">
        <w:rPr>
          <w:noProof/>
        </w:rPr>
        <w:t xml:space="preserve"> </w:t>
      </w:r>
      <w:r w:rsidR="00BA7751" w:rsidRPr="00A63D26">
        <w:rPr>
          <w:noProof/>
        </w:rPr>
        <w:t>signalé qu</w:t>
      </w:r>
      <w:r w:rsidR="00E94EB0" w:rsidRPr="00A63D26">
        <w:rPr>
          <w:noProof/>
        </w:rPr>
        <w:t>’</w:t>
      </w:r>
      <w:r w:rsidR="00BA7751" w:rsidRPr="00A63D26">
        <w:rPr>
          <w:noProof/>
        </w:rPr>
        <w:t>elle fournirait des données à la</w:t>
      </w:r>
      <w:r w:rsidR="00F404D8" w:rsidRPr="00A63D26">
        <w:rPr>
          <w:noProof/>
        </w:rPr>
        <w:t xml:space="preserve"> </w:t>
      </w:r>
      <w:r w:rsidR="00BA7751" w:rsidRPr="00A63D26">
        <w:rPr>
          <w:noProof/>
        </w:rPr>
        <w:t>base de données PLUTO à parti</w:t>
      </w:r>
      <w:r w:rsidR="00115E3A" w:rsidRPr="00A63D26">
        <w:rPr>
          <w:noProof/>
        </w:rPr>
        <w:t>r de décembre 2015 et ajoute qu</w:t>
      </w:r>
      <w:r w:rsidR="00E94EB0" w:rsidRPr="00A63D26">
        <w:rPr>
          <w:noProof/>
        </w:rPr>
        <w:t>’</w:t>
      </w:r>
      <w:r w:rsidR="00F404D8" w:rsidRPr="00A63D26">
        <w:rPr>
          <w:noProof/>
        </w:rPr>
        <w:t xml:space="preserve">Oman </w:t>
      </w:r>
      <w:r w:rsidR="00BA7751" w:rsidRPr="00A63D26">
        <w:rPr>
          <w:noProof/>
        </w:rPr>
        <w:t>et</w:t>
      </w:r>
      <w:r w:rsidR="00F404D8" w:rsidRPr="00A63D26">
        <w:rPr>
          <w:noProof/>
        </w:rPr>
        <w:t xml:space="preserve"> </w:t>
      </w:r>
      <w:r w:rsidR="00BA7751" w:rsidRPr="00A63D26">
        <w:rPr>
          <w:noProof/>
        </w:rPr>
        <w:t>l</w:t>
      </w:r>
      <w:r w:rsidR="00E94EB0" w:rsidRPr="00A63D26">
        <w:rPr>
          <w:noProof/>
        </w:rPr>
        <w:t>’</w:t>
      </w:r>
      <w:r w:rsidR="00BA7751" w:rsidRPr="00A63D26">
        <w:rPr>
          <w:noProof/>
        </w:rPr>
        <w:t>ex</w:t>
      </w:r>
      <w:r w:rsidR="00805E4D" w:rsidRPr="00A63D26">
        <w:rPr>
          <w:noProof/>
        </w:rPr>
        <w:noBreakHyphen/>
      </w:r>
      <w:r w:rsidR="00BA7751" w:rsidRPr="00A63D26">
        <w:rPr>
          <w:noProof/>
        </w:rPr>
        <w:t>République yougoslave de Macédoine ont fait part de leur</w:t>
      </w:r>
      <w:r w:rsidR="00F404D8" w:rsidRPr="00A63D26">
        <w:rPr>
          <w:noProof/>
        </w:rPr>
        <w:t xml:space="preserve"> intention </w:t>
      </w:r>
      <w:r w:rsidR="00C51894" w:rsidRPr="00A63D26">
        <w:rPr>
          <w:noProof/>
        </w:rPr>
        <w:t>d</w:t>
      </w:r>
      <w:r w:rsidR="00E94EB0" w:rsidRPr="00A63D26">
        <w:rPr>
          <w:noProof/>
        </w:rPr>
        <w:t>’</w:t>
      </w:r>
      <w:r w:rsidR="00C51894" w:rsidRPr="00A63D26">
        <w:rPr>
          <w:noProof/>
        </w:rPr>
        <w:t>alimenter</w:t>
      </w:r>
      <w:r w:rsidR="00BA7751" w:rsidRPr="00A63D26">
        <w:rPr>
          <w:noProof/>
        </w:rPr>
        <w:t xml:space="preserve"> la base de données PLUTO après réception</w:t>
      </w:r>
      <w:r w:rsidR="00F404D8" w:rsidRPr="00A63D26">
        <w:rPr>
          <w:noProof/>
        </w:rPr>
        <w:t xml:space="preserve"> </w:t>
      </w:r>
      <w:r w:rsidR="007622F0" w:rsidRPr="00A63D26">
        <w:rPr>
          <w:noProof/>
        </w:rPr>
        <w:t>des demandes</w:t>
      </w:r>
      <w:r w:rsidR="00F404D8" w:rsidRPr="00A63D26">
        <w:rPr>
          <w:noProof/>
        </w:rPr>
        <w:t>.</w:t>
      </w:r>
    </w:p>
    <w:p w:rsidR="0031661C" w:rsidRPr="00A63D26" w:rsidRDefault="0031661C" w:rsidP="00F404D8">
      <w:pPr>
        <w:rPr>
          <w:noProof/>
        </w:rPr>
      </w:pPr>
    </w:p>
    <w:p w:rsidR="00E94EB0" w:rsidRPr="00A63D26" w:rsidRDefault="009B2464" w:rsidP="00F404D8">
      <w:pPr>
        <w:rPr>
          <w:noProof/>
        </w:rPr>
      </w:pPr>
      <w:r w:rsidRPr="00A63D26">
        <w:rPr>
          <w:noProof/>
          <w:vertAlign w:val="superscript"/>
        </w:rPr>
        <w:t>*</w:t>
      </w:r>
      <w:r w:rsidR="00AE08BE" w:rsidRPr="00A63D26">
        <w:rPr>
          <w:noProof/>
        </w:rPr>
        <w:fldChar w:fldCharType="begin"/>
      </w:r>
      <w:r w:rsidR="00F404D8" w:rsidRPr="00A63D26">
        <w:rPr>
          <w:noProof/>
        </w:rPr>
        <w:instrText xml:space="preserve"> AUTONUM  </w:instrText>
      </w:r>
      <w:r w:rsidR="00AE08BE" w:rsidRPr="00A63D26">
        <w:rPr>
          <w:noProof/>
        </w:rPr>
        <w:fldChar w:fldCharType="end"/>
      </w:r>
      <w:r w:rsidR="00F404D8" w:rsidRPr="00A63D26">
        <w:rPr>
          <w:noProof/>
        </w:rPr>
        <w:tab/>
      </w:r>
      <w:r w:rsidR="001B5C4C" w:rsidRPr="00A63D26">
        <w:rPr>
          <w:noProof/>
        </w:rPr>
        <w:t>Le</w:t>
      </w:r>
      <w:r w:rsidR="00F404D8" w:rsidRPr="00A63D26">
        <w:rPr>
          <w:noProof/>
        </w:rPr>
        <w:t xml:space="preserve"> CAJ </w:t>
      </w:r>
      <w:r w:rsidR="00644CE6" w:rsidRPr="00A63D26">
        <w:rPr>
          <w:noProof/>
        </w:rPr>
        <w:t>indique que le troisième</w:t>
      </w:r>
      <w:r w:rsidR="00F404D8" w:rsidRPr="00A63D26">
        <w:rPr>
          <w:noProof/>
        </w:rPr>
        <w:t xml:space="preserve"> </w:t>
      </w:r>
      <w:r w:rsidR="00644CE6" w:rsidRPr="00A63D26">
        <w:rPr>
          <w:noProof/>
        </w:rPr>
        <w:t xml:space="preserve">cours intitulé “Contribution à la base de données </w:t>
      </w:r>
      <w:r w:rsidR="007C1540" w:rsidRPr="00A63D26">
        <w:rPr>
          <w:noProof/>
        </w:rPr>
        <w:t xml:space="preserve">PLUTO” </w:t>
      </w:r>
      <w:r w:rsidR="00E17BA5" w:rsidRPr="00A63D26">
        <w:rPr>
          <w:noProof/>
        </w:rPr>
        <w:t xml:space="preserve">a été </w:t>
      </w:r>
      <w:r w:rsidR="00737129" w:rsidRPr="00A63D26">
        <w:rPr>
          <w:noProof/>
        </w:rPr>
        <w:t xml:space="preserve">dispensé en espagnol </w:t>
      </w:r>
      <w:r w:rsidR="000C1ACC" w:rsidRPr="00A63D26">
        <w:rPr>
          <w:noProof/>
        </w:rPr>
        <w:t>à Genève</w:t>
      </w:r>
      <w:r w:rsidR="00F404D8" w:rsidRPr="00A63D26">
        <w:rPr>
          <w:noProof/>
        </w:rPr>
        <w:t xml:space="preserve"> </w:t>
      </w:r>
      <w:r w:rsidR="00022059" w:rsidRPr="00A63D26">
        <w:rPr>
          <w:noProof/>
        </w:rPr>
        <w:t xml:space="preserve">du </w:t>
      </w:r>
      <w:r w:rsidR="006345FB" w:rsidRPr="00A63D26">
        <w:rPr>
          <w:noProof/>
        </w:rPr>
        <w:t>12 au 14 octobre 2015</w:t>
      </w:r>
      <w:r w:rsidR="00F404D8" w:rsidRPr="00A63D26">
        <w:rPr>
          <w:noProof/>
        </w:rPr>
        <w:t xml:space="preserve">, </w:t>
      </w:r>
      <w:r w:rsidR="00737129" w:rsidRPr="00A63D26">
        <w:rPr>
          <w:noProof/>
        </w:rPr>
        <w:t>et que</w:t>
      </w:r>
      <w:r w:rsidR="00F404D8" w:rsidRPr="00A63D26">
        <w:rPr>
          <w:noProof/>
        </w:rPr>
        <w:t xml:space="preserve"> </w:t>
      </w:r>
      <w:r w:rsidR="00D51614" w:rsidRPr="00A63D26">
        <w:rPr>
          <w:noProof/>
        </w:rPr>
        <w:t>l</w:t>
      </w:r>
      <w:r w:rsidR="00E94EB0" w:rsidRPr="00A63D26">
        <w:rPr>
          <w:noProof/>
        </w:rPr>
        <w:t>’</w:t>
      </w:r>
      <w:r w:rsidR="00F404D8" w:rsidRPr="00A63D26">
        <w:rPr>
          <w:noProof/>
        </w:rPr>
        <w:t>Argentin</w:t>
      </w:r>
      <w:r w:rsidR="00D51614" w:rsidRPr="00A63D26">
        <w:rPr>
          <w:noProof/>
        </w:rPr>
        <w:t>e</w:t>
      </w:r>
      <w:r w:rsidR="00F404D8" w:rsidRPr="00A63D26">
        <w:rPr>
          <w:noProof/>
        </w:rPr>
        <w:t xml:space="preserve">, </w:t>
      </w:r>
      <w:r w:rsidR="00D51614" w:rsidRPr="00A63D26">
        <w:rPr>
          <w:noProof/>
        </w:rPr>
        <w:t xml:space="preserve">la </w:t>
      </w:r>
      <w:r w:rsidR="00D868E8" w:rsidRPr="00A63D26">
        <w:rPr>
          <w:noProof/>
        </w:rPr>
        <w:t>Bolivie (État plurinational de), le Chili</w:t>
      </w:r>
      <w:r w:rsidR="00622DD0" w:rsidRPr="00A63D26">
        <w:rPr>
          <w:noProof/>
        </w:rPr>
        <w:t xml:space="preserve">, </w:t>
      </w:r>
      <w:r w:rsidR="00D868E8" w:rsidRPr="00A63D26">
        <w:rPr>
          <w:noProof/>
        </w:rPr>
        <w:t>la Colombie</w:t>
      </w:r>
      <w:r w:rsidR="00622DD0" w:rsidRPr="00A63D26">
        <w:rPr>
          <w:noProof/>
        </w:rPr>
        <w:t xml:space="preserve">, </w:t>
      </w:r>
      <w:r w:rsidR="00D868E8" w:rsidRPr="00A63D26">
        <w:rPr>
          <w:noProof/>
        </w:rPr>
        <w:t xml:space="preserve">le </w:t>
      </w:r>
      <w:r w:rsidR="00622DD0" w:rsidRPr="00A63D26">
        <w:rPr>
          <w:noProof/>
        </w:rPr>
        <w:t>Costa </w:t>
      </w:r>
      <w:r w:rsidR="00F404D8" w:rsidRPr="00A63D26">
        <w:rPr>
          <w:noProof/>
        </w:rPr>
        <w:t xml:space="preserve">Rica, </w:t>
      </w:r>
      <w:r w:rsidR="00D868E8" w:rsidRPr="00A63D26">
        <w:rPr>
          <w:noProof/>
        </w:rPr>
        <w:t>l</w:t>
      </w:r>
      <w:r w:rsidR="00E94EB0" w:rsidRPr="00A63D26">
        <w:rPr>
          <w:noProof/>
        </w:rPr>
        <w:t>’</w:t>
      </w:r>
      <w:r w:rsidR="00D868E8" w:rsidRPr="00A63D26">
        <w:rPr>
          <w:noProof/>
        </w:rPr>
        <w:t>Équateur</w:t>
      </w:r>
      <w:r w:rsidR="00F404D8" w:rsidRPr="00A63D26">
        <w:rPr>
          <w:noProof/>
        </w:rPr>
        <w:t xml:space="preserve">, </w:t>
      </w:r>
      <w:r w:rsidR="00441C42" w:rsidRPr="00A63D26">
        <w:rPr>
          <w:noProof/>
        </w:rPr>
        <w:t xml:space="preserve">le </w:t>
      </w:r>
      <w:r w:rsidR="00F404D8" w:rsidRPr="00A63D26">
        <w:rPr>
          <w:noProof/>
        </w:rPr>
        <w:t>Mexi</w:t>
      </w:r>
      <w:r w:rsidR="00D868E8" w:rsidRPr="00A63D26">
        <w:rPr>
          <w:noProof/>
        </w:rPr>
        <w:t>que</w:t>
      </w:r>
      <w:r w:rsidR="00F404D8" w:rsidRPr="00A63D26">
        <w:rPr>
          <w:noProof/>
        </w:rPr>
        <w:t xml:space="preserve">, </w:t>
      </w:r>
      <w:r w:rsidR="00441C42" w:rsidRPr="00A63D26">
        <w:rPr>
          <w:noProof/>
        </w:rPr>
        <w:t xml:space="preserve">le </w:t>
      </w:r>
      <w:r w:rsidR="00F404D8" w:rsidRPr="00A63D26">
        <w:rPr>
          <w:noProof/>
        </w:rPr>
        <w:t xml:space="preserve">Nicaragua, </w:t>
      </w:r>
      <w:r w:rsidR="00E17BA5" w:rsidRPr="00A63D26">
        <w:rPr>
          <w:noProof/>
        </w:rPr>
        <w:t xml:space="preserve">le </w:t>
      </w:r>
      <w:r w:rsidR="00F404D8" w:rsidRPr="00A63D26">
        <w:rPr>
          <w:noProof/>
        </w:rPr>
        <w:t xml:space="preserve">Panama, </w:t>
      </w:r>
      <w:r w:rsidR="00E17BA5" w:rsidRPr="00A63D26">
        <w:rPr>
          <w:noProof/>
        </w:rPr>
        <w:t xml:space="preserve">le </w:t>
      </w:r>
      <w:r w:rsidR="00F404D8" w:rsidRPr="00A63D26">
        <w:rPr>
          <w:noProof/>
        </w:rPr>
        <w:t xml:space="preserve">Paraguay </w:t>
      </w:r>
      <w:r w:rsidR="00E17BA5" w:rsidRPr="00A63D26">
        <w:rPr>
          <w:noProof/>
        </w:rPr>
        <w:t>et</w:t>
      </w:r>
      <w:r w:rsidR="00F404D8" w:rsidRPr="00A63D26">
        <w:rPr>
          <w:noProof/>
        </w:rPr>
        <w:t xml:space="preserve"> </w:t>
      </w:r>
      <w:r w:rsidR="00E17BA5" w:rsidRPr="00A63D26">
        <w:rPr>
          <w:noProof/>
        </w:rPr>
        <w:t>l</w:t>
      </w:r>
      <w:r w:rsidR="00E94EB0" w:rsidRPr="00A63D26">
        <w:rPr>
          <w:noProof/>
        </w:rPr>
        <w:t>’</w:t>
      </w:r>
      <w:r w:rsidR="00F404D8" w:rsidRPr="00A63D26">
        <w:rPr>
          <w:noProof/>
        </w:rPr>
        <w:t xml:space="preserve">Uruguay </w:t>
      </w:r>
      <w:r w:rsidR="00E17BA5" w:rsidRPr="00A63D26">
        <w:rPr>
          <w:noProof/>
        </w:rPr>
        <w:t>y ont</w:t>
      </w:r>
      <w:r w:rsidR="00F404D8" w:rsidRPr="00A63D26">
        <w:rPr>
          <w:noProof/>
        </w:rPr>
        <w:t xml:space="preserve"> partici</w:t>
      </w:r>
      <w:r w:rsidR="00805E4D" w:rsidRPr="00A63D26">
        <w:rPr>
          <w:noProof/>
        </w:rPr>
        <w:t>pé.  Le</w:t>
      </w:r>
      <w:r w:rsidR="00E94EB0" w:rsidRPr="00A63D26">
        <w:rPr>
          <w:noProof/>
        </w:rPr>
        <w:t> CAJ</w:t>
      </w:r>
      <w:r w:rsidR="00F404D8" w:rsidRPr="00A63D26">
        <w:rPr>
          <w:noProof/>
        </w:rPr>
        <w:t xml:space="preserve"> </w:t>
      </w:r>
      <w:r w:rsidR="00935078" w:rsidRPr="00A63D26">
        <w:rPr>
          <w:noProof/>
        </w:rPr>
        <w:t>signale</w:t>
      </w:r>
      <w:r w:rsidR="00E17BA5" w:rsidRPr="00A63D26">
        <w:rPr>
          <w:noProof/>
        </w:rPr>
        <w:t xml:space="preserve"> que les</w:t>
      </w:r>
      <w:r w:rsidR="00101C61" w:rsidRPr="00A63D26">
        <w:rPr>
          <w:noProof/>
        </w:rPr>
        <w:t xml:space="preserve"> pays ci</w:t>
      </w:r>
      <w:r w:rsidR="00805E4D" w:rsidRPr="00A63D26">
        <w:rPr>
          <w:noProof/>
        </w:rPr>
        <w:noBreakHyphen/>
      </w:r>
      <w:r w:rsidR="00101C61" w:rsidRPr="00A63D26">
        <w:rPr>
          <w:noProof/>
        </w:rPr>
        <w:t>après se sont</w:t>
      </w:r>
      <w:r w:rsidR="00F404D8" w:rsidRPr="00A63D26">
        <w:rPr>
          <w:noProof/>
        </w:rPr>
        <w:t xml:space="preserve"> </w:t>
      </w:r>
      <w:r w:rsidR="00101C61" w:rsidRPr="00A63D26">
        <w:rPr>
          <w:noProof/>
        </w:rPr>
        <w:t>engagés</w:t>
      </w:r>
      <w:r w:rsidR="00F404D8" w:rsidRPr="00A63D26">
        <w:rPr>
          <w:noProof/>
        </w:rPr>
        <w:t xml:space="preserve"> </w:t>
      </w:r>
      <w:r w:rsidR="00101C61" w:rsidRPr="00A63D26">
        <w:rPr>
          <w:noProof/>
        </w:rPr>
        <w:t>à commencer à apporter</w:t>
      </w:r>
      <w:r w:rsidR="00F404D8" w:rsidRPr="00A63D26">
        <w:rPr>
          <w:noProof/>
        </w:rPr>
        <w:t xml:space="preserve"> </w:t>
      </w:r>
      <w:r w:rsidR="00101C61" w:rsidRPr="00A63D26">
        <w:rPr>
          <w:noProof/>
        </w:rPr>
        <w:t>des données : l</w:t>
      </w:r>
      <w:r w:rsidR="00E94EB0" w:rsidRPr="00A63D26">
        <w:rPr>
          <w:noProof/>
        </w:rPr>
        <w:t>’</w:t>
      </w:r>
      <w:r w:rsidR="00622DD0" w:rsidRPr="00A63D26">
        <w:rPr>
          <w:noProof/>
        </w:rPr>
        <w:t>Argentin</w:t>
      </w:r>
      <w:r w:rsidR="00101C61" w:rsidRPr="00A63D26">
        <w:rPr>
          <w:noProof/>
        </w:rPr>
        <w:t>e, dès la mi</w:t>
      </w:r>
      <w:r w:rsidR="00805E4D" w:rsidRPr="00A63D26">
        <w:rPr>
          <w:noProof/>
        </w:rPr>
        <w:noBreakHyphen/>
      </w:r>
      <w:r w:rsidR="00101C61" w:rsidRPr="00A63D26">
        <w:rPr>
          <w:noProof/>
        </w:rPr>
        <w:t>décembre </w:t>
      </w:r>
      <w:r w:rsidR="00F404D8" w:rsidRPr="00A63D26">
        <w:rPr>
          <w:noProof/>
        </w:rPr>
        <w:t>2015</w:t>
      </w:r>
      <w:r w:rsidR="00622DD0" w:rsidRPr="00A63D26">
        <w:rPr>
          <w:noProof/>
        </w:rPr>
        <w:t xml:space="preserve">; </w:t>
      </w:r>
      <w:r w:rsidR="00101C61" w:rsidRPr="00A63D26">
        <w:rPr>
          <w:noProof/>
        </w:rPr>
        <w:t xml:space="preserve"> la Bolivie (État plurinational de), dès la fin de </w:t>
      </w:r>
      <w:r w:rsidR="00F404D8" w:rsidRPr="00A63D26">
        <w:rPr>
          <w:noProof/>
        </w:rPr>
        <w:t>2015</w:t>
      </w:r>
      <w:r w:rsidR="00622DD0" w:rsidRPr="00A63D26">
        <w:rPr>
          <w:noProof/>
        </w:rPr>
        <w:t xml:space="preserve">; </w:t>
      </w:r>
      <w:r w:rsidR="00F404D8" w:rsidRPr="00A63D26">
        <w:rPr>
          <w:noProof/>
        </w:rPr>
        <w:t xml:space="preserve"> </w:t>
      </w:r>
      <w:r w:rsidR="00101C61" w:rsidRPr="00A63D26">
        <w:rPr>
          <w:noProof/>
        </w:rPr>
        <w:t>la Colombie, dès la fin de février </w:t>
      </w:r>
      <w:r w:rsidR="00F404D8" w:rsidRPr="00A63D26">
        <w:rPr>
          <w:noProof/>
        </w:rPr>
        <w:t>2016</w:t>
      </w:r>
      <w:r w:rsidR="00622DD0" w:rsidRPr="00A63D26">
        <w:rPr>
          <w:noProof/>
        </w:rPr>
        <w:t xml:space="preserve">; </w:t>
      </w:r>
      <w:r w:rsidR="00101C61" w:rsidRPr="00A63D26">
        <w:rPr>
          <w:noProof/>
        </w:rPr>
        <w:t xml:space="preserve"> l</w:t>
      </w:r>
      <w:r w:rsidR="00E94EB0" w:rsidRPr="00A63D26">
        <w:rPr>
          <w:noProof/>
        </w:rPr>
        <w:t>’</w:t>
      </w:r>
      <w:r w:rsidR="00101C61" w:rsidRPr="00A63D26">
        <w:rPr>
          <w:noProof/>
        </w:rPr>
        <w:t>Équateur, dès la première semaine de</w:t>
      </w:r>
      <w:r w:rsidR="00F404D8" w:rsidRPr="00A63D26">
        <w:rPr>
          <w:noProof/>
        </w:rPr>
        <w:t xml:space="preserve"> </w:t>
      </w:r>
      <w:r w:rsidR="00101C61" w:rsidRPr="00A63D26">
        <w:rPr>
          <w:noProof/>
        </w:rPr>
        <w:t>décembre </w:t>
      </w:r>
      <w:r w:rsidR="00F404D8" w:rsidRPr="00A63D26">
        <w:rPr>
          <w:noProof/>
        </w:rPr>
        <w:t>2015</w:t>
      </w:r>
      <w:r w:rsidR="00622DD0" w:rsidRPr="00A63D26">
        <w:rPr>
          <w:noProof/>
        </w:rPr>
        <w:t xml:space="preserve">; </w:t>
      </w:r>
      <w:r w:rsidR="00B16F6B" w:rsidRPr="00A63D26">
        <w:rPr>
          <w:noProof/>
        </w:rPr>
        <w:t xml:space="preserve"> le </w:t>
      </w:r>
      <w:r w:rsidR="00101C61" w:rsidRPr="00A63D26">
        <w:rPr>
          <w:noProof/>
        </w:rPr>
        <w:t>Mexique, dès la fin de </w:t>
      </w:r>
      <w:r w:rsidR="00622DD0" w:rsidRPr="00A63D26">
        <w:rPr>
          <w:noProof/>
        </w:rPr>
        <w:t xml:space="preserve">2015; </w:t>
      </w:r>
      <w:r w:rsidR="00F404D8" w:rsidRPr="00A63D26">
        <w:rPr>
          <w:noProof/>
        </w:rPr>
        <w:t xml:space="preserve"> </w:t>
      </w:r>
      <w:r w:rsidR="00101C61" w:rsidRPr="00A63D26">
        <w:rPr>
          <w:noProof/>
        </w:rPr>
        <w:t xml:space="preserve">le </w:t>
      </w:r>
      <w:r w:rsidR="00F404D8" w:rsidRPr="00A63D26">
        <w:rPr>
          <w:noProof/>
        </w:rPr>
        <w:t>Nicaragua</w:t>
      </w:r>
      <w:r w:rsidR="00101C61" w:rsidRPr="00A63D26">
        <w:rPr>
          <w:noProof/>
        </w:rPr>
        <w:t>, dès la fin de novembre </w:t>
      </w:r>
      <w:r w:rsidR="00F404D8" w:rsidRPr="00A63D26">
        <w:rPr>
          <w:noProof/>
        </w:rPr>
        <w:t>2015</w:t>
      </w:r>
      <w:r w:rsidR="00622DD0" w:rsidRPr="00A63D26">
        <w:rPr>
          <w:noProof/>
        </w:rPr>
        <w:t xml:space="preserve">; </w:t>
      </w:r>
      <w:r w:rsidR="00F404D8" w:rsidRPr="00A63D26">
        <w:rPr>
          <w:noProof/>
        </w:rPr>
        <w:t xml:space="preserve"> </w:t>
      </w:r>
      <w:r w:rsidR="00101C61" w:rsidRPr="00A63D26">
        <w:rPr>
          <w:noProof/>
        </w:rPr>
        <w:t>le Panama, dès la fin de </w:t>
      </w:r>
      <w:r w:rsidR="00F404D8" w:rsidRPr="00A63D26">
        <w:rPr>
          <w:noProof/>
        </w:rPr>
        <w:t>2015</w:t>
      </w:r>
      <w:r w:rsidR="00622DD0" w:rsidRPr="00A63D26">
        <w:rPr>
          <w:noProof/>
        </w:rPr>
        <w:t xml:space="preserve">; </w:t>
      </w:r>
      <w:r w:rsidR="00F404D8" w:rsidRPr="00A63D26">
        <w:rPr>
          <w:noProof/>
        </w:rPr>
        <w:t xml:space="preserve"> </w:t>
      </w:r>
      <w:r w:rsidR="00101C61" w:rsidRPr="00A63D26">
        <w:rPr>
          <w:noProof/>
        </w:rPr>
        <w:t>le Paraguay, dès la mi</w:t>
      </w:r>
      <w:r w:rsidR="00805E4D" w:rsidRPr="00A63D26">
        <w:rPr>
          <w:noProof/>
        </w:rPr>
        <w:noBreakHyphen/>
      </w:r>
      <w:r w:rsidR="00101C61" w:rsidRPr="00A63D26">
        <w:rPr>
          <w:noProof/>
        </w:rPr>
        <w:t>décembre 2015</w:t>
      </w:r>
      <w:r w:rsidR="00622DD0" w:rsidRPr="00A63D26">
        <w:rPr>
          <w:noProof/>
        </w:rPr>
        <w:t xml:space="preserve">; </w:t>
      </w:r>
      <w:r w:rsidR="00F404D8" w:rsidRPr="00A63D26">
        <w:rPr>
          <w:noProof/>
        </w:rPr>
        <w:t xml:space="preserve"> </w:t>
      </w:r>
      <w:r w:rsidR="00101C61" w:rsidRPr="00A63D26">
        <w:rPr>
          <w:noProof/>
        </w:rPr>
        <w:t>et</w:t>
      </w:r>
      <w:r w:rsidR="00F404D8" w:rsidRPr="00A63D26">
        <w:rPr>
          <w:noProof/>
        </w:rPr>
        <w:t xml:space="preserve"> </w:t>
      </w:r>
      <w:r w:rsidR="00101C61" w:rsidRPr="00A63D26">
        <w:rPr>
          <w:noProof/>
        </w:rPr>
        <w:t>l</w:t>
      </w:r>
      <w:r w:rsidR="00E94EB0" w:rsidRPr="00A63D26">
        <w:rPr>
          <w:noProof/>
        </w:rPr>
        <w:t>’</w:t>
      </w:r>
      <w:r w:rsidR="00101C61" w:rsidRPr="00A63D26">
        <w:rPr>
          <w:noProof/>
        </w:rPr>
        <w:t>Uruguay,</w:t>
      </w:r>
      <w:r w:rsidR="007C1540" w:rsidRPr="00A63D26">
        <w:rPr>
          <w:noProof/>
        </w:rPr>
        <w:t xml:space="preserve"> </w:t>
      </w:r>
      <w:r w:rsidR="00935078" w:rsidRPr="00A63D26">
        <w:rPr>
          <w:noProof/>
        </w:rPr>
        <w:t xml:space="preserve">dès la fin de 2015. </w:t>
      </w:r>
      <w:r w:rsidR="00E94EB0" w:rsidRPr="00A63D26">
        <w:rPr>
          <w:noProof/>
        </w:rPr>
        <w:t xml:space="preserve"> Le CAJ</w:t>
      </w:r>
      <w:r w:rsidR="00935078" w:rsidRPr="00A63D26">
        <w:rPr>
          <w:noProof/>
        </w:rPr>
        <w:t xml:space="preserve"> ajoute que le Chili et le Costa </w:t>
      </w:r>
      <w:r w:rsidR="00F404D8" w:rsidRPr="00A63D26">
        <w:rPr>
          <w:noProof/>
        </w:rPr>
        <w:t xml:space="preserve">Rica </w:t>
      </w:r>
      <w:r w:rsidR="00935078" w:rsidRPr="00A63D26">
        <w:rPr>
          <w:noProof/>
        </w:rPr>
        <w:t>ont</w:t>
      </w:r>
      <w:r w:rsidR="00F404D8" w:rsidRPr="00A63D26">
        <w:rPr>
          <w:noProof/>
        </w:rPr>
        <w:t xml:space="preserve"> </w:t>
      </w:r>
      <w:r w:rsidR="00805A16" w:rsidRPr="00A63D26">
        <w:rPr>
          <w:noProof/>
        </w:rPr>
        <w:t>fourni des données</w:t>
      </w:r>
      <w:r w:rsidR="00F404D8" w:rsidRPr="00A63D26">
        <w:rPr>
          <w:noProof/>
        </w:rPr>
        <w:t xml:space="preserve"> just</w:t>
      </w:r>
      <w:r w:rsidR="00805A16" w:rsidRPr="00A63D26">
        <w:rPr>
          <w:noProof/>
        </w:rPr>
        <w:t>e</w:t>
      </w:r>
      <w:r w:rsidR="00F404D8" w:rsidRPr="00A63D26">
        <w:rPr>
          <w:noProof/>
        </w:rPr>
        <w:t xml:space="preserve"> </w:t>
      </w:r>
      <w:r w:rsidR="00805A16" w:rsidRPr="00A63D26">
        <w:rPr>
          <w:noProof/>
        </w:rPr>
        <w:t>avant le cours</w:t>
      </w:r>
      <w:r w:rsidR="00F404D8" w:rsidRPr="00A63D26">
        <w:rPr>
          <w:noProof/>
        </w:rPr>
        <w:t>.</w:t>
      </w:r>
    </w:p>
    <w:p w:rsidR="0031661C" w:rsidRPr="00A63D26" w:rsidRDefault="0031661C" w:rsidP="00833794">
      <w:pPr>
        <w:spacing w:line="360" w:lineRule="auto"/>
        <w:rPr>
          <w:noProof/>
        </w:rPr>
      </w:pPr>
    </w:p>
    <w:p w:rsidR="0031661C" w:rsidRPr="00A63D26" w:rsidRDefault="00863382" w:rsidP="00863382">
      <w:pPr>
        <w:keepNext/>
        <w:rPr>
          <w:rFonts w:cs="Arial"/>
          <w:i/>
          <w:noProof/>
        </w:rPr>
      </w:pPr>
      <w:r w:rsidRPr="00A63D26">
        <w:rPr>
          <w:rFonts w:cs="Arial"/>
          <w:i/>
          <w:noProof/>
        </w:rPr>
        <w:t>c)</w:t>
      </w:r>
      <w:r w:rsidRPr="00A63D26">
        <w:rPr>
          <w:rFonts w:cs="Arial"/>
          <w:noProof/>
        </w:rPr>
        <w:tab/>
      </w:r>
      <w:r w:rsidRPr="00A63D26">
        <w:rPr>
          <w:rFonts w:cs="Arial"/>
          <w:i/>
          <w:noProof/>
        </w:rPr>
        <w:t>Échange et utilisation de logiciels et d</w:t>
      </w:r>
      <w:r w:rsidR="00E94EB0" w:rsidRPr="00A63D26">
        <w:rPr>
          <w:rFonts w:cs="Arial"/>
          <w:i/>
          <w:noProof/>
        </w:rPr>
        <w:t>’</w:t>
      </w:r>
      <w:r w:rsidRPr="00A63D26">
        <w:rPr>
          <w:rFonts w:cs="Arial"/>
          <w:i/>
          <w:noProof/>
        </w:rPr>
        <w:t>équipements</w:t>
      </w:r>
    </w:p>
    <w:p w:rsidR="0031661C" w:rsidRPr="00A63D26" w:rsidRDefault="0031661C" w:rsidP="00D10A5A">
      <w:pPr>
        <w:keepNext/>
        <w:rPr>
          <w:rFonts w:cs="Arial"/>
          <w:noProof/>
        </w:rPr>
      </w:pPr>
    </w:p>
    <w:p w:rsidR="0031661C" w:rsidRPr="00A63D26" w:rsidRDefault="009B2464" w:rsidP="00863382">
      <w:pPr>
        <w:keepNext/>
        <w:rPr>
          <w:rFonts w:cs="Arial"/>
          <w:noProof/>
        </w:rPr>
      </w:pPr>
      <w:r w:rsidRPr="00A63D26">
        <w:rPr>
          <w:noProof/>
          <w:vertAlign w:val="superscript"/>
        </w:rPr>
        <w:t>*</w:t>
      </w:r>
      <w:r w:rsidR="00AE08BE" w:rsidRPr="00A63D26">
        <w:rPr>
          <w:noProof/>
        </w:rPr>
        <w:fldChar w:fldCharType="begin"/>
      </w:r>
      <w:r w:rsidR="00CA2923" w:rsidRPr="00A63D26">
        <w:rPr>
          <w:noProof/>
        </w:rPr>
        <w:instrText xml:space="preserve"> AUTONUM  </w:instrText>
      </w:r>
      <w:r w:rsidR="00AE08BE" w:rsidRPr="00A63D26">
        <w:rPr>
          <w:noProof/>
        </w:rPr>
        <w:fldChar w:fldCharType="end"/>
      </w:r>
      <w:r w:rsidR="00CA2923" w:rsidRPr="00A63D26">
        <w:rPr>
          <w:noProof/>
        </w:rPr>
        <w:tab/>
      </w:r>
      <w:r w:rsidR="00863382" w:rsidRPr="00A63D26">
        <w:rPr>
          <w:noProof/>
        </w:rPr>
        <w:t>Le CAJ examine le document CAJ/72/7.</w:t>
      </w:r>
    </w:p>
    <w:p w:rsidR="0031661C" w:rsidRPr="00A63D26" w:rsidRDefault="0031661C" w:rsidP="00D10A5A">
      <w:pPr>
        <w:keepNext/>
        <w:rPr>
          <w:rFonts w:cs="Arial"/>
          <w:noProof/>
        </w:rPr>
      </w:pPr>
    </w:p>
    <w:p w:rsidR="0031661C" w:rsidRPr="00A63D26" w:rsidRDefault="009B2464" w:rsidP="00CA2923">
      <w:pPr>
        <w:rPr>
          <w:rFonts w:eastAsia="MS Mincho"/>
          <w:noProof/>
          <w:lang w:eastAsia="ja-JP"/>
        </w:rPr>
      </w:pPr>
      <w:r w:rsidRPr="00A63D26">
        <w:rPr>
          <w:noProof/>
          <w:vertAlign w:val="superscript"/>
        </w:rPr>
        <w:t>*</w:t>
      </w:r>
      <w:r w:rsidR="00AE08BE" w:rsidRPr="00A63D26">
        <w:rPr>
          <w:noProof/>
        </w:rPr>
        <w:fldChar w:fldCharType="begin"/>
      </w:r>
      <w:r w:rsidR="00CA2923" w:rsidRPr="00A63D26">
        <w:rPr>
          <w:noProof/>
        </w:rPr>
        <w:instrText xml:space="preserve"> AUTONUM  </w:instrText>
      </w:r>
      <w:r w:rsidR="00AE08BE" w:rsidRPr="00A63D26">
        <w:rPr>
          <w:noProof/>
        </w:rPr>
        <w:fldChar w:fldCharType="end"/>
      </w:r>
      <w:r w:rsidR="00CA2923" w:rsidRPr="00A63D26">
        <w:rPr>
          <w:noProof/>
        </w:rPr>
        <w:tab/>
      </w:r>
      <w:r w:rsidR="00207B1A" w:rsidRPr="00A63D26">
        <w:rPr>
          <w:rFonts w:eastAsia="MS Mincho"/>
          <w:noProof/>
        </w:rPr>
        <w:t>Le</w:t>
      </w:r>
      <w:r w:rsidR="00CA2923" w:rsidRPr="00A63D26">
        <w:rPr>
          <w:rFonts w:eastAsia="MS Mincho"/>
          <w:noProof/>
        </w:rPr>
        <w:t xml:space="preserve"> C</w:t>
      </w:r>
      <w:r w:rsidR="00CA2923" w:rsidRPr="00A63D26">
        <w:rPr>
          <w:rFonts w:eastAsia="MS Mincho"/>
          <w:noProof/>
          <w:lang w:eastAsia="ja-JP"/>
        </w:rPr>
        <w:t>AJ</w:t>
      </w:r>
      <w:r w:rsidR="00CA2923" w:rsidRPr="00A63D26">
        <w:rPr>
          <w:rFonts w:eastAsia="MS Mincho"/>
          <w:noProof/>
        </w:rPr>
        <w:t xml:space="preserve"> </w:t>
      </w:r>
      <w:r w:rsidR="004C5376" w:rsidRPr="00A63D26">
        <w:rPr>
          <w:rFonts w:eastAsia="MS Mincho"/>
          <w:noProof/>
          <w:lang w:eastAsia="ja-JP"/>
        </w:rPr>
        <w:t xml:space="preserve">indique </w:t>
      </w:r>
      <w:r w:rsidR="0031127A" w:rsidRPr="00A63D26">
        <w:rPr>
          <w:rFonts w:eastAsia="MS Mincho"/>
          <w:noProof/>
          <w:lang w:eastAsia="ja-JP"/>
        </w:rPr>
        <w:t>qu</w:t>
      </w:r>
      <w:r w:rsidR="006919F4" w:rsidRPr="00A63D26">
        <w:rPr>
          <w:rFonts w:eastAsia="MS Mincho"/>
          <w:noProof/>
          <w:lang w:eastAsia="ja-JP"/>
        </w:rPr>
        <w:t>e le</w:t>
      </w:r>
      <w:r w:rsidR="00541CFB" w:rsidRPr="00A63D26">
        <w:rPr>
          <w:rFonts w:eastAsia="MS Mincho"/>
          <w:noProof/>
          <w:lang w:eastAsia="ja-JP"/>
        </w:rPr>
        <w:t xml:space="preserve"> </w:t>
      </w:r>
      <w:r w:rsidR="00E94EB0" w:rsidRPr="00A63D26">
        <w:rPr>
          <w:rFonts w:eastAsia="MS Mincho"/>
          <w:noProof/>
          <w:lang w:eastAsia="ja-JP"/>
        </w:rPr>
        <w:t>TC</w:t>
      </w:r>
      <w:r w:rsidR="00CA2923" w:rsidRPr="00A63D26">
        <w:rPr>
          <w:rFonts w:eastAsia="MS Mincho"/>
          <w:noProof/>
          <w:lang w:eastAsia="ja-JP"/>
        </w:rPr>
        <w:t xml:space="preserve">, </w:t>
      </w:r>
      <w:r w:rsidR="004C5376" w:rsidRPr="00A63D26">
        <w:rPr>
          <w:rFonts w:eastAsia="MS Mincho"/>
          <w:noProof/>
          <w:lang w:eastAsia="ja-JP"/>
        </w:rPr>
        <w:t>à sa cinquante</w:t>
      </w:r>
      <w:r w:rsidR="00805E4D" w:rsidRPr="00A63D26">
        <w:rPr>
          <w:rFonts w:eastAsia="MS Mincho"/>
          <w:noProof/>
          <w:lang w:eastAsia="ja-JP"/>
        </w:rPr>
        <w:noBreakHyphen/>
      </w:r>
      <w:r w:rsidR="004C5376" w:rsidRPr="00A63D26">
        <w:rPr>
          <w:rFonts w:eastAsia="MS Mincho"/>
          <w:noProof/>
          <w:lang w:eastAsia="ja-JP"/>
        </w:rPr>
        <w:t>deuxième</w:t>
      </w:r>
      <w:r w:rsidR="00541CFB" w:rsidRPr="00A63D26">
        <w:rPr>
          <w:rFonts w:eastAsia="MS Mincho"/>
          <w:noProof/>
          <w:lang w:eastAsia="ja-JP"/>
        </w:rPr>
        <w:t xml:space="preserve"> </w:t>
      </w:r>
      <w:r w:rsidR="00CA2923" w:rsidRPr="00A63D26">
        <w:rPr>
          <w:rFonts w:eastAsia="MS Mincho"/>
          <w:noProof/>
          <w:lang w:eastAsia="ja-JP"/>
        </w:rPr>
        <w:t xml:space="preserve">session, </w:t>
      </w:r>
      <w:r w:rsidR="004C5376" w:rsidRPr="00A63D26">
        <w:rPr>
          <w:rFonts w:eastAsia="MS Mincho"/>
          <w:noProof/>
          <w:lang w:eastAsia="ja-JP"/>
        </w:rPr>
        <w:t>qui se tiendra à</w:t>
      </w:r>
      <w:r w:rsidR="00541CFB" w:rsidRPr="00A63D26">
        <w:rPr>
          <w:rFonts w:eastAsia="MS Mincho"/>
          <w:noProof/>
          <w:lang w:eastAsia="ja-JP"/>
        </w:rPr>
        <w:t xml:space="preserve"> </w:t>
      </w:r>
      <w:r w:rsidR="004C5376" w:rsidRPr="00A63D26">
        <w:rPr>
          <w:rFonts w:eastAsia="MS Mincho"/>
          <w:noProof/>
          <w:lang w:eastAsia="ja-JP"/>
        </w:rPr>
        <w:t>Genè</w:t>
      </w:r>
      <w:r w:rsidR="00CA2923" w:rsidRPr="00A63D26">
        <w:rPr>
          <w:rFonts w:eastAsia="MS Mincho"/>
          <w:noProof/>
          <w:lang w:eastAsia="ja-JP"/>
        </w:rPr>
        <w:t>v</w:t>
      </w:r>
      <w:r w:rsidR="004C5376" w:rsidRPr="00A63D26">
        <w:rPr>
          <w:rFonts w:eastAsia="MS Mincho"/>
          <w:noProof/>
          <w:lang w:eastAsia="ja-JP"/>
        </w:rPr>
        <w:t>e</w:t>
      </w:r>
      <w:r w:rsidR="00CA2923" w:rsidRPr="00A63D26">
        <w:rPr>
          <w:rFonts w:eastAsia="MS Mincho"/>
          <w:noProof/>
          <w:lang w:eastAsia="ja-JP"/>
        </w:rPr>
        <w:t xml:space="preserve"> </w:t>
      </w:r>
      <w:r w:rsidR="004C5376" w:rsidRPr="00A63D26">
        <w:rPr>
          <w:rFonts w:eastAsia="MS Mincho"/>
          <w:noProof/>
          <w:lang w:eastAsia="ja-JP"/>
        </w:rPr>
        <w:t xml:space="preserve">du </w:t>
      </w:r>
      <w:r w:rsidR="00541CFB" w:rsidRPr="00A63D26">
        <w:rPr>
          <w:rFonts w:eastAsia="MS Mincho"/>
          <w:noProof/>
          <w:lang w:eastAsia="ja-JP"/>
        </w:rPr>
        <w:br/>
      </w:r>
      <w:r w:rsidR="00CA2923" w:rsidRPr="00A63D26">
        <w:rPr>
          <w:rFonts w:eastAsia="MS Mincho"/>
          <w:noProof/>
          <w:lang w:eastAsia="ja-JP"/>
        </w:rPr>
        <w:t xml:space="preserve">14 </w:t>
      </w:r>
      <w:r w:rsidR="004C5376" w:rsidRPr="00A63D26">
        <w:rPr>
          <w:rFonts w:eastAsia="MS Mincho"/>
          <w:noProof/>
          <w:lang w:eastAsia="ja-JP"/>
        </w:rPr>
        <w:t>au</w:t>
      </w:r>
      <w:r w:rsidR="006919F4" w:rsidRPr="00A63D26">
        <w:rPr>
          <w:rFonts w:eastAsia="MS Mincho"/>
          <w:noProof/>
          <w:lang w:eastAsia="ja-JP"/>
        </w:rPr>
        <w:t> </w:t>
      </w:r>
      <w:r w:rsidR="004C5376" w:rsidRPr="00A63D26">
        <w:rPr>
          <w:rFonts w:eastAsia="MS Mincho"/>
          <w:noProof/>
          <w:lang w:eastAsia="ja-JP"/>
        </w:rPr>
        <w:t>16 mars </w:t>
      </w:r>
      <w:r w:rsidR="00CA2923" w:rsidRPr="00A63D26">
        <w:rPr>
          <w:rFonts w:eastAsia="MS Mincho"/>
          <w:noProof/>
          <w:lang w:eastAsia="ja-JP"/>
        </w:rPr>
        <w:t xml:space="preserve">2016, </w:t>
      </w:r>
      <w:r w:rsidR="006919F4" w:rsidRPr="00A63D26">
        <w:rPr>
          <w:rFonts w:eastAsia="MS Mincho"/>
          <w:noProof/>
          <w:lang w:eastAsia="ja-JP"/>
        </w:rPr>
        <w:t>sera informé que les débats sur l</w:t>
      </w:r>
      <w:r w:rsidR="00E94EB0" w:rsidRPr="00A63D26">
        <w:rPr>
          <w:rFonts w:eastAsia="MS Mincho"/>
          <w:noProof/>
          <w:lang w:eastAsia="ja-JP"/>
        </w:rPr>
        <w:t>’</w:t>
      </w:r>
      <w:r w:rsidR="006919F4" w:rsidRPr="00A63D26">
        <w:rPr>
          <w:rFonts w:eastAsia="MS Mincho"/>
          <w:noProof/>
          <w:lang w:eastAsia="ja-JP"/>
        </w:rPr>
        <w:t xml:space="preserve">inclusion dans le </w:t>
      </w:r>
      <w:r w:rsidR="00E94EB0" w:rsidRPr="00A63D26">
        <w:rPr>
          <w:rFonts w:eastAsia="MS Mincho"/>
          <w:noProof/>
          <w:lang w:eastAsia="ja-JP"/>
        </w:rPr>
        <w:t>document UP</w:t>
      </w:r>
      <w:r w:rsidR="00CA2923" w:rsidRPr="00A63D26">
        <w:rPr>
          <w:rFonts w:eastAsia="MS Mincho"/>
          <w:noProof/>
          <w:lang w:eastAsia="ja-JP"/>
        </w:rPr>
        <w:t xml:space="preserve">OV/INF/16 </w:t>
      </w:r>
      <w:r w:rsidR="006919F4" w:rsidRPr="00A63D26">
        <w:rPr>
          <w:rFonts w:eastAsia="MS Mincho"/>
          <w:noProof/>
          <w:lang w:eastAsia="ja-JP"/>
        </w:rPr>
        <w:t xml:space="preserve">du logiciel SISNAVA se poursuivront au sein du </w:t>
      </w:r>
      <w:r w:rsidR="004B0D34" w:rsidRPr="00A63D26">
        <w:rPr>
          <w:rFonts w:eastAsia="MS Mincho"/>
          <w:noProof/>
          <w:lang w:eastAsia="ja-JP"/>
        </w:rPr>
        <w:t>Groupe de travail technique sur les systèmes d</w:t>
      </w:r>
      <w:r w:rsidR="00E94EB0" w:rsidRPr="00A63D26">
        <w:rPr>
          <w:rFonts w:eastAsia="MS Mincho"/>
          <w:noProof/>
          <w:lang w:eastAsia="ja-JP"/>
        </w:rPr>
        <w:t>’</w:t>
      </w:r>
      <w:r w:rsidR="004B0D34" w:rsidRPr="00A63D26">
        <w:rPr>
          <w:rFonts w:eastAsia="MS Mincho"/>
          <w:noProof/>
          <w:lang w:eastAsia="ja-JP"/>
        </w:rPr>
        <w:t>automatisation et les programmes d</w:t>
      </w:r>
      <w:r w:rsidR="00E94EB0" w:rsidRPr="00A63D26">
        <w:rPr>
          <w:rFonts w:eastAsia="MS Mincho"/>
          <w:noProof/>
          <w:lang w:eastAsia="ja-JP"/>
        </w:rPr>
        <w:t>’</w:t>
      </w:r>
      <w:r w:rsidR="004B0D34" w:rsidRPr="00A63D26">
        <w:rPr>
          <w:rFonts w:eastAsia="MS Mincho"/>
          <w:noProof/>
          <w:lang w:eastAsia="ja-JP"/>
        </w:rPr>
        <w:t xml:space="preserve">ordinateur </w:t>
      </w:r>
      <w:r w:rsidR="003D2D16" w:rsidRPr="00A63D26">
        <w:rPr>
          <w:rFonts w:eastAsia="MS Mincho"/>
          <w:noProof/>
          <w:lang w:eastAsia="ja-JP"/>
        </w:rPr>
        <w:t>(TWC)</w:t>
      </w:r>
      <w:r w:rsidR="00CA2923" w:rsidRPr="00A63D26">
        <w:rPr>
          <w:rFonts w:eastAsia="MS Mincho"/>
          <w:noProof/>
          <w:lang w:eastAsia="ja-JP"/>
        </w:rPr>
        <w:t xml:space="preserve">, </w:t>
      </w:r>
      <w:r w:rsidR="006919F4" w:rsidRPr="00A63D26">
        <w:rPr>
          <w:rFonts w:eastAsia="MS Mincho"/>
          <w:noProof/>
          <w:lang w:eastAsia="ja-JP"/>
        </w:rPr>
        <w:t>à sa trente</w:t>
      </w:r>
      <w:r w:rsidR="00805E4D" w:rsidRPr="00A63D26">
        <w:rPr>
          <w:rFonts w:eastAsia="MS Mincho"/>
          <w:noProof/>
          <w:lang w:eastAsia="ja-JP"/>
        </w:rPr>
        <w:noBreakHyphen/>
      </w:r>
      <w:r w:rsidR="006919F4" w:rsidRPr="00A63D26">
        <w:rPr>
          <w:rFonts w:eastAsia="MS Mincho"/>
          <w:noProof/>
          <w:lang w:eastAsia="ja-JP"/>
        </w:rPr>
        <w:t>quatrième</w:t>
      </w:r>
      <w:r w:rsidR="00E73D21" w:rsidRPr="00A63D26">
        <w:rPr>
          <w:rFonts w:eastAsia="MS Mincho"/>
          <w:noProof/>
          <w:lang w:eastAsia="ja-JP"/>
        </w:rPr>
        <w:t> </w:t>
      </w:r>
      <w:r w:rsidR="00CA2923" w:rsidRPr="00A63D26">
        <w:rPr>
          <w:rFonts w:eastAsia="MS Mincho"/>
          <w:noProof/>
          <w:lang w:eastAsia="ja-JP"/>
        </w:rPr>
        <w:t>session</w:t>
      </w:r>
      <w:r w:rsidR="007C1540" w:rsidRPr="00A63D26">
        <w:rPr>
          <w:rFonts w:eastAsia="MS Mincho"/>
          <w:noProof/>
          <w:lang w:eastAsia="ja-JP"/>
        </w:rPr>
        <w:t xml:space="preserve">, </w:t>
      </w:r>
      <w:r w:rsidR="004C5376" w:rsidRPr="00A63D26">
        <w:rPr>
          <w:rFonts w:eastAsia="MS Mincho"/>
          <w:noProof/>
          <w:lang w:eastAsia="ja-JP"/>
        </w:rPr>
        <w:t>e</w:t>
      </w:r>
      <w:r w:rsidR="006919F4" w:rsidRPr="00A63D26">
        <w:rPr>
          <w:rFonts w:eastAsia="MS Mincho"/>
          <w:noProof/>
          <w:lang w:eastAsia="ja-JP"/>
        </w:rPr>
        <w:t>n </w:t>
      </w:r>
      <w:r w:rsidR="00CA2923" w:rsidRPr="00A63D26">
        <w:rPr>
          <w:rFonts w:eastAsia="MS Mincho"/>
          <w:noProof/>
          <w:lang w:eastAsia="ja-JP"/>
        </w:rPr>
        <w:t>2016.</w:t>
      </w:r>
    </w:p>
    <w:p w:rsidR="0031661C" w:rsidRPr="00A63D26" w:rsidRDefault="0031661C" w:rsidP="00AB12CF">
      <w:pPr>
        <w:rPr>
          <w:rFonts w:cs="Arial"/>
          <w:noProof/>
        </w:rPr>
      </w:pPr>
    </w:p>
    <w:p w:rsidR="0031661C" w:rsidRPr="00A63D26" w:rsidRDefault="0031661C" w:rsidP="00AB12CF">
      <w:pPr>
        <w:rPr>
          <w:rFonts w:cs="Arial"/>
          <w:noProof/>
        </w:rPr>
      </w:pPr>
    </w:p>
    <w:p w:rsidR="0031661C" w:rsidRPr="00A63D26" w:rsidRDefault="00863382" w:rsidP="00800E16">
      <w:pPr>
        <w:keepNext/>
        <w:rPr>
          <w:rFonts w:cs="Arial"/>
          <w:noProof/>
          <w:u w:val="single"/>
        </w:rPr>
      </w:pPr>
      <w:r w:rsidRPr="00A63D26">
        <w:rPr>
          <w:rFonts w:cs="Arial"/>
          <w:noProof/>
          <w:u w:val="single"/>
        </w:rPr>
        <w:t>Programm</w:t>
      </w:r>
      <w:r w:rsidR="00FF4319" w:rsidRPr="00A63D26">
        <w:rPr>
          <w:rFonts w:cs="Arial"/>
          <w:noProof/>
          <w:u w:val="single"/>
        </w:rPr>
        <w:t>e de la soixante</w:t>
      </w:r>
      <w:r w:rsidR="00805E4D" w:rsidRPr="00A63D26">
        <w:rPr>
          <w:rFonts w:cs="Arial"/>
          <w:noProof/>
          <w:u w:val="single"/>
        </w:rPr>
        <w:noBreakHyphen/>
      </w:r>
      <w:r w:rsidRPr="00A63D26">
        <w:rPr>
          <w:rFonts w:cs="Arial"/>
          <w:noProof/>
          <w:u w:val="single"/>
        </w:rPr>
        <w:t>treizième</w:t>
      </w:r>
      <w:r w:rsidR="00E73D21" w:rsidRPr="00A63D26">
        <w:rPr>
          <w:rFonts w:cs="Arial"/>
          <w:noProof/>
          <w:u w:val="single"/>
        </w:rPr>
        <w:t> </w:t>
      </w:r>
      <w:r w:rsidRPr="00A63D26">
        <w:rPr>
          <w:rFonts w:cs="Arial"/>
          <w:noProof/>
          <w:u w:val="single"/>
        </w:rPr>
        <w:t>session</w:t>
      </w:r>
    </w:p>
    <w:p w:rsidR="0031661C" w:rsidRPr="00A63D26" w:rsidRDefault="0031661C" w:rsidP="00800E16">
      <w:pPr>
        <w:keepNext/>
        <w:rPr>
          <w:rFonts w:cs="Arial"/>
          <w:noProof/>
        </w:rPr>
      </w:pPr>
    </w:p>
    <w:p w:rsidR="0031661C" w:rsidRPr="00A63D26" w:rsidRDefault="009B2464" w:rsidP="00800E16">
      <w:pPr>
        <w:keepNext/>
        <w:rPr>
          <w:rFonts w:cs="Arial"/>
          <w:noProof/>
        </w:rPr>
      </w:pPr>
      <w:r w:rsidRPr="00A63D26">
        <w:rPr>
          <w:noProof/>
          <w:vertAlign w:val="superscript"/>
        </w:rPr>
        <w:t>*</w:t>
      </w:r>
      <w:r w:rsidR="00AE08BE" w:rsidRPr="00A63D26">
        <w:rPr>
          <w:noProof/>
        </w:rPr>
        <w:fldChar w:fldCharType="begin"/>
      </w:r>
      <w:r w:rsidR="00CA2923" w:rsidRPr="00A63D26">
        <w:rPr>
          <w:noProof/>
        </w:rPr>
        <w:instrText xml:space="preserve"> AUTONUM  </w:instrText>
      </w:r>
      <w:r w:rsidR="00AE08BE" w:rsidRPr="00A63D26">
        <w:rPr>
          <w:noProof/>
        </w:rPr>
        <w:fldChar w:fldCharType="end"/>
      </w:r>
      <w:r w:rsidR="00CA2923" w:rsidRPr="00A63D26">
        <w:rPr>
          <w:noProof/>
        </w:rPr>
        <w:tab/>
      </w:r>
      <w:r w:rsidR="00863382" w:rsidRPr="00A63D26">
        <w:rPr>
          <w:noProof/>
        </w:rPr>
        <w:t>Le CAJ examine le document CAJ/72/8.</w:t>
      </w:r>
    </w:p>
    <w:p w:rsidR="0031661C" w:rsidRPr="00A63D26" w:rsidRDefault="0031661C" w:rsidP="00800E16">
      <w:pPr>
        <w:keepNext/>
        <w:rPr>
          <w:rFonts w:cs="Arial"/>
          <w:noProof/>
        </w:rPr>
      </w:pPr>
    </w:p>
    <w:p w:rsidR="0031661C" w:rsidRPr="00A63D26" w:rsidRDefault="009B2464" w:rsidP="00800E16">
      <w:pPr>
        <w:keepNext/>
        <w:rPr>
          <w:rFonts w:cs="Arial"/>
          <w:noProof/>
        </w:rPr>
      </w:pPr>
      <w:r w:rsidRPr="00A63D26">
        <w:rPr>
          <w:noProof/>
          <w:vertAlign w:val="superscript"/>
        </w:rPr>
        <w:t>*</w:t>
      </w:r>
      <w:r w:rsidR="00AE08BE" w:rsidRPr="00A63D26">
        <w:rPr>
          <w:rFonts w:cs="Arial"/>
          <w:noProof/>
        </w:rPr>
        <w:fldChar w:fldCharType="begin"/>
      </w:r>
      <w:r w:rsidR="00CA2923" w:rsidRPr="00A63D26">
        <w:rPr>
          <w:rFonts w:cs="Arial"/>
          <w:noProof/>
        </w:rPr>
        <w:instrText xml:space="preserve"> AUTONUM  </w:instrText>
      </w:r>
      <w:r w:rsidR="00AE08BE" w:rsidRPr="00A63D26">
        <w:rPr>
          <w:rFonts w:cs="Arial"/>
          <w:noProof/>
        </w:rPr>
        <w:fldChar w:fldCharType="end"/>
      </w:r>
      <w:r w:rsidR="00CA2923" w:rsidRPr="00A63D26">
        <w:rPr>
          <w:rFonts w:cs="Arial"/>
          <w:noProof/>
        </w:rPr>
        <w:tab/>
      </w:r>
      <w:r w:rsidR="00863382" w:rsidRPr="00A63D26">
        <w:rPr>
          <w:rFonts w:cs="Arial"/>
          <w:noProof/>
        </w:rPr>
        <w:t>Le programme ci</w:t>
      </w:r>
      <w:r w:rsidR="00805E4D" w:rsidRPr="00A63D26">
        <w:rPr>
          <w:rFonts w:cs="Arial"/>
          <w:noProof/>
        </w:rPr>
        <w:noBreakHyphen/>
      </w:r>
      <w:r w:rsidR="00863382" w:rsidRPr="00A63D26">
        <w:rPr>
          <w:rFonts w:cs="Arial"/>
          <w:noProof/>
        </w:rPr>
        <w:t>après est approuvé pour la soixante</w:t>
      </w:r>
      <w:r w:rsidR="00805E4D" w:rsidRPr="00A63D26">
        <w:rPr>
          <w:rFonts w:cs="Arial"/>
          <w:noProof/>
        </w:rPr>
        <w:noBreakHyphen/>
      </w:r>
      <w:r w:rsidR="00863382" w:rsidRPr="00A63D26">
        <w:rPr>
          <w:rFonts w:cs="Arial"/>
          <w:noProof/>
        </w:rPr>
        <w:t>treizième</w:t>
      </w:r>
      <w:r w:rsidR="00E73D21" w:rsidRPr="00A63D26">
        <w:rPr>
          <w:rFonts w:cs="Arial"/>
          <w:noProof/>
        </w:rPr>
        <w:t> </w:t>
      </w:r>
      <w:r w:rsidR="00863382" w:rsidRPr="00A63D26">
        <w:rPr>
          <w:rFonts w:cs="Arial"/>
          <w:noProof/>
        </w:rPr>
        <w:t>session</w:t>
      </w:r>
      <w:r w:rsidR="00E94EB0" w:rsidRPr="00A63D26">
        <w:rPr>
          <w:rFonts w:cs="Arial"/>
          <w:noProof/>
        </w:rPr>
        <w:t xml:space="preserve"> du CAJ</w:t>
      </w:r>
      <w:r w:rsidR="00E73D21" w:rsidRPr="00A63D26">
        <w:rPr>
          <w:rFonts w:cs="Arial"/>
          <w:noProof/>
        </w:rPr>
        <w:t> </w:t>
      </w:r>
      <w:r w:rsidR="00863382" w:rsidRPr="00A63D26">
        <w:rPr>
          <w:rFonts w:cs="Arial"/>
          <w:noProof/>
        </w:rPr>
        <w:t>:</w:t>
      </w:r>
    </w:p>
    <w:p w:rsidR="0031661C" w:rsidRPr="00A63D26" w:rsidRDefault="0031661C" w:rsidP="00800E16">
      <w:pPr>
        <w:keepNext/>
        <w:rPr>
          <w:rFonts w:cs="Arial"/>
          <w:noProof/>
        </w:rPr>
      </w:pPr>
    </w:p>
    <w:p w:rsidR="0031661C" w:rsidRPr="00A63D26" w:rsidRDefault="00863382" w:rsidP="00863382">
      <w:pPr>
        <w:tabs>
          <w:tab w:val="left" w:pos="567"/>
        </w:tabs>
        <w:spacing w:after="120"/>
        <w:ind w:left="1134" w:hanging="567"/>
        <w:rPr>
          <w:noProof/>
          <w:kern w:val="28"/>
        </w:rPr>
      </w:pPr>
      <w:r w:rsidRPr="00A63D26">
        <w:rPr>
          <w:noProof/>
          <w:kern w:val="28"/>
        </w:rPr>
        <w:t>1.</w:t>
      </w:r>
      <w:r w:rsidRPr="00A63D26">
        <w:rPr>
          <w:noProof/>
          <w:kern w:val="28"/>
        </w:rPr>
        <w:tab/>
        <w:t>Ouverture de la session</w:t>
      </w:r>
    </w:p>
    <w:p w:rsidR="0031661C" w:rsidRPr="00A63D26" w:rsidRDefault="00863382" w:rsidP="00863382">
      <w:pPr>
        <w:tabs>
          <w:tab w:val="left" w:pos="567"/>
        </w:tabs>
        <w:spacing w:after="120"/>
        <w:ind w:left="1134" w:hanging="567"/>
        <w:rPr>
          <w:noProof/>
          <w:kern w:val="28"/>
        </w:rPr>
      </w:pPr>
      <w:r w:rsidRPr="00A63D26">
        <w:rPr>
          <w:noProof/>
          <w:kern w:val="28"/>
        </w:rPr>
        <w:t>2.</w:t>
      </w:r>
      <w:r w:rsidRPr="00A63D26">
        <w:rPr>
          <w:noProof/>
          <w:kern w:val="28"/>
        </w:rPr>
        <w:tab/>
        <w:t>Adoption de l</w:t>
      </w:r>
      <w:r w:rsidR="00E94EB0" w:rsidRPr="00A63D26">
        <w:rPr>
          <w:noProof/>
          <w:kern w:val="28"/>
        </w:rPr>
        <w:t>’</w:t>
      </w:r>
      <w:r w:rsidRPr="00A63D26">
        <w:rPr>
          <w:noProof/>
          <w:kern w:val="28"/>
        </w:rPr>
        <w:t>ordre du jour</w:t>
      </w:r>
    </w:p>
    <w:p w:rsidR="0031661C" w:rsidRPr="00A63D26" w:rsidRDefault="00863382" w:rsidP="00863382">
      <w:pPr>
        <w:tabs>
          <w:tab w:val="left" w:pos="567"/>
        </w:tabs>
        <w:spacing w:after="120"/>
        <w:ind w:left="1134" w:hanging="567"/>
        <w:rPr>
          <w:noProof/>
          <w:kern w:val="28"/>
        </w:rPr>
      </w:pPr>
      <w:r w:rsidRPr="00A63D26">
        <w:rPr>
          <w:noProof/>
          <w:kern w:val="28"/>
        </w:rPr>
        <w:t>3.</w:t>
      </w:r>
      <w:r w:rsidRPr="00A63D26">
        <w:rPr>
          <w:noProof/>
          <w:kern w:val="28"/>
        </w:rPr>
        <w:tab/>
        <w:t xml:space="preserve">Rapport sur les faits </w:t>
      </w:r>
      <w:r w:rsidR="00541CFB" w:rsidRPr="00A63D26">
        <w:rPr>
          <w:noProof/>
          <w:kern w:val="28"/>
        </w:rPr>
        <w:t>nouveaux</w:t>
      </w:r>
      <w:r w:rsidRPr="00A63D26">
        <w:rPr>
          <w:noProof/>
          <w:kern w:val="28"/>
        </w:rPr>
        <w:t xml:space="preserve"> intervenus </w:t>
      </w:r>
      <w:r w:rsidR="00541CFB" w:rsidRPr="00A63D26">
        <w:rPr>
          <w:noProof/>
          <w:kern w:val="28"/>
        </w:rPr>
        <w:t xml:space="preserve">au sein du </w:t>
      </w:r>
      <w:r w:rsidRPr="00A63D26">
        <w:rPr>
          <w:noProof/>
          <w:kern w:val="28"/>
        </w:rPr>
        <w:t>Comité technique</w:t>
      </w:r>
    </w:p>
    <w:p w:rsidR="00E94EB0" w:rsidRPr="00A63D26" w:rsidRDefault="00863382" w:rsidP="00863382">
      <w:pPr>
        <w:spacing w:after="120"/>
        <w:ind w:left="1134" w:hanging="567"/>
        <w:rPr>
          <w:noProof/>
          <w:kern w:val="28"/>
        </w:rPr>
      </w:pPr>
      <w:r w:rsidRPr="00A63D26">
        <w:rPr>
          <w:noProof/>
          <w:kern w:val="28"/>
        </w:rPr>
        <w:t>4.</w:t>
      </w:r>
      <w:r w:rsidRPr="00A63D26">
        <w:rPr>
          <w:noProof/>
          <w:kern w:val="28"/>
        </w:rPr>
        <w:tab/>
        <w:t>Élaboration de matériel d</w:t>
      </w:r>
      <w:r w:rsidR="00E94EB0" w:rsidRPr="00A63D26">
        <w:rPr>
          <w:noProof/>
          <w:kern w:val="28"/>
        </w:rPr>
        <w:t>’</w:t>
      </w:r>
      <w:r w:rsidRPr="00A63D26">
        <w:rPr>
          <w:noProof/>
          <w:kern w:val="28"/>
        </w:rPr>
        <w:t xml:space="preserve">information concernant la </w:t>
      </w:r>
      <w:r w:rsidR="00E94EB0" w:rsidRPr="00A63D26">
        <w:rPr>
          <w:noProof/>
          <w:kern w:val="28"/>
        </w:rPr>
        <w:t>Convention UPOV</w:t>
      </w:r>
    </w:p>
    <w:p w:rsidR="00E94EB0" w:rsidRPr="00A63D26" w:rsidRDefault="00DC0D64" w:rsidP="00622DD0">
      <w:pPr>
        <w:spacing w:after="120"/>
        <w:ind w:left="1701" w:right="567" w:hanging="567"/>
        <w:rPr>
          <w:noProof/>
        </w:rPr>
      </w:pPr>
      <w:r w:rsidRPr="00A63D26">
        <w:rPr>
          <w:noProof/>
        </w:rPr>
        <w:t>a)</w:t>
      </w:r>
      <w:r w:rsidRPr="00A63D26">
        <w:rPr>
          <w:noProof/>
        </w:rPr>
        <w:tab/>
      </w:r>
      <w:r w:rsidR="00D32FB0" w:rsidRPr="00A63D26">
        <w:rPr>
          <w:noProof/>
        </w:rPr>
        <w:t>Notes explicatives sur les variétés essentiellement dérivées selon l</w:t>
      </w:r>
      <w:r w:rsidR="00E94EB0" w:rsidRPr="00A63D26">
        <w:rPr>
          <w:noProof/>
        </w:rPr>
        <w:t>’</w:t>
      </w:r>
      <w:r w:rsidR="00D32FB0" w:rsidRPr="00A63D26">
        <w:rPr>
          <w:noProof/>
        </w:rPr>
        <w:t>Act</w:t>
      </w:r>
      <w:r w:rsidR="00425583" w:rsidRPr="00A63D26">
        <w:rPr>
          <w:noProof/>
        </w:rPr>
        <w:t xml:space="preserve">e de 1991 de la </w:t>
      </w:r>
      <w:r w:rsidR="00E94EB0" w:rsidRPr="00A63D26">
        <w:rPr>
          <w:noProof/>
        </w:rPr>
        <w:t>Convention UPOV</w:t>
      </w:r>
      <w:r w:rsidR="00D32FB0" w:rsidRPr="00A63D26">
        <w:rPr>
          <w:noProof/>
        </w:rPr>
        <w:t xml:space="preserve"> (révision) </w:t>
      </w:r>
      <w:r w:rsidRPr="00A63D26">
        <w:rPr>
          <w:noProof/>
        </w:rPr>
        <w:t xml:space="preserve">(document </w:t>
      </w:r>
      <w:r w:rsidR="0029236A" w:rsidRPr="00A63D26">
        <w:rPr>
          <w:noProof/>
        </w:rPr>
        <w:t>UPOV/EXN/EDV/2 Draft </w:t>
      </w:r>
      <w:r w:rsidRPr="00A63D26">
        <w:rPr>
          <w:noProof/>
        </w:rPr>
        <w:t xml:space="preserve">7) </w:t>
      </w:r>
      <w:r w:rsidR="00D32FB0" w:rsidRPr="00A63D26">
        <w:rPr>
          <w:noProof/>
        </w:rPr>
        <w:t>et</w:t>
      </w:r>
      <w:r w:rsidRPr="00A63D26">
        <w:rPr>
          <w:noProof/>
        </w:rPr>
        <w:t xml:space="preserve"> </w:t>
      </w:r>
      <w:r w:rsidR="005D17DE" w:rsidRPr="00A63D26">
        <w:rPr>
          <w:noProof/>
        </w:rPr>
        <w:t>exposés de</w:t>
      </w:r>
      <w:r w:rsidR="004B15B7" w:rsidRPr="00A63D26">
        <w:rPr>
          <w:noProof/>
        </w:rPr>
        <w:t xml:space="preserve"> </w:t>
      </w:r>
      <w:r w:rsidR="0099179D" w:rsidRPr="00A63D26">
        <w:rPr>
          <w:noProof/>
        </w:rPr>
        <w:t xml:space="preserve">la </w:t>
      </w:r>
      <w:r w:rsidR="00947EC7" w:rsidRPr="00A63D26">
        <w:rPr>
          <w:i/>
          <w:noProof/>
        </w:rPr>
        <w:t>European Seed Association</w:t>
      </w:r>
      <w:r w:rsidR="00947EC7" w:rsidRPr="00A63D26">
        <w:rPr>
          <w:noProof/>
        </w:rPr>
        <w:t xml:space="preserve"> (ESA)</w:t>
      </w:r>
      <w:r w:rsidRPr="00A63D26">
        <w:rPr>
          <w:noProof/>
        </w:rPr>
        <w:t xml:space="preserve"> </w:t>
      </w:r>
      <w:r w:rsidR="005D17DE" w:rsidRPr="00A63D26">
        <w:rPr>
          <w:noProof/>
        </w:rPr>
        <w:t>et de</w:t>
      </w:r>
      <w:r w:rsidR="004B15B7" w:rsidRPr="00A63D26">
        <w:rPr>
          <w:noProof/>
        </w:rPr>
        <w:t xml:space="preserve"> </w:t>
      </w:r>
      <w:r w:rsidR="0099179D" w:rsidRPr="00A63D26">
        <w:rPr>
          <w:noProof/>
        </w:rPr>
        <w:t>l</w:t>
      </w:r>
      <w:r w:rsidR="00E94EB0" w:rsidRPr="00A63D26">
        <w:rPr>
          <w:noProof/>
        </w:rPr>
        <w:t>’</w:t>
      </w:r>
      <w:r w:rsidR="00947EC7" w:rsidRPr="00A63D26">
        <w:rPr>
          <w:i/>
          <w:noProof/>
        </w:rPr>
        <w:t>International Seed Federation</w:t>
      </w:r>
      <w:r w:rsidR="00947EC7" w:rsidRPr="00A63D26">
        <w:rPr>
          <w:noProof/>
        </w:rPr>
        <w:t xml:space="preserve"> (ISF)</w:t>
      </w:r>
    </w:p>
    <w:p w:rsidR="0031661C" w:rsidRPr="00A63D26" w:rsidRDefault="00DC0D64" w:rsidP="00622DD0">
      <w:pPr>
        <w:spacing w:after="120"/>
        <w:ind w:left="1701" w:right="567" w:hanging="567"/>
        <w:rPr>
          <w:noProof/>
        </w:rPr>
      </w:pPr>
      <w:r w:rsidRPr="00A63D26">
        <w:rPr>
          <w:noProof/>
        </w:rPr>
        <w:t>b)</w:t>
      </w:r>
      <w:r w:rsidRPr="00A63D26">
        <w:rPr>
          <w:noProof/>
        </w:rPr>
        <w:tab/>
      </w:r>
      <w:r w:rsidR="000415D8" w:rsidRPr="00A63D26">
        <w:rPr>
          <w:noProof/>
        </w:rPr>
        <w:t>Révision éventuelle des notes explicatives sur les conditions et limitations relatives à l</w:t>
      </w:r>
      <w:r w:rsidR="00E94EB0" w:rsidRPr="00A63D26">
        <w:rPr>
          <w:noProof/>
        </w:rPr>
        <w:t>’</w:t>
      </w:r>
      <w:r w:rsidR="000415D8" w:rsidRPr="00A63D26">
        <w:rPr>
          <w:noProof/>
        </w:rPr>
        <w:t>autorisation de l</w:t>
      </w:r>
      <w:r w:rsidR="00E94EB0" w:rsidRPr="00A63D26">
        <w:rPr>
          <w:noProof/>
        </w:rPr>
        <w:t>’</w:t>
      </w:r>
      <w:r w:rsidR="000415D8" w:rsidRPr="00A63D26">
        <w:rPr>
          <w:noProof/>
        </w:rPr>
        <w:t xml:space="preserve">obtenteur </w:t>
      </w:r>
      <w:r w:rsidR="00E94EB0" w:rsidRPr="00A63D26">
        <w:rPr>
          <w:noProof/>
        </w:rPr>
        <w:t>à l’égard</w:t>
      </w:r>
      <w:r w:rsidR="000415D8" w:rsidRPr="00A63D26">
        <w:rPr>
          <w:noProof/>
        </w:rPr>
        <w:t xml:space="preserve"> du matériel de reproduction ou de multiplication selon la </w:t>
      </w:r>
      <w:r w:rsidR="00E94EB0" w:rsidRPr="00A63D26">
        <w:rPr>
          <w:noProof/>
        </w:rPr>
        <w:t>Convention UPOV</w:t>
      </w:r>
      <w:r w:rsidR="000415D8" w:rsidRPr="00A63D26">
        <w:rPr>
          <w:noProof/>
        </w:rPr>
        <w:t xml:space="preserve"> </w:t>
      </w:r>
      <w:r w:rsidRPr="00A63D26">
        <w:rPr>
          <w:noProof/>
        </w:rPr>
        <w:t>(</w:t>
      </w:r>
      <w:r w:rsidR="00E94EB0" w:rsidRPr="00A63D26">
        <w:rPr>
          <w:noProof/>
        </w:rPr>
        <w:t>document UP</w:t>
      </w:r>
      <w:r w:rsidRPr="00A63D26">
        <w:rPr>
          <w:noProof/>
        </w:rPr>
        <w:t>OV/EXN/CAL/1)</w:t>
      </w:r>
    </w:p>
    <w:p w:rsidR="00E94EB0" w:rsidRPr="00A63D26" w:rsidRDefault="00863382" w:rsidP="00863382">
      <w:pPr>
        <w:tabs>
          <w:tab w:val="left" w:pos="567"/>
        </w:tabs>
        <w:spacing w:after="120"/>
        <w:ind w:left="567"/>
        <w:rPr>
          <w:noProof/>
          <w:kern w:val="28"/>
        </w:rPr>
      </w:pPr>
      <w:r w:rsidRPr="00A63D26">
        <w:rPr>
          <w:noProof/>
          <w:kern w:val="28"/>
        </w:rPr>
        <w:t>5.</w:t>
      </w:r>
      <w:r w:rsidRPr="00A63D26">
        <w:rPr>
          <w:noProof/>
          <w:kern w:val="28"/>
        </w:rPr>
        <w:tab/>
        <w:t>Dénominations variétales</w:t>
      </w:r>
    </w:p>
    <w:p w:rsidR="0031661C" w:rsidRPr="00A63D26" w:rsidRDefault="00863382" w:rsidP="00863382">
      <w:pPr>
        <w:keepNext/>
        <w:tabs>
          <w:tab w:val="left" w:pos="567"/>
        </w:tabs>
        <w:spacing w:after="120"/>
        <w:ind w:left="567"/>
        <w:rPr>
          <w:noProof/>
          <w:kern w:val="28"/>
        </w:rPr>
      </w:pPr>
      <w:r w:rsidRPr="00A63D26">
        <w:rPr>
          <w:noProof/>
          <w:kern w:val="28"/>
        </w:rPr>
        <w:t>6.</w:t>
      </w:r>
      <w:r w:rsidRPr="00A63D26">
        <w:rPr>
          <w:noProof/>
          <w:kern w:val="28"/>
        </w:rPr>
        <w:tab/>
        <w:t>Informations et bases de données</w:t>
      </w:r>
    </w:p>
    <w:p w:rsidR="00E94EB0" w:rsidRPr="00A63D26" w:rsidRDefault="007A1A00" w:rsidP="00863382">
      <w:pPr>
        <w:keepNext/>
        <w:tabs>
          <w:tab w:val="left" w:pos="567"/>
        </w:tabs>
        <w:spacing w:after="120"/>
        <w:ind w:left="1134"/>
        <w:rPr>
          <w:noProof/>
          <w:kern w:val="28"/>
        </w:rPr>
      </w:pPr>
      <w:r w:rsidRPr="00A63D26">
        <w:rPr>
          <w:noProof/>
          <w:kern w:val="28"/>
        </w:rPr>
        <w:t>a)</w:t>
      </w:r>
      <w:r w:rsidRPr="00A63D26">
        <w:rPr>
          <w:noProof/>
          <w:kern w:val="28"/>
        </w:rPr>
        <w:tab/>
      </w:r>
      <w:r w:rsidR="00863382" w:rsidRPr="00A63D26">
        <w:rPr>
          <w:noProof/>
          <w:kern w:val="28"/>
        </w:rPr>
        <w:t>Formulaire de dépôt électronique des demandes</w:t>
      </w:r>
    </w:p>
    <w:p w:rsidR="00E94EB0" w:rsidRPr="00A63D26" w:rsidRDefault="00863382" w:rsidP="00863382">
      <w:pPr>
        <w:tabs>
          <w:tab w:val="left" w:pos="567"/>
        </w:tabs>
        <w:spacing w:after="120"/>
        <w:ind w:left="1134"/>
        <w:rPr>
          <w:noProof/>
          <w:kern w:val="28"/>
        </w:rPr>
      </w:pPr>
      <w:r w:rsidRPr="00A63D26">
        <w:rPr>
          <w:noProof/>
          <w:kern w:val="28"/>
        </w:rPr>
        <w:t>b)</w:t>
      </w:r>
      <w:r w:rsidRPr="00A63D26">
        <w:rPr>
          <w:noProof/>
          <w:kern w:val="28"/>
        </w:rPr>
        <w:tab/>
        <w:t>Bases de données d</w:t>
      </w:r>
      <w:r w:rsidR="00E94EB0" w:rsidRPr="00A63D26">
        <w:rPr>
          <w:noProof/>
          <w:kern w:val="28"/>
        </w:rPr>
        <w:t>’</w:t>
      </w:r>
      <w:r w:rsidRPr="00A63D26">
        <w:rPr>
          <w:noProof/>
          <w:kern w:val="28"/>
        </w:rPr>
        <w:t>information de l</w:t>
      </w:r>
      <w:r w:rsidR="00E94EB0" w:rsidRPr="00A63D26">
        <w:rPr>
          <w:noProof/>
          <w:kern w:val="28"/>
        </w:rPr>
        <w:t>’</w:t>
      </w:r>
      <w:r w:rsidRPr="00A63D26">
        <w:rPr>
          <w:noProof/>
          <w:kern w:val="28"/>
        </w:rPr>
        <w:t>UPOV</w:t>
      </w:r>
    </w:p>
    <w:p w:rsidR="00E94EB0" w:rsidRPr="00A63D26" w:rsidRDefault="00863382" w:rsidP="00863382">
      <w:pPr>
        <w:tabs>
          <w:tab w:val="left" w:pos="567"/>
        </w:tabs>
        <w:spacing w:after="120"/>
        <w:ind w:left="1134"/>
        <w:rPr>
          <w:noProof/>
          <w:kern w:val="28"/>
        </w:rPr>
      </w:pPr>
      <w:r w:rsidRPr="00A63D26">
        <w:rPr>
          <w:noProof/>
          <w:kern w:val="28"/>
        </w:rPr>
        <w:t>c)</w:t>
      </w:r>
      <w:r w:rsidRPr="00A63D26">
        <w:rPr>
          <w:noProof/>
          <w:kern w:val="28"/>
        </w:rPr>
        <w:tab/>
        <w:t>Échange et utilisation de logiciels et d</w:t>
      </w:r>
      <w:r w:rsidR="00E94EB0" w:rsidRPr="00A63D26">
        <w:rPr>
          <w:noProof/>
          <w:kern w:val="28"/>
        </w:rPr>
        <w:t>’</w:t>
      </w:r>
      <w:r w:rsidRPr="00A63D26">
        <w:rPr>
          <w:noProof/>
          <w:kern w:val="28"/>
        </w:rPr>
        <w:t>équipements</w:t>
      </w:r>
    </w:p>
    <w:p w:rsidR="00E94EB0" w:rsidRPr="00A63D26" w:rsidRDefault="00863382" w:rsidP="00863382">
      <w:pPr>
        <w:tabs>
          <w:tab w:val="left" w:pos="567"/>
        </w:tabs>
        <w:spacing w:after="120"/>
        <w:ind w:left="567"/>
        <w:rPr>
          <w:noProof/>
          <w:kern w:val="28"/>
        </w:rPr>
      </w:pPr>
      <w:r w:rsidRPr="00A63D26">
        <w:rPr>
          <w:noProof/>
          <w:kern w:val="28"/>
        </w:rPr>
        <w:t>7.</w:t>
      </w:r>
      <w:r w:rsidRPr="00A63D26">
        <w:rPr>
          <w:noProof/>
          <w:kern w:val="28"/>
        </w:rPr>
        <w:tab/>
        <w:t>Documents TGP</w:t>
      </w:r>
    </w:p>
    <w:p w:rsidR="00E94EB0" w:rsidRPr="00A63D26" w:rsidRDefault="00863382" w:rsidP="00863382">
      <w:pPr>
        <w:tabs>
          <w:tab w:val="left" w:pos="567"/>
        </w:tabs>
        <w:spacing w:after="120"/>
        <w:ind w:left="567"/>
        <w:rPr>
          <w:noProof/>
          <w:kern w:val="28"/>
        </w:rPr>
      </w:pPr>
      <w:r w:rsidRPr="00A63D26">
        <w:rPr>
          <w:noProof/>
          <w:kern w:val="28"/>
        </w:rPr>
        <w:t>8.</w:t>
      </w:r>
      <w:r w:rsidRPr="00A63D26">
        <w:rPr>
          <w:noProof/>
          <w:kern w:val="28"/>
        </w:rPr>
        <w:tab/>
        <w:t>Techniques moléculaires</w:t>
      </w:r>
    </w:p>
    <w:p w:rsidR="00E94EB0" w:rsidRPr="00A63D26" w:rsidRDefault="00863382" w:rsidP="00863382">
      <w:pPr>
        <w:tabs>
          <w:tab w:val="left" w:pos="567"/>
        </w:tabs>
        <w:spacing w:after="120"/>
        <w:ind w:left="567"/>
        <w:rPr>
          <w:noProof/>
          <w:kern w:val="28"/>
        </w:rPr>
      </w:pPr>
      <w:r w:rsidRPr="00A63D26">
        <w:rPr>
          <w:noProof/>
          <w:kern w:val="28"/>
        </w:rPr>
        <w:t>9.</w:t>
      </w:r>
      <w:r w:rsidRPr="00A63D26">
        <w:rPr>
          <w:noProof/>
          <w:kern w:val="28"/>
        </w:rPr>
        <w:tab/>
        <w:t>Programme de la soixante</w:t>
      </w:r>
      <w:r w:rsidR="00805E4D" w:rsidRPr="00A63D26">
        <w:rPr>
          <w:noProof/>
          <w:kern w:val="28"/>
        </w:rPr>
        <w:noBreakHyphen/>
      </w:r>
      <w:r w:rsidRPr="00A63D26">
        <w:rPr>
          <w:noProof/>
          <w:kern w:val="28"/>
        </w:rPr>
        <w:t>quatorzième</w:t>
      </w:r>
      <w:r w:rsidR="00E73D21" w:rsidRPr="00A63D26">
        <w:rPr>
          <w:noProof/>
          <w:kern w:val="28"/>
        </w:rPr>
        <w:t> </w:t>
      </w:r>
      <w:r w:rsidRPr="00A63D26">
        <w:rPr>
          <w:noProof/>
          <w:kern w:val="28"/>
        </w:rPr>
        <w:t>session</w:t>
      </w:r>
    </w:p>
    <w:p w:rsidR="0031661C" w:rsidRPr="00A63D26" w:rsidRDefault="00863382" w:rsidP="00863382">
      <w:pPr>
        <w:tabs>
          <w:tab w:val="left" w:pos="567"/>
        </w:tabs>
        <w:spacing w:after="120"/>
        <w:ind w:left="1134" w:hanging="567"/>
        <w:rPr>
          <w:noProof/>
          <w:kern w:val="28"/>
        </w:rPr>
      </w:pPr>
      <w:r w:rsidRPr="00A63D26">
        <w:rPr>
          <w:noProof/>
          <w:kern w:val="28"/>
        </w:rPr>
        <w:t>10.</w:t>
      </w:r>
      <w:r w:rsidRPr="00A63D26">
        <w:rPr>
          <w:noProof/>
          <w:kern w:val="28"/>
        </w:rPr>
        <w:tab/>
        <w:t>Adoption du compte rendu des conclusions (selon le temps disponible)</w:t>
      </w:r>
    </w:p>
    <w:p w:rsidR="0031661C" w:rsidRPr="00A63D26" w:rsidRDefault="00863382" w:rsidP="00863382">
      <w:pPr>
        <w:tabs>
          <w:tab w:val="left" w:pos="567"/>
        </w:tabs>
        <w:ind w:left="1134" w:hanging="567"/>
        <w:rPr>
          <w:noProof/>
          <w:kern w:val="28"/>
        </w:rPr>
      </w:pPr>
      <w:r w:rsidRPr="00A63D26">
        <w:rPr>
          <w:noProof/>
          <w:kern w:val="28"/>
        </w:rPr>
        <w:t>11.</w:t>
      </w:r>
      <w:r w:rsidRPr="00A63D26">
        <w:rPr>
          <w:noProof/>
          <w:kern w:val="28"/>
        </w:rPr>
        <w:tab/>
        <w:t>Clôture de la session</w:t>
      </w:r>
    </w:p>
    <w:p w:rsidR="0031661C" w:rsidRPr="00A63D26" w:rsidRDefault="0031661C" w:rsidP="00DC0D64">
      <w:pPr>
        <w:rPr>
          <w:noProof/>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représentante de </w:t>
      </w:r>
      <w:r w:rsidRPr="00A63D26">
        <w:rPr>
          <w:snapToGrid w:val="0"/>
        </w:rPr>
        <w:t>l’</w:t>
      </w:r>
      <w:r w:rsidRPr="00A63D26">
        <w:rPr>
          <w:i/>
          <w:snapToGrid w:val="0"/>
        </w:rPr>
        <w:t>European Seed Association</w:t>
      </w:r>
      <w:r w:rsidRPr="00A63D26">
        <w:rPr>
          <w:snapToGrid w:val="0"/>
        </w:rPr>
        <w:t xml:space="preserve"> (ESA) dit craindre que la programmation d’une seule session par an ne ralentisse les travaux du </w:t>
      </w:r>
      <w:r w:rsidRPr="00A63D26">
        <w:rPr>
          <w:snapToGrid w:val="0"/>
          <w:color w:val="000000"/>
        </w:rPr>
        <w:t>CAJ</w:t>
      </w:r>
      <w:r w:rsidRPr="00A63D26">
        <w:rPr>
          <w:snapToGrid w:val="0"/>
        </w:rPr>
        <w:t>.</w:t>
      </w:r>
    </w:p>
    <w:p w:rsidR="009B2464" w:rsidRPr="00A63D26" w:rsidRDefault="009B2464" w:rsidP="009B2464">
      <w:pPr>
        <w:rPr>
          <w:snapToGrid w:val="0"/>
        </w:rPr>
      </w:pPr>
    </w:p>
    <w:p w:rsidR="009B2464" w:rsidRPr="00A63D26" w:rsidRDefault="009B2464" w:rsidP="009B2464">
      <w:pPr>
        <w:spacing w:after="240"/>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Le représentant de </w:t>
      </w:r>
      <w:r w:rsidRPr="00A63D26">
        <w:rPr>
          <w:snapToGrid w:val="0"/>
        </w:rPr>
        <w:t>CropLife International déclare qu’il est plus approprié d’en rester à deux sessions par an afin de progresser plus rapidement.  Il estime que les sessions doivent se tenir sur un ou deux jours, en fonction de la quantité et de la complexité des questions examinées.</w:t>
      </w: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délégation de l’Argentine </w:t>
      </w:r>
      <w:r w:rsidRPr="00A63D26">
        <w:rPr>
          <w:snapToGrid w:val="0"/>
        </w:rPr>
        <w:t>propose qu’une seule session du CAJ soit tenue chaque année et que soit créé un groupe consultatif, semblable au CAJ</w:t>
      </w:r>
      <w:r w:rsidRPr="00A63D26">
        <w:rPr>
          <w:snapToGrid w:val="0"/>
        </w:rPr>
        <w:noBreakHyphen/>
        <w:t xml:space="preserve">AG, qui se réunirait en marge du CAJ pour examiner des questions spécifiques exigeant des discussions approfondies.  Elle propose que le résultat de ces discussions puisse être communiqué au CAJ la même semaine.  </w:t>
      </w:r>
      <w:r w:rsidRPr="00A63D26">
        <w:t xml:space="preserve">La délégation </w:t>
      </w:r>
      <w:r w:rsidRPr="00A63D26">
        <w:rPr>
          <w:snapToGrid w:val="0"/>
        </w:rPr>
        <w:t>explique que certaines délégations, notamment celles dont le siège est éloigné de Genève, ne peuvent pas se permettre les dépenses en voyage et en logement qu’exige leur présence aux deux sessions du CAJ qui sont tenues chaque année.</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délégation de l’Union européenne </w:t>
      </w:r>
      <w:r w:rsidRPr="00A63D26">
        <w:rPr>
          <w:snapToGrid w:val="0"/>
        </w:rPr>
        <w:t xml:space="preserve">se félicite de la proposition faite par la </w:t>
      </w:r>
      <w:r w:rsidRPr="00A63D26">
        <w:t xml:space="preserve">délégation de l’Argentine </w:t>
      </w:r>
      <w:r w:rsidRPr="00A63D26">
        <w:rPr>
          <w:snapToGrid w:val="0"/>
        </w:rPr>
        <w:t>et soutient l’idée de la tenue d’une session du CAJ se tenant sur deux jours une fois par an.</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représentante de </w:t>
      </w:r>
      <w:r w:rsidRPr="00A63D26">
        <w:rPr>
          <w:snapToGrid w:val="0"/>
        </w:rPr>
        <w:t>l’ISF indique que, bien que certains points à l’ordre du jour du CAJ soient particulièrement complexes, deux sessions par an donneront l’occasion d’assurer le suivi du sujet et d’échanger des vues plus souvent.</w:t>
      </w:r>
    </w:p>
    <w:p w:rsidR="009B2464" w:rsidRPr="00A63D26" w:rsidRDefault="009B2464" w:rsidP="009B2464">
      <w:pPr>
        <w:rPr>
          <w:snapToGrid w:val="0"/>
        </w:rPr>
      </w:pPr>
    </w:p>
    <w:p w:rsidR="00800E16" w:rsidRPr="00A63D26" w:rsidRDefault="009B2464" w:rsidP="00800E16">
      <w:pPr>
        <w:spacing w:after="240"/>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représentante de </w:t>
      </w:r>
      <w:r w:rsidRPr="00A63D26">
        <w:rPr>
          <w:snapToGrid w:val="0"/>
        </w:rPr>
        <w:t>l’Association int</w:t>
      </w:r>
      <w:r w:rsidR="00C61FFD" w:rsidRPr="00A63D26">
        <w:rPr>
          <w:snapToGrid w:val="0"/>
        </w:rPr>
        <w:t>ernationale des producteurs horticoles</w:t>
      </w:r>
      <w:r w:rsidRPr="00A63D26">
        <w:rPr>
          <w:snapToGrid w:val="0"/>
        </w:rPr>
        <w:t xml:space="preserve"> (AIPH) indique que la situation dans l’industrie des semences évolue rapidement mais que la mise en œuvre de mesures pour répondre à cette évolution n’est possible que lorsque le CAJ a pris position sur les questions correspondantes.  Par conséquent, elle considère que le CAJ doit se réunir deux fois par an afin de rendre ses conclusions dans les meilleurs délais.</w:t>
      </w: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Le secrétaire général adjoint </w:t>
      </w:r>
      <w:r w:rsidRPr="00A63D26">
        <w:rPr>
          <w:snapToGrid w:val="0"/>
        </w:rPr>
        <w:t>souligne que l’intention n’est pas de ralentir les progrès en ce qui concerne les questions relatives au CAJ mais plutôt de trouver le moyen le plus efficace d’avancer.  Il rappelle que le CAJ est convenu d’élargir la portée du Groupe de travail sur les dénominations variétales (WG</w:t>
      </w:r>
      <w:r w:rsidRPr="00A63D26">
        <w:rPr>
          <w:snapToGrid w:val="0"/>
        </w:rPr>
        <w:noBreakHyphen/>
        <w:t>DEN) et d’organiser un séminaire sur le matériel de reproduction ou de multiplication afin de favoriser de larges échanges de vues et d’expériences.  De telles initiatives permettront de faire avancer les questions plus efficacement que les discussions au sein du CAJ.  Il rappelle également que les organisations observatrices ont signalé qu’il leur faut davantage de temps pour mener des consultations sur les projets de document en expliquant qu’un cycle de sessions de six mois ne permet de mettre à disposition les documents plus de six semaines avant la session.  Il fait observer qu’une session par an permettra de présenter les documents beaucoup plus tôt et que les membres disposeront de suffisamment de temps pour examiner et coordonner les questions pertinentes avant la session afin de traiter les questions plus efficacement.</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00D6357A" w:rsidRPr="00A63D26">
        <w:rPr>
          <w:snapToGrid w:val="0"/>
        </w:rPr>
        <w:tab/>
        <w:t>La</w:t>
      </w:r>
      <w:r w:rsidRPr="00A63D26">
        <w:rPr>
          <w:snapToGrid w:val="0"/>
        </w:rPr>
        <w:t xml:space="preserve"> représentant</w:t>
      </w:r>
      <w:r w:rsidR="00D6357A" w:rsidRPr="00A63D26">
        <w:rPr>
          <w:snapToGrid w:val="0"/>
        </w:rPr>
        <w:t>e</w:t>
      </w:r>
      <w:r w:rsidRPr="00A63D26">
        <w:rPr>
          <w:snapToGrid w:val="0"/>
        </w:rPr>
        <w:t xml:space="preserve"> de la CIOPORA appuie la démarche présentée par le</w:t>
      </w:r>
      <w:r w:rsidRPr="00A63D26">
        <w:t xml:space="preserve"> secrétaire général adjoint,</w:t>
      </w:r>
      <w:r w:rsidRPr="00A63D26">
        <w:rPr>
          <w:snapToGrid w:val="0"/>
        </w:rPr>
        <w:t xml:space="preserve"> tout en se disant favorable à la tenue d’une session du CAJ par an, à la condition que les groupes de travail puissent faire rapport sur les progrès réalisés, si possible avec la participation des observateurs.</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 xml:space="preserve">La délégation de l’Argentine </w:t>
      </w:r>
      <w:r w:rsidRPr="00A63D26">
        <w:rPr>
          <w:snapToGrid w:val="0"/>
        </w:rPr>
        <w:t>suggère qu’il sera nécessaire pour les groupes de travail de se réunir avant la session du CAJ, par exemple le lundi, afin de rapporter les faits nouveaux pertinents au CAJ.</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t>Le président rappelle qu’il sera encore possible de tenir une session du CAJ en mars au cas où des questions urgentes devraient être traitées.</w:t>
      </w:r>
    </w:p>
    <w:p w:rsidR="009B2464" w:rsidRPr="00A63D26" w:rsidRDefault="009B2464" w:rsidP="009B2464">
      <w:pPr>
        <w:rPr>
          <w:snapToGrid w:val="0"/>
        </w:rPr>
      </w:pPr>
    </w:p>
    <w:p w:rsidR="009B2464" w:rsidRPr="00A63D26" w:rsidRDefault="009B2464" w:rsidP="009B2464">
      <w:pPr>
        <w:rPr>
          <w:snapToGrid w:val="0"/>
        </w:rPr>
      </w:pPr>
      <w:r w:rsidRPr="00A63D26">
        <w:rPr>
          <w:snapToGrid w:val="0"/>
        </w:rPr>
        <w:fldChar w:fldCharType="begin"/>
      </w:r>
      <w:r w:rsidRPr="00A63D26">
        <w:rPr>
          <w:snapToGrid w:val="0"/>
        </w:rPr>
        <w:instrText xml:space="preserve"> AUTONUM  </w:instrText>
      </w:r>
      <w:r w:rsidRPr="00A63D26">
        <w:rPr>
          <w:snapToGrid w:val="0"/>
        </w:rPr>
        <w:fldChar w:fldCharType="end"/>
      </w:r>
      <w:r w:rsidRPr="00A63D26">
        <w:rPr>
          <w:snapToGrid w:val="0"/>
        </w:rPr>
        <w:tab/>
      </w:r>
      <w:r w:rsidRPr="00A63D26">
        <w:t>La délégation des États</w:t>
      </w:r>
      <w:r w:rsidRPr="00A63D26">
        <w:noBreakHyphen/>
        <w:t xml:space="preserve">Unis d’Amérique </w:t>
      </w:r>
      <w:r w:rsidRPr="00A63D26">
        <w:rPr>
          <w:snapToGrid w:val="0"/>
        </w:rPr>
        <w:t>considère qu’il serait plus judicieux d’en rester à deux sessions par an, tout en ayant la possibilité d’annuler une session s’il n’y pas suffisamment de points à examiner.  Elle explique qu’il est plus facile pour les délégués de planifier à l’avance le budget et les voyages et donc d’annuler plutôt que de prendre des dispositions si rien n’a été prévu.</w:t>
      </w:r>
    </w:p>
    <w:p w:rsidR="009B2464" w:rsidRPr="00A63D26" w:rsidRDefault="009B2464" w:rsidP="00DC0D64">
      <w:pPr>
        <w:rPr>
          <w:noProof/>
        </w:rPr>
      </w:pPr>
    </w:p>
    <w:p w:rsidR="0031661C" w:rsidRPr="00A63D26" w:rsidRDefault="009B2464" w:rsidP="00BA5B67">
      <w:pPr>
        <w:rPr>
          <w:noProof/>
          <w:snapToGrid w:val="0"/>
        </w:rPr>
      </w:pPr>
      <w:r w:rsidRPr="00A63D26">
        <w:rPr>
          <w:noProof/>
          <w:snapToGrid w:val="0"/>
          <w:vertAlign w:val="superscript"/>
        </w:rPr>
        <w:t>*</w:t>
      </w:r>
      <w:r w:rsidR="00AE08BE" w:rsidRPr="00A63D26">
        <w:rPr>
          <w:noProof/>
          <w:snapToGrid w:val="0"/>
        </w:rPr>
        <w:fldChar w:fldCharType="begin"/>
      </w:r>
      <w:r w:rsidR="00BA5B67" w:rsidRPr="00A63D26">
        <w:rPr>
          <w:noProof/>
          <w:snapToGrid w:val="0"/>
        </w:rPr>
        <w:instrText xml:space="preserve"> AUTONUM  </w:instrText>
      </w:r>
      <w:r w:rsidR="00AE08BE" w:rsidRPr="00A63D26">
        <w:rPr>
          <w:noProof/>
          <w:snapToGrid w:val="0"/>
        </w:rPr>
        <w:fldChar w:fldCharType="end"/>
      </w:r>
      <w:r w:rsidR="00BA5B67" w:rsidRPr="00A63D26">
        <w:rPr>
          <w:noProof/>
          <w:snapToGrid w:val="0"/>
        </w:rPr>
        <w:tab/>
      </w:r>
      <w:r w:rsidR="00207B1A" w:rsidRPr="00A63D26">
        <w:rPr>
          <w:noProof/>
          <w:snapToGrid w:val="0"/>
        </w:rPr>
        <w:t>Le</w:t>
      </w:r>
      <w:r w:rsidR="00BA5B67" w:rsidRPr="00A63D26">
        <w:rPr>
          <w:noProof/>
          <w:snapToGrid w:val="0"/>
        </w:rPr>
        <w:t xml:space="preserve"> CAJ </w:t>
      </w:r>
      <w:r w:rsidR="00213968" w:rsidRPr="00A63D26">
        <w:rPr>
          <w:noProof/>
          <w:snapToGrid w:val="0"/>
        </w:rPr>
        <w:t xml:space="preserve">examine le programme de travail </w:t>
      </w:r>
      <w:r w:rsidR="005C6136" w:rsidRPr="00A63D26">
        <w:rPr>
          <w:noProof/>
          <w:snapToGrid w:val="0"/>
        </w:rPr>
        <w:t>de sa</w:t>
      </w:r>
      <w:r w:rsidR="00BA5B67" w:rsidRPr="00A63D26">
        <w:rPr>
          <w:noProof/>
          <w:snapToGrid w:val="0"/>
        </w:rPr>
        <w:t xml:space="preserve"> </w:t>
      </w:r>
      <w:r w:rsidR="00596EC9" w:rsidRPr="00A63D26">
        <w:rPr>
          <w:noProof/>
          <w:snapToGrid w:val="0"/>
        </w:rPr>
        <w:t>soixan</w:t>
      </w:r>
      <w:r w:rsidR="00450C23" w:rsidRPr="00A63D26">
        <w:rPr>
          <w:noProof/>
          <w:snapToGrid w:val="0"/>
        </w:rPr>
        <w:t>te</w:t>
      </w:r>
      <w:r w:rsidR="00805E4D" w:rsidRPr="00A63D26">
        <w:rPr>
          <w:noProof/>
          <w:snapToGrid w:val="0"/>
        </w:rPr>
        <w:noBreakHyphen/>
      </w:r>
      <w:r w:rsidR="00596EC9" w:rsidRPr="00A63D26">
        <w:rPr>
          <w:noProof/>
          <w:snapToGrid w:val="0"/>
        </w:rPr>
        <w:t>treizième</w:t>
      </w:r>
      <w:r w:rsidR="00E73D21" w:rsidRPr="00A63D26">
        <w:rPr>
          <w:noProof/>
          <w:snapToGrid w:val="0"/>
        </w:rPr>
        <w:t> </w:t>
      </w:r>
      <w:r w:rsidR="00BA5B67" w:rsidRPr="00A63D26">
        <w:rPr>
          <w:noProof/>
          <w:snapToGrid w:val="0"/>
        </w:rPr>
        <w:t xml:space="preserve">session </w:t>
      </w:r>
      <w:r w:rsidR="005C6136" w:rsidRPr="00A63D26">
        <w:rPr>
          <w:noProof/>
          <w:snapToGrid w:val="0"/>
        </w:rPr>
        <w:t>et</w:t>
      </w:r>
      <w:r w:rsidR="00BA5B67" w:rsidRPr="00A63D26">
        <w:rPr>
          <w:noProof/>
          <w:snapToGrid w:val="0"/>
        </w:rPr>
        <w:t xml:space="preserve"> </w:t>
      </w:r>
      <w:r w:rsidR="005C6136" w:rsidRPr="00A63D26">
        <w:rPr>
          <w:noProof/>
          <w:snapToGrid w:val="0"/>
        </w:rPr>
        <w:t>propose de ne pas</w:t>
      </w:r>
      <w:r w:rsidR="00F24F48" w:rsidRPr="00A63D26">
        <w:rPr>
          <w:noProof/>
          <w:snapToGrid w:val="0"/>
        </w:rPr>
        <w:t xml:space="preserve"> </w:t>
      </w:r>
      <w:r w:rsidR="0028146C" w:rsidRPr="00A63D26">
        <w:rPr>
          <w:noProof/>
        </w:rPr>
        <w:t>tenir de</w:t>
      </w:r>
      <w:r w:rsidR="00BA5B67" w:rsidRPr="00A63D26">
        <w:rPr>
          <w:noProof/>
        </w:rPr>
        <w:t xml:space="preserve"> session </w:t>
      </w:r>
      <w:r w:rsidR="0028146C" w:rsidRPr="00A63D26">
        <w:rPr>
          <w:noProof/>
        </w:rPr>
        <w:t>e</w:t>
      </w:r>
      <w:r w:rsidR="00BA5B67" w:rsidRPr="00A63D26">
        <w:rPr>
          <w:noProof/>
        </w:rPr>
        <w:t xml:space="preserve">n </w:t>
      </w:r>
      <w:r w:rsidR="0028146C" w:rsidRPr="00A63D26">
        <w:rPr>
          <w:noProof/>
        </w:rPr>
        <w:t>mars </w:t>
      </w:r>
      <w:r w:rsidR="00BA5B67" w:rsidRPr="00A63D26">
        <w:rPr>
          <w:noProof/>
        </w:rPr>
        <w:t xml:space="preserve">2016 </w:t>
      </w:r>
      <w:r w:rsidR="00213968" w:rsidRPr="00A63D26">
        <w:rPr>
          <w:noProof/>
        </w:rPr>
        <w:t>et de tenir une</w:t>
      </w:r>
      <w:r w:rsidR="00BA5B67" w:rsidRPr="00A63D26">
        <w:rPr>
          <w:noProof/>
        </w:rPr>
        <w:t xml:space="preserve"> </w:t>
      </w:r>
      <w:r w:rsidR="00213968" w:rsidRPr="00A63D26">
        <w:rPr>
          <w:noProof/>
        </w:rPr>
        <w:t>session de deux</w:t>
      </w:r>
      <w:r w:rsidR="00E73D21" w:rsidRPr="00A63D26">
        <w:rPr>
          <w:noProof/>
        </w:rPr>
        <w:t> </w:t>
      </w:r>
      <w:r w:rsidR="00213968" w:rsidRPr="00A63D26">
        <w:rPr>
          <w:noProof/>
        </w:rPr>
        <w:t>jours</w:t>
      </w:r>
      <w:r w:rsidR="00BA5B67" w:rsidRPr="00A63D26">
        <w:rPr>
          <w:noProof/>
        </w:rPr>
        <w:t xml:space="preserve"> </w:t>
      </w:r>
      <w:r w:rsidR="00213968" w:rsidRPr="00A63D26">
        <w:rPr>
          <w:noProof/>
        </w:rPr>
        <w:t>en octobre </w:t>
      </w:r>
      <w:r w:rsidR="00BA5B67" w:rsidRPr="00A63D26">
        <w:rPr>
          <w:noProof/>
        </w:rPr>
        <w:t>2016.</w:t>
      </w:r>
    </w:p>
    <w:p w:rsidR="0031661C" w:rsidRPr="00A63D26" w:rsidRDefault="0031661C" w:rsidP="00BA5B67">
      <w:pPr>
        <w:rPr>
          <w:noProof/>
          <w:snapToGrid w:val="0"/>
        </w:rPr>
      </w:pPr>
    </w:p>
    <w:p w:rsidR="00E94EB0" w:rsidRPr="00A63D26" w:rsidRDefault="009B2464" w:rsidP="00BA5B67">
      <w:pPr>
        <w:rPr>
          <w:noProof/>
          <w:snapToGrid w:val="0"/>
        </w:rPr>
      </w:pPr>
      <w:r w:rsidRPr="00A63D26">
        <w:rPr>
          <w:noProof/>
          <w:snapToGrid w:val="0"/>
          <w:vertAlign w:val="superscript"/>
        </w:rPr>
        <w:t>*</w:t>
      </w:r>
      <w:r w:rsidR="00AE08BE" w:rsidRPr="00A63D26">
        <w:rPr>
          <w:noProof/>
          <w:snapToGrid w:val="0"/>
        </w:rPr>
        <w:fldChar w:fldCharType="begin"/>
      </w:r>
      <w:r w:rsidR="00BA5B67" w:rsidRPr="00A63D26">
        <w:rPr>
          <w:noProof/>
          <w:snapToGrid w:val="0"/>
        </w:rPr>
        <w:instrText xml:space="preserve"> AUTONUM  </w:instrText>
      </w:r>
      <w:r w:rsidR="00AE08BE" w:rsidRPr="00A63D26">
        <w:rPr>
          <w:noProof/>
          <w:snapToGrid w:val="0"/>
        </w:rPr>
        <w:fldChar w:fldCharType="end"/>
      </w:r>
      <w:r w:rsidR="00BA5B67" w:rsidRPr="00A63D26">
        <w:rPr>
          <w:noProof/>
          <w:snapToGrid w:val="0"/>
        </w:rPr>
        <w:tab/>
      </w:r>
      <w:r w:rsidR="00207B1A" w:rsidRPr="00A63D26">
        <w:rPr>
          <w:noProof/>
          <w:snapToGrid w:val="0"/>
        </w:rPr>
        <w:t>Le</w:t>
      </w:r>
      <w:r w:rsidR="00BA5B67" w:rsidRPr="00A63D26">
        <w:rPr>
          <w:noProof/>
          <w:snapToGrid w:val="0"/>
        </w:rPr>
        <w:t xml:space="preserve"> CAJ </w:t>
      </w:r>
      <w:r w:rsidR="00052FDE" w:rsidRPr="00A63D26">
        <w:rPr>
          <w:noProof/>
          <w:snapToGrid w:val="0"/>
        </w:rPr>
        <w:t>indique qu</w:t>
      </w:r>
      <w:r w:rsidR="00E94EB0" w:rsidRPr="00A63D26">
        <w:rPr>
          <w:noProof/>
          <w:snapToGrid w:val="0"/>
        </w:rPr>
        <w:t>’</w:t>
      </w:r>
      <w:r w:rsidR="00052FDE" w:rsidRPr="00A63D26">
        <w:rPr>
          <w:noProof/>
          <w:snapToGrid w:val="0"/>
        </w:rPr>
        <w:t>un rapport</w:t>
      </w:r>
      <w:r w:rsidR="00BA5B67" w:rsidRPr="00A63D26">
        <w:rPr>
          <w:noProof/>
          <w:snapToGrid w:val="0"/>
        </w:rPr>
        <w:t xml:space="preserve"> </w:t>
      </w:r>
      <w:r w:rsidR="001A1174" w:rsidRPr="00A63D26">
        <w:rPr>
          <w:noProof/>
          <w:snapToGrid w:val="0"/>
        </w:rPr>
        <w:t>sur ses</w:t>
      </w:r>
      <w:r w:rsidR="00BA5B67" w:rsidRPr="00A63D26">
        <w:rPr>
          <w:noProof/>
          <w:snapToGrid w:val="0"/>
        </w:rPr>
        <w:t xml:space="preserve"> conclusion</w:t>
      </w:r>
      <w:r w:rsidR="001A1174" w:rsidRPr="00A63D26">
        <w:rPr>
          <w:noProof/>
          <w:snapToGrid w:val="0"/>
        </w:rPr>
        <w:t>s</w:t>
      </w:r>
      <w:r w:rsidR="00BA5B67" w:rsidRPr="00A63D26">
        <w:rPr>
          <w:noProof/>
          <w:snapToGrid w:val="0"/>
        </w:rPr>
        <w:t xml:space="preserve"> </w:t>
      </w:r>
      <w:r w:rsidR="001A1174" w:rsidRPr="00A63D26">
        <w:rPr>
          <w:noProof/>
          <w:snapToGrid w:val="0"/>
        </w:rPr>
        <w:t>en ce qui concerne le calendrier</w:t>
      </w:r>
      <w:r w:rsidR="00BA5B67" w:rsidRPr="00A63D26">
        <w:rPr>
          <w:noProof/>
          <w:snapToGrid w:val="0"/>
        </w:rPr>
        <w:t xml:space="preserve"> </w:t>
      </w:r>
      <w:r w:rsidR="00052FDE" w:rsidRPr="00A63D26">
        <w:rPr>
          <w:noProof/>
          <w:snapToGrid w:val="0"/>
        </w:rPr>
        <w:t>des</w:t>
      </w:r>
      <w:r w:rsidR="00F24F48" w:rsidRPr="00A63D26">
        <w:rPr>
          <w:noProof/>
          <w:snapToGrid w:val="0"/>
        </w:rPr>
        <w:t xml:space="preserve"> </w:t>
      </w:r>
      <w:r w:rsidR="00052FDE" w:rsidRPr="00A63D26">
        <w:rPr>
          <w:noProof/>
          <w:snapToGrid w:val="0"/>
        </w:rPr>
        <w:t xml:space="preserve">sessions </w:t>
      </w:r>
      <w:r w:rsidR="00450C23" w:rsidRPr="00A63D26">
        <w:rPr>
          <w:noProof/>
          <w:snapToGrid w:val="0"/>
        </w:rPr>
        <w:t>de </w:t>
      </w:r>
      <w:r w:rsidR="001A1174" w:rsidRPr="00A63D26">
        <w:rPr>
          <w:noProof/>
          <w:snapToGrid w:val="0"/>
        </w:rPr>
        <w:t>2016</w:t>
      </w:r>
      <w:r w:rsidR="00F24F48" w:rsidRPr="00A63D26">
        <w:rPr>
          <w:noProof/>
          <w:snapToGrid w:val="0"/>
        </w:rPr>
        <w:t xml:space="preserve"> </w:t>
      </w:r>
      <w:r w:rsidR="001A1174" w:rsidRPr="00A63D26">
        <w:rPr>
          <w:noProof/>
          <w:snapToGrid w:val="0"/>
        </w:rPr>
        <w:t>sera présenté au</w:t>
      </w:r>
      <w:r w:rsidR="00BA5B67" w:rsidRPr="00A63D26">
        <w:rPr>
          <w:noProof/>
          <w:snapToGrid w:val="0"/>
        </w:rPr>
        <w:t xml:space="preserve"> </w:t>
      </w:r>
      <w:r w:rsidR="001A1174" w:rsidRPr="00A63D26">
        <w:rPr>
          <w:noProof/>
        </w:rPr>
        <w:t>Comité consultatif</w:t>
      </w:r>
      <w:r w:rsidR="00BA5B67" w:rsidRPr="00A63D26">
        <w:rPr>
          <w:noProof/>
          <w:snapToGrid w:val="0"/>
        </w:rPr>
        <w:t xml:space="preserve">, </w:t>
      </w:r>
      <w:r w:rsidR="001A1174" w:rsidRPr="00A63D26">
        <w:rPr>
          <w:noProof/>
          <w:snapToGrid w:val="0"/>
        </w:rPr>
        <w:t>à sa</w:t>
      </w:r>
      <w:r w:rsidR="00BA5B67" w:rsidRPr="00A63D26">
        <w:rPr>
          <w:noProof/>
          <w:snapToGrid w:val="0"/>
        </w:rPr>
        <w:t xml:space="preserve"> </w:t>
      </w:r>
      <w:r w:rsidR="00742C06" w:rsidRPr="00A63D26">
        <w:rPr>
          <w:noProof/>
          <w:snapToGrid w:val="0"/>
        </w:rPr>
        <w:t>quatre</w:t>
      </w:r>
      <w:r w:rsidR="00805E4D" w:rsidRPr="00A63D26">
        <w:rPr>
          <w:noProof/>
          <w:snapToGrid w:val="0"/>
        </w:rPr>
        <w:noBreakHyphen/>
      </w:r>
      <w:r w:rsidR="00742C06" w:rsidRPr="00A63D26">
        <w:rPr>
          <w:noProof/>
          <w:snapToGrid w:val="0"/>
        </w:rPr>
        <w:t>vingt</w:t>
      </w:r>
      <w:r w:rsidR="00805E4D" w:rsidRPr="00A63D26">
        <w:rPr>
          <w:noProof/>
          <w:snapToGrid w:val="0"/>
        </w:rPr>
        <w:noBreakHyphen/>
      </w:r>
      <w:r w:rsidR="00742C06" w:rsidRPr="00A63D26">
        <w:rPr>
          <w:noProof/>
          <w:snapToGrid w:val="0"/>
        </w:rPr>
        <w:t>dixième</w:t>
      </w:r>
      <w:r w:rsidR="00E73D21" w:rsidRPr="00A63D26">
        <w:rPr>
          <w:noProof/>
          <w:snapToGrid w:val="0"/>
        </w:rPr>
        <w:t> </w:t>
      </w:r>
      <w:r w:rsidR="00BA5B67" w:rsidRPr="00A63D26">
        <w:rPr>
          <w:noProof/>
          <w:snapToGrid w:val="0"/>
        </w:rPr>
        <w:t xml:space="preserve">session, </w:t>
      </w:r>
      <w:r w:rsidR="00AE7FE6" w:rsidRPr="00A63D26">
        <w:rPr>
          <w:noProof/>
          <w:snapToGrid w:val="0"/>
        </w:rPr>
        <w:t>qui se tiendra le 28 octobre </w:t>
      </w:r>
      <w:r w:rsidR="00BA5B67" w:rsidRPr="00A63D26">
        <w:rPr>
          <w:noProof/>
          <w:snapToGrid w:val="0"/>
        </w:rPr>
        <w:t>2015.</w:t>
      </w:r>
    </w:p>
    <w:p w:rsidR="0031661C" w:rsidRPr="00A63D26" w:rsidRDefault="0031661C" w:rsidP="00BA5B67">
      <w:pPr>
        <w:rPr>
          <w:noProof/>
          <w:snapToGrid w:val="0"/>
        </w:rPr>
      </w:pPr>
    </w:p>
    <w:p w:rsidR="00BD1324" w:rsidRDefault="00BD1324" w:rsidP="00414B87">
      <w:pPr>
        <w:pStyle w:val="DecisionInvitingPara"/>
        <w:tabs>
          <w:tab w:val="left" w:pos="5387"/>
        </w:tabs>
        <w:ind w:left="4820"/>
        <w:rPr>
          <w:lang w:val="fr-FR"/>
        </w:rPr>
      </w:pPr>
      <w:r>
        <w:rPr>
          <w:lang w:val="fr-FR"/>
        </w:rPr>
        <w:fldChar w:fldCharType="begin"/>
      </w:r>
      <w:r>
        <w:rPr>
          <w:lang w:val="fr-FR"/>
        </w:rPr>
        <w:instrText xml:space="preserve"> AUTONUM  </w:instrText>
      </w:r>
      <w:r>
        <w:rPr>
          <w:lang w:val="fr-FR"/>
        </w:rPr>
        <w:fldChar w:fldCharType="end"/>
      </w:r>
      <w:r>
        <w:rPr>
          <w:lang w:val="fr-FR"/>
        </w:rPr>
        <w:tab/>
        <w:t>Le présent compte rendu a été adopté par correspondance.</w:t>
      </w:r>
    </w:p>
    <w:p w:rsidR="0031661C" w:rsidRPr="00A63D26" w:rsidRDefault="0031661C" w:rsidP="00DC0D64">
      <w:pPr>
        <w:rPr>
          <w:noProof/>
        </w:rPr>
      </w:pPr>
    </w:p>
    <w:p w:rsidR="0031661C" w:rsidRDefault="0031661C" w:rsidP="00DC0D64">
      <w:pPr>
        <w:rPr>
          <w:noProof/>
        </w:rPr>
      </w:pPr>
    </w:p>
    <w:p w:rsidR="00B74894" w:rsidRPr="00A63D26" w:rsidRDefault="00B74894" w:rsidP="00DC0D64">
      <w:pPr>
        <w:rPr>
          <w:noProof/>
        </w:rPr>
      </w:pPr>
    </w:p>
    <w:p w:rsidR="0031661C" w:rsidRPr="007A1A00" w:rsidRDefault="00B95F12" w:rsidP="00B95F12">
      <w:pPr>
        <w:tabs>
          <w:tab w:val="left" w:pos="567"/>
        </w:tabs>
        <w:ind w:left="1134" w:hanging="567"/>
        <w:jc w:val="right"/>
        <w:rPr>
          <w:noProof/>
        </w:rPr>
      </w:pPr>
      <w:r w:rsidRPr="00A63D26">
        <w:rPr>
          <w:noProof/>
        </w:rPr>
        <w:t>[L</w:t>
      </w:r>
      <w:r w:rsidR="00E94EB0" w:rsidRPr="00A63D26">
        <w:rPr>
          <w:noProof/>
        </w:rPr>
        <w:t>’</w:t>
      </w:r>
      <w:r w:rsidRPr="00A63D26">
        <w:rPr>
          <w:noProof/>
        </w:rPr>
        <w:t>annexe suit]</w:t>
      </w:r>
    </w:p>
    <w:p w:rsidR="00263FC8" w:rsidRPr="007A1A00" w:rsidRDefault="00263FC8" w:rsidP="00622DD0">
      <w:pPr>
        <w:rPr>
          <w:noProof/>
        </w:rPr>
        <w:sectPr w:rsidR="00263FC8" w:rsidRPr="007A1A00" w:rsidSect="00E94EB0">
          <w:headerReference w:type="default" r:id="rId10"/>
          <w:pgSz w:w="11907" w:h="16840" w:code="9"/>
          <w:pgMar w:top="510" w:right="1134" w:bottom="1134" w:left="1134" w:header="510" w:footer="680" w:gutter="0"/>
          <w:cols w:space="720"/>
          <w:titlePg/>
          <w:docGrid w:linePitch="272"/>
        </w:sectPr>
      </w:pPr>
    </w:p>
    <w:p w:rsidR="00277062" w:rsidRPr="00263FC8" w:rsidRDefault="00BD1324" w:rsidP="00277062">
      <w:pPr>
        <w:jc w:val="center"/>
      </w:pPr>
      <w:r>
        <w:t>CAJ/72/10</w:t>
      </w:r>
    </w:p>
    <w:p w:rsidR="00277062" w:rsidRPr="00263FC8" w:rsidRDefault="00277062" w:rsidP="00277062">
      <w:pPr>
        <w:jc w:val="center"/>
        <w:rPr>
          <w:rFonts w:cs="Arial"/>
          <w:caps/>
        </w:rPr>
      </w:pPr>
    </w:p>
    <w:p w:rsidR="00277062" w:rsidRPr="00263FC8" w:rsidRDefault="00277062" w:rsidP="00277062">
      <w:pPr>
        <w:jc w:val="center"/>
        <w:rPr>
          <w:rFonts w:cs="Arial"/>
          <w:caps/>
        </w:rPr>
      </w:pPr>
      <w:r w:rsidRPr="00263FC8">
        <w:rPr>
          <w:rFonts w:cs="Arial"/>
          <w:caps/>
        </w:rPr>
        <w:t>annexe / annex / anlage / anexo</w:t>
      </w:r>
    </w:p>
    <w:p w:rsidR="00277062" w:rsidRPr="00263FC8" w:rsidRDefault="00277062" w:rsidP="00277062">
      <w:pPr>
        <w:jc w:val="center"/>
        <w:rPr>
          <w:rFonts w:cs="Arial"/>
          <w:caps/>
        </w:rPr>
      </w:pPr>
    </w:p>
    <w:p w:rsidR="00277062" w:rsidRPr="00263FC8" w:rsidRDefault="00277062" w:rsidP="00277062">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277062" w:rsidRPr="00766B84" w:rsidRDefault="00277062" w:rsidP="00277062">
      <w:pPr>
        <w:pStyle w:val="plheading"/>
        <w:rPr>
          <w:lang w:val="de-DE"/>
        </w:rPr>
      </w:pPr>
      <w:r w:rsidRPr="00263FC8">
        <w:rPr>
          <w:lang w:val="de-DE"/>
        </w:rPr>
        <w:t>I.  MEM</w:t>
      </w:r>
      <w:r w:rsidRPr="00766B84">
        <w:rPr>
          <w:lang w:val="de-DE"/>
        </w:rPr>
        <w:t>BRES / MEMBERS / VERBANDSMITGLIEDER / MIEMBROS</w:t>
      </w:r>
    </w:p>
    <w:p w:rsidR="00277062" w:rsidRPr="005A455F" w:rsidRDefault="00277062" w:rsidP="00277062">
      <w:pPr>
        <w:pStyle w:val="plcountry"/>
        <w:rPr>
          <w:lang w:val="de-DE"/>
        </w:rPr>
      </w:pPr>
      <w:r w:rsidRPr="005A455F">
        <w:rPr>
          <w:lang w:val="de-DE"/>
        </w:rPr>
        <w:t>ALLEMAGNE / GERMANY / DEUTSCHLAND / ALEMANIA</w:t>
      </w:r>
    </w:p>
    <w:p w:rsidR="00277062" w:rsidRPr="005A455F" w:rsidRDefault="00277062" w:rsidP="00277062">
      <w:pPr>
        <w:pStyle w:val="pldetails"/>
        <w:rPr>
          <w:lang w:val="de-DE"/>
        </w:rPr>
      </w:pPr>
      <w:r w:rsidRPr="005A455F">
        <w:rPr>
          <w:lang w:val="de-DE"/>
        </w:rPr>
        <w:t xml:space="preserve">Barbara SOHNEMANN (Frau), Justiziarin, Leiterin, Rechtsangelegenheiten, Sortenverwaltung, Gebühren, Bundessortenamt, Hannover </w:t>
      </w:r>
      <w:r>
        <w:rPr>
          <w:lang w:val="de-DE"/>
        </w:rPr>
        <w:t>(e</w:t>
      </w:r>
      <w:r>
        <w:rPr>
          <w:lang w:val="de-DE"/>
        </w:rPr>
        <w:noBreakHyphen/>
        <w:t>mail: </w:t>
      </w:r>
      <w:r w:rsidRPr="005A455F">
        <w:rPr>
          <w:lang w:val="de-DE"/>
        </w:rPr>
        <w:t xml:space="preserve">barbara.sohnemann@bundessortenamt.de) </w:t>
      </w:r>
    </w:p>
    <w:p w:rsidR="00277062" w:rsidRPr="005A455F" w:rsidRDefault="00277062" w:rsidP="00277062">
      <w:pPr>
        <w:pStyle w:val="plcountry"/>
        <w:rPr>
          <w:lang w:val="es-ES_tradnl"/>
        </w:rPr>
      </w:pPr>
      <w:r w:rsidRPr="005A455F">
        <w:rPr>
          <w:lang w:val="es-ES_tradnl"/>
        </w:rPr>
        <w:t>ARGENTINE / ARGENTINA / ARGENTINIEN / ARGENTINA</w:t>
      </w:r>
    </w:p>
    <w:p w:rsidR="00277062" w:rsidRPr="005A455F" w:rsidRDefault="00277062" w:rsidP="00277062">
      <w:pPr>
        <w:pStyle w:val="pldetails"/>
        <w:rPr>
          <w:rFonts w:cs="Arial"/>
          <w:color w:val="000000"/>
          <w:lang w:val="es-ES_tradnl"/>
        </w:rPr>
      </w:pPr>
      <w:r w:rsidRPr="008F17C4">
        <w:rPr>
          <w:rFonts w:cs="Arial"/>
          <w:color w:val="000000"/>
          <w:lang w:val="es-ES_tradnl"/>
        </w:rPr>
        <w:t xml:space="preserve">Raimundo LAVIGNOLLE, Presidente del directorio, Instituto Nacional de Semillas (INASE), Buenos Aires </w:t>
      </w:r>
      <w:r w:rsidRPr="008F17C4">
        <w:rPr>
          <w:rFonts w:cs="Arial"/>
          <w:color w:val="000000"/>
          <w:lang w:val="es-ES_tradnl"/>
        </w:rPr>
        <w:br/>
      </w:r>
      <w:r>
        <w:rPr>
          <w:rFonts w:cs="Arial"/>
          <w:color w:val="000000"/>
          <w:lang w:val="es-ES_tradnl"/>
        </w:rPr>
        <w:t>(e</w:t>
      </w:r>
      <w:r>
        <w:rPr>
          <w:rFonts w:cs="Arial"/>
          <w:color w:val="000000"/>
          <w:lang w:val="es-ES_tradnl"/>
        </w:rPr>
        <w:noBreakHyphen/>
        <w:t>mail: </w:t>
      </w:r>
      <w:r w:rsidRPr="008F17C4">
        <w:rPr>
          <w:rFonts w:cs="Arial"/>
          <w:color w:val="000000"/>
          <w:lang w:val="es-ES_tradnl"/>
        </w:rPr>
        <w:t>rlavignolle@inase.gov.ar)</w:t>
      </w:r>
    </w:p>
    <w:p w:rsidR="00277062" w:rsidRDefault="00277062" w:rsidP="00277062">
      <w:pPr>
        <w:pStyle w:val="pldetails"/>
        <w:rPr>
          <w:lang w:val="es-ES_tradnl"/>
        </w:rPr>
      </w:pPr>
      <w:r w:rsidRPr="005A455F">
        <w:rPr>
          <w:lang w:val="es-ES_tradnl"/>
        </w:rPr>
        <w:t xml:space="preserve">Carmen Amelia M. GIANNI (Sra.), Coordinadora de Propiedad Intelectual / Recursos Fitogenéticos, Instituto Nacional de Semillas (INASE), Buenos Aires </w:t>
      </w:r>
      <w:r>
        <w:rPr>
          <w:lang w:val="es-ES_tradnl"/>
        </w:rPr>
        <w:t>(e</w:t>
      </w:r>
      <w:r>
        <w:rPr>
          <w:lang w:val="es-ES_tradnl"/>
        </w:rPr>
        <w:noBreakHyphen/>
        <w:t>mail: </w:t>
      </w:r>
      <w:r w:rsidRPr="0060089C">
        <w:rPr>
          <w:lang w:val="es-ES_tradnl"/>
        </w:rPr>
        <w:t>cgianni@inase.gov.ar</w:t>
      </w:r>
      <w:r w:rsidRPr="005A455F">
        <w:rPr>
          <w:lang w:val="es-ES_tradnl"/>
        </w:rPr>
        <w:t>)</w:t>
      </w:r>
    </w:p>
    <w:p w:rsidR="00277062" w:rsidRPr="005A455F" w:rsidRDefault="00277062" w:rsidP="00277062">
      <w:pPr>
        <w:pStyle w:val="pldetails"/>
        <w:rPr>
          <w:lang w:val="es-ES_tradnl"/>
        </w:rPr>
      </w:pPr>
      <w:r>
        <w:rPr>
          <w:lang w:val="es-ES_tradnl"/>
        </w:rPr>
        <w:t>María Inés RODRIGUEZ (Sra.), Consejera, Misión Permanente de la República Argentina, Ginebra (e</w:t>
      </w:r>
      <w:r>
        <w:rPr>
          <w:lang w:val="es-ES_tradnl"/>
        </w:rPr>
        <w:noBreakHyphen/>
        <w:t>mail: </w:t>
      </w:r>
      <w:r w:rsidRPr="00025D9C">
        <w:rPr>
          <w:lang w:val="es-ES_tradnl"/>
        </w:rPr>
        <w:t>mariaines.rodriguez@missionarg.ch</w:t>
      </w:r>
      <w:r>
        <w:rPr>
          <w:lang w:val="es-ES_tradnl"/>
        </w:rPr>
        <w:t>)</w:t>
      </w:r>
    </w:p>
    <w:p w:rsidR="00277062" w:rsidRPr="005A455F" w:rsidRDefault="00277062" w:rsidP="00277062">
      <w:pPr>
        <w:pStyle w:val="plcountry"/>
      </w:pPr>
      <w:r w:rsidRPr="005A455F">
        <w:t>AUSTRALIE / AUSTRALIA / AUSTRALIEN / AUSTRALIA</w:t>
      </w:r>
    </w:p>
    <w:p w:rsidR="00277062" w:rsidRPr="005A455F" w:rsidRDefault="00277062" w:rsidP="00277062">
      <w:pPr>
        <w:pStyle w:val="pldetails"/>
      </w:pPr>
      <w:r w:rsidRPr="005A455F">
        <w:t>Nik HULSE, Senior Examiner of PBR, Plant Breeder</w:t>
      </w:r>
      <w:r>
        <w:t>’</w:t>
      </w:r>
      <w:r w:rsidRPr="005A455F">
        <w:t xml:space="preserve">s Rights Office, IP Australia, Phillip </w:t>
      </w:r>
      <w:r w:rsidRPr="005A455F">
        <w:br/>
      </w:r>
      <w:r>
        <w:t>(e</w:t>
      </w:r>
      <w:r>
        <w:noBreakHyphen/>
        <w:t>mail: </w:t>
      </w:r>
      <w:r w:rsidRPr="005A455F">
        <w:t xml:space="preserve">nik.hulse@ipaustralia.gov.au)  </w:t>
      </w:r>
    </w:p>
    <w:p w:rsidR="00277062" w:rsidRPr="005A455F" w:rsidRDefault="00277062" w:rsidP="00277062">
      <w:pPr>
        <w:pStyle w:val="plcountry"/>
      </w:pPr>
      <w:r w:rsidRPr="005A455F">
        <w:t>BÉLARUS / BELARUS / BELARUS / BELARÚS</w:t>
      </w:r>
    </w:p>
    <w:p w:rsidR="00277062" w:rsidRPr="005A455F" w:rsidRDefault="00277062" w:rsidP="00277062">
      <w:pPr>
        <w:pStyle w:val="pldetails"/>
      </w:pPr>
      <w:r w:rsidRPr="005A455F">
        <w:t xml:space="preserve">Uladzimir BEINIA, Director, State Inspection for Testing and Protection of Plant Varieties, Minsk </w:t>
      </w:r>
      <w:r w:rsidRPr="005A455F">
        <w:br/>
      </w:r>
      <w:r>
        <w:t>(e</w:t>
      </w:r>
      <w:r>
        <w:noBreakHyphen/>
        <w:t>mail: </w:t>
      </w:r>
      <w:r w:rsidRPr="005A455F">
        <w:t>belsort@mail.ru)</w:t>
      </w:r>
    </w:p>
    <w:p w:rsidR="00277062" w:rsidRPr="005A455F" w:rsidRDefault="00277062" w:rsidP="00277062">
      <w:pPr>
        <w:pStyle w:val="pldetails"/>
      </w:pPr>
      <w:r w:rsidRPr="005A455F">
        <w:t xml:space="preserve">Marina SALADUKHA (Ms.), Head, International Cooperation Department, State Inspection for Testing and Protection of Plant Varieties, Minsk </w:t>
      </w:r>
      <w:r>
        <w:t>(e</w:t>
      </w:r>
      <w:r>
        <w:noBreakHyphen/>
        <w:t>mail: </w:t>
      </w:r>
      <w:r w:rsidRPr="005A455F">
        <w:t>belsort@mail.ru)</w:t>
      </w:r>
    </w:p>
    <w:p w:rsidR="00277062" w:rsidRPr="005A455F" w:rsidRDefault="00277062" w:rsidP="00277062">
      <w:pPr>
        <w:pStyle w:val="pldetails"/>
      </w:pPr>
      <w:r w:rsidRPr="005A455F">
        <w:t xml:space="preserve">Tatsiana SIAMASHKA (Ms.), Deputy Director of DUS Testing, State Inspection for Testing and Protection of Plant Varieties, Minsk </w:t>
      </w:r>
      <w:r>
        <w:t>(e</w:t>
      </w:r>
      <w:r>
        <w:noBreakHyphen/>
        <w:t>mail: </w:t>
      </w:r>
      <w:r w:rsidRPr="005A455F">
        <w:t>tatianasortr@mail.ru)</w:t>
      </w:r>
    </w:p>
    <w:p w:rsidR="00277062" w:rsidRPr="0060089C" w:rsidRDefault="00277062" w:rsidP="00277062">
      <w:pPr>
        <w:pStyle w:val="plcountry"/>
        <w:rPr>
          <w:lang w:val="fr-CH"/>
        </w:rPr>
      </w:pPr>
      <w:r w:rsidRPr="0060089C">
        <w:rPr>
          <w:lang w:val="fr-CH"/>
        </w:rPr>
        <w:t>BELGIQUE / BELGIUM / BELGIEN / béLGICA</w:t>
      </w:r>
    </w:p>
    <w:p w:rsidR="00277062" w:rsidRPr="005A455F" w:rsidRDefault="00277062" w:rsidP="00277062">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277062" w:rsidRPr="005A455F" w:rsidRDefault="00277062" w:rsidP="00277062">
      <w:pPr>
        <w:pStyle w:val="plcountry"/>
        <w:rPr>
          <w:lang w:val="es-ES_tradnl"/>
        </w:rPr>
      </w:pPr>
      <w:r w:rsidRPr="005A455F">
        <w:rPr>
          <w:lang w:val="es-ES_tradnl"/>
        </w:rPr>
        <w:t xml:space="preserve">BOLIVIE (ÉTAT PLURINATIONAL DE) / BOLIVIA (PLURINATIONAL STATE OF) / </w:t>
      </w:r>
      <w:r w:rsidRPr="005A455F">
        <w:rPr>
          <w:lang w:val="es-ES_tradnl"/>
        </w:rPr>
        <w:br/>
        <w:t>BOLIVIEN (PLURINATIONALER STAAT) / BOLIVIA (ESTADO PLURINACIONAL DE)</w:t>
      </w:r>
    </w:p>
    <w:p w:rsidR="00277062" w:rsidRPr="005A455F" w:rsidRDefault="00277062" w:rsidP="00277062">
      <w:pPr>
        <w:pStyle w:val="pldetails"/>
        <w:rPr>
          <w:lang w:val="es-ES_tradnl"/>
        </w:rPr>
      </w:pPr>
      <w:r w:rsidRPr="005A455F">
        <w:rPr>
          <w:lang w:val="es-ES_tradnl"/>
        </w:rPr>
        <w:t xml:space="preserve">Sergio Rider ANDRADE CÁCERES, Director Nacional de Semillas del INIAF, Instituto Nacional de Innovación Agropecuaria y Forestal (INIAF), La Paz </w:t>
      </w:r>
      <w:r>
        <w:rPr>
          <w:lang w:val="es-ES_tradnl"/>
        </w:rPr>
        <w:t>(e</w:t>
      </w:r>
      <w:r>
        <w:rPr>
          <w:lang w:val="es-ES_tradnl"/>
        </w:rPr>
        <w:noBreakHyphen/>
        <w:t>mail: </w:t>
      </w:r>
      <w:r w:rsidRPr="005A455F">
        <w:rPr>
          <w:lang w:val="es-ES_tradnl"/>
        </w:rPr>
        <w:t>rideran@yahoo.es)</w:t>
      </w:r>
    </w:p>
    <w:p w:rsidR="00277062" w:rsidRPr="005A455F" w:rsidRDefault="00277062" w:rsidP="00277062">
      <w:pPr>
        <w:pStyle w:val="pldetails"/>
        <w:rPr>
          <w:lang w:val="es-ES_tradnl"/>
        </w:rPr>
      </w:pPr>
      <w:r w:rsidRPr="005A455F">
        <w:rPr>
          <w:lang w:val="es-ES_tradnl"/>
        </w:rPr>
        <w:t xml:space="preserve">Freddy CABALLERO LEDEZMA, Responsable de la Unidad de Fiscalización y Registro de Semillas, Registros y protección de Variedades Vegetales, Instituto Nacional de Innovación Agropecuaria y Forestal (INIAF), La Paz </w:t>
      </w:r>
      <w:r>
        <w:rPr>
          <w:lang w:val="es-ES_tradnl"/>
        </w:rPr>
        <w:t>(e</w:t>
      </w:r>
      <w:r>
        <w:rPr>
          <w:lang w:val="es-ES_tradnl"/>
        </w:rPr>
        <w:noBreakHyphen/>
        <w:t>mail: </w:t>
      </w:r>
      <w:r w:rsidRPr="005A455F">
        <w:rPr>
          <w:lang w:val="es-ES_tradnl"/>
        </w:rPr>
        <w:t>calefred@yahoo.es)</w:t>
      </w:r>
    </w:p>
    <w:p w:rsidR="00277062" w:rsidRPr="005A455F" w:rsidRDefault="00277062" w:rsidP="00277062">
      <w:pPr>
        <w:pStyle w:val="pldetails"/>
        <w:rPr>
          <w:lang w:val="es-ES_tradnl"/>
        </w:rPr>
      </w:pPr>
      <w:r w:rsidRPr="005A455F">
        <w:rPr>
          <w:lang w:val="es-ES_tradnl"/>
        </w:rPr>
        <w:t xml:space="preserve">Carlos ROMÁN ESCOBAR, Especialista en Semillas, Instituto Nacional de Innovación Agropecuaria y Forestal (INIAF), La Paz </w:t>
      </w:r>
      <w:r>
        <w:rPr>
          <w:lang w:val="es-ES_tradnl"/>
        </w:rPr>
        <w:t>(e</w:t>
      </w:r>
      <w:r>
        <w:rPr>
          <w:lang w:val="es-ES_tradnl"/>
        </w:rPr>
        <w:noBreakHyphen/>
        <w:t>mail: </w:t>
      </w:r>
      <w:r w:rsidRPr="005A455F">
        <w:rPr>
          <w:lang w:val="es-ES_tradnl"/>
        </w:rPr>
        <w:t>romancarlitos@gmail.com)</w:t>
      </w:r>
    </w:p>
    <w:p w:rsidR="00277062" w:rsidRPr="005A455F" w:rsidRDefault="00277062" w:rsidP="00277062">
      <w:pPr>
        <w:pStyle w:val="pldetails"/>
        <w:rPr>
          <w:lang w:val="es-ES_tradnl"/>
        </w:rPr>
      </w:pPr>
      <w:r w:rsidRPr="005A455F">
        <w:rPr>
          <w:lang w:val="es-ES_tradnl"/>
        </w:rPr>
        <w:t xml:space="preserve">Luis Fernando ROSALES LOZADA, Primer Secretario, Misión Permanente de Bolivia ante la Oficina de las Naciones Unidas en Ginebra, Ginebra </w:t>
      </w:r>
      <w:r>
        <w:rPr>
          <w:lang w:val="es-ES_tradnl"/>
        </w:rPr>
        <w:t>(e</w:t>
      </w:r>
      <w:r>
        <w:rPr>
          <w:lang w:val="es-ES_tradnl"/>
        </w:rPr>
        <w:noBreakHyphen/>
        <w:t>mail: </w:t>
      </w:r>
      <w:r w:rsidRPr="005A455F">
        <w:rPr>
          <w:lang w:val="es-ES_tradnl"/>
        </w:rPr>
        <w:t>fernando.rosales@bluewin.ch)</w:t>
      </w:r>
    </w:p>
    <w:p w:rsidR="00277062" w:rsidRPr="005A455F" w:rsidRDefault="00277062" w:rsidP="00277062">
      <w:pPr>
        <w:pStyle w:val="plcountry"/>
      </w:pPr>
      <w:r w:rsidRPr="005A455F">
        <w:t>CANADA / CANADA / KANADA / CANADá</w:t>
      </w:r>
    </w:p>
    <w:p w:rsidR="00277062" w:rsidRPr="005A455F" w:rsidRDefault="00277062" w:rsidP="00277062">
      <w:pPr>
        <w:pStyle w:val="pldetails"/>
      </w:pPr>
      <w:r w:rsidRPr="005A455F">
        <w:t>Anthony PARKER, Commissioner, Plant Breeders</w:t>
      </w:r>
      <w:r>
        <w:t>’</w:t>
      </w:r>
      <w:r w:rsidRPr="005A455F">
        <w:t xml:space="preserve"> Rights Office, Canadian Food Inspection Agency (CFIA), Ottawa </w:t>
      </w:r>
      <w:r>
        <w:t>(e</w:t>
      </w:r>
      <w:r>
        <w:noBreakHyphen/>
        <w:t>mail: </w:t>
      </w:r>
      <w:r w:rsidRPr="005A455F">
        <w:t>anthony.parker@inspection.gc.ca)</w:t>
      </w:r>
    </w:p>
    <w:p w:rsidR="00277062" w:rsidRPr="006C487C" w:rsidRDefault="00277062" w:rsidP="00277062">
      <w:pPr>
        <w:pStyle w:val="plcountry"/>
        <w:rPr>
          <w:lang w:val="es-ES_tradnl"/>
        </w:rPr>
      </w:pPr>
      <w:r w:rsidRPr="006C487C">
        <w:rPr>
          <w:lang w:val="es-ES_tradnl"/>
        </w:rPr>
        <w:t>CHILI / CHILE / CHILE / CHILE</w:t>
      </w:r>
    </w:p>
    <w:p w:rsidR="00277062" w:rsidRPr="007544C6" w:rsidRDefault="00277062" w:rsidP="00277062">
      <w:pPr>
        <w:pStyle w:val="pldetails"/>
        <w:rPr>
          <w:lang w:val="es-ES_tradnl"/>
        </w:rPr>
      </w:pPr>
      <w:r w:rsidRPr="006C487C">
        <w:rPr>
          <w:lang w:val="es-ES_tradnl"/>
        </w:rPr>
        <w:t xml:space="preserve">Manuel TORO UGALDE, Jefe Subdepartamento, Registro de Variedades Protegidas, División Semillas, </w:t>
      </w:r>
      <w:r w:rsidRPr="007544C6">
        <w:rPr>
          <w:lang w:val="es-ES_tradnl"/>
        </w:rPr>
        <w:t xml:space="preserve">Servicio Agrícola y Ganadero (SAG), Santiago de Chile </w:t>
      </w:r>
      <w:r>
        <w:rPr>
          <w:lang w:val="es-ES_tradnl"/>
        </w:rPr>
        <w:t>(e</w:t>
      </w:r>
      <w:r>
        <w:rPr>
          <w:lang w:val="es-ES_tradnl"/>
        </w:rPr>
        <w:noBreakHyphen/>
        <w:t>mail: </w:t>
      </w:r>
      <w:r w:rsidRPr="007544C6">
        <w:rPr>
          <w:lang w:val="es-ES_tradnl"/>
        </w:rPr>
        <w:t>manuel.toro@sag.gob.cl)</w:t>
      </w:r>
    </w:p>
    <w:p w:rsidR="00277062" w:rsidRPr="007544C6" w:rsidRDefault="00277062" w:rsidP="00277062">
      <w:pPr>
        <w:pStyle w:val="pldetails"/>
        <w:rPr>
          <w:lang w:val="es-ES_tradnl"/>
        </w:rPr>
      </w:pPr>
      <w:r w:rsidRPr="007544C6">
        <w:rPr>
          <w:lang w:val="es-ES_tradnl"/>
        </w:rPr>
        <w:t>Marcela PAIVA VÉLIZ (Sra.), Consejera, Misión Permanente de Chile ante la Organización Mundial del Comercio (WTO), Ginebra</w:t>
      </w:r>
    </w:p>
    <w:p w:rsidR="00277062" w:rsidRPr="007544C6" w:rsidRDefault="00277062" w:rsidP="00277062">
      <w:pPr>
        <w:pStyle w:val="plcountry"/>
      </w:pPr>
      <w:r w:rsidRPr="007544C6">
        <w:t>CHINE / CHINA / CHINA / CHINA</w:t>
      </w:r>
    </w:p>
    <w:p w:rsidR="00277062" w:rsidRPr="007544C6" w:rsidRDefault="00277062" w:rsidP="00277062">
      <w:pPr>
        <w:pStyle w:val="pldetails"/>
      </w:pPr>
      <w:r w:rsidRPr="007544C6">
        <w:t xml:space="preserve">Yinghui ZHANG (Ms.), Project Administrator, International Cooperation Department, State Intellectual Property Office, Beijing </w:t>
      </w:r>
      <w:r>
        <w:t>(e</w:t>
      </w:r>
      <w:r>
        <w:noBreakHyphen/>
        <w:t>mail: </w:t>
      </w:r>
      <w:r w:rsidRPr="007544C6">
        <w:t>zhangyinghui@sipo.gov.cn)</w:t>
      </w:r>
    </w:p>
    <w:p w:rsidR="00277062" w:rsidRPr="007544C6" w:rsidRDefault="00277062" w:rsidP="00277062">
      <w:pPr>
        <w:pStyle w:val="plcountry"/>
        <w:rPr>
          <w:lang w:val="es-ES_tradnl"/>
        </w:rPr>
      </w:pPr>
      <w:r w:rsidRPr="007544C6">
        <w:rPr>
          <w:lang w:val="es-ES_tradnl"/>
        </w:rPr>
        <w:t>COLOMBIE / COLOMBIA / KOLUMBIEN / COLOMBIA</w:t>
      </w:r>
    </w:p>
    <w:p w:rsidR="00277062" w:rsidRPr="007544C6" w:rsidRDefault="00277062" w:rsidP="00277062">
      <w:pPr>
        <w:pStyle w:val="pldetails"/>
        <w:rPr>
          <w:lang w:val="es-ES_tradnl"/>
        </w:rPr>
      </w:pPr>
      <w:r w:rsidRPr="007544C6">
        <w:rPr>
          <w:lang w:val="es-ES_tradnl"/>
        </w:rPr>
        <w:t xml:space="preserve">Ana Luisa DÍAZ JIMÉNEZ (Sra.), Directora Técnica de Semillas, Dirección Técnica de Semillas, Instituto Colombiano Agropecuario (ICA), Bogotá </w:t>
      </w:r>
      <w:r>
        <w:rPr>
          <w:lang w:val="es-ES_tradnl"/>
        </w:rPr>
        <w:t>(e</w:t>
      </w:r>
      <w:r>
        <w:rPr>
          <w:lang w:val="es-ES_tradnl"/>
        </w:rPr>
        <w:noBreakHyphen/>
        <w:t>mail: </w:t>
      </w:r>
      <w:r w:rsidRPr="007544C6">
        <w:rPr>
          <w:lang w:val="es-ES_tradnl"/>
        </w:rPr>
        <w:t>ana.diaz@ica.gov.co)</w:t>
      </w:r>
    </w:p>
    <w:p w:rsidR="00277062" w:rsidRPr="007544C6" w:rsidRDefault="00277062" w:rsidP="00277062">
      <w:pPr>
        <w:pStyle w:val="pldetails"/>
        <w:rPr>
          <w:lang w:val="es-ES_tradnl"/>
        </w:rPr>
      </w:pPr>
      <w:r w:rsidRPr="007544C6">
        <w:rPr>
          <w:lang w:val="es-ES_tradnl"/>
        </w:rPr>
        <w:t xml:space="preserve">Juan Camilo SARETZKI-FORERO, Consejero, Misión Permanente de Colombia ante las Naciones Unidas, Ginebra </w:t>
      </w:r>
      <w:r>
        <w:rPr>
          <w:lang w:val="es-ES_tradnl"/>
        </w:rPr>
        <w:t>(e</w:t>
      </w:r>
      <w:r>
        <w:rPr>
          <w:lang w:val="es-ES_tradnl"/>
        </w:rPr>
        <w:noBreakHyphen/>
        <w:t>mail: </w:t>
      </w:r>
      <w:r w:rsidRPr="007544C6">
        <w:rPr>
          <w:lang w:val="es-ES_tradnl"/>
        </w:rPr>
        <w:t>juan.saretzki@misioncolombia.ch)</w:t>
      </w:r>
    </w:p>
    <w:p w:rsidR="00277062" w:rsidRPr="007544C6" w:rsidRDefault="00277062" w:rsidP="00277062">
      <w:pPr>
        <w:pStyle w:val="plcountry"/>
      </w:pPr>
      <w:r w:rsidRPr="007544C6">
        <w:t>CROATIE / CROATIA / KROATIEN / CROACIA</w:t>
      </w:r>
    </w:p>
    <w:p w:rsidR="00277062" w:rsidRPr="007544C6" w:rsidRDefault="00277062" w:rsidP="00277062">
      <w:pPr>
        <w:pStyle w:val="pldetails"/>
      </w:pPr>
      <w:r w:rsidRPr="007544C6">
        <w:t xml:space="preserve">Ivana BULAJIĆ (Ms.), Head of Plant Health Service, Directorate for Food Quality and Fitosanitary Policy, Ministry of Agriculture, Zagreb </w:t>
      </w:r>
      <w:r>
        <w:t>(e</w:t>
      </w:r>
      <w:r>
        <w:noBreakHyphen/>
        <w:t>mail: </w:t>
      </w:r>
      <w:r w:rsidRPr="007544C6">
        <w:t>ivana.bulajic@mps.hr)</w:t>
      </w:r>
    </w:p>
    <w:p w:rsidR="00277062" w:rsidRPr="007544C6" w:rsidRDefault="00277062" w:rsidP="00277062">
      <w:pPr>
        <w:pStyle w:val="plcountry"/>
      </w:pPr>
      <w:r w:rsidRPr="007544C6">
        <w:t>DANEMARK / DENMARK / DÄNEMARK / DINAMARCA</w:t>
      </w:r>
    </w:p>
    <w:p w:rsidR="00277062" w:rsidRPr="007544C6" w:rsidRDefault="00277062" w:rsidP="00277062">
      <w:pPr>
        <w:pStyle w:val="pldetails"/>
      </w:pPr>
      <w:r w:rsidRPr="007544C6">
        <w:t xml:space="preserve">Maria LILLIE SONNE (Ms.), Head of Legal, Centre of Plants and Agricultural Holdings Act, Danish AgriFish Agency, Copenhagen </w:t>
      </w:r>
      <w:r>
        <w:t>(e</w:t>
      </w:r>
      <w:r>
        <w:noBreakHyphen/>
        <w:t>mail: </w:t>
      </w:r>
      <w:r w:rsidRPr="007544C6">
        <w:t>maliso@naturerhverv.dk)</w:t>
      </w:r>
    </w:p>
    <w:p w:rsidR="00277062" w:rsidRPr="005A455F" w:rsidRDefault="00277062" w:rsidP="00277062">
      <w:pPr>
        <w:pStyle w:val="plcountry"/>
        <w:rPr>
          <w:lang w:val="es-ES_tradnl"/>
        </w:rPr>
      </w:pPr>
      <w:r w:rsidRPr="007544C6">
        <w:rPr>
          <w:lang w:val="es-ES_tradnl"/>
        </w:rPr>
        <w:t>ESPAGNE / SPAIN / SPANIEN / ESPAÑA</w:t>
      </w:r>
    </w:p>
    <w:p w:rsidR="00277062" w:rsidRPr="005A455F" w:rsidRDefault="00277062" w:rsidP="00277062">
      <w:pPr>
        <w:pStyle w:val="pldetails"/>
        <w:rPr>
          <w:lang w:val="es-ES_tradnl"/>
        </w:rPr>
      </w:pPr>
      <w:r w:rsidRPr="005A455F">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rPr>
          <w:lang w:val="es-ES_tradnl"/>
        </w:rPr>
        <w:t>(e</w:t>
      </w:r>
      <w:r>
        <w:rPr>
          <w:lang w:val="es-ES_tradnl"/>
        </w:rPr>
        <w:noBreakHyphen/>
        <w:t>mail: </w:t>
      </w:r>
      <w:r w:rsidRPr="005A455F">
        <w:rPr>
          <w:lang w:val="es-ES_tradnl"/>
        </w:rPr>
        <w:t>luis.salaices@magrama.es)</w:t>
      </w:r>
    </w:p>
    <w:p w:rsidR="00277062" w:rsidRPr="005A455F" w:rsidRDefault="00277062" w:rsidP="00277062">
      <w:pPr>
        <w:pStyle w:val="plcountry"/>
      </w:pPr>
      <w:r w:rsidRPr="005A455F">
        <w:t>ESTONIE / ESTONIA / ESTLAND / ESTONIA</w:t>
      </w:r>
    </w:p>
    <w:p w:rsidR="00277062" w:rsidRPr="005A455F" w:rsidRDefault="00277062" w:rsidP="00277062">
      <w:pPr>
        <w:pStyle w:val="pldetails"/>
      </w:pPr>
      <w:r w:rsidRPr="005A455F">
        <w:t>Renata TSATURJAN (Ms.), Chief Specialist, Plant Production Bureau, Ministry of Agriculture, Tallinn</w:t>
      </w:r>
      <w:r w:rsidRPr="005A455F">
        <w:br/>
      </w:r>
      <w:r>
        <w:t>(e</w:t>
      </w:r>
      <w:r>
        <w:noBreakHyphen/>
        <w:t>mail: </w:t>
      </w:r>
      <w:r w:rsidRPr="005A455F">
        <w:t>renata.tsaturjan@agri.ee)</w:t>
      </w:r>
    </w:p>
    <w:p w:rsidR="00277062" w:rsidRPr="00263FC8" w:rsidRDefault="00277062" w:rsidP="00277062">
      <w:pPr>
        <w:pStyle w:val="plcountry"/>
      </w:pPr>
      <w:r w:rsidRPr="00263FC8">
        <w:t>ÉTATS-UNIS D’AMÉRIQUE / UNITED STATES OF AMERICA / VEREINIGTE STAATEN VON AMERIKA / ESTADOS UNIDOS DE AMÉRICA</w:t>
      </w:r>
    </w:p>
    <w:p w:rsidR="00277062" w:rsidRPr="005A455F" w:rsidRDefault="00277062" w:rsidP="00277062">
      <w:pPr>
        <w:pStyle w:val="pldetails"/>
      </w:pPr>
      <w:r w:rsidRPr="005A455F">
        <w:t xml:space="preserve">Kitisri SUKHAPINDA (Ms.), Patent Attorney, Office of Policy and External Affairs, United States Patent and Trademark Office (USPTO), Alexandria </w:t>
      </w:r>
      <w:r>
        <w:t>(e</w:t>
      </w:r>
      <w:r>
        <w:noBreakHyphen/>
        <w:t>mail: </w:t>
      </w:r>
      <w:r w:rsidRPr="005A455F">
        <w:t>kitisri.sukhapinda@uspto.gov)</w:t>
      </w:r>
    </w:p>
    <w:p w:rsidR="00277062" w:rsidRPr="005A455F" w:rsidRDefault="00277062" w:rsidP="00277062">
      <w:pPr>
        <w:pStyle w:val="pldetails"/>
      </w:pPr>
      <w:r w:rsidRPr="005A455F">
        <w:t>Theodore ALLEGRA, Deputy Chief of Mission, Permanent Mission of the United States of America to the United Nations and Other International Organizations in Geneva</w:t>
      </w:r>
    </w:p>
    <w:p w:rsidR="00277062" w:rsidRPr="005A455F" w:rsidRDefault="00277062" w:rsidP="00277062">
      <w:pPr>
        <w:pStyle w:val="pldetails"/>
      </w:pPr>
      <w:r w:rsidRPr="005A455F">
        <w:t xml:space="preserve">Ruihong GUO (Ms.), Deputy Administrator, AMS, Science &amp; Technology Program, United States Department of Agriculture (USDA), Washington D.C. </w:t>
      </w:r>
      <w:r>
        <w:t>(e</w:t>
      </w:r>
      <w:r>
        <w:noBreakHyphen/>
        <w:t>mail: </w:t>
      </w:r>
      <w:r w:rsidRPr="005A455F">
        <w:t xml:space="preserve">ruihong.guo@ams.usda.gov) </w:t>
      </w:r>
    </w:p>
    <w:p w:rsidR="00277062" w:rsidRPr="005A455F" w:rsidRDefault="00277062" w:rsidP="00277062">
      <w:pPr>
        <w:pStyle w:val="pldetails"/>
      </w:pPr>
      <w:r w:rsidRPr="005A455F">
        <w:t xml:space="preserve">Melissa KEHOE (Ms.), Counselor, Economic and Science Affairs Section, Permanent Mission of the United States of America to the United Nations and Other International Organizations in Geneva </w:t>
      </w:r>
    </w:p>
    <w:p w:rsidR="00277062" w:rsidRPr="005A455F" w:rsidRDefault="00277062" w:rsidP="00277062">
      <w:pPr>
        <w:pStyle w:val="pldetails"/>
      </w:pPr>
      <w:r w:rsidRPr="005A455F">
        <w:t>Kristine SCHLEGELMILCH (Ms.), Intellectual Property Attaché, Economic and Science Affairs, Permanent Mission of the United States of America to the United Nations and Other International Organizations in Geneva</w:t>
      </w:r>
    </w:p>
    <w:p w:rsidR="00277062" w:rsidRPr="005A455F" w:rsidRDefault="00277062" w:rsidP="00277062">
      <w:pPr>
        <w:pStyle w:val="pldetails"/>
      </w:pPr>
      <w:r w:rsidRPr="005A455F">
        <w:t xml:space="preserve">Elaine WU (Ms.), Patent Attorney, United States Patent and Trademark Office, Alexandria </w:t>
      </w:r>
      <w:r w:rsidRPr="005A455F">
        <w:br/>
      </w:r>
      <w:r>
        <w:t>(e</w:t>
      </w:r>
      <w:r>
        <w:noBreakHyphen/>
        <w:t>mail: </w:t>
      </w:r>
      <w:r w:rsidRPr="005A455F">
        <w:t>elaine.wu@uspto.gov)</w:t>
      </w:r>
    </w:p>
    <w:p w:rsidR="00277062" w:rsidRPr="00263FC8" w:rsidRDefault="00277062" w:rsidP="00277062">
      <w:pPr>
        <w:pStyle w:val="plcountry"/>
      </w:pPr>
      <w:r w:rsidRPr="00263FC8">
        <w:t xml:space="preserve">FÉDÉRATION DE RUSSIE / RUSSIAN FEDERATION / RUSSISCHE FÖDERATION / </w:t>
      </w:r>
      <w:r w:rsidRPr="00263FC8">
        <w:br/>
        <w:t>FEDERACIÓN DE RUSIA</w:t>
      </w:r>
    </w:p>
    <w:p w:rsidR="00277062" w:rsidRPr="005A455F" w:rsidRDefault="00277062" w:rsidP="00277062">
      <w:pPr>
        <w:pStyle w:val="pldetails"/>
      </w:pPr>
      <w:r w:rsidRPr="005A455F">
        <w:t xml:space="preserve">Vitaly S. VOLOSHCHENKO, Chairman, State Commission of the Russian Federation for Selection Achievements Test and Protection, Moscow </w:t>
      </w:r>
      <w:r>
        <w:t>(e</w:t>
      </w:r>
      <w:r>
        <w:noBreakHyphen/>
        <w:t>mail: </w:t>
      </w:r>
      <w:r w:rsidRPr="005A455F">
        <w:t>gossort@gossort.com)</w:t>
      </w:r>
    </w:p>
    <w:p w:rsidR="00277062" w:rsidRPr="005A455F" w:rsidRDefault="00277062" w:rsidP="00277062">
      <w:pPr>
        <w:pStyle w:val="pldetails"/>
      </w:pPr>
      <w:r w:rsidRPr="005A455F">
        <w:t xml:space="preserve">Yury A. ROGOVSKIY, Deputy Chairman, Head of Methodology and International Cooperation, State Commission of the Russian Federation for Selection Achievements Test and Protection, Moscow </w:t>
      </w:r>
      <w:r>
        <w:t>(e</w:t>
      </w:r>
      <w:r>
        <w:noBreakHyphen/>
        <w:t>mail: </w:t>
      </w:r>
      <w:r w:rsidRPr="005A455F">
        <w:t>yrogovskij@yandex.ru)</w:t>
      </w:r>
    </w:p>
    <w:p w:rsidR="00277062" w:rsidRPr="005A455F" w:rsidRDefault="00277062" w:rsidP="00277062">
      <w:pPr>
        <w:pStyle w:val="pldetails"/>
      </w:pPr>
      <w:r w:rsidRPr="005A455F">
        <w:t xml:space="preserve">Viktor I. STARTCEV, Deputy Chairman, State Commission of the Russian Federation for Selection Achievements Test and Protection, Moscow </w:t>
      </w:r>
      <w:r>
        <w:t>(e</w:t>
      </w:r>
      <w:r>
        <w:noBreakHyphen/>
        <w:t>mail: </w:t>
      </w:r>
      <w:r w:rsidRPr="005A455F">
        <w:t>gossort@gossort.com)</w:t>
      </w:r>
    </w:p>
    <w:p w:rsidR="00277062" w:rsidRPr="005A455F" w:rsidRDefault="00277062" w:rsidP="00277062">
      <w:pPr>
        <w:pStyle w:val="pldetails"/>
      </w:pPr>
      <w:r w:rsidRPr="005A455F">
        <w:t>Antonina TRETINNIKOVA (Ms.), Deputy Head, Methodology and International Cooperation Department, State Commission of the Russian Federation for Selection Achievements Test and Protection, Moscow</w:t>
      </w:r>
      <w:r w:rsidRPr="005A455F">
        <w:br/>
      </w:r>
      <w:r>
        <w:t>(e</w:t>
      </w:r>
      <w:r>
        <w:noBreakHyphen/>
        <w:t>mail: </w:t>
      </w:r>
      <w:r w:rsidRPr="005A455F">
        <w:t>tretinnikova@mail.ru)</w:t>
      </w:r>
    </w:p>
    <w:p w:rsidR="00277062" w:rsidRPr="005A455F" w:rsidRDefault="00277062" w:rsidP="00277062">
      <w:pPr>
        <w:pStyle w:val="plcountry"/>
        <w:rPr>
          <w:lang w:val="fr-CH"/>
        </w:rPr>
      </w:pPr>
      <w:r w:rsidRPr="005A455F">
        <w:rPr>
          <w:lang w:val="fr-CH"/>
        </w:rPr>
        <w:t>FRANCE / France / FRANKREICH / FRANCIA</w:t>
      </w:r>
    </w:p>
    <w:p w:rsidR="00277062" w:rsidRDefault="00277062" w:rsidP="00277062">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277062" w:rsidRPr="005A455F" w:rsidRDefault="00277062" w:rsidP="00277062">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277062" w:rsidRDefault="00277062" w:rsidP="00277062">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277062" w:rsidRPr="005A455F" w:rsidRDefault="00277062" w:rsidP="00277062">
      <w:pPr>
        <w:pStyle w:val="plcountry"/>
      </w:pPr>
      <w:r w:rsidRPr="005A455F">
        <w:t>HONGRIE / HUNGARY / UNGARN / HUNGRÍA</w:t>
      </w:r>
    </w:p>
    <w:p w:rsidR="00277062" w:rsidRPr="005A455F" w:rsidRDefault="00277062" w:rsidP="00277062">
      <w:pPr>
        <w:pStyle w:val="pldetails"/>
      </w:pPr>
      <w:r w:rsidRPr="005A455F">
        <w:t xml:space="preserve">Tamás HARANGOZÓ, PVP Expert, Directorate of Plant Production and Horticulture, National Food Chain Safety Office (NÉBIH), Budapest </w:t>
      </w:r>
      <w:r>
        <w:t>(e</w:t>
      </w:r>
      <w:r>
        <w:noBreakHyphen/>
        <w:t>mail: </w:t>
      </w:r>
      <w:r w:rsidRPr="005A455F">
        <w:t>harangozoT@nebih.gov.hu)</w:t>
      </w:r>
    </w:p>
    <w:p w:rsidR="00277062" w:rsidRPr="005A455F" w:rsidRDefault="00277062" w:rsidP="00277062">
      <w:pPr>
        <w:pStyle w:val="pldetails"/>
      </w:pPr>
      <w:r w:rsidRPr="005A455F">
        <w:t xml:space="preserve">Krisztina KOVÁCS (Ms.), Head, Industrial Property Law Section, Hungarian Intellectual Property Office (HIPO), Budapest </w:t>
      </w:r>
      <w:r>
        <w:t>(e</w:t>
      </w:r>
      <w:r>
        <w:noBreakHyphen/>
        <w:t>mail: </w:t>
      </w:r>
      <w:r w:rsidRPr="005A455F">
        <w:t xml:space="preserve">krisztina.kovacs@hipo.gov.hu)  </w:t>
      </w:r>
    </w:p>
    <w:p w:rsidR="00277062" w:rsidRPr="005A455F" w:rsidRDefault="00277062" w:rsidP="00277062">
      <w:pPr>
        <w:pStyle w:val="pldetails"/>
        <w:rPr>
          <w:caps/>
        </w:rPr>
      </w:pPr>
      <w:r w:rsidRPr="005A455F">
        <w:t xml:space="preserve">Mónika HORTOBÁGYINÉ SPEKLA (Ms.), Patent Examiner, Hungarian Intellectual Property Office (HIPO), Budapest </w:t>
      </w:r>
      <w:r>
        <w:t>(e</w:t>
      </w:r>
      <w:r>
        <w:noBreakHyphen/>
        <w:t>mail: </w:t>
      </w:r>
      <w:r w:rsidRPr="005A455F">
        <w:t>monika.spekla@hipo.gov.hu)</w:t>
      </w:r>
    </w:p>
    <w:p w:rsidR="00277062" w:rsidRPr="005A455F" w:rsidRDefault="00277062" w:rsidP="00277062">
      <w:pPr>
        <w:pStyle w:val="plcountry"/>
      </w:pPr>
      <w:r w:rsidRPr="005A455F">
        <w:t>IRLANDE / IRELAND / IRLAND / IRLANDA</w:t>
      </w:r>
    </w:p>
    <w:p w:rsidR="00277062" w:rsidRPr="005A455F" w:rsidRDefault="00277062" w:rsidP="00277062">
      <w:pPr>
        <w:pStyle w:val="pldetails"/>
      </w:pPr>
      <w:r w:rsidRPr="005A455F">
        <w:t>John CLAFFEY, Officer, Office of the Controller of Plant Breeders</w:t>
      </w:r>
      <w:r>
        <w:t>’</w:t>
      </w:r>
      <w:r w:rsidRPr="005A455F">
        <w:t xml:space="preserve"> Rights, National Crop Evaluation Centre, Department of Agriculture, Leixlip </w:t>
      </w:r>
      <w:r>
        <w:t>(e</w:t>
      </w:r>
      <w:r>
        <w:noBreakHyphen/>
        <w:t>mail: </w:t>
      </w:r>
      <w:r w:rsidRPr="005A455F">
        <w:t>john.claffey@agriculture.gov.ie)</w:t>
      </w:r>
    </w:p>
    <w:p w:rsidR="00277062" w:rsidRPr="007544C6" w:rsidRDefault="00277062" w:rsidP="00277062">
      <w:pPr>
        <w:pStyle w:val="plcountry"/>
      </w:pPr>
      <w:r w:rsidRPr="007544C6">
        <w:t>ISRAËL / ISRAEL / ISRAEL / ISRAEL</w:t>
      </w:r>
    </w:p>
    <w:p w:rsidR="00277062" w:rsidRPr="007544C6" w:rsidRDefault="00277062" w:rsidP="00277062">
      <w:pPr>
        <w:pStyle w:val="pldetails"/>
      </w:pPr>
      <w:r w:rsidRPr="007544C6">
        <w:t xml:space="preserve">David OPATOWSKI, Minister, Counsellor, Agricultural Affairs, Permanent Mission of Israel to the United Nations and International Organizations, Geneva </w:t>
      </w:r>
      <w:r>
        <w:t>(e</w:t>
      </w:r>
      <w:r>
        <w:noBreakHyphen/>
        <w:t>mail: </w:t>
      </w:r>
      <w:r w:rsidRPr="007544C6">
        <w:t>agriculture@geneva.mfa.gov.il)</w:t>
      </w:r>
    </w:p>
    <w:p w:rsidR="00277062" w:rsidRPr="007544C6" w:rsidRDefault="00277062" w:rsidP="00277062">
      <w:pPr>
        <w:pStyle w:val="plcountry"/>
      </w:pPr>
      <w:r w:rsidRPr="007544C6">
        <w:t>JAPON / JAPAN / JAPAN / JAPÓN</w:t>
      </w:r>
    </w:p>
    <w:p w:rsidR="00277062" w:rsidRPr="005A455F" w:rsidRDefault="00277062" w:rsidP="00277062">
      <w:pPr>
        <w:pStyle w:val="pldetails"/>
      </w:pPr>
      <w:r w:rsidRPr="007544C6">
        <w:t>Akira MIYAKE, Senior Policy Advisor, Intellectual Property Division, Food Industry Affairs Bureau, Ministry of</w:t>
      </w:r>
      <w:r w:rsidRPr="005A455F">
        <w:t xml:space="preserve"> Agriculture, Forestry and Fisheries (MAFF), Tokyo </w:t>
      </w:r>
      <w:r>
        <w:t>(e</w:t>
      </w:r>
      <w:r>
        <w:noBreakHyphen/>
        <w:t>mail: </w:t>
      </w:r>
      <w:r w:rsidRPr="005A455F">
        <w:t xml:space="preserve">akira_miyake@nm.maff.go.jp) </w:t>
      </w:r>
    </w:p>
    <w:p w:rsidR="00277062" w:rsidRPr="005A455F" w:rsidRDefault="00277062" w:rsidP="00277062">
      <w:pPr>
        <w:pStyle w:val="plcountry"/>
      </w:pPr>
      <w:r w:rsidRPr="005A455F">
        <w:t>KENYA / kenya / KENIA / KENYA</w:t>
      </w:r>
    </w:p>
    <w:p w:rsidR="00277062" w:rsidRPr="005A455F" w:rsidRDefault="00277062" w:rsidP="00277062">
      <w:pPr>
        <w:pStyle w:val="pldetails"/>
      </w:pPr>
      <w:r w:rsidRPr="005A455F">
        <w:t>Esther KIMANI, Acting Managing Director, Kenya Plant Health Inspectorate Service (KEPHIS), Nairobi</w:t>
      </w:r>
      <w:r w:rsidRPr="005A455F">
        <w:br/>
      </w:r>
      <w:r>
        <w:t>(e</w:t>
      </w:r>
      <w:r>
        <w:noBreakHyphen/>
        <w:t>mail: </w:t>
      </w:r>
      <w:r w:rsidRPr="005A455F">
        <w:t>director@kephis.org)</w:t>
      </w:r>
    </w:p>
    <w:p w:rsidR="00277062" w:rsidRPr="005A455F" w:rsidRDefault="00277062" w:rsidP="00277062">
      <w:pPr>
        <w:pStyle w:val="plcountry"/>
      </w:pPr>
      <w:r w:rsidRPr="005A455F">
        <w:t>LETTONIE / LATVIA / LETTLAND / LETONIA</w:t>
      </w:r>
    </w:p>
    <w:p w:rsidR="00277062" w:rsidRDefault="00277062" w:rsidP="00277062">
      <w:pPr>
        <w:pStyle w:val="pldetails"/>
      </w:pPr>
      <w:r w:rsidRPr="005A455F">
        <w:t xml:space="preserve">Zanda MILTINA (Ms.), Senior Officer, Department of Agriculture, Ministry of Agriculture, Riga </w:t>
      </w:r>
      <w:r w:rsidRPr="005A455F">
        <w:br/>
      </w:r>
      <w:r>
        <w:t>(e</w:t>
      </w:r>
      <w:r>
        <w:noBreakHyphen/>
        <w:t>mail: </w:t>
      </w:r>
      <w:r w:rsidRPr="004A47E0">
        <w:t>Zanda.Miltina@zm.gov.lv</w:t>
      </w:r>
      <w:r w:rsidRPr="005A455F">
        <w:t>)</w:t>
      </w:r>
    </w:p>
    <w:p w:rsidR="00277062" w:rsidRPr="00374F87" w:rsidRDefault="00277062" w:rsidP="00277062">
      <w:pPr>
        <w:pStyle w:val="plcountry"/>
      </w:pPr>
      <w:r w:rsidRPr="00374F87">
        <w:t>LITUANIE / LITHUANIA / LITAUEN / LITUANIA</w:t>
      </w:r>
    </w:p>
    <w:p w:rsidR="00277062" w:rsidRPr="004A47E0" w:rsidRDefault="00277062" w:rsidP="00277062">
      <w:pPr>
        <w:pStyle w:val="pldetails"/>
      </w:pPr>
      <w:r w:rsidRPr="004A47E0">
        <w:t>Sigi</w:t>
      </w:r>
      <w:r>
        <w:t>ta JUCIUVIENE</w:t>
      </w:r>
      <w:r w:rsidRPr="004A47E0">
        <w:t xml:space="preserve"> (Ms.), </w:t>
      </w:r>
      <w:r>
        <w:t>Head, Plant Variety Division, Registration and Legal Protection, State Plant Service under the Ministry of Agriculture of the Republic of Lithuania, Vilnus (e</w:t>
      </w:r>
      <w:r>
        <w:noBreakHyphen/>
        <w:t>mail: sigita.juciuviene@vatzum.lt</w:t>
      </w:r>
      <w:r w:rsidRPr="004A47E0">
        <w:t>)</w:t>
      </w:r>
    </w:p>
    <w:p w:rsidR="00277062" w:rsidRPr="005A455F" w:rsidRDefault="00277062" w:rsidP="00277062">
      <w:pPr>
        <w:pStyle w:val="plcountry"/>
        <w:rPr>
          <w:lang w:val="fr-CH"/>
        </w:rPr>
      </w:pPr>
      <w:r w:rsidRPr="005A455F">
        <w:rPr>
          <w:lang w:val="fr-CH"/>
        </w:rPr>
        <w:t>MAROC / MOROCCO / MAROKKO / MARRUECOS</w:t>
      </w:r>
    </w:p>
    <w:p w:rsidR="00277062" w:rsidRPr="005A455F" w:rsidRDefault="00277062" w:rsidP="00277062">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277062" w:rsidRPr="005A455F" w:rsidRDefault="00277062" w:rsidP="00277062">
      <w:pPr>
        <w:pStyle w:val="plcountry"/>
      </w:pPr>
      <w:r w:rsidRPr="005A455F">
        <w:t>NORVÈGE / NORWAY / NORWEGEN / NORUEGA</w:t>
      </w:r>
    </w:p>
    <w:p w:rsidR="00277062" w:rsidRPr="005A455F" w:rsidRDefault="00277062" w:rsidP="00277062">
      <w:pPr>
        <w:pStyle w:val="pldetails"/>
      </w:pPr>
      <w:r w:rsidRPr="005A455F">
        <w:t xml:space="preserve">Marianne SMITH (Ms.), Senior Advisor, Norwegian Ministry of Agriculture and Food, Oslo </w:t>
      </w:r>
      <w:r w:rsidRPr="005A455F">
        <w:br/>
      </w:r>
      <w:r>
        <w:t>(e</w:t>
      </w:r>
      <w:r>
        <w:noBreakHyphen/>
        <w:t>mail: </w:t>
      </w:r>
      <w:r w:rsidRPr="005A455F">
        <w:t>marianne.smith@lmd.dep.no)</w:t>
      </w:r>
    </w:p>
    <w:p w:rsidR="00277062" w:rsidRPr="005A455F" w:rsidRDefault="00277062" w:rsidP="00277062">
      <w:pPr>
        <w:pStyle w:val="pldetails"/>
      </w:pPr>
      <w:r w:rsidRPr="005A455F">
        <w:t xml:space="preserve">Tor Erik JØRGENSEN, Head of Section, National Approvals, Norwegian Food Safety Authority, Brumunddal </w:t>
      </w:r>
      <w:r w:rsidRPr="005A455F">
        <w:br/>
      </w:r>
      <w:r>
        <w:t>(e</w:t>
      </w:r>
      <w:r>
        <w:noBreakHyphen/>
        <w:t>mail: </w:t>
      </w:r>
      <w:r w:rsidRPr="005A455F">
        <w:t xml:space="preserve">tor.erik.jorgensen@mattilsynet.no)  </w:t>
      </w:r>
    </w:p>
    <w:p w:rsidR="00277062" w:rsidRPr="005A455F" w:rsidRDefault="00277062" w:rsidP="00277062">
      <w:pPr>
        <w:pStyle w:val="pldetails"/>
      </w:pPr>
      <w:r w:rsidRPr="005A455F">
        <w:t xml:space="preserve">Martin GARFJELL, Advisor, Norwegian Food Safety Authority, Brumunddal </w:t>
      </w:r>
      <w:r>
        <w:t>(e</w:t>
      </w:r>
      <w:r>
        <w:noBreakHyphen/>
        <w:t>mail: </w:t>
      </w:r>
      <w:r w:rsidRPr="005A455F">
        <w:t xml:space="preserve">Martin.garfjell@mattilsynet.no) </w:t>
      </w:r>
    </w:p>
    <w:p w:rsidR="00277062" w:rsidRPr="00263FC8" w:rsidRDefault="00277062" w:rsidP="00277062">
      <w:pPr>
        <w:pStyle w:val="plcountry"/>
      </w:pPr>
      <w:r w:rsidRPr="00263FC8">
        <w:t>NOUVELLE-ZÉLANDE / NEW ZEALAND / NEUSEELAND / NUEVA ZELANDIA</w:t>
      </w:r>
    </w:p>
    <w:p w:rsidR="00277062" w:rsidRDefault="00277062" w:rsidP="00277062">
      <w:pPr>
        <w:pStyle w:val="pldetails"/>
      </w:pPr>
      <w:r w:rsidRPr="005A455F">
        <w:t xml:space="preserve">Christopher J. BARNABY, Assistant Commissioner / Principal Examiner for Plant Variety Rights, Plant Variety Rights Office, Intellectual Property Office of New Zealand, Ministry of Business, Innovation and Employment, Christchurch </w:t>
      </w:r>
      <w:r>
        <w:t>(e</w:t>
      </w:r>
      <w:r>
        <w:noBreakHyphen/>
        <w:t>mail: </w:t>
      </w:r>
      <w:r w:rsidRPr="0060089C">
        <w:t>Chris.Barnaby@pvr.govt.nz</w:t>
      </w:r>
      <w:r w:rsidRPr="005A455F">
        <w:t>)</w:t>
      </w:r>
    </w:p>
    <w:p w:rsidR="00277062" w:rsidRPr="007544C6" w:rsidRDefault="00277062" w:rsidP="00277062">
      <w:pPr>
        <w:pStyle w:val="plcountry"/>
      </w:pPr>
      <w:r w:rsidRPr="007544C6">
        <w:t>OMAN / OMAN / OMAN / OMáN</w:t>
      </w:r>
    </w:p>
    <w:p w:rsidR="00277062" w:rsidRPr="007544C6" w:rsidRDefault="00277062" w:rsidP="00277062">
      <w:pPr>
        <w:pStyle w:val="pldetails"/>
      </w:pPr>
      <w:r w:rsidRPr="007544C6">
        <w:t xml:space="preserve">Mohamed Salim AL MARDHOOF AL SAADI, Commercial Affairs, Permananet Mission of the Sultanate of Oman to the United Nations and other international organizations in Geneva, Chambésy </w:t>
      </w:r>
      <w:r>
        <w:t>(e</w:t>
      </w:r>
      <w:r>
        <w:noBreakHyphen/>
        <w:t>mail: </w:t>
      </w:r>
      <w:r w:rsidRPr="007544C6">
        <w:t>almardhoof@gmail.com)</w:t>
      </w:r>
    </w:p>
    <w:p w:rsidR="00277062" w:rsidRPr="00263FC8" w:rsidRDefault="00277062" w:rsidP="00277062">
      <w:pPr>
        <w:pStyle w:val="plcountry"/>
      </w:pPr>
      <w:r w:rsidRPr="00263FC8">
        <w:t xml:space="preserve">ORGANISATION AFRICAINE DE LA PROPRIÉTÉ INTELLECTUELLE (OAPI) / </w:t>
      </w:r>
      <w:r w:rsidRPr="00263FC8">
        <w:br/>
        <w:t xml:space="preserve">AFRICAN INTELLECTUAL PROPERTY ORGANIZATION (OAPI) / </w:t>
      </w:r>
      <w:r w:rsidRPr="00263FC8">
        <w:br/>
        <w:t xml:space="preserve">AFRIKANISCHE ORGANISATION FÜR GEISTIGES EIGENTUM (OAPI) / </w:t>
      </w:r>
      <w:r w:rsidRPr="00263FC8">
        <w:br/>
        <w:t>ORGANIZACIÓN AFRICANA DE LA PROPIEDAD INTELECTUAL (OAPI)</w:t>
      </w:r>
    </w:p>
    <w:p w:rsidR="00277062" w:rsidRPr="005A455F" w:rsidRDefault="00277062" w:rsidP="00277062">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277062" w:rsidRPr="005A455F" w:rsidRDefault="00277062" w:rsidP="00277062">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277062" w:rsidRPr="006C487C" w:rsidRDefault="00277062" w:rsidP="00277062">
      <w:pPr>
        <w:pStyle w:val="plcountry"/>
        <w:rPr>
          <w:lang w:val="es-ES_tradnl"/>
        </w:rPr>
      </w:pPr>
      <w:r w:rsidRPr="006C487C">
        <w:rPr>
          <w:lang w:val="es-ES_tradnl"/>
        </w:rPr>
        <w:t>PARAGUAY / PARAGUAY / PARAGUAY / PARAGUAY</w:t>
      </w:r>
    </w:p>
    <w:p w:rsidR="00277062" w:rsidRPr="007544C6" w:rsidRDefault="00277062" w:rsidP="00277062">
      <w:pPr>
        <w:pStyle w:val="pldetails"/>
        <w:rPr>
          <w:lang w:val="es-ES_tradnl"/>
        </w:rPr>
      </w:pPr>
      <w:r w:rsidRPr="006C487C">
        <w:rPr>
          <w:lang w:val="es-ES_tradnl"/>
        </w:rPr>
        <w:t xml:space="preserve">Blanca Julia NÚÑEZ DE MATTO (Sra.), Jefa, Departamento de Protección y Uso de Variedades, Dirección de Semillas (DISE), Servicio Nacional de Calidad y Sanidad Vegetal y de Semillas (SENAVE), San Lorenzo </w:t>
      </w:r>
      <w:r>
        <w:rPr>
          <w:lang w:val="es-ES_tradnl"/>
        </w:rPr>
        <w:t>(e</w:t>
      </w:r>
      <w:r>
        <w:rPr>
          <w:lang w:val="es-ES_tradnl"/>
        </w:rPr>
        <w:noBreakHyphen/>
        <w:t>mail: </w:t>
      </w:r>
      <w:r w:rsidRPr="007544C6">
        <w:rPr>
          <w:lang w:val="es-ES_tradnl"/>
        </w:rPr>
        <w:t xml:space="preserve">blanca.nunez@senave.gov.py) </w:t>
      </w:r>
    </w:p>
    <w:p w:rsidR="00277062" w:rsidRPr="006C487C" w:rsidRDefault="00277062" w:rsidP="00277062">
      <w:pPr>
        <w:pStyle w:val="pldetails"/>
        <w:rPr>
          <w:lang w:val="es-ES_tradnl"/>
        </w:rPr>
      </w:pPr>
      <w:r w:rsidRPr="007544C6">
        <w:rPr>
          <w:lang w:val="es-ES_tradnl"/>
        </w:rPr>
        <w:t>Daysi Carolina O’HIGGINS DURÉ (Sra.), Técnica, Departamento de Protección y Uso de Variedades, Dirección de Semillas (DISE), Servicio Nacional de Calidad y Sanidad Vege</w:t>
      </w:r>
      <w:r>
        <w:rPr>
          <w:lang w:val="es-ES_tradnl"/>
        </w:rPr>
        <w:t>tal y de Semillas (SENAVE), San </w:t>
      </w:r>
      <w:r w:rsidRPr="007544C6">
        <w:rPr>
          <w:lang w:val="es-ES_tradnl"/>
        </w:rPr>
        <w:t xml:space="preserve">Lorenzo </w:t>
      </w:r>
      <w:r>
        <w:rPr>
          <w:lang w:val="es-ES_tradnl"/>
        </w:rPr>
        <w:t>(e</w:t>
      </w:r>
      <w:r>
        <w:rPr>
          <w:lang w:val="es-ES_tradnl"/>
        </w:rPr>
        <w:noBreakHyphen/>
        <w:t>mail: </w:t>
      </w:r>
      <w:r w:rsidRPr="007544C6">
        <w:rPr>
          <w:lang w:val="es-ES_tradnl"/>
        </w:rPr>
        <w:t>daysi.ohiggins@senave.gov.py)</w:t>
      </w:r>
    </w:p>
    <w:p w:rsidR="00277062" w:rsidRPr="00263FC8" w:rsidRDefault="00277062" w:rsidP="00277062">
      <w:pPr>
        <w:pStyle w:val="plcountry"/>
      </w:pPr>
      <w:r w:rsidRPr="00263FC8">
        <w:t>PAYS-BAS / NETHERLANDS / NIEDERLANDE / PAÍSES BAJOS</w:t>
      </w:r>
    </w:p>
    <w:p w:rsidR="00277062" w:rsidRPr="005A455F" w:rsidRDefault="00277062" w:rsidP="00277062">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277062" w:rsidRPr="005A455F" w:rsidRDefault="00277062" w:rsidP="00277062">
      <w:pPr>
        <w:pStyle w:val="pldetails"/>
      </w:pPr>
      <w:r w:rsidRPr="005A455F">
        <w:t xml:space="preserve">Kees Jan GROENEWOUD, Secretary, Plant Variety Board (Raad voor Plantenrassen), Naktuinbouw, Roelofarendsveen </w:t>
      </w:r>
      <w:r>
        <w:t>(e</w:t>
      </w:r>
      <w:r>
        <w:noBreakHyphen/>
        <w:t>mail: </w:t>
      </w:r>
      <w:r w:rsidRPr="005A455F">
        <w:t xml:space="preserve">c.j.a.groenewoud@naktuinbouw.nl)  </w:t>
      </w:r>
    </w:p>
    <w:p w:rsidR="00277062" w:rsidRPr="005A455F" w:rsidRDefault="00277062" w:rsidP="00277062">
      <w:pPr>
        <w:pStyle w:val="pldetails"/>
      </w:pPr>
      <w:r w:rsidRPr="005A455F">
        <w:t xml:space="preserve">Kees VAN ETTEKOVEN, Head of Variety Testing Department, Naktuinbouw, Roelofarendsveen </w:t>
      </w:r>
      <w:r w:rsidRPr="005A455F">
        <w:br/>
      </w:r>
      <w:r>
        <w:t>(e</w:t>
      </w:r>
      <w:r>
        <w:noBreakHyphen/>
        <w:t>mail: </w:t>
      </w:r>
      <w:r w:rsidRPr="005A455F">
        <w:t>c.v.ettekoven@naktuinbouw.nl)</w:t>
      </w:r>
    </w:p>
    <w:p w:rsidR="00277062" w:rsidRPr="005A455F" w:rsidRDefault="00277062" w:rsidP="00277062">
      <w:pPr>
        <w:pStyle w:val="plcountry"/>
      </w:pPr>
      <w:r w:rsidRPr="005A455F">
        <w:t>POLOGNE / POLAND / POLEN / POLONIA</w:t>
      </w:r>
    </w:p>
    <w:p w:rsidR="00277062" w:rsidRPr="005A455F" w:rsidRDefault="00277062" w:rsidP="00277062">
      <w:pPr>
        <w:pStyle w:val="pldetails"/>
      </w:pPr>
      <w:r w:rsidRPr="00922C49">
        <w:t xml:space="preserve">Edward S. GACEK, Director General, Research Centre for Cultivar Testing (COBORU), Slupia Wielka </w:t>
      </w:r>
      <w:r w:rsidRPr="00922C49">
        <w:br/>
      </w:r>
      <w:r>
        <w:t>(e</w:t>
      </w:r>
      <w:r>
        <w:noBreakHyphen/>
        <w:t>mail: </w:t>
      </w:r>
      <w:r w:rsidRPr="00922C49">
        <w:t>e.gacek@coboru.pl)</w:t>
      </w:r>
      <w:r w:rsidRPr="005A455F">
        <w:t xml:space="preserve"> </w:t>
      </w:r>
    </w:p>
    <w:p w:rsidR="00277062" w:rsidRPr="005A455F" w:rsidRDefault="00277062" w:rsidP="00277062">
      <w:pPr>
        <w:pStyle w:val="pldetails"/>
      </w:pPr>
      <w:r w:rsidRPr="005A455F">
        <w:t xml:space="preserve">Marcin BEHNKE, Deputy Director General for Experimental Affairs, Research Centre for Cultivar Testing (COBORU), Slupia Wielka </w:t>
      </w:r>
      <w:r>
        <w:t>(e</w:t>
      </w:r>
      <w:r>
        <w:noBreakHyphen/>
        <w:t>mail: </w:t>
      </w:r>
      <w:r w:rsidRPr="005A455F">
        <w:t xml:space="preserve">m.behnke@coboru.pl) </w:t>
      </w:r>
    </w:p>
    <w:p w:rsidR="00277062" w:rsidRPr="005A455F" w:rsidRDefault="00277062" w:rsidP="00277062">
      <w:pPr>
        <w:pStyle w:val="pldetails"/>
      </w:pPr>
      <w:r w:rsidRPr="005A455F">
        <w:t>Alicja RUTKOWSKA-ŁOŚ (Ms.), Head, National Listing and Plant Breeders</w:t>
      </w:r>
      <w:r>
        <w:t>’</w:t>
      </w:r>
      <w:r w:rsidRPr="005A455F">
        <w:t xml:space="preserve"> Rights Protection Office, Research Centre for Cultivar Testing (COBORU), Slupia Wielka </w:t>
      </w:r>
      <w:r>
        <w:t>(e</w:t>
      </w:r>
      <w:r>
        <w:noBreakHyphen/>
        <w:t>mail: </w:t>
      </w:r>
      <w:r w:rsidRPr="005A455F">
        <w:t xml:space="preserve">a.rutkowska@coboru.pl) </w:t>
      </w:r>
    </w:p>
    <w:p w:rsidR="00277062" w:rsidRPr="00263FC8" w:rsidRDefault="00277062" w:rsidP="00277062">
      <w:pPr>
        <w:pStyle w:val="plcountry"/>
      </w:pPr>
      <w:r w:rsidRPr="00263FC8">
        <w:t>RÉPUBLIQUE DE CORÉE / REPUBLIC OF KOREA / REPUBLIK KOREA / REPÚBLICA DE COREA</w:t>
      </w:r>
    </w:p>
    <w:p w:rsidR="00277062" w:rsidRPr="005A455F" w:rsidRDefault="00277062" w:rsidP="00277062">
      <w:pPr>
        <w:pStyle w:val="pldetails"/>
        <w:keepNext/>
      </w:pPr>
      <w:r w:rsidRPr="005A455F">
        <w:t>Jin-Ou YOO, Deputy Director, Trademark Examination Policy Division, Korean Intellectual Property Office (KIPO), Daejeon Metropolitan City</w:t>
      </w:r>
    </w:p>
    <w:p w:rsidR="00277062" w:rsidRPr="005A455F" w:rsidRDefault="00277062" w:rsidP="00277062">
      <w:pPr>
        <w:pStyle w:val="pldetails"/>
        <w:keepNext/>
      </w:pPr>
      <w:r w:rsidRPr="005A455F">
        <w:t xml:space="preserve">Eun-Sun CHUNG (Ms.), Senior Examiner, Plant Variety Division, Korea Seed and Variety Service (KSVS), Ministry for Food, Agriculture, Forestry and Fisheries (MIFAFF), Anyang City </w:t>
      </w:r>
      <w:r>
        <w:t>(e</w:t>
      </w:r>
      <w:r>
        <w:noBreakHyphen/>
        <w:t>mail: </w:t>
      </w:r>
      <w:r w:rsidRPr="005A455F">
        <w:t xml:space="preserve">eschung@korea.kr)  </w:t>
      </w:r>
    </w:p>
    <w:p w:rsidR="00277062" w:rsidRPr="005A455F" w:rsidRDefault="00277062" w:rsidP="00277062">
      <w:pPr>
        <w:pStyle w:val="pldetails"/>
      </w:pPr>
      <w:r w:rsidRPr="005A455F">
        <w:t xml:space="preserve">Beonkoo LEE, Examiner, Dongbu Office, Korea Seed and Variety Service (KSVS) </w:t>
      </w:r>
      <w:r>
        <w:t>(e</w:t>
      </w:r>
      <w:r>
        <w:noBreakHyphen/>
        <w:t>mail: </w:t>
      </w:r>
      <w:r w:rsidRPr="005A455F">
        <w:t>gilttara@korea.kr)</w:t>
      </w:r>
    </w:p>
    <w:p w:rsidR="00277062" w:rsidRPr="005A455F" w:rsidRDefault="00277062" w:rsidP="00277062">
      <w:pPr>
        <w:pStyle w:val="plcountry"/>
        <w:rPr>
          <w:lang w:val="es-ES_tradnl"/>
        </w:rPr>
      </w:pPr>
      <w:r w:rsidRPr="005A455F">
        <w:rPr>
          <w:lang w:val="es-ES_tradnl"/>
        </w:rPr>
        <w:t xml:space="preserve">RÉPUBLIQUE DE MOLDOVA / REPUBLIC OF MOLDOVA / REPUBLIK MOLDAU / </w:t>
      </w:r>
      <w:r w:rsidRPr="005A455F">
        <w:rPr>
          <w:lang w:val="es-ES_tradnl"/>
        </w:rPr>
        <w:br/>
        <w:t>REPÚBLICA DE MOLDOVA</w:t>
      </w:r>
    </w:p>
    <w:p w:rsidR="00277062" w:rsidRPr="005A455F" w:rsidRDefault="00277062" w:rsidP="00277062">
      <w:pPr>
        <w:pStyle w:val="pldetails"/>
      </w:pPr>
      <w:r w:rsidRPr="005A455F">
        <w:t xml:space="preserve">Mihail MACHIDON, Chairman, State Commission for Crops Variety Testing and Registration (SCCVTR), Chisinau </w:t>
      </w:r>
      <w:r>
        <w:t>(e</w:t>
      </w:r>
      <w:r>
        <w:noBreakHyphen/>
        <w:t>mail: </w:t>
      </w:r>
      <w:r w:rsidRPr="005A455F">
        <w:t>info@cstsp.md)</w:t>
      </w:r>
    </w:p>
    <w:p w:rsidR="00277062" w:rsidRPr="005A455F" w:rsidRDefault="00277062" w:rsidP="00277062">
      <w:pPr>
        <w:pStyle w:val="plcountry"/>
      </w:pPr>
      <w:r w:rsidRPr="005A455F">
        <w:t>RÉPUBLIQUE TCHÈQUE / CZECH REPUBLIC / TSCHECHISCHE REPUBLIK / REPÚBLICA CHECA</w:t>
      </w:r>
    </w:p>
    <w:p w:rsidR="00277062" w:rsidRPr="005A455F" w:rsidRDefault="00277062" w:rsidP="00277062">
      <w:pPr>
        <w:pStyle w:val="pldetails"/>
      </w:pPr>
      <w:r w:rsidRPr="005A455F">
        <w:t xml:space="preserve">Radmila SAFARIKOVA (Ms.), Head of Division, Central Institute for Supervising and Testing in Agriculture (UKZUZ), National Plant Variety Office, Brno </w:t>
      </w:r>
      <w:r>
        <w:t>(e</w:t>
      </w:r>
      <w:r>
        <w:noBreakHyphen/>
        <w:t>mail: </w:t>
      </w:r>
      <w:r w:rsidRPr="005A455F">
        <w:t>radmila.safarikova@ukzuz.cz)</w:t>
      </w:r>
    </w:p>
    <w:p w:rsidR="00277062" w:rsidRPr="006C487C" w:rsidRDefault="00277062" w:rsidP="00277062">
      <w:pPr>
        <w:pStyle w:val="plcountry"/>
        <w:rPr>
          <w:lang w:val="es-ES_tradnl"/>
        </w:rPr>
      </w:pPr>
      <w:r w:rsidRPr="006C487C">
        <w:rPr>
          <w:lang w:val="es-ES_tradnl"/>
        </w:rPr>
        <w:t xml:space="preserve">RÉPUBLIQUE-UNIE DE TANZANIE / UNITED REPUBLIC OF TANZANIA / </w:t>
      </w:r>
      <w:r w:rsidRPr="006C487C">
        <w:rPr>
          <w:lang w:val="es-ES_tradnl"/>
        </w:rPr>
        <w:br/>
        <w:t>VEREINIGTE REPUBLIK TANSANIA / REPÚBLICA UNIDA DE TANZANÍA</w:t>
      </w:r>
    </w:p>
    <w:p w:rsidR="00277062" w:rsidRPr="005A455F" w:rsidRDefault="00277062" w:rsidP="00277062">
      <w:pPr>
        <w:pStyle w:val="pldetails"/>
      </w:pPr>
      <w:r w:rsidRPr="005A455F">
        <w:t>Patrick NGWEDIAGI, Registrar, Plant Breeders</w:t>
      </w:r>
      <w:r>
        <w:t>’</w:t>
      </w:r>
      <w:r w:rsidRPr="005A455F">
        <w:t xml:space="preserve"> Rights Office, Ministry of Agriculture, Food Security and Cooperatives, Dar es Salaam </w:t>
      </w:r>
      <w:r>
        <w:t>(e</w:t>
      </w:r>
      <w:r>
        <w:noBreakHyphen/>
        <w:t>mail: </w:t>
      </w:r>
      <w:r w:rsidRPr="005A455F">
        <w:t xml:space="preserve">ngwedi@yahoo.com)  </w:t>
      </w:r>
    </w:p>
    <w:p w:rsidR="00277062" w:rsidRPr="005A455F" w:rsidRDefault="00277062" w:rsidP="00277062">
      <w:pPr>
        <w:pStyle w:val="plcountry"/>
      </w:pPr>
      <w:r w:rsidRPr="005A455F">
        <w:t>ROUMANIE / ROMANIA / RUMÄNIEN / RUMANIA</w:t>
      </w:r>
    </w:p>
    <w:p w:rsidR="00277062" w:rsidRPr="005A455F" w:rsidRDefault="00277062" w:rsidP="00277062">
      <w:pPr>
        <w:pStyle w:val="pldetails"/>
      </w:pPr>
      <w:r w:rsidRPr="005A455F">
        <w:t xml:space="preserve">Cristian Irinel MOCANU, Head of Legal Department, State Institute for Variety Testing and Registration, Bucharest </w:t>
      </w:r>
      <w:r>
        <w:t>(e</w:t>
      </w:r>
      <w:r>
        <w:noBreakHyphen/>
        <w:t>mail: </w:t>
      </w:r>
      <w:r w:rsidRPr="005A455F">
        <w:t>irinel_mocanu@istis.ro)</w:t>
      </w:r>
    </w:p>
    <w:p w:rsidR="00277062" w:rsidRPr="005A455F" w:rsidRDefault="00277062" w:rsidP="00277062">
      <w:pPr>
        <w:pStyle w:val="pldetails"/>
      </w:pPr>
      <w:r w:rsidRPr="005A455F">
        <w:t xml:space="preserve">Aura Giorgiana MINDRUTA (Ms.), Expert, State Institute for Variety Testing and Registration (ISTIS), Bucarest </w:t>
      </w:r>
      <w:r>
        <w:t>(e</w:t>
      </w:r>
      <w:r>
        <w:noBreakHyphen/>
        <w:t>mail: </w:t>
      </w:r>
      <w:r w:rsidRPr="005A455F">
        <w:t>aura_mindruta@istis.ro)</w:t>
      </w:r>
    </w:p>
    <w:p w:rsidR="00277062" w:rsidRPr="005A455F" w:rsidRDefault="00277062" w:rsidP="00277062">
      <w:pPr>
        <w:pStyle w:val="plcountry"/>
      </w:pPr>
      <w:r w:rsidRPr="005A455F">
        <w:t>ROYAUME-UNI / UNITED KINGDOM / VEREINIGTES KÖNIGREICH / REINO UNIDO</w:t>
      </w:r>
    </w:p>
    <w:p w:rsidR="00277062" w:rsidRPr="005A455F" w:rsidRDefault="00277062" w:rsidP="00277062">
      <w:pPr>
        <w:pStyle w:val="pldetails"/>
      </w:pPr>
      <w:r w:rsidRPr="005A455F">
        <w:t xml:space="preserve">Andrew MITCHELL, Head of Varieties and Seeds, Department for Environment, Food and Rural Affairs (DEFRA), Cambridge </w:t>
      </w:r>
      <w:r>
        <w:t>(e</w:t>
      </w:r>
      <w:r>
        <w:noBreakHyphen/>
        <w:t>mail: </w:t>
      </w:r>
      <w:r w:rsidRPr="005A455F">
        <w:t>andrew.mitchell@defra.gsi.gov.uk)</w:t>
      </w:r>
    </w:p>
    <w:p w:rsidR="00277062" w:rsidRPr="005A455F" w:rsidRDefault="00277062" w:rsidP="00277062">
      <w:pPr>
        <w:pStyle w:val="plcountry"/>
      </w:pPr>
      <w:r w:rsidRPr="005A455F">
        <w:t>SLOVAQUIE / SLOVAKIA / SLOWAKEI / ESLOVAQUIA</w:t>
      </w:r>
    </w:p>
    <w:p w:rsidR="00277062" w:rsidRPr="005A455F" w:rsidRDefault="00277062" w:rsidP="00277062">
      <w:pPr>
        <w:pStyle w:val="pldetails"/>
      </w:pPr>
      <w:r w:rsidRPr="005A455F">
        <w:t xml:space="preserve">Bronislava BÁTOROVÁ (Ms.), National Coordinator for the Cooperation of the Slovak Republic with UPOV/ Senior Officer, Department of Variety Testing, Central Controlling and Testing Institute in Agriculture (ÚKSÚP), Nitra </w:t>
      </w:r>
      <w:r>
        <w:t>(e</w:t>
      </w:r>
      <w:r>
        <w:noBreakHyphen/>
        <w:t>mail: </w:t>
      </w:r>
      <w:r w:rsidRPr="005A455F">
        <w:t>bronislava.batorova@uksup.sk)</w:t>
      </w:r>
    </w:p>
    <w:p w:rsidR="00277062" w:rsidRPr="005A455F" w:rsidRDefault="00277062" w:rsidP="00277062">
      <w:pPr>
        <w:pStyle w:val="pldetails"/>
      </w:pPr>
      <w:r w:rsidRPr="005A455F">
        <w:t>Ľuba GASPAROVÁ (Ms.), Senior Officer, Deputy of the National Coordinator for the Cooperation of the Slovak Republic with UPOV, Central Controlling and Testing Institute in Agriculture (UKSUP), Bratislava</w:t>
      </w:r>
      <w:r w:rsidRPr="005A455F">
        <w:br/>
      </w:r>
      <w:r>
        <w:t>(e</w:t>
      </w:r>
      <w:r>
        <w:noBreakHyphen/>
        <w:t>mail: </w:t>
      </w:r>
      <w:r w:rsidRPr="005A455F">
        <w:t>Luba.Gasparova@uksup.sk)</w:t>
      </w:r>
    </w:p>
    <w:p w:rsidR="00277062" w:rsidRPr="005A455F" w:rsidRDefault="00277062" w:rsidP="00277062">
      <w:pPr>
        <w:pStyle w:val="plcountry"/>
      </w:pPr>
      <w:r w:rsidRPr="005A455F">
        <w:t>SUÈDE / SWEDEN / SCHWEDEN / SUECIA</w:t>
      </w:r>
    </w:p>
    <w:p w:rsidR="00277062" w:rsidRPr="005A455F" w:rsidRDefault="00277062" w:rsidP="00277062">
      <w:pPr>
        <w:pStyle w:val="pldetails"/>
        <w:rPr>
          <w:rFonts w:ascii="Times New Roman" w:hAnsi="Times New Roman"/>
          <w:sz w:val="24"/>
          <w:szCs w:val="24"/>
        </w:rPr>
      </w:pPr>
      <w:r w:rsidRPr="005A455F">
        <w:t xml:space="preserve">Olof JOHANSSON, Head, Plant and Environment Department, Swedish Board of Agriculture, Jönköping </w:t>
      </w:r>
      <w:r w:rsidRPr="005A455F">
        <w:br/>
      </w:r>
      <w:r>
        <w:t>(e</w:t>
      </w:r>
      <w:r>
        <w:noBreakHyphen/>
        <w:t>mail: </w:t>
      </w:r>
      <w:r w:rsidRPr="005A455F">
        <w:t xml:space="preserve">olof.johansson@jordbruksverket.se) </w:t>
      </w:r>
    </w:p>
    <w:p w:rsidR="00277062" w:rsidRPr="005A455F" w:rsidRDefault="00277062" w:rsidP="00277062">
      <w:pPr>
        <w:pStyle w:val="plcountry"/>
      </w:pPr>
      <w:r w:rsidRPr="005A455F">
        <w:t>SUISSE / SWITZERLAND / SCHWEIZ / SUIZA</w:t>
      </w:r>
    </w:p>
    <w:p w:rsidR="00277062" w:rsidRPr="005A455F" w:rsidRDefault="00277062" w:rsidP="00277062">
      <w:pPr>
        <w:pStyle w:val="pldetails"/>
      </w:pPr>
      <w:r w:rsidRPr="005A455F">
        <w:t xml:space="preserve">Manuela BRAND (Ms.), Plant Variety Rights Office, Federal Department of Economic Affairs Education and Research (EAER), Plant Health and Varieties, Federal Office for Agriculture FOAG, Bern </w:t>
      </w:r>
      <w:r>
        <w:t>(e</w:t>
      </w:r>
      <w:r>
        <w:noBreakHyphen/>
        <w:t>mail: </w:t>
      </w:r>
      <w:r w:rsidRPr="005A455F">
        <w:t>manuela.brand@blw.admin.ch)</w:t>
      </w:r>
    </w:p>
    <w:p w:rsidR="00277062" w:rsidRPr="005A455F" w:rsidRDefault="00277062" w:rsidP="00277062">
      <w:pPr>
        <w:pStyle w:val="pldetails"/>
        <w:rPr>
          <w:lang w:val="de-DE"/>
        </w:rPr>
      </w:pPr>
      <w:r w:rsidRPr="005A455F">
        <w:rPr>
          <w:lang w:val="de-DE"/>
        </w:rPr>
        <w:t xml:space="preserve">Eva TSCHARLAND (Frau), Juristin, Direktionsbereich Landwirtschaftliche Produktionsmittel, Bundesamt für Landwirtschaft, Bern </w:t>
      </w:r>
      <w:r>
        <w:rPr>
          <w:lang w:val="de-DE"/>
        </w:rPr>
        <w:t>(e</w:t>
      </w:r>
      <w:r>
        <w:rPr>
          <w:lang w:val="de-DE"/>
        </w:rPr>
        <w:noBreakHyphen/>
        <w:t>mail: </w:t>
      </w:r>
      <w:r w:rsidRPr="005A455F">
        <w:rPr>
          <w:lang w:val="de-DE"/>
        </w:rPr>
        <w:t xml:space="preserve">eva.tscharland@blw.admin.ch) </w:t>
      </w:r>
    </w:p>
    <w:p w:rsidR="00277062" w:rsidRPr="005A455F" w:rsidRDefault="00277062" w:rsidP="00277062">
      <w:pPr>
        <w:pStyle w:val="plcountry"/>
        <w:rPr>
          <w:lang w:val="fr-CH"/>
        </w:rPr>
      </w:pPr>
      <w:r w:rsidRPr="005A455F">
        <w:rPr>
          <w:lang w:val="fr-CH"/>
        </w:rPr>
        <w:t>TUNISIE / TUNISIA / TUNESIEN / TÚNEZ</w:t>
      </w:r>
    </w:p>
    <w:p w:rsidR="00277062" w:rsidRPr="005A455F" w:rsidRDefault="00277062" w:rsidP="00277062">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277062" w:rsidRPr="005A455F" w:rsidRDefault="00277062" w:rsidP="00277062">
      <w:pPr>
        <w:pStyle w:val="plcountry"/>
      </w:pPr>
      <w:r w:rsidRPr="005A455F">
        <w:t>TURQUIE / TURKEY / TÜRKEI / TURQUÍA</w:t>
      </w:r>
    </w:p>
    <w:p w:rsidR="00277062" w:rsidRPr="005A455F" w:rsidRDefault="00277062" w:rsidP="00277062">
      <w:pPr>
        <w:pStyle w:val="pldetails"/>
        <w:keepNext/>
      </w:pPr>
      <w:r w:rsidRPr="005A455F">
        <w:t xml:space="preserve">Mehmet SAHIN, Director, Variety Registration and Seed Certification Centre, Ministry of Agriculture and Rural Affairs, Yenimahalle - Ankara </w:t>
      </w:r>
      <w:r>
        <w:t>(e</w:t>
      </w:r>
      <w:r>
        <w:noBreakHyphen/>
        <w:t>mail: </w:t>
      </w:r>
      <w:r w:rsidRPr="005A455F">
        <w:t xml:space="preserve">mehmet_sahin@gthb.gov.tr) </w:t>
      </w:r>
    </w:p>
    <w:p w:rsidR="00277062" w:rsidRPr="005A455F" w:rsidRDefault="00277062" w:rsidP="00277062">
      <w:pPr>
        <w:pStyle w:val="pldetails"/>
        <w:keepNext/>
      </w:pPr>
      <w:r w:rsidRPr="005A455F">
        <w:t xml:space="preserve">Mehmet SIĞIRCI, Head, Seed Department, Ministry of Agriculture and Rural Affairs, Ankara </w:t>
      </w:r>
      <w:r>
        <w:t>(e</w:t>
      </w:r>
      <w:r>
        <w:noBreakHyphen/>
        <w:t>mail: </w:t>
      </w:r>
      <w:r w:rsidRPr="005A455F">
        <w:t xml:space="preserve">mehmet.sigirci@tarim.gov.tr) </w:t>
      </w:r>
    </w:p>
    <w:p w:rsidR="00277062" w:rsidRPr="005A455F" w:rsidRDefault="00277062" w:rsidP="00277062">
      <w:pPr>
        <w:pStyle w:val="pldetails"/>
      </w:pPr>
      <w:r w:rsidRPr="005A455F">
        <w:t xml:space="preserve">Hasan ÇELEN, Variety Protection Expert, Ministry of Agriculture and Rural Affairs, Ankara </w:t>
      </w:r>
      <w:r w:rsidRPr="005A455F">
        <w:br/>
      </w:r>
      <w:r>
        <w:t>(e</w:t>
      </w:r>
      <w:r>
        <w:noBreakHyphen/>
        <w:t>mail: </w:t>
      </w:r>
      <w:r w:rsidRPr="005A455F">
        <w:t xml:space="preserve">hcelen@kkgm.gov.tr) </w:t>
      </w:r>
    </w:p>
    <w:p w:rsidR="00277062" w:rsidRPr="005A455F" w:rsidRDefault="00277062" w:rsidP="00277062">
      <w:pPr>
        <w:pStyle w:val="pldetails"/>
      </w:pPr>
      <w:r w:rsidRPr="005A455F">
        <w:t xml:space="preserve">Alper ŞAHIN, Coordinator, PBR Unit, Ministry of Agriculture and Rural Affairs, Ankara </w:t>
      </w:r>
      <w:r w:rsidRPr="005A455F">
        <w:br/>
      </w:r>
      <w:r>
        <w:t>(e</w:t>
      </w:r>
      <w:r>
        <w:noBreakHyphen/>
        <w:t>mail: </w:t>
      </w:r>
      <w:r w:rsidRPr="005A455F">
        <w:t xml:space="preserve">alper.sahin@tarim.gov.tr) </w:t>
      </w:r>
    </w:p>
    <w:p w:rsidR="00277062" w:rsidRPr="00DC197E" w:rsidRDefault="00277062" w:rsidP="00277062">
      <w:pPr>
        <w:pStyle w:val="plcountry"/>
      </w:pPr>
      <w:r w:rsidRPr="005A455F">
        <w:t>UNION EUROPÉENNE / EUROPEAN UNION / EUROPÄISCHE UNION / UNIÓN EUROPEA</w:t>
      </w:r>
    </w:p>
    <w:p w:rsidR="00277062" w:rsidRPr="005A455F" w:rsidRDefault="00277062" w:rsidP="00277062">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277062" w:rsidRPr="005A455F" w:rsidRDefault="00277062" w:rsidP="00277062">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277062" w:rsidRPr="005A455F" w:rsidRDefault="00277062" w:rsidP="00277062">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277062" w:rsidRPr="005A455F" w:rsidRDefault="00277062" w:rsidP="00277062">
      <w:pPr>
        <w:pStyle w:val="pldetails"/>
      </w:pPr>
      <w:r w:rsidRPr="005A455F">
        <w:t xml:space="preserve">Martin EKVAD, President, Community Plant Variety Office (CPVO), Angers </w:t>
      </w:r>
      <w:r>
        <w:t>(e</w:t>
      </w:r>
      <w:r>
        <w:noBreakHyphen/>
        <w:t>mail: </w:t>
      </w:r>
      <w:r w:rsidRPr="005A455F">
        <w:t>ekvad@cpvo.europa.eu)</w:t>
      </w:r>
    </w:p>
    <w:p w:rsidR="00277062" w:rsidRPr="005A455F" w:rsidRDefault="00277062" w:rsidP="00277062">
      <w:pPr>
        <w:pStyle w:val="pldetails"/>
      </w:pPr>
      <w:r w:rsidRPr="00DC197E">
        <w:t xml:space="preserve">Carlos GODINHO, Vice-President, Community Plant Variety Office (CPVO), Angers </w:t>
      </w:r>
      <w:r>
        <w:t>(e</w:t>
      </w:r>
      <w:r>
        <w:noBreakHyphen/>
        <w:t>mail: </w:t>
      </w:r>
      <w:r w:rsidRPr="00DC197E">
        <w:t>godinho@cpvo.europa.eu)</w:t>
      </w:r>
    </w:p>
    <w:p w:rsidR="00277062" w:rsidRPr="005A455F" w:rsidRDefault="00277062" w:rsidP="00277062">
      <w:pPr>
        <w:pStyle w:val="pldetails"/>
      </w:pPr>
      <w:r w:rsidRPr="005A455F">
        <w:t xml:space="preserve">Francesco MATTINA, Head of Legal Unit, Community Plant Variety Office (CPVO), Angers </w:t>
      </w:r>
      <w:r>
        <w:t>(e</w:t>
      </w:r>
      <w:r>
        <w:noBreakHyphen/>
        <w:t>mail: </w:t>
      </w:r>
      <w:r w:rsidRPr="005A455F">
        <w:t>mattina@cpvo.europa.eu)</w:t>
      </w:r>
    </w:p>
    <w:p w:rsidR="00277062" w:rsidRPr="00263FC8" w:rsidRDefault="00277062" w:rsidP="00277062">
      <w:pPr>
        <w:pStyle w:val="plheading"/>
        <w:rPr>
          <w:lang w:val="de-DE"/>
        </w:rPr>
      </w:pPr>
      <w:r w:rsidRPr="00263FC8">
        <w:rPr>
          <w:lang w:val="de-DE"/>
        </w:rPr>
        <w:t>II. OBSERVATEURS / OBSERVERS / BEOBACHTER / OBSERVADORES</w:t>
      </w:r>
    </w:p>
    <w:p w:rsidR="00277062" w:rsidRPr="00263FC8" w:rsidRDefault="00277062" w:rsidP="00277062">
      <w:pPr>
        <w:pStyle w:val="plcountry"/>
        <w:rPr>
          <w:lang w:val="de-DE"/>
        </w:rPr>
      </w:pPr>
      <w:r w:rsidRPr="00263FC8">
        <w:rPr>
          <w:lang w:val="de-DE"/>
        </w:rPr>
        <w:t>ALGéRIE / ALGERIA / ALGERIEN / ArGELiA</w:t>
      </w:r>
    </w:p>
    <w:p w:rsidR="00277062" w:rsidRPr="004F7E7F" w:rsidRDefault="00277062" w:rsidP="00277062">
      <w:pPr>
        <w:pStyle w:val="pldetails"/>
        <w:rPr>
          <w:lang w:val="de-DE"/>
        </w:rPr>
      </w:pPr>
      <w:r w:rsidRPr="004F7E7F">
        <w:rPr>
          <w:lang w:val="de-DE"/>
        </w:rPr>
        <w:t xml:space="preserve">Fayssal ALLEK, First Secretary, Permanent Mission, Bellevue, Switzerland </w:t>
      </w:r>
      <w:r w:rsidRPr="004F7E7F">
        <w:rPr>
          <w:lang w:val="de-DE"/>
        </w:rPr>
        <w:br/>
        <w:t>(e</w:t>
      </w:r>
      <w:r w:rsidRPr="004F7E7F">
        <w:rPr>
          <w:lang w:val="de-DE"/>
        </w:rPr>
        <w:noBreakHyphen/>
      </w:r>
      <w:r>
        <w:rPr>
          <w:lang w:val="de-DE"/>
        </w:rPr>
        <w:t>mail: </w:t>
      </w:r>
      <w:r w:rsidRPr="004F7E7F">
        <w:rPr>
          <w:lang w:val="de-DE"/>
        </w:rPr>
        <w:t xml:space="preserve">allek@mission-algeria.ch) </w:t>
      </w:r>
    </w:p>
    <w:p w:rsidR="00277062" w:rsidRPr="004F7E7F" w:rsidRDefault="00277062" w:rsidP="00277062">
      <w:pPr>
        <w:pStyle w:val="plcountry"/>
        <w:rPr>
          <w:lang w:val="de-DE"/>
        </w:rPr>
      </w:pPr>
      <w:r w:rsidRPr="004F7E7F">
        <w:rPr>
          <w:lang w:val="de-DE"/>
        </w:rPr>
        <w:t>ARABIE SAOUDITE / SAUDI ARABIA / SAUDI-ARABIEN / ARABIA SAUDITA</w:t>
      </w:r>
    </w:p>
    <w:p w:rsidR="00277062" w:rsidRPr="005A455F" w:rsidRDefault="00277062" w:rsidP="00277062">
      <w:pPr>
        <w:pStyle w:val="pldetails"/>
      </w:pPr>
      <w:r w:rsidRPr="005A455F">
        <w:t xml:space="preserve">Fahad AL HARBI, Director, Examination Department, General Directorate of Patents, King Abdulaziz City for Science and Technology (KACST), Riyadh </w:t>
      </w:r>
      <w:r>
        <w:t>(e</w:t>
      </w:r>
      <w:r>
        <w:noBreakHyphen/>
        <w:t>mail: </w:t>
      </w:r>
      <w:r w:rsidRPr="005A455F">
        <w:t>falharbi@kacst.edu.sa)</w:t>
      </w:r>
    </w:p>
    <w:p w:rsidR="00277062" w:rsidRPr="005A455F" w:rsidRDefault="00277062" w:rsidP="00277062">
      <w:pPr>
        <w:pStyle w:val="plcountry"/>
      </w:pPr>
      <w:r w:rsidRPr="005A455F">
        <w:t>ÉGYPTE / EGYPT / ÄGYPTEN / EGIPTO</w:t>
      </w:r>
    </w:p>
    <w:p w:rsidR="00277062" w:rsidRPr="005A455F" w:rsidRDefault="00277062" w:rsidP="00277062">
      <w:pPr>
        <w:pStyle w:val="pldetails"/>
      </w:pPr>
      <w:r w:rsidRPr="005A455F">
        <w:t xml:space="preserve">Ahmed AGIBA, Head of CASC - Under Secretary of the Ministry of Agriculture, Agricultural Services Sector, Ministry of Agriculture &amp; Land Reclamation, Central Administration for Seed Testing and Certification (CASC), Giza </w:t>
      </w:r>
      <w:r>
        <w:t>(e</w:t>
      </w:r>
      <w:r>
        <w:noBreakHyphen/>
        <w:t>mail: </w:t>
      </w:r>
      <w:r w:rsidRPr="005A455F">
        <w:t>casc.egypt@hotmail.com)</w:t>
      </w:r>
    </w:p>
    <w:p w:rsidR="00277062" w:rsidRPr="005A455F" w:rsidRDefault="00277062" w:rsidP="00277062">
      <w:pPr>
        <w:pStyle w:val="pldetails"/>
      </w:pPr>
      <w:r w:rsidRPr="005A455F">
        <w:t xml:space="preserve">Samy Hamed EL DEIB SALLAM, Head, Technical Secretary of Variety Registration Committee, Central Administration for Seed Certification (CASC), Giza </w:t>
      </w:r>
      <w:r>
        <w:t>(e</w:t>
      </w:r>
      <w:r>
        <w:noBreakHyphen/>
        <w:t>mail: </w:t>
      </w:r>
      <w:r w:rsidRPr="005A455F">
        <w:t xml:space="preserve">sllamsamy@yahoo.com) </w:t>
      </w:r>
    </w:p>
    <w:p w:rsidR="00277062" w:rsidRPr="005A455F" w:rsidRDefault="00277062" w:rsidP="00277062">
      <w:pPr>
        <w:pStyle w:val="pldetails"/>
      </w:pPr>
      <w:r w:rsidRPr="005A455F">
        <w:t xml:space="preserve">Saad NASSAR, Head of Working Group Review, Formulation Policies and Agricultural Legislations, Ministry of Agriculture and Land Reclamation, Giza </w:t>
      </w:r>
      <w:r>
        <w:t>(e</w:t>
      </w:r>
      <w:r>
        <w:noBreakHyphen/>
        <w:t>mail: </w:t>
      </w:r>
      <w:r w:rsidRPr="005A455F">
        <w:t xml:space="preserve">Casc.egypt@hotmail.com)  </w:t>
      </w:r>
    </w:p>
    <w:p w:rsidR="00277062" w:rsidRPr="00263FC8" w:rsidRDefault="00277062" w:rsidP="00277062">
      <w:pPr>
        <w:pStyle w:val="plcountry"/>
      </w:pPr>
      <w:r w:rsidRPr="00263FC8">
        <w:t xml:space="preserve">Émirats arabes unis / United Arab Emirates / Vereinigte Arabische Emirate / </w:t>
      </w:r>
      <w:r w:rsidRPr="00263FC8">
        <w:br/>
        <w:t>Emiratos Árabes Unidos</w:t>
      </w:r>
    </w:p>
    <w:p w:rsidR="00277062" w:rsidRPr="005A455F" w:rsidRDefault="00277062" w:rsidP="00277062">
      <w:pPr>
        <w:pStyle w:val="pldetails"/>
      </w:pPr>
      <w:r w:rsidRPr="005A455F">
        <w:t xml:space="preserve">Nasir AL ALI, Director, Legal Affairs Department, Ministry of Environment and Water, Dubai </w:t>
      </w:r>
      <w:r>
        <w:t>(e</w:t>
      </w:r>
      <w:r>
        <w:noBreakHyphen/>
      </w:r>
      <w:r w:rsidRPr="005A455F">
        <w:t>mail nmsultan@moew.gov.ae)</w:t>
      </w:r>
    </w:p>
    <w:p w:rsidR="00277062" w:rsidRPr="005A455F" w:rsidRDefault="00277062" w:rsidP="00277062">
      <w:pPr>
        <w:pStyle w:val="pldetails"/>
      </w:pPr>
      <w:r w:rsidRPr="005A455F">
        <w:t>Fatmah AL KALBANI, Director, Health and Agriculture Development Department, Ministry of Environment and Water, Dubai</w:t>
      </w:r>
    </w:p>
    <w:p w:rsidR="00277062" w:rsidRPr="005A455F" w:rsidRDefault="00277062" w:rsidP="00277062">
      <w:pPr>
        <w:pStyle w:val="pldetails"/>
      </w:pPr>
      <w:r w:rsidRPr="005A455F">
        <w:t xml:space="preserve">Habib AL ABOUDI, Assistant Expert, Ministry of Environment and Water, Dubai </w:t>
      </w:r>
      <w:r>
        <w:t>(e</w:t>
      </w:r>
      <w:r>
        <w:noBreakHyphen/>
        <w:t>mail: </w:t>
      </w:r>
      <w:r w:rsidRPr="005A455F">
        <w:t>hhalabodi@moew.gov.ae)</w:t>
      </w:r>
    </w:p>
    <w:p w:rsidR="00277062" w:rsidRPr="005A455F" w:rsidRDefault="00277062" w:rsidP="00277062">
      <w:pPr>
        <w:pStyle w:val="pldetails"/>
      </w:pPr>
      <w:r w:rsidRPr="005A455F">
        <w:t xml:space="preserve">Hana AL ASLAI (Ms.), International Relations Coordinator, Ministry of Environment and Water, Dubai </w:t>
      </w:r>
      <w:r>
        <w:t>(e</w:t>
      </w:r>
      <w:r>
        <w:noBreakHyphen/>
        <w:t>mail: </w:t>
      </w:r>
      <w:r w:rsidRPr="005A455F">
        <w:t>haalasli@moew.gov.ae)</w:t>
      </w:r>
    </w:p>
    <w:p w:rsidR="00277062" w:rsidRPr="005A455F" w:rsidRDefault="00277062" w:rsidP="00277062">
      <w:pPr>
        <w:pStyle w:val="pldetails"/>
      </w:pPr>
      <w:r w:rsidRPr="005A455F">
        <w:t xml:space="preserve">Amal LOUBARI (Ms.), Accountant, Ministry of Environment and Water, Dubai </w:t>
      </w:r>
      <w:r>
        <w:t>(e</w:t>
      </w:r>
      <w:r>
        <w:noBreakHyphen/>
        <w:t>mail: </w:t>
      </w:r>
      <w:r w:rsidRPr="005A455F">
        <w:t>amloubari@moew.gov.ae)</w:t>
      </w:r>
    </w:p>
    <w:p w:rsidR="00277062" w:rsidRDefault="00277062" w:rsidP="00277062">
      <w:pPr>
        <w:jc w:val="left"/>
        <w:rPr>
          <w:caps/>
          <w:snapToGrid w:val="0"/>
          <w:u w:val="single"/>
        </w:rPr>
      </w:pPr>
      <w:r>
        <w:br w:type="page"/>
      </w:r>
    </w:p>
    <w:p w:rsidR="00277062" w:rsidRPr="005A455F" w:rsidRDefault="00277062" w:rsidP="00277062">
      <w:pPr>
        <w:pStyle w:val="plheading"/>
      </w:pPr>
      <w:r w:rsidRPr="005A455F">
        <w:t>III. ORGANISATIONS / ORGANIZATIONS / ORGANISATIONEN / ORGANIZACIONES</w:t>
      </w:r>
    </w:p>
    <w:p w:rsidR="00277062" w:rsidRPr="005A455F" w:rsidRDefault="00277062" w:rsidP="00277062">
      <w:pPr>
        <w:pStyle w:val="plcountry"/>
      </w:pPr>
      <w:r w:rsidRPr="005A455F">
        <w:t>ASSOCIATION FOR PLANT BREEDING FOR THE BENEFIT OF SOCIETY (APBREBES)</w:t>
      </w:r>
    </w:p>
    <w:p w:rsidR="00277062" w:rsidRDefault="00277062" w:rsidP="00277062">
      <w:pPr>
        <w:pStyle w:val="pldetails"/>
      </w:pPr>
      <w:r>
        <w:t xml:space="preserve">Sangeeta SHASHIKANT (Ms.), President, </w:t>
      </w:r>
      <w:r w:rsidRPr="005A455F">
        <w:t>Association for Plant Breeding for the Benefit of Society (APBREBES),</w:t>
      </w:r>
      <w:r>
        <w:t xml:space="preserve"> Bonn, Germany (e</w:t>
      </w:r>
      <w:r>
        <w:noBreakHyphen/>
        <w:t>mail: sangeeta@twnetwork.org)</w:t>
      </w:r>
    </w:p>
    <w:p w:rsidR="00277062" w:rsidRPr="005A455F" w:rsidRDefault="00277062" w:rsidP="00277062">
      <w:pPr>
        <w:pStyle w:val="pldetails"/>
      </w:pPr>
      <w:r w:rsidRPr="005A455F">
        <w:t xml:space="preserve">Laurent GABERELL, Association for Plant Breeding for the Benefit of Society (APBREBES), Berne Declaration, Zürich, Switzerland </w:t>
      </w:r>
      <w:r>
        <w:t>(e</w:t>
      </w:r>
      <w:r>
        <w:noBreakHyphen/>
        <w:t>mail: </w:t>
      </w:r>
      <w:r w:rsidRPr="005A455F">
        <w:t>Laurent.gaberell@mission-bolivia.ch)</w:t>
      </w:r>
    </w:p>
    <w:p w:rsidR="00277062" w:rsidRPr="005A455F" w:rsidRDefault="00277062" w:rsidP="00277062">
      <w:pPr>
        <w:pStyle w:val="pldetails"/>
      </w:pPr>
      <w:r w:rsidRPr="005A455F">
        <w:t xml:space="preserve">Susanne GURA (Ms.), Coordinator, Association for Plant Breeding for the Benefit of Society (APBREBES), Bonn, Germany </w:t>
      </w:r>
      <w:r>
        <w:t>(e</w:t>
      </w:r>
      <w:r>
        <w:noBreakHyphen/>
        <w:t>mail: </w:t>
      </w:r>
      <w:r w:rsidRPr="005A455F">
        <w:t>food@evb.ch)</w:t>
      </w:r>
    </w:p>
    <w:p w:rsidR="00277062" w:rsidRPr="005A455F" w:rsidRDefault="00277062" w:rsidP="00277062">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277062" w:rsidRPr="005A455F" w:rsidRDefault="00277062" w:rsidP="00277062">
      <w:pPr>
        <w:pStyle w:val="pldetails"/>
      </w:pPr>
      <w:r w:rsidRPr="005A455F">
        <w:t xml:space="preserve">Mia BUMA (Ms.), Secretary, Committee for Novelty Protection, International Association of Horticultural Producers (AIPH), Reading, United Kingdom </w:t>
      </w:r>
      <w:r>
        <w:t>(e</w:t>
      </w:r>
      <w:r>
        <w:noBreakHyphen/>
        <w:t>mail: </w:t>
      </w:r>
      <w:r w:rsidRPr="005A455F">
        <w:t>info@miabuma.nl)</w:t>
      </w:r>
    </w:p>
    <w:p w:rsidR="00277062" w:rsidRPr="00263FC8" w:rsidRDefault="00277062" w:rsidP="00277062">
      <w:pPr>
        <w:pStyle w:val="plcountry"/>
      </w:pPr>
      <w:r w:rsidRPr="00263FC8">
        <w:t xml:space="preserve">ORGANISATION RÉGIONALE AFRICAINE DE LA PROPRIÉTÉ INTELLECTUELLE (ARIPO) / </w:t>
      </w:r>
      <w:r w:rsidRPr="00263FC8">
        <w:br/>
        <w:t xml:space="preserve">AFRICAN REGIONAL INTELLECTUAL PROPERTY ORGANIZATION (ARIPO) / </w:t>
      </w:r>
      <w:r w:rsidRPr="00263FC8">
        <w:br/>
        <w:t>AFRIKANISCHE REGIONALORGANISATION ZUM SCHUTZ GEISTIGEN EIGENTUMS (ARIPO) / ORGANIZACIÓN REGIONAL AFRICANA DE LA PROPIEDAD INTELECTUAL (ARIPO)</w:t>
      </w:r>
    </w:p>
    <w:p w:rsidR="00277062" w:rsidRPr="005A455F" w:rsidRDefault="00277062" w:rsidP="00277062">
      <w:pPr>
        <w:pStyle w:val="pldetails"/>
      </w:pPr>
      <w:r w:rsidRPr="005A455F">
        <w:t xml:space="preserve">Emmanuel SACKEY, Chief Examiner, Industrial Property Directorate, Harare, Zimbabwe </w:t>
      </w:r>
      <w:r>
        <w:br/>
        <w:t>(e</w:t>
      </w:r>
      <w:r>
        <w:noBreakHyphen/>
        <w:t>mail: </w:t>
      </w:r>
      <w:r w:rsidRPr="005A455F">
        <w:t xml:space="preserve">esackey@aripo.org)  </w:t>
      </w:r>
    </w:p>
    <w:p w:rsidR="00277062" w:rsidRPr="00263FC8" w:rsidRDefault="00277062" w:rsidP="00277062">
      <w:pPr>
        <w:pStyle w:val="plcountry"/>
      </w:pPr>
      <w:r w:rsidRPr="00263FC8">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277062" w:rsidRPr="005A455F" w:rsidRDefault="00277062" w:rsidP="00277062">
      <w:pPr>
        <w:pStyle w:val="pldetails"/>
      </w:pPr>
      <w:r w:rsidRPr="005A455F">
        <w:t xml:space="preserve">Edgar KRIEGER, Secretary General, International Community of Breeders of Asexually Reproduced Ornamental and Fruit Plants (CIOPORA), Hamburg, Germany </w:t>
      </w:r>
      <w:r>
        <w:t>(e</w:t>
      </w:r>
      <w:r>
        <w:noBreakHyphen/>
        <w:t>mail: </w:t>
      </w:r>
      <w:r w:rsidRPr="005A455F">
        <w:t xml:space="preserve">edgar.krieger@ciopora.org)  </w:t>
      </w:r>
    </w:p>
    <w:p w:rsidR="00277062" w:rsidRPr="005A455F" w:rsidRDefault="00277062" w:rsidP="00277062">
      <w:pPr>
        <w:pStyle w:val="pldetails"/>
        <w:rPr>
          <w:lang w:val="fr-CH"/>
        </w:rPr>
      </w:pPr>
      <w:r w:rsidRPr="005A455F">
        <w:rPr>
          <w:lang w:val="fr-CH"/>
        </w:rPr>
        <w:t>Hélène JOURDAN (</w:t>
      </w:r>
      <w:r w:rsidR="00523995">
        <w:rPr>
          <w:lang w:val="fr-CH"/>
        </w:rPr>
        <w:t>Mme</w:t>
      </w:r>
      <w:r w:rsidRPr="005A455F">
        <w:rPr>
          <w:lang w:val="fr-CH"/>
        </w:rPr>
        <w:t xml:space="preserv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277062" w:rsidRPr="005A455F" w:rsidRDefault="00277062" w:rsidP="00277062">
      <w:pPr>
        <w:pStyle w:val="pldetails"/>
      </w:pPr>
      <w:r w:rsidRPr="005A455F">
        <w:t xml:space="preserve">Bruno ETAVARD, Board Member, International Community of Breeders of Asexually Reproduced Ornamental and Fruit Plants (CIOPORA), Hamburg, Germany </w:t>
      </w:r>
      <w:r>
        <w:t>(e</w:t>
      </w:r>
      <w:r>
        <w:noBreakHyphen/>
        <w:t>mail: </w:t>
      </w:r>
      <w:r w:rsidRPr="005A455F">
        <w:t>bruno@meilland.com)</w:t>
      </w:r>
    </w:p>
    <w:p w:rsidR="00277062" w:rsidRPr="005A455F" w:rsidRDefault="00277062" w:rsidP="00277062">
      <w:pPr>
        <w:pStyle w:val="pldetails"/>
      </w:pPr>
      <w:r w:rsidRPr="005A455F">
        <w:t>Dominique THÉVENON (</w:t>
      </w:r>
      <w:r w:rsidR="00523995">
        <w:t>Mme</w:t>
      </w:r>
      <w:r w:rsidRPr="005A455F">
        <w:t xml:space="preserve">), Board member, International Community of Breeders of Asexually Reproduced Ornamental and Fruit Plants (CIOPORA), Hamburg, Germany </w:t>
      </w:r>
      <w:r w:rsidRPr="005A455F">
        <w:br/>
      </w:r>
      <w:r>
        <w:t>(e</w:t>
      </w:r>
      <w:r>
        <w:noBreakHyphen/>
        <w:t>mail: </w:t>
      </w:r>
      <w:r w:rsidRPr="005A455F">
        <w:t>t.dominique4@orange.fr)</w:t>
      </w:r>
    </w:p>
    <w:p w:rsidR="00277062" w:rsidRPr="007544C6" w:rsidRDefault="00277062" w:rsidP="00277062">
      <w:pPr>
        <w:pStyle w:val="plcountry"/>
      </w:pPr>
      <w:r w:rsidRPr="000C055D">
        <w:t>C</w:t>
      </w:r>
      <w:r w:rsidRPr="007544C6">
        <w:t>ROPLIFE INTERNATIONAL</w:t>
      </w:r>
    </w:p>
    <w:p w:rsidR="00277062" w:rsidRPr="00D42097" w:rsidRDefault="00277062" w:rsidP="00277062">
      <w:pPr>
        <w:pStyle w:val="pldetails"/>
      </w:pPr>
      <w:r w:rsidRPr="00D42097">
        <w:t>Marcel BRUINS, Consultant, CropLife International, Brussels, Belgium (e</w:t>
      </w:r>
      <w:r w:rsidRPr="00D42097">
        <w:noBreakHyphen/>
        <w:t xml:space="preserve">mail: mbruins1964@gmail.com)  </w:t>
      </w:r>
    </w:p>
    <w:p w:rsidR="00277062" w:rsidRPr="007544C6" w:rsidRDefault="00277062" w:rsidP="00277062">
      <w:pPr>
        <w:pStyle w:val="plcountry"/>
      </w:pPr>
      <w:r w:rsidRPr="007544C6">
        <w:t>EUROPEAN SEED ASSOCIATION (ESA)</w:t>
      </w:r>
    </w:p>
    <w:p w:rsidR="00277062" w:rsidRPr="00D42097" w:rsidRDefault="00277062" w:rsidP="00277062">
      <w:pPr>
        <w:pStyle w:val="pldetails"/>
      </w:pPr>
      <w:r w:rsidRPr="00D42097">
        <w:t>Szonja CSÖRGÖ (Mrs.), Director, Intellectual Property &amp; Legal Affairs, European Seed Association (ESA), Brussels, Belgium (e</w:t>
      </w:r>
      <w:r w:rsidRPr="00D42097">
        <w:noBreakHyphen/>
        <w:t xml:space="preserve">mail: szonjacsorgo@euroseeds.org) </w:t>
      </w:r>
    </w:p>
    <w:p w:rsidR="00277062" w:rsidRPr="00D42097" w:rsidRDefault="00277062" w:rsidP="00277062">
      <w:pPr>
        <w:pStyle w:val="pldetails"/>
      </w:pPr>
      <w:r w:rsidRPr="00D42097">
        <w:t xml:space="preserve">Christiane DUCHENE (Mrs.), Manager, Regulatory Affairs/Limagrain, Limagrain, Brussels, Belgium </w:t>
      </w:r>
      <w:r w:rsidRPr="00D42097">
        <w:br/>
        <w:t>(e</w:t>
      </w:r>
      <w:r w:rsidRPr="00D42097">
        <w:noBreakHyphen/>
        <w:t xml:space="preserve">mail: christiane.duchene@limagrain.com) </w:t>
      </w:r>
    </w:p>
    <w:p w:rsidR="00277062" w:rsidRPr="00263FC8" w:rsidRDefault="00277062" w:rsidP="00277062">
      <w:pPr>
        <w:pStyle w:val="plcountry"/>
      </w:pPr>
      <w:r w:rsidRPr="00263FC8">
        <w:t>INTERNATIONAL SEED FEDERATION (ISF)</w:t>
      </w:r>
    </w:p>
    <w:p w:rsidR="00277062" w:rsidRPr="005A455F" w:rsidRDefault="00277062" w:rsidP="00277062">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277062" w:rsidRPr="005A455F" w:rsidRDefault="00277062" w:rsidP="00277062">
      <w:pPr>
        <w:pStyle w:val="pldetails"/>
      </w:pPr>
      <w:r w:rsidRPr="005A455F">
        <w:t xml:space="preserve">Stevan MADJARAC, Representative, American Seed Trade Association (ASTA), Alexandria, United States of America </w:t>
      </w:r>
      <w:r>
        <w:t>(e</w:t>
      </w:r>
      <w:r>
        <w:noBreakHyphen/>
        <w:t>mail: </w:t>
      </w:r>
      <w:r w:rsidRPr="005A455F">
        <w:t xml:space="preserve">smadjarac@gmail.com)  </w:t>
      </w:r>
    </w:p>
    <w:p w:rsidR="00A63D26" w:rsidRDefault="00A63D26" w:rsidP="00A63D26">
      <w:pPr>
        <w:pStyle w:val="plcountry"/>
      </w:pPr>
      <w:r>
        <w:t>SOUTH CENTRE / CENTRE SUD / cENTRO DEL SUR</w:t>
      </w:r>
    </w:p>
    <w:p w:rsidR="00277062" w:rsidRPr="005A455F" w:rsidRDefault="00277062" w:rsidP="00277062">
      <w:pPr>
        <w:pStyle w:val="pldetails"/>
      </w:pPr>
      <w:r w:rsidRPr="005A455F">
        <w:t xml:space="preserve">Mirza ALAS PORTILLO (Ms.), Research Associate, South Centre, Geneva, Switzerland </w:t>
      </w:r>
      <w:r>
        <w:t>(e</w:t>
      </w:r>
      <w:r>
        <w:noBreakHyphen/>
        <w:t>mail: </w:t>
      </w:r>
      <w:r w:rsidRPr="005A455F">
        <w:t>alas@southcentre.int)</w:t>
      </w:r>
    </w:p>
    <w:p w:rsidR="00277062" w:rsidRPr="005A455F" w:rsidRDefault="00277062" w:rsidP="00277062">
      <w:pPr>
        <w:pStyle w:val="plheading"/>
      </w:pPr>
      <w:r w:rsidRPr="005A455F">
        <w:t>IV. BUREAU / OFFICER / VORSITZ / OFICINA</w:t>
      </w:r>
    </w:p>
    <w:p w:rsidR="00277062" w:rsidRPr="005A455F" w:rsidRDefault="00277062" w:rsidP="00277062">
      <w:pPr>
        <w:pStyle w:val="pldetails"/>
      </w:pPr>
      <w:r w:rsidRPr="005A455F">
        <w:t>Martin EKVAD, Chair</w:t>
      </w:r>
    </w:p>
    <w:p w:rsidR="00277062" w:rsidRPr="005A455F" w:rsidRDefault="00277062" w:rsidP="00277062">
      <w:pPr>
        <w:pStyle w:val="plheading"/>
      </w:pPr>
      <w:r w:rsidRPr="005A455F">
        <w:t>V. BUREAU DE L</w:t>
      </w:r>
      <w:r>
        <w:t>’</w:t>
      </w:r>
      <w:r w:rsidRPr="005A455F">
        <w:t>UPOV / OFFICE OF UPOV / BÜRO DER UPOV / OFICINA DE LA UPOV</w:t>
      </w:r>
    </w:p>
    <w:p w:rsidR="00277062" w:rsidRPr="005A455F" w:rsidRDefault="00277062" w:rsidP="00277062">
      <w:pPr>
        <w:pStyle w:val="pldetails"/>
      </w:pPr>
      <w:r w:rsidRPr="005A455F">
        <w:t>Francis GURRY, Secretary-General</w:t>
      </w:r>
    </w:p>
    <w:p w:rsidR="00277062" w:rsidRPr="005A455F" w:rsidRDefault="00277062" w:rsidP="00277062">
      <w:pPr>
        <w:pStyle w:val="pldetails"/>
      </w:pPr>
      <w:r w:rsidRPr="005A455F">
        <w:t xml:space="preserve">Peter BUTTON, Vice Secretary-General </w:t>
      </w:r>
    </w:p>
    <w:p w:rsidR="00277062" w:rsidRPr="005A455F" w:rsidRDefault="00277062" w:rsidP="00277062">
      <w:pPr>
        <w:pStyle w:val="pldetails"/>
      </w:pPr>
      <w:r w:rsidRPr="005A455F">
        <w:t xml:space="preserve">Yolanda HUERTA (Ms.), Legal Counsel </w:t>
      </w:r>
    </w:p>
    <w:p w:rsidR="00277062" w:rsidRPr="005A455F" w:rsidRDefault="00277062" w:rsidP="00277062">
      <w:pPr>
        <w:pStyle w:val="pldetails"/>
      </w:pPr>
      <w:r w:rsidRPr="005A455F">
        <w:t>Jun KOIDE, Technical/Regional Officer (Asia)</w:t>
      </w:r>
    </w:p>
    <w:p w:rsidR="00277062" w:rsidRPr="005A455F" w:rsidRDefault="00277062" w:rsidP="00277062">
      <w:pPr>
        <w:pStyle w:val="pldetails"/>
      </w:pPr>
      <w:r w:rsidRPr="005A455F">
        <w:t>Ben RIVOIRE, Technical/Regional Officer (Africa, Arab Countries)</w:t>
      </w:r>
    </w:p>
    <w:p w:rsidR="00277062" w:rsidRPr="00263FC8" w:rsidRDefault="00277062" w:rsidP="00277062">
      <w:pPr>
        <w:pStyle w:val="pldetails"/>
      </w:pPr>
      <w:r w:rsidRPr="00263FC8">
        <w:t>Leontino TAVEIRA, Technical/Regional Officer (Latin America, Caribbean)</w:t>
      </w:r>
    </w:p>
    <w:p w:rsidR="00277062" w:rsidRPr="005A455F" w:rsidRDefault="00277062" w:rsidP="00277062">
      <w:pPr>
        <w:pStyle w:val="pldetails"/>
        <w:rPr>
          <w:lang w:val="fr-CH"/>
        </w:rPr>
      </w:pPr>
      <w:r w:rsidRPr="005A455F">
        <w:rPr>
          <w:lang w:val="fr-CH"/>
        </w:rPr>
        <w:t>Ariane BESSE (Ms.), Administrative Assistant</w:t>
      </w:r>
    </w:p>
    <w:p w:rsidR="00277062" w:rsidRPr="005A455F" w:rsidRDefault="00277062" w:rsidP="00277062">
      <w:pPr>
        <w:rPr>
          <w:rFonts w:cs="Arial"/>
          <w:lang w:val="fr-CH"/>
        </w:rPr>
      </w:pPr>
    </w:p>
    <w:p w:rsidR="00277062" w:rsidRPr="005A455F" w:rsidRDefault="00277062" w:rsidP="00277062">
      <w:pPr>
        <w:rPr>
          <w:rFonts w:cs="Arial"/>
          <w:lang w:val="fr-CH"/>
        </w:rPr>
      </w:pPr>
    </w:p>
    <w:p w:rsidR="00277062" w:rsidRPr="005A455F" w:rsidRDefault="00277062" w:rsidP="00277062">
      <w:pPr>
        <w:rPr>
          <w:rFonts w:cs="Arial"/>
          <w:lang w:val="fr-CH"/>
        </w:rPr>
      </w:pPr>
    </w:p>
    <w:p w:rsidR="00277062" w:rsidRPr="009F7E2B" w:rsidRDefault="00277062" w:rsidP="00277062">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277062" w:rsidRPr="006D6937" w:rsidRDefault="00277062" w:rsidP="00277062">
      <w:pPr>
        <w:widowControl w:val="0"/>
        <w:tabs>
          <w:tab w:val="left" w:pos="90"/>
        </w:tabs>
        <w:autoSpaceDE w:val="0"/>
        <w:autoSpaceDN w:val="0"/>
        <w:adjustRightInd w:val="0"/>
        <w:rPr>
          <w:rFonts w:cs="Arial"/>
          <w:color w:val="000000"/>
          <w:lang w:val="fr-CH"/>
        </w:rPr>
      </w:pPr>
    </w:p>
    <w:p w:rsidR="00622DD0" w:rsidRPr="007A1A00" w:rsidRDefault="00622DD0" w:rsidP="00622DD0">
      <w:pPr>
        <w:rPr>
          <w:noProof/>
        </w:rPr>
      </w:pPr>
    </w:p>
    <w:sectPr w:rsidR="00622DD0" w:rsidRPr="007A1A00" w:rsidSect="00E94EB0">
      <w:headerReference w:type="default" r:id="rId11"/>
      <w:foot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D6" w:rsidRDefault="001332D6">
      <w:r>
        <w:separator/>
      </w:r>
    </w:p>
    <w:p w:rsidR="001332D6" w:rsidRDefault="001332D6"/>
    <w:p w:rsidR="001332D6" w:rsidRDefault="001332D6"/>
  </w:endnote>
  <w:endnote w:type="continuationSeparator" w:id="0">
    <w:p w:rsidR="001332D6" w:rsidRDefault="001332D6">
      <w:r>
        <w:separator/>
      </w:r>
    </w:p>
    <w:p w:rsidR="001332D6" w:rsidRPr="00664515" w:rsidRDefault="001332D6">
      <w:pPr>
        <w:pStyle w:val="Footer"/>
        <w:spacing w:after="60"/>
        <w:rPr>
          <w:sz w:val="18"/>
          <w:lang w:val="fr-CH"/>
        </w:rPr>
      </w:pPr>
      <w:r w:rsidRPr="00664515">
        <w:rPr>
          <w:sz w:val="18"/>
          <w:lang w:val="fr-CH"/>
        </w:rPr>
        <w:t>[Suite de la note de la page précédente]</w:t>
      </w:r>
    </w:p>
    <w:p w:rsidR="001332D6" w:rsidRPr="00664515" w:rsidRDefault="001332D6">
      <w:pPr>
        <w:rPr>
          <w:lang w:val="fr-CH"/>
        </w:rPr>
      </w:pPr>
    </w:p>
    <w:p w:rsidR="001332D6" w:rsidRPr="00664515" w:rsidRDefault="001332D6">
      <w:pPr>
        <w:rPr>
          <w:lang w:val="fr-CH"/>
        </w:rPr>
      </w:pPr>
    </w:p>
  </w:endnote>
  <w:endnote w:type="continuationNotice" w:id="1">
    <w:p w:rsidR="001332D6" w:rsidRPr="00664515" w:rsidRDefault="001332D6">
      <w:pPr>
        <w:spacing w:before="60"/>
        <w:jc w:val="right"/>
        <w:rPr>
          <w:sz w:val="18"/>
          <w:lang w:val="fr-CH"/>
        </w:rPr>
      </w:pPr>
      <w:r w:rsidRPr="00664515">
        <w:rPr>
          <w:sz w:val="18"/>
          <w:lang w:val="fr-CH"/>
        </w:rPr>
        <w:t>[Suite de la note page suivante]</w:t>
      </w:r>
    </w:p>
    <w:p w:rsidR="001332D6" w:rsidRPr="00664515" w:rsidRDefault="001332D6">
      <w:pPr>
        <w:rPr>
          <w:lang w:val="fr-CH"/>
        </w:rPr>
      </w:pPr>
    </w:p>
    <w:p w:rsidR="001332D6" w:rsidRPr="00664515" w:rsidRDefault="001332D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Lucida Consol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D6" w:rsidRPr="007A1A00" w:rsidRDefault="001332D6" w:rsidP="007A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D6" w:rsidRDefault="001332D6" w:rsidP="009D690D">
      <w:pPr>
        <w:spacing w:before="120"/>
      </w:pPr>
      <w:r>
        <w:separator/>
      </w:r>
    </w:p>
  </w:footnote>
  <w:footnote w:type="continuationSeparator" w:id="0">
    <w:p w:rsidR="001332D6" w:rsidRDefault="001332D6" w:rsidP="00520297">
      <w:pPr>
        <w:spacing w:before="120"/>
        <w:jc w:val="left"/>
      </w:pPr>
      <w:r>
        <w:separator/>
      </w:r>
    </w:p>
  </w:footnote>
  <w:footnote w:type="continuationNotice" w:id="1">
    <w:p w:rsidR="001332D6" w:rsidRDefault="001332D6"/>
  </w:footnote>
  <w:footnote w:id="2">
    <w:p w:rsidR="001332D6" w:rsidRPr="004F3B3C" w:rsidRDefault="001332D6">
      <w:pPr>
        <w:pStyle w:val="FootnoteText"/>
        <w:rPr>
          <w:lang w:val="fr-CH"/>
        </w:rPr>
      </w:pPr>
      <w:r>
        <w:rPr>
          <w:rStyle w:val="FootnoteReference"/>
        </w:rPr>
        <w:t>*</w:t>
      </w:r>
      <w:r>
        <w:t xml:space="preserve"> </w:t>
      </w:r>
      <w:r>
        <w:rPr>
          <w:lang w:val="fr-CH"/>
        </w:rPr>
        <w:tab/>
      </w:r>
      <w:r w:rsidRPr="004F3B3C">
        <w:rPr>
          <w:lang w:val="fr-CH"/>
        </w:rPr>
        <w:t>L’astérisque précédant le numéro du paragraphe indique que le texte est reproduit du Compte rendu des conclusions</w:t>
      </w:r>
      <w:r>
        <w:rPr>
          <w:lang w:val="fr-CH"/>
        </w:rPr>
        <w:t xml:space="preserve"> (document CAJ/72/9).</w:t>
      </w:r>
    </w:p>
  </w:footnote>
  <w:footnote w:id="3">
    <w:p w:rsidR="001332D6" w:rsidRPr="007A1A00" w:rsidRDefault="001332D6" w:rsidP="007A1A00">
      <w:pPr>
        <w:pStyle w:val="FootnoteText"/>
      </w:pPr>
      <w:r w:rsidRPr="007A1A00">
        <w:rPr>
          <w:rStyle w:val="FootnoteReference"/>
        </w:rPr>
        <w:footnoteRef/>
      </w:r>
      <w:r w:rsidRPr="007A1A00">
        <w:t xml:space="preserve"> </w:t>
      </w:r>
      <w:r w:rsidRPr="007A1A00">
        <w:tab/>
      </w:r>
      <w:r>
        <w:t>Voir le paragraphe </w:t>
      </w:r>
      <w:r w:rsidRPr="007A1A00">
        <w:t>24 du document CAJ/71/10 “Compte 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D6" w:rsidRPr="00997029" w:rsidRDefault="00BD1324" w:rsidP="00E23920">
    <w:pPr>
      <w:jc w:val="center"/>
      <w:rPr>
        <w:rStyle w:val="PageNumber"/>
      </w:rPr>
    </w:pPr>
    <w:r>
      <w:rPr>
        <w:rStyle w:val="PageNumber"/>
      </w:rPr>
      <w:t>CAJ/72/10</w:t>
    </w:r>
  </w:p>
  <w:p w:rsidR="001332D6" w:rsidRPr="00997029" w:rsidRDefault="001332D6"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55C14">
      <w:rPr>
        <w:rStyle w:val="PageNumber"/>
        <w:noProof/>
      </w:rPr>
      <w:t>11</w:t>
    </w:r>
    <w:r w:rsidRPr="00997029">
      <w:rPr>
        <w:rStyle w:val="PageNumber"/>
      </w:rPr>
      <w:fldChar w:fldCharType="end"/>
    </w:r>
  </w:p>
  <w:p w:rsidR="001332D6" w:rsidRPr="00997029" w:rsidRDefault="001332D6"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D6" w:rsidRDefault="00BD1324" w:rsidP="00263FC8">
    <w:pPr>
      <w:pStyle w:val="Header"/>
      <w:rPr>
        <w:rStyle w:val="PageNumber"/>
      </w:rPr>
    </w:pPr>
    <w:r>
      <w:rPr>
        <w:rFonts w:cs="Arial"/>
      </w:rPr>
      <w:t>CAJ/72/10</w:t>
    </w:r>
    <w:r w:rsidR="001332D6" w:rsidRPr="004B3F6C">
      <w:rPr>
        <w:rFonts w:cs="Arial"/>
      </w:rPr>
      <w:br/>
      <w:t xml:space="preserve">Annexe / Annex / Anlage </w:t>
    </w:r>
    <w:r w:rsidR="001332D6">
      <w:rPr>
        <w:rFonts w:cs="Arial"/>
      </w:rPr>
      <w:t>/ Anexo</w:t>
    </w:r>
    <w:r w:rsidR="001332D6" w:rsidRPr="004B3F6C">
      <w:rPr>
        <w:rFonts w:cs="Arial"/>
      </w:rPr>
      <w:br/>
      <w:t xml:space="preserve">page </w:t>
    </w:r>
    <w:r w:rsidR="001332D6" w:rsidRPr="004B3F6C">
      <w:rPr>
        <w:rStyle w:val="PageNumber"/>
        <w:rFonts w:cs="Arial"/>
      </w:rPr>
      <w:fldChar w:fldCharType="begin"/>
    </w:r>
    <w:r w:rsidR="001332D6" w:rsidRPr="004B3F6C">
      <w:rPr>
        <w:rStyle w:val="PageNumber"/>
        <w:rFonts w:cs="Arial"/>
      </w:rPr>
      <w:instrText xml:space="preserve"> PAGE </w:instrText>
    </w:r>
    <w:r w:rsidR="001332D6" w:rsidRPr="004B3F6C">
      <w:rPr>
        <w:rStyle w:val="PageNumber"/>
        <w:rFonts w:cs="Arial"/>
      </w:rPr>
      <w:fldChar w:fldCharType="separate"/>
    </w:r>
    <w:r w:rsidR="00755C14">
      <w:rPr>
        <w:rStyle w:val="PageNumber"/>
        <w:rFonts w:cs="Arial"/>
        <w:noProof/>
      </w:rPr>
      <w:t>8</w:t>
    </w:r>
    <w:r w:rsidR="001332D6" w:rsidRPr="004B3F6C">
      <w:rPr>
        <w:rStyle w:val="PageNumber"/>
        <w:rFonts w:cs="Arial"/>
      </w:rPr>
      <w:fldChar w:fldCharType="end"/>
    </w:r>
    <w:r w:rsidR="001332D6" w:rsidRPr="004B3F6C">
      <w:rPr>
        <w:rStyle w:val="PageNumber"/>
        <w:rFonts w:cs="Arial"/>
      </w:rPr>
      <w:t xml:space="preserve"> / Seite </w:t>
    </w:r>
    <w:r w:rsidR="001332D6" w:rsidRPr="004B3F6C">
      <w:rPr>
        <w:rStyle w:val="PageNumber"/>
        <w:rFonts w:cs="Arial"/>
      </w:rPr>
      <w:fldChar w:fldCharType="begin"/>
    </w:r>
    <w:r w:rsidR="001332D6" w:rsidRPr="004B3F6C">
      <w:rPr>
        <w:rStyle w:val="PageNumber"/>
        <w:rFonts w:cs="Arial"/>
      </w:rPr>
      <w:instrText xml:space="preserve"> PAGE </w:instrText>
    </w:r>
    <w:r w:rsidR="001332D6" w:rsidRPr="004B3F6C">
      <w:rPr>
        <w:rStyle w:val="PageNumber"/>
        <w:rFonts w:cs="Arial"/>
      </w:rPr>
      <w:fldChar w:fldCharType="separate"/>
    </w:r>
    <w:r w:rsidR="00755C14">
      <w:rPr>
        <w:rStyle w:val="PageNumber"/>
        <w:rFonts w:cs="Arial"/>
        <w:noProof/>
      </w:rPr>
      <w:t>8</w:t>
    </w:r>
    <w:r w:rsidR="001332D6" w:rsidRPr="004B3F6C">
      <w:rPr>
        <w:rStyle w:val="PageNumber"/>
        <w:rFonts w:cs="Arial"/>
      </w:rPr>
      <w:fldChar w:fldCharType="end"/>
    </w:r>
    <w:r w:rsidR="001332D6" w:rsidRPr="004B3F6C">
      <w:rPr>
        <w:rStyle w:val="PageNumber"/>
        <w:rFonts w:cs="Arial"/>
      </w:rPr>
      <w:t xml:space="preserve"> / página </w:t>
    </w:r>
    <w:r w:rsidR="001332D6" w:rsidRPr="004B3F6C">
      <w:rPr>
        <w:rStyle w:val="PageNumber"/>
        <w:rFonts w:cs="Arial"/>
      </w:rPr>
      <w:fldChar w:fldCharType="begin"/>
    </w:r>
    <w:r w:rsidR="001332D6" w:rsidRPr="004B3F6C">
      <w:rPr>
        <w:rStyle w:val="PageNumber"/>
        <w:rFonts w:cs="Arial"/>
      </w:rPr>
      <w:instrText xml:space="preserve"> PAGE </w:instrText>
    </w:r>
    <w:r w:rsidR="001332D6" w:rsidRPr="004B3F6C">
      <w:rPr>
        <w:rStyle w:val="PageNumber"/>
        <w:rFonts w:cs="Arial"/>
      </w:rPr>
      <w:fldChar w:fldCharType="separate"/>
    </w:r>
    <w:r w:rsidR="00755C14">
      <w:rPr>
        <w:rStyle w:val="PageNumber"/>
        <w:rFonts w:cs="Arial"/>
        <w:noProof/>
      </w:rPr>
      <w:t>8</w:t>
    </w:r>
    <w:r w:rsidR="001332D6" w:rsidRPr="004B3F6C">
      <w:rPr>
        <w:rStyle w:val="PageNumber"/>
        <w:rFonts w:cs="Arial"/>
      </w:rPr>
      <w:fldChar w:fldCharType="end"/>
    </w:r>
  </w:p>
  <w:p w:rsidR="001332D6" w:rsidRPr="003D79B9" w:rsidRDefault="001332D6"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52A242E"/>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5C38"/>
    <w:multiLevelType w:val="hybridMultilevel"/>
    <w:tmpl w:val="A60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47814"/>
    <w:multiLevelType w:val="hybridMultilevel"/>
    <w:tmpl w:val="6EDA32E2"/>
    <w:lvl w:ilvl="0" w:tplc="43EAF8E0">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E7E22"/>
    <w:multiLevelType w:val="hybridMultilevel"/>
    <w:tmpl w:val="E514C27C"/>
    <w:lvl w:ilvl="0" w:tplc="B90467F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4F104D47"/>
    <w:multiLevelType w:val="hybridMultilevel"/>
    <w:tmpl w:val="DDC8C920"/>
    <w:lvl w:ilvl="0" w:tplc="3668806E">
      <w:start w:val="1"/>
      <w:numFmt w:val="lowerLetter"/>
      <w:lvlText w:val="(%1)"/>
      <w:lvlJc w:val="left"/>
      <w:pPr>
        <w:ind w:left="1353" w:hanging="360"/>
      </w:pPr>
      <w:rPr>
        <w:rFonts w:hint="default"/>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FD85042"/>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C6980"/>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D4F74"/>
    <w:multiLevelType w:val="hybridMultilevel"/>
    <w:tmpl w:val="C71AEE24"/>
    <w:lvl w:ilvl="0" w:tplc="B324FE2E">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86613"/>
    <w:multiLevelType w:val="hybridMultilevel"/>
    <w:tmpl w:val="6C0EB0CA"/>
    <w:lvl w:ilvl="0" w:tplc="59800AFA">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63BDC"/>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9"/>
  </w:num>
  <w:num w:numId="2">
    <w:abstractNumId w:val="7"/>
  </w:num>
  <w:num w:numId="3">
    <w:abstractNumId w:val="6"/>
  </w:num>
  <w:num w:numId="4">
    <w:abstractNumId w:val="1"/>
  </w:num>
  <w:num w:numId="5">
    <w:abstractNumId w:val="12"/>
  </w:num>
  <w:num w:numId="6">
    <w:abstractNumId w:val="15"/>
  </w:num>
  <w:num w:numId="7">
    <w:abstractNumId w:val="3"/>
  </w:num>
  <w:num w:numId="8">
    <w:abstractNumId w:val="5"/>
  </w:num>
  <w:num w:numId="9">
    <w:abstractNumId w:val="0"/>
  </w:num>
  <w:num w:numId="10">
    <w:abstractNumId w:val="10"/>
  </w:num>
  <w:num w:numId="11">
    <w:abstractNumId w:val="11"/>
  </w:num>
  <w:num w:numId="12">
    <w:abstractNumId w:val="4"/>
  </w:num>
  <w:num w:numId="13">
    <w:abstractNumId w:val="14"/>
  </w:num>
  <w:num w:numId="14">
    <w:abstractNumId w:val="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FB2D6C"/>
    <w:rsid w:val="00000E10"/>
    <w:rsid w:val="00001380"/>
    <w:rsid w:val="00001D48"/>
    <w:rsid w:val="0000425A"/>
    <w:rsid w:val="000049AA"/>
    <w:rsid w:val="00005E8E"/>
    <w:rsid w:val="00010CF3"/>
    <w:rsid w:val="00011BB4"/>
    <w:rsid w:val="00011E27"/>
    <w:rsid w:val="00014875"/>
    <w:rsid w:val="000148BC"/>
    <w:rsid w:val="0002157B"/>
    <w:rsid w:val="00021E35"/>
    <w:rsid w:val="00022059"/>
    <w:rsid w:val="0002311B"/>
    <w:rsid w:val="00024AB8"/>
    <w:rsid w:val="0002578C"/>
    <w:rsid w:val="00027C49"/>
    <w:rsid w:val="00036028"/>
    <w:rsid w:val="00040E7D"/>
    <w:rsid w:val="000415D8"/>
    <w:rsid w:val="000446B9"/>
    <w:rsid w:val="00047E21"/>
    <w:rsid w:val="00050A9C"/>
    <w:rsid w:val="00052FDE"/>
    <w:rsid w:val="0005597A"/>
    <w:rsid w:val="0006472C"/>
    <w:rsid w:val="00070593"/>
    <w:rsid w:val="00071FDF"/>
    <w:rsid w:val="000724D7"/>
    <w:rsid w:val="00085505"/>
    <w:rsid w:val="000913F6"/>
    <w:rsid w:val="00093452"/>
    <w:rsid w:val="0009437C"/>
    <w:rsid w:val="000959F5"/>
    <w:rsid w:val="000A6DEF"/>
    <w:rsid w:val="000B1D1E"/>
    <w:rsid w:val="000B1FBE"/>
    <w:rsid w:val="000B2CFE"/>
    <w:rsid w:val="000B5F76"/>
    <w:rsid w:val="000B664F"/>
    <w:rsid w:val="000C1ACC"/>
    <w:rsid w:val="000C212C"/>
    <w:rsid w:val="000C6154"/>
    <w:rsid w:val="000C7021"/>
    <w:rsid w:val="000D492E"/>
    <w:rsid w:val="000D6BBC"/>
    <w:rsid w:val="000D7780"/>
    <w:rsid w:val="000F2897"/>
    <w:rsid w:val="000F4C97"/>
    <w:rsid w:val="000F68FB"/>
    <w:rsid w:val="00101C61"/>
    <w:rsid w:val="0010207B"/>
    <w:rsid w:val="001055ED"/>
    <w:rsid w:val="00105929"/>
    <w:rsid w:val="00110481"/>
    <w:rsid w:val="001131D5"/>
    <w:rsid w:val="00115E3A"/>
    <w:rsid w:val="00116CB5"/>
    <w:rsid w:val="00127185"/>
    <w:rsid w:val="001332D6"/>
    <w:rsid w:val="0013376E"/>
    <w:rsid w:val="00137357"/>
    <w:rsid w:val="00141DB8"/>
    <w:rsid w:val="00145A6D"/>
    <w:rsid w:val="00145DC7"/>
    <w:rsid w:val="00153B58"/>
    <w:rsid w:val="00154EDA"/>
    <w:rsid w:val="00155F6F"/>
    <w:rsid w:val="0015785A"/>
    <w:rsid w:val="0016246D"/>
    <w:rsid w:val="00164BFE"/>
    <w:rsid w:val="00166122"/>
    <w:rsid w:val="0017474A"/>
    <w:rsid w:val="001758C6"/>
    <w:rsid w:val="00185FC0"/>
    <w:rsid w:val="00194188"/>
    <w:rsid w:val="0019599E"/>
    <w:rsid w:val="00195E9C"/>
    <w:rsid w:val="00197951"/>
    <w:rsid w:val="001A1174"/>
    <w:rsid w:val="001A515E"/>
    <w:rsid w:val="001A638B"/>
    <w:rsid w:val="001B5C4C"/>
    <w:rsid w:val="001B65C7"/>
    <w:rsid w:val="001B6E7E"/>
    <w:rsid w:val="001C3DF3"/>
    <w:rsid w:val="001D2039"/>
    <w:rsid w:val="001D6F29"/>
    <w:rsid w:val="001E184E"/>
    <w:rsid w:val="001E297D"/>
    <w:rsid w:val="001E6931"/>
    <w:rsid w:val="001F1F2A"/>
    <w:rsid w:val="001F3805"/>
    <w:rsid w:val="001F3B43"/>
    <w:rsid w:val="002003C1"/>
    <w:rsid w:val="0020250C"/>
    <w:rsid w:val="00207B1A"/>
    <w:rsid w:val="0021332C"/>
    <w:rsid w:val="00213968"/>
    <w:rsid w:val="00213982"/>
    <w:rsid w:val="002220F0"/>
    <w:rsid w:val="00230A4D"/>
    <w:rsid w:val="002370E3"/>
    <w:rsid w:val="00237C7D"/>
    <w:rsid w:val="0024416D"/>
    <w:rsid w:val="00254220"/>
    <w:rsid w:val="0026046E"/>
    <w:rsid w:val="00263FC8"/>
    <w:rsid w:val="0027309C"/>
    <w:rsid w:val="002761F3"/>
    <w:rsid w:val="00277062"/>
    <w:rsid w:val="002800A0"/>
    <w:rsid w:val="00281060"/>
    <w:rsid w:val="0028146C"/>
    <w:rsid w:val="002909BA"/>
    <w:rsid w:val="0029236A"/>
    <w:rsid w:val="0029439F"/>
    <w:rsid w:val="00296F26"/>
    <w:rsid w:val="002A1678"/>
    <w:rsid w:val="002A6E50"/>
    <w:rsid w:val="002B5A23"/>
    <w:rsid w:val="002C256A"/>
    <w:rsid w:val="002C3732"/>
    <w:rsid w:val="002D1ADC"/>
    <w:rsid w:val="002D4597"/>
    <w:rsid w:val="002E7A50"/>
    <w:rsid w:val="002E7BA1"/>
    <w:rsid w:val="002F1C83"/>
    <w:rsid w:val="002F2C4A"/>
    <w:rsid w:val="002F541F"/>
    <w:rsid w:val="002F78FA"/>
    <w:rsid w:val="00305A7F"/>
    <w:rsid w:val="00306C11"/>
    <w:rsid w:val="0031127A"/>
    <w:rsid w:val="003152FE"/>
    <w:rsid w:val="00315E8B"/>
    <w:rsid w:val="0031661C"/>
    <w:rsid w:val="00327436"/>
    <w:rsid w:val="00331590"/>
    <w:rsid w:val="00331FA4"/>
    <w:rsid w:val="00340073"/>
    <w:rsid w:val="00340ECB"/>
    <w:rsid w:val="00342A37"/>
    <w:rsid w:val="00344BD6"/>
    <w:rsid w:val="003472E2"/>
    <w:rsid w:val="003549DD"/>
    <w:rsid w:val="0035528D"/>
    <w:rsid w:val="00361821"/>
    <w:rsid w:val="00363446"/>
    <w:rsid w:val="00370F82"/>
    <w:rsid w:val="00376087"/>
    <w:rsid w:val="003779B0"/>
    <w:rsid w:val="00380075"/>
    <w:rsid w:val="00382642"/>
    <w:rsid w:val="003854AB"/>
    <w:rsid w:val="0039339D"/>
    <w:rsid w:val="00393692"/>
    <w:rsid w:val="003A15AF"/>
    <w:rsid w:val="003A17C8"/>
    <w:rsid w:val="003A2737"/>
    <w:rsid w:val="003A2D1F"/>
    <w:rsid w:val="003B39C9"/>
    <w:rsid w:val="003B6C88"/>
    <w:rsid w:val="003B7841"/>
    <w:rsid w:val="003C563E"/>
    <w:rsid w:val="003D00B3"/>
    <w:rsid w:val="003D227C"/>
    <w:rsid w:val="003D2B4D"/>
    <w:rsid w:val="003D2D16"/>
    <w:rsid w:val="003D4186"/>
    <w:rsid w:val="003D79B9"/>
    <w:rsid w:val="003F1D18"/>
    <w:rsid w:val="003F3808"/>
    <w:rsid w:val="003F565C"/>
    <w:rsid w:val="003F5F2E"/>
    <w:rsid w:val="003F6136"/>
    <w:rsid w:val="003F752D"/>
    <w:rsid w:val="003F7965"/>
    <w:rsid w:val="003F7E5C"/>
    <w:rsid w:val="004001C0"/>
    <w:rsid w:val="004071FD"/>
    <w:rsid w:val="00407CA5"/>
    <w:rsid w:val="00414B87"/>
    <w:rsid w:val="00425583"/>
    <w:rsid w:val="00427139"/>
    <w:rsid w:val="00433B12"/>
    <w:rsid w:val="00441C42"/>
    <w:rsid w:val="00444A88"/>
    <w:rsid w:val="00447B9F"/>
    <w:rsid w:val="00450C23"/>
    <w:rsid w:val="004539FE"/>
    <w:rsid w:val="0046638B"/>
    <w:rsid w:val="00467385"/>
    <w:rsid w:val="00467DE3"/>
    <w:rsid w:val="0047173D"/>
    <w:rsid w:val="00474DA4"/>
    <w:rsid w:val="00484BDC"/>
    <w:rsid w:val="0049071A"/>
    <w:rsid w:val="00496C6E"/>
    <w:rsid w:val="004A480C"/>
    <w:rsid w:val="004B0562"/>
    <w:rsid w:val="004B0D34"/>
    <w:rsid w:val="004B15B7"/>
    <w:rsid w:val="004B3F0E"/>
    <w:rsid w:val="004C430E"/>
    <w:rsid w:val="004C4CF2"/>
    <w:rsid w:val="004C5376"/>
    <w:rsid w:val="004D047D"/>
    <w:rsid w:val="004D16C4"/>
    <w:rsid w:val="004D1E1E"/>
    <w:rsid w:val="004D3826"/>
    <w:rsid w:val="004D6B05"/>
    <w:rsid w:val="004E4480"/>
    <w:rsid w:val="004F255D"/>
    <w:rsid w:val="004F305A"/>
    <w:rsid w:val="004F3B3C"/>
    <w:rsid w:val="004F7E7F"/>
    <w:rsid w:val="005062CA"/>
    <w:rsid w:val="005107DD"/>
    <w:rsid w:val="00512164"/>
    <w:rsid w:val="00513070"/>
    <w:rsid w:val="00520297"/>
    <w:rsid w:val="0052067C"/>
    <w:rsid w:val="00523995"/>
    <w:rsid w:val="00527D73"/>
    <w:rsid w:val="00531BA7"/>
    <w:rsid w:val="005338F9"/>
    <w:rsid w:val="00541CFB"/>
    <w:rsid w:val="0054281C"/>
    <w:rsid w:val="00551E76"/>
    <w:rsid w:val="0055268D"/>
    <w:rsid w:val="00555065"/>
    <w:rsid w:val="0056697A"/>
    <w:rsid w:val="00567023"/>
    <w:rsid w:val="00567283"/>
    <w:rsid w:val="00572E44"/>
    <w:rsid w:val="00576BE4"/>
    <w:rsid w:val="005823DA"/>
    <w:rsid w:val="00596EC9"/>
    <w:rsid w:val="005A400A"/>
    <w:rsid w:val="005C1560"/>
    <w:rsid w:val="005C6136"/>
    <w:rsid w:val="005C7185"/>
    <w:rsid w:val="005D17DE"/>
    <w:rsid w:val="005D3650"/>
    <w:rsid w:val="005E29D8"/>
    <w:rsid w:val="005E7D54"/>
    <w:rsid w:val="005F2885"/>
    <w:rsid w:val="0060196B"/>
    <w:rsid w:val="006036B1"/>
    <w:rsid w:val="00603A78"/>
    <w:rsid w:val="006106C8"/>
    <w:rsid w:val="00612379"/>
    <w:rsid w:val="0061555F"/>
    <w:rsid w:val="0061574C"/>
    <w:rsid w:val="00622DD0"/>
    <w:rsid w:val="00633518"/>
    <w:rsid w:val="006345FB"/>
    <w:rsid w:val="00641200"/>
    <w:rsid w:val="00642B05"/>
    <w:rsid w:val="00644409"/>
    <w:rsid w:val="00644CE6"/>
    <w:rsid w:val="00652981"/>
    <w:rsid w:val="00663ED8"/>
    <w:rsid w:val="00664515"/>
    <w:rsid w:val="006829DE"/>
    <w:rsid w:val="00687EB4"/>
    <w:rsid w:val="006919F4"/>
    <w:rsid w:val="00697E26"/>
    <w:rsid w:val="006A1711"/>
    <w:rsid w:val="006A1BB2"/>
    <w:rsid w:val="006A21B3"/>
    <w:rsid w:val="006A2CAD"/>
    <w:rsid w:val="006A3706"/>
    <w:rsid w:val="006B1450"/>
    <w:rsid w:val="006B17D2"/>
    <w:rsid w:val="006B45FA"/>
    <w:rsid w:val="006C0B35"/>
    <w:rsid w:val="006C224E"/>
    <w:rsid w:val="006C5E16"/>
    <w:rsid w:val="006D412B"/>
    <w:rsid w:val="006E3FFB"/>
    <w:rsid w:val="006E533D"/>
    <w:rsid w:val="006E5854"/>
    <w:rsid w:val="007027B5"/>
    <w:rsid w:val="00705CB9"/>
    <w:rsid w:val="00706D66"/>
    <w:rsid w:val="007111ED"/>
    <w:rsid w:val="007119DB"/>
    <w:rsid w:val="007150FF"/>
    <w:rsid w:val="00722A3A"/>
    <w:rsid w:val="00732DEC"/>
    <w:rsid w:val="00732ECB"/>
    <w:rsid w:val="00735BD5"/>
    <w:rsid w:val="00737129"/>
    <w:rsid w:val="00742C06"/>
    <w:rsid w:val="0075117E"/>
    <w:rsid w:val="007556F6"/>
    <w:rsid w:val="00755C14"/>
    <w:rsid w:val="00760EEF"/>
    <w:rsid w:val="007622F0"/>
    <w:rsid w:val="007625CA"/>
    <w:rsid w:val="0076260D"/>
    <w:rsid w:val="007779D7"/>
    <w:rsid w:val="00777EE5"/>
    <w:rsid w:val="00782594"/>
    <w:rsid w:val="00784836"/>
    <w:rsid w:val="00787169"/>
    <w:rsid w:val="0079023E"/>
    <w:rsid w:val="007A1A00"/>
    <w:rsid w:val="007A2658"/>
    <w:rsid w:val="007A3D95"/>
    <w:rsid w:val="007B41B0"/>
    <w:rsid w:val="007B6894"/>
    <w:rsid w:val="007C067A"/>
    <w:rsid w:val="007C1540"/>
    <w:rsid w:val="007C6219"/>
    <w:rsid w:val="007C6639"/>
    <w:rsid w:val="007C6F2E"/>
    <w:rsid w:val="007D0B9D"/>
    <w:rsid w:val="007D19B0"/>
    <w:rsid w:val="007D5B99"/>
    <w:rsid w:val="007E2BC0"/>
    <w:rsid w:val="007E6104"/>
    <w:rsid w:val="007E6673"/>
    <w:rsid w:val="007E7343"/>
    <w:rsid w:val="007F498F"/>
    <w:rsid w:val="007F723B"/>
    <w:rsid w:val="00800E16"/>
    <w:rsid w:val="008013FC"/>
    <w:rsid w:val="00805A16"/>
    <w:rsid w:val="00805A7F"/>
    <w:rsid w:val="00805E4D"/>
    <w:rsid w:val="0080679D"/>
    <w:rsid w:val="008108B0"/>
    <w:rsid w:val="00811B20"/>
    <w:rsid w:val="008124E3"/>
    <w:rsid w:val="0082296E"/>
    <w:rsid w:val="00823F06"/>
    <w:rsid w:val="00824099"/>
    <w:rsid w:val="00833794"/>
    <w:rsid w:val="008352C4"/>
    <w:rsid w:val="00835D16"/>
    <w:rsid w:val="00836E88"/>
    <w:rsid w:val="00837DEA"/>
    <w:rsid w:val="008403FF"/>
    <w:rsid w:val="008448A4"/>
    <w:rsid w:val="0085188F"/>
    <w:rsid w:val="00855DBD"/>
    <w:rsid w:val="00856980"/>
    <w:rsid w:val="00863382"/>
    <w:rsid w:val="00867AC1"/>
    <w:rsid w:val="00877BD6"/>
    <w:rsid w:val="00885464"/>
    <w:rsid w:val="00890929"/>
    <w:rsid w:val="00891EE4"/>
    <w:rsid w:val="008968E2"/>
    <w:rsid w:val="008A0F94"/>
    <w:rsid w:val="008A395B"/>
    <w:rsid w:val="008A743F"/>
    <w:rsid w:val="008B04B8"/>
    <w:rsid w:val="008B4189"/>
    <w:rsid w:val="008B51D0"/>
    <w:rsid w:val="008B52BB"/>
    <w:rsid w:val="008C0970"/>
    <w:rsid w:val="008C109A"/>
    <w:rsid w:val="008C6FE6"/>
    <w:rsid w:val="008D19E0"/>
    <w:rsid w:val="008D2CF7"/>
    <w:rsid w:val="008D3449"/>
    <w:rsid w:val="008D3546"/>
    <w:rsid w:val="008E2A55"/>
    <w:rsid w:val="008E552F"/>
    <w:rsid w:val="008E5F63"/>
    <w:rsid w:val="008E793E"/>
    <w:rsid w:val="008F295D"/>
    <w:rsid w:val="008F2BE2"/>
    <w:rsid w:val="00900C26"/>
    <w:rsid w:val="00901207"/>
    <w:rsid w:val="0090197F"/>
    <w:rsid w:val="00903B2E"/>
    <w:rsid w:val="00906DDC"/>
    <w:rsid w:val="00913C22"/>
    <w:rsid w:val="00921DE6"/>
    <w:rsid w:val="00934E09"/>
    <w:rsid w:val="00935078"/>
    <w:rsid w:val="00936253"/>
    <w:rsid w:val="009465B7"/>
    <w:rsid w:val="00947EC7"/>
    <w:rsid w:val="00952558"/>
    <w:rsid w:val="009542B9"/>
    <w:rsid w:val="00960035"/>
    <w:rsid w:val="009660C0"/>
    <w:rsid w:val="00967268"/>
    <w:rsid w:val="00967846"/>
    <w:rsid w:val="00970FED"/>
    <w:rsid w:val="00990933"/>
    <w:rsid w:val="00990E61"/>
    <w:rsid w:val="0099179D"/>
    <w:rsid w:val="00993AA5"/>
    <w:rsid w:val="009951E5"/>
    <w:rsid w:val="00997029"/>
    <w:rsid w:val="0099704B"/>
    <w:rsid w:val="009B2464"/>
    <w:rsid w:val="009B46B9"/>
    <w:rsid w:val="009B7353"/>
    <w:rsid w:val="009C19C2"/>
    <w:rsid w:val="009C1A87"/>
    <w:rsid w:val="009C31C1"/>
    <w:rsid w:val="009D0DE5"/>
    <w:rsid w:val="009D690D"/>
    <w:rsid w:val="009E3424"/>
    <w:rsid w:val="009E65B6"/>
    <w:rsid w:val="009E6F77"/>
    <w:rsid w:val="009F509E"/>
    <w:rsid w:val="009F54EF"/>
    <w:rsid w:val="009F5D1B"/>
    <w:rsid w:val="009F7551"/>
    <w:rsid w:val="00A019F5"/>
    <w:rsid w:val="00A02E67"/>
    <w:rsid w:val="00A07128"/>
    <w:rsid w:val="00A12035"/>
    <w:rsid w:val="00A27A81"/>
    <w:rsid w:val="00A42AC3"/>
    <w:rsid w:val="00A430CF"/>
    <w:rsid w:val="00A512AF"/>
    <w:rsid w:val="00A54309"/>
    <w:rsid w:val="00A62D23"/>
    <w:rsid w:val="00A63D26"/>
    <w:rsid w:val="00A75E74"/>
    <w:rsid w:val="00A76379"/>
    <w:rsid w:val="00A773C1"/>
    <w:rsid w:val="00A77497"/>
    <w:rsid w:val="00A85994"/>
    <w:rsid w:val="00A87869"/>
    <w:rsid w:val="00A95122"/>
    <w:rsid w:val="00A9733E"/>
    <w:rsid w:val="00AA5368"/>
    <w:rsid w:val="00AB08F4"/>
    <w:rsid w:val="00AB12CF"/>
    <w:rsid w:val="00AB2B93"/>
    <w:rsid w:val="00AB3433"/>
    <w:rsid w:val="00AC2D2A"/>
    <w:rsid w:val="00AD67B0"/>
    <w:rsid w:val="00AE04E1"/>
    <w:rsid w:val="00AE08BE"/>
    <w:rsid w:val="00AE0EF1"/>
    <w:rsid w:val="00AE268B"/>
    <w:rsid w:val="00AE3D91"/>
    <w:rsid w:val="00AE490A"/>
    <w:rsid w:val="00AE7FE6"/>
    <w:rsid w:val="00AF1562"/>
    <w:rsid w:val="00B07301"/>
    <w:rsid w:val="00B079DB"/>
    <w:rsid w:val="00B11614"/>
    <w:rsid w:val="00B16F6B"/>
    <w:rsid w:val="00B224DE"/>
    <w:rsid w:val="00B25798"/>
    <w:rsid w:val="00B27EB3"/>
    <w:rsid w:val="00B44B41"/>
    <w:rsid w:val="00B525A1"/>
    <w:rsid w:val="00B645A6"/>
    <w:rsid w:val="00B65755"/>
    <w:rsid w:val="00B65A63"/>
    <w:rsid w:val="00B73147"/>
    <w:rsid w:val="00B74894"/>
    <w:rsid w:val="00B7496F"/>
    <w:rsid w:val="00B75AD1"/>
    <w:rsid w:val="00B7612F"/>
    <w:rsid w:val="00B765F8"/>
    <w:rsid w:val="00B81045"/>
    <w:rsid w:val="00B84BBD"/>
    <w:rsid w:val="00B904A9"/>
    <w:rsid w:val="00B95F12"/>
    <w:rsid w:val="00B97090"/>
    <w:rsid w:val="00BA43FB"/>
    <w:rsid w:val="00BA5B67"/>
    <w:rsid w:val="00BA7751"/>
    <w:rsid w:val="00BB1CFF"/>
    <w:rsid w:val="00BB5844"/>
    <w:rsid w:val="00BC127D"/>
    <w:rsid w:val="00BC1FE6"/>
    <w:rsid w:val="00BD0BF4"/>
    <w:rsid w:val="00BD1324"/>
    <w:rsid w:val="00BD3B10"/>
    <w:rsid w:val="00BD4C24"/>
    <w:rsid w:val="00BD5429"/>
    <w:rsid w:val="00BD6541"/>
    <w:rsid w:val="00BF3187"/>
    <w:rsid w:val="00BF4BEA"/>
    <w:rsid w:val="00C03EBA"/>
    <w:rsid w:val="00C05AB9"/>
    <w:rsid w:val="00C061B6"/>
    <w:rsid w:val="00C16963"/>
    <w:rsid w:val="00C21DBF"/>
    <w:rsid w:val="00C2446C"/>
    <w:rsid w:val="00C365CC"/>
    <w:rsid w:val="00C36AE5"/>
    <w:rsid w:val="00C36C40"/>
    <w:rsid w:val="00C41F17"/>
    <w:rsid w:val="00C51894"/>
    <w:rsid w:val="00C54BF4"/>
    <w:rsid w:val="00C5791C"/>
    <w:rsid w:val="00C57CEC"/>
    <w:rsid w:val="00C61FFD"/>
    <w:rsid w:val="00C6219B"/>
    <w:rsid w:val="00C63A29"/>
    <w:rsid w:val="00C66290"/>
    <w:rsid w:val="00C72B7A"/>
    <w:rsid w:val="00C85309"/>
    <w:rsid w:val="00C87F55"/>
    <w:rsid w:val="00C91A80"/>
    <w:rsid w:val="00C93C1A"/>
    <w:rsid w:val="00C94A68"/>
    <w:rsid w:val="00C973F2"/>
    <w:rsid w:val="00CA2923"/>
    <w:rsid w:val="00CA66F6"/>
    <w:rsid w:val="00CA774A"/>
    <w:rsid w:val="00CB4E42"/>
    <w:rsid w:val="00CB657B"/>
    <w:rsid w:val="00CC014C"/>
    <w:rsid w:val="00CC11B0"/>
    <w:rsid w:val="00CC357F"/>
    <w:rsid w:val="00CC458B"/>
    <w:rsid w:val="00CD24A5"/>
    <w:rsid w:val="00CD4C6B"/>
    <w:rsid w:val="00CF3253"/>
    <w:rsid w:val="00CF5A06"/>
    <w:rsid w:val="00CF7E36"/>
    <w:rsid w:val="00D0300E"/>
    <w:rsid w:val="00D10A5A"/>
    <w:rsid w:val="00D13DBC"/>
    <w:rsid w:val="00D163C7"/>
    <w:rsid w:val="00D233D8"/>
    <w:rsid w:val="00D24210"/>
    <w:rsid w:val="00D3163D"/>
    <w:rsid w:val="00D32FB0"/>
    <w:rsid w:val="00D3708D"/>
    <w:rsid w:val="00D375E1"/>
    <w:rsid w:val="00D40426"/>
    <w:rsid w:val="00D42097"/>
    <w:rsid w:val="00D44BEB"/>
    <w:rsid w:val="00D51614"/>
    <w:rsid w:val="00D51938"/>
    <w:rsid w:val="00D55471"/>
    <w:rsid w:val="00D57C96"/>
    <w:rsid w:val="00D60318"/>
    <w:rsid w:val="00D6357A"/>
    <w:rsid w:val="00D63C7F"/>
    <w:rsid w:val="00D65AA7"/>
    <w:rsid w:val="00D66CBC"/>
    <w:rsid w:val="00D81319"/>
    <w:rsid w:val="00D831CA"/>
    <w:rsid w:val="00D868E8"/>
    <w:rsid w:val="00D91203"/>
    <w:rsid w:val="00D95174"/>
    <w:rsid w:val="00D95A5C"/>
    <w:rsid w:val="00DA40D0"/>
    <w:rsid w:val="00DA6F36"/>
    <w:rsid w:val="00DA7DDB"/>
    <w:rsid w:val="00DC00EA"/>
    <w:rsid w:val="00DC0D64"/>
    <w:rsid w:val="00DE2A40"/>
    <w:rsid w:val="00DE2E84"/>
    <w:rsid w:val="00DF0F24"/>
    <w:rsid w:val="00E0289B"/>
    <w:rsid w:val="00E03059"/>
    <w:rsid w:val="00E11AC0"/>
    <w:rsid w:val="00E12DDC"/>
    <w:rsid w:val="00E12E9A"/>
    <w:rsid w:val="00E17BA5"/>
    <w:rsid w:val="00E23920"/>
    <w:rsid w:val="00E2619B"/>
    <w:rsid w:val="00E3327A"/>
    <w:rsid w:val="00E3447B"/>
    <w:rsid w:val="00E3766A"/>
    <w:rsid w:val="00E379E4"/>
    <w:rsid w:val="00E426BB"/>
    <w:rsid w:val="00E60779"/>
    <w:rsid w:val="00E61854"/>
    <w:rsid w:val="00E67919"/>
    <w:rsid w:val="00E67E75"/>
    <w:rsid w:val="00E72D49"/>
    <w:rsid w:val="00E73D21"/>
    <w:rsid w:val="00E74C70"/>
    <w:rsid w:val="00E7593C"/>
    <w:rsid w:val="00E76464"/>
    <w:rsid w:val="00E7678A"/>
    <w:rsid w:val="00E81DA8"/>
    <w:rsid w:val="00E935F1"/>
    <w:rsid w:val="00E94A81"/>
    <w:rsid w:val="00E94EB0"/>
    <w:rsid w:val="00EA1D68"/>
    <w:rsid w:val="00EA1FFB"/>
    <w:rsid w:val="00EB048E"/>
    <w:rsid w:val="00EB3EFA"/>
    <w:rsid w:val="00EC4385"/>
    <w:rsid w:val="00ED17F1"/>
    <w:rsid w:val="00ED3022"/>
    <w:rsid w:val="00ED589F"/>
    <w:rsid w:val="00EE646B"/>
    <w:rsid w:val="00EE7119"/>
    <w:rsid w:val="00EE7AFB"/>
    <w:rsid w:val="00EF2F89"/>
    <w:rsid w:val="00EF35BF"/>
    <w:rsid w:val="00EF515D"/>
    <w:rsid w:val="00EF67C6"/>
    <w:rsid w:val="00EF7A0C"/>
    <w:rsid w:val="00F0027A"/>
    <w:rsid w:val="00F0360C"/>
    <w:rsid w:val="00F04772"/>
    <w:rsid w:val="00F04DEB"/>
    <w:rsid w:val="00F1234B"/>
    <w:rsid w:val="00F1237A"/>
    <w:rsid w:val="00F14695"/>
    <w:rsid w:val="00F203F3"/>
    <w:rsid w:val="00F21AB5"/>
    <w:rsid w:val="00F22CBD"/>
    <w:rsid w:val="00F24F48"/>
    <w:rsid w:val="00F2626A"/>
    <w:rsid w:val="00F277C9"/>
    <w:rsid w:val="00F31EEC"/>
    <w:rsid w:val="00F33A24"/>
    <w:rsid w:val="00F37961"/>
    <w:rsid w:val="00F404D8"/>
    <w:rsid w:val="00F40BDF"/>
    <w:rsid w:val="00F44959"/>
    <w:rsid w:val="00F508F0"/>
    <w:rsid w:val="00F52E01"/>
    <w:rsid w:val="00F55A66"/>
    <w:rsid w:val="00F57355"/>
    <w:rsid w:val="00F6334D"/>
    <w:rsid w:val="00F64863"/>
    <w:rsid w:val="00F70358"/>
    <w:rsid w:val="00F7357A"/>
    <w:rsid w:val="00F76B52"/>
    <w:rsid w:val="00F8030D"/>
    <w:rsid w:val="00F90FA1"/>
    <w:rsid w:val="00F93BC0"/>
    <w:rsid w:val="00F95B02"/>
    <w:rsid w:val="00F97179"/>
    <w:rsid w:val="00F97E28"/>
    <w:rsid w:val="00FA49AB"/>
    <w:rsid w:val="00FB0D37"/>
    <w:rsid w:val="00FB2D6C"/>
    <w:rsid w:val="00FB4E83"/>
    <w:rsid w:val="00FB5B4A"/>
    <w:rsid w:val="00FD2D5E"/>
    <w:rsid w:val="00FD5023"/>
    <w:rsid w:val="00FE39C7"/>
    <w:rsid w:val="00FE4AF3"/>
    <w:rsid w:val="00FE50D5"/>
    <w:rsid w:val="00FE61B6"/>
    <w:rsid w:val="00FF4319"/>
    <w:rsid w:val="00FF6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B5"/>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7A1A00"/>
    <w:pPr>
      <w:spacing w:before="60"/>
      <w:ind w:left="567" w:hanging="567"/>
      <w:jc w:val="both"/>
    </w:pPr>
    <w:rPr>
      <w:rFonts w:ascii="Arial" w:hAnsi="Arial"/>
      <w:sz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7A1A00"/>
    <w:rPr>
      <w:rFonts w:ascii="Arial" w:hAnsi="Arial"/>
      <w:sz w:val="16"/>
      <w:lang w:val="fr-FR"/>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 w:type="character" w:customStyle="1" w:styleId="plcountryChar">
    <w:name w:val="plcountry Char"/>
    <w:basedOn w:val="DefaultParagraphFont"/>
    <w:link w:val="plcountry"/>
    <w:locked/>
    <w:rsid w:val="00A63D26"/>
    <w:rPr>
      <w:rFonts w:ascii="Arial" w:hAnsi="Arial"/>
      <w:caps/>
      <w:noProof/>
      <w:snapToGrid w:val="0"/>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B5"/>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7A1A00"/>
    <w:pPr>
      <w:spacing w:before="60"/>
      <w:ind w:left="567" w:hanging="567"/>
      <w:jc w:val="both"/>
    </w:pPr>
    <w:rPr>
      <w:rFonts w:ascii="Arial" w:hAnsi="Arial"/>
      <w:sz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7A1A00"/>
    <w:rPr>
      <w:rFonts w:ascii="Arial" w:hAnsi="Arial"/>
      <w:sz w:val="16"/>
      <w:lang w:val="fr-FR"/>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 w:type="character" w:customStyle="1" w:styleId="plcountryChar">
    <w:name w:val="plcountry Char"/>
    <w:basedOn w:val="DefaultParagraphFont"/>
    <w:link w:val="plcountry"/>
    <w:locked/>
    <w:rsid w:val="00A63D26"/>
    <w:rPr>
      <w:rFonts w:ascii="Arial" w:hAnsi="Arial"/>
      <w:caps/>
      <w:noProof/>
      <w:snapToGrid w:val="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66">
      <w:bodyDiv w:val="1"/>
      <w:marLeft w:val="0"/>
      <w:marRight w:val="0"/>
      <w:marTop w:val="0"/>
      <w:marBottom w:val="0"/>
      <w:divBdr>
        <w:top w:val="none" w:sz="0" w:space="0" w:color="auto"/>
        <w:left w:val="none" w:sz="0" w:space="0" w:color="auto"/>
        <w:bottom w:val="none" w:sz="0" w:space="0" w:color="auto"/>
        <w:right w:val="none" w:sz="0" w:space="0" w:color="auto"/>
      </w:divBdr>
    </w:div>
    <w:div w:id="443577654">
      <w:bodyDiv w:val="1"/>
      <w:marLeft w:val="0"/>
      <w:marRight w:val="0"/>
      <w:marTop w:val="0"/>
      <w:marBottom w:val="0"/>
      <w:divBdr>
        <w:top w:val="none" w:sz="0" w:space="0" w:color="auto"/>
        <w:left w:val="none" w:sz="0" w:space="0" w:color="auto"/>
        <w:bottom w:val="none" w:sz="0" w:space="0" w:color="auto"/>
        <w:right w:val="none" w:sz="0" w:space="0" w:color="auto"/>
      </w:divBdr>
    </w:div>
    <w:div w:id="486283063">
      <w:bodyDiv w:val="1"/>
      <w:marLeft w:val="0"/>
      <w:marRight w:val="0"/>
      <w:marTop w:val="0"/>
      <w:marBottom w:val="0"/>
      <w:divBdr>
        <w:top w:val="none" w:sz="0" w:space="0" w:color="auto"/>
        <w:left w:val="none" w:sz="0" w:space="0" w:color="auto"/>
        <w:bottom w:val="none" w:sz="0" w:space="0" w:color="auto"/>
        <w:right w:val="none" w:sz="0" w:space="0" w:color="auto"/>
      </w:divBdr>
    </w:div>
    <w:div w:id="589507834">
      <w:bodyDiv w:val="1"/>
      <w:marLeft w:val="0"/>
      <w:marRight w:val="0"/>
      <w:marTop w:val="0"/>
      <w:marBottom w:val="0"/>
      <w:divBdr>
        <w:top w:val="none" w:sz="0" w:space="0" w:color="auto"/>
        <w:left w:val="none" w:sz="0" w:space="0" w:color="auto"/>
        <w:bottom w:val="none" w:sz="0" w:space="0" w:color="auto"/>
        <w:right w:val="none" w:sz="0" w:space="0" w:color="auto"/>
      </w:divBdr>
    </w:div>
    <w:div w:id="185279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715C-C8BC-4C49-97EC-C8A1FC9C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9451</Words>
  <Characters>53874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63199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keywords>JC/ko</cp:keywords>
  <cp:lastModifiedBy>BESSE Ariane</cp:lastModifiedBy>
  <cp:revision>8</cp:revision>
  <cp:lastPrinted>2016-10-24T11:33:00Z</cp:lastPrinted>
  <dcterms:created xsi:type="dcterms:W3CDTF">2016-10-23T09:40:00Z</dcterms:created>
  <dcterms:modified xsi:type="dcterms:W3CDTF">2016-10-24T11:34:00Z</dcterms:modified>
</cp:coreProperties>
</file>