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26EE0" w:rsidRPr="00121F8C" w:rsidTr="002530DA">
        <w:trPr>
          <w:trHeight w:val="1760"/>
        </w:trPr>
        <w:tc>
          <w:tcPr>
            <w:tcW w:w="4243" w:type="dxa"/>
          </w:tcPr>
          <w:p w:rsidR="00026EE0" w:rsidRPr="00121F8C" w:rsidRDefault="00026EE0" w:rsidP="005C556C">
            <w:pPr>
              <w:rPr>
                <w:lang w:val="fr-FR"/>
              </w:rPr>
            </w:pPr>
            <w:bookmarkStart w:id="0" w:name="_GoBack"/>
            <w:bookmarkEnd w:id="0"/>
          </w:p>
        </w:tc>
        <w:tc>
          <w:tcPr>
            <w:tcW w:w="1646" w:type="dxa"/>
            <w:vAlign w:val="center"/>
          </w:tcPr>
          <w:p w:rsidR="00026EE0" w:rsidRPr="00121F8C" w:rsidRDefault="00026EE0" w:rsidP="005C556C">
            <w:pPr>
              <w:pStyle w:val="LogoUPOV"/>
              <w:rPr>
                <w:lang w:val="fr-FR"/>
              </w:rPr>
            </w:pPr>
            <w:r w:rsidRPr="00121F8C">
              <w:rPr>
                <w:noProof/>
              </w:rPr>
              <w:drawing>
                <wp:inline distT="0" distB="0" distL="0" distR="0" wp14:anchorId="78525753" wp14:editId="09ED131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8402C" w:rsidRDefault="00026EE0" w:rsidP="005C556C">
            <w:pPr>
              <w:pStyle w:val="Lettrine"/>
              <w:spacing w:line="240" w:lineRule="auto"/>
              <w:rPr>
                <w:lang w:val="fr-FR"/>
              </w:rPr>
            </w:pPr>
            <w:r w:rsidRPr="00121F8C">
              <w:rPr>
                <w:lang w:val="fr-FR"/>
              </w:rPr>
              <w:t>F</w:t>
            </w:r>
          </w:p>
          <w:p w:rsidR="0058402C" w:rsidRDefault="00026EE0" w:rsidP="005C556C">
            <w:pPr>
              <w:pStyle w:val="Docoriginal"/>
              <w:jc w:val="left"/>
              <w:rPr>
                <w:lang w:val="fr-FR"/>
              </w:rPr>
            </w:pPr>
            <w:r w:rsidRPr="00121F8C">
              <w:rPr>
                <w:lang w:val="fr-FR"/>
              </w:rPr>
              <w:t>CAJ/71/10</w:t>
            </w:r>
          </w:p>
          <w:p w:rsidR="0058402C" w:rsidRDefault="00026EE0" w:rsidP="005C556C">
            <w:pPr>
              <w:pStyle w:val="Docoriginal"/>
              <w:jc w:val="left"/>
              <w:rPr>
                <w:lang w:val="fr-FR"/>
              </w:rPr>
            </w:pPr>
            <w:r w:rsidRPr="00121F8C">
              <w:rPr>
                <w:rStyle w:val="StyleDoclangBold"/>
                <w:b/>
                <w:bCs/>
                <w:spacing w:val="0"/>
                <w:lang w:val="fr-FR"/>
              </w:rPr>
              <w:t>ORIGINAL</w:t>
            </w:r>
            <w:r w:rsidR="00824A4B">
              <w:rPr>
                <w:rStyle w:val="StyleDoclangBold"/>
                <w:b/>
                <w:bCs/>
                <w:spacing w:val="0"/>
                <w:lang w:val="fr-FR"/>
              </w:rPr>
              <w:t> </w:t>
            </w:r>
            <w:r w:rsidRPr="00121F8C">
              <w:rPr>
                <w:rStyle w:val="StyleDoclangBold"/>
                <w:b/>
                <w:bCs/>
                <w:spacing w:val="0"/>
                <w:lang w:val="fr-FR"/>
              </w:rPr>
              <w:t>:</w:t>
            </w:r>
            <w:r w:rsidRPr="00121F8C">
              <w:rPr>
                <w:rStyle w:val="StyleDocoriginalNotBold1"/>
                <w:spacing w:val="0"/>
                <w:lang w:val="fr-FR"/>
              </w:rPr>
              <w:t xml:space="preserve"> </w:t>
            </w:r>
            <w:r w:rsidRPr="00121F8C">
              <w:rPr>
                <w:b w:val="0"/>
                <w:spacing w:val="0"/>
                <w:lang w:val="fr-FR"/>
              </w:rPr>
              <w:t>anglais</w:t>
            </w:r>
          </w:p>
          <w:p w:rsidR="00026EE0" w:rsidRPr="00121F8C" w:rsidRDefault="00026EE0" w:rsidP="005C556C">
            <w:pPr>
              <w:pStyle w:val="Docoriginal"/>
              <w:jc w:val="left"/>
              <w:rPr>
                <w:lang w:val="fr-FR"/>
              </w:rPr>
            </w:pPr>
            <w:r w:rsidRPr="00121F8C">
              <w:rPr>
                <w:spacing w:val="0"/>
                <w:lang w:val="fr-FR"/>
              </w:rPr>
              <w:t>DATE</w:t>
            </w:r>
            <w:r w:rsidR="00824A4B">
              <w:rPr>
                <w:spacing w:val="0"/>
                <w:lang w:val="fr-FR"/>
              </w:rPr>
              <w:t> </w:t>
            </w:r>
            <w:r w:rsidRPr="00121F8C">
              <w:rPr>
                <w:spacing w:val="0"/>
                <w:lang w:val="fr-FR"/>
              </w:rPr>
              <w:t>:</w:t>
            </w:r>
            <w:r w:rsidRPr="00121F8C">
              <w:rPr>
                <w:b w:val="0"/>
                <w:spacing w:val="0"/>
                <w:lang w:val="fr-FR"/>
              </w:rPr>
              <w:t xml:space="preserve"> 26 mars 2015</w:t>
            </w:r>
          </w:p>
        </w:tc>
      </w:tr>
      <w:tr w:rsidR="00026EE0" w:rsidRPr="00121F8C" w:rsidTr="002530DA">
        <w:tc>
          <w:tcPr>
            <w:tcW w:w="10131" w:type="dxa"/>
            <w:gridSpan w:val="3"/>
          </w:tcPr>
          <w:p w:rsidR="00026EE0" w:rsidRPr="00121F8C" w:rsidRDefault="00026EE0" w:rsidP="005C556C">
            <w:pPr>
              <w:pStyle w:val="upove"/>
              <w:rPr>
                <w:sz w:val="28"/>
                <w:lang w:val="fr-FR"/>
              </w:rPr>
            </w:pPr>
            <w:r w:rsidRPr="00121F8C">
              <w:rPr>
                <w:spacing w:val="6"/>
                <w:lang w:val="fr-FR"/>
              </w:rPr>
              <w:t>UNION INTERNATIONALE POUR LA PROTECTION DES OBTENTIONS VÉGÉTALES</w:t>
            </w:r>
          </w:p>
        </w:tc>
      </w:tr>
      <w:tr w:rsidR="00026EE0" w:rsidRPr="00121F8C" w:rsidTr="002530DA">
        <w:tc>
          <w:tcPr>
            <w:tcW w:w="10131" w:type="dxa"/>
            <w:gridSpan w:val="3"/>
          </w:tcPr>
          <w:p w:rsidR="00026EE0" w:rsidRPr="00121F8C" w:rsidRDefault="00026EE0" w:rsidP="005C556C">
            <w:pPr>
              <w:pStyle w:val="Country"/>
              <w:rPr>
                <w:lang w:val="fr-FR"/>
              </w:rPr>
            </w:pPr>
            <w:r w:rsidRPr="00121F8C">
              <w:rPr>
                <w:lang w:val="fr-FR"/>
              </w:rPr>
              <w:t>Genève</w:t>
            </w:r>
          </w:p>
        </w:tc>
      </w:tr>
    </w:tbl>
    <w:p w:rsidR="0058402C" w:rsidRDefault="00026EE0" w:rsidP="005C556C">
      <w:pPr>
        <w:pStyle w:val="Sessiontc"/>
        <w:rPr>
          <w:lang w:val="fr-FR"/>
        </w:rPr>
      </w:pPr>
      <w:r w:rsidRPr="00121F8C">
        <w:rPr>
          <w:lang w:val="fr-FR"/>
        </w:rPr>
        <w:t>Comité ADMINISTRATIF ET JURIDIQUE</w:t>
      </w:r>
    </w:p>
    <w:p w:rsidR="0058402C" w:rsidRDefault="00026EE0" w:rsidP="005C556C">
      <w:pPr>
        <w:pStyle w:val="Sessiontcplacedate"/>
        <w:rPr>
          <w:lang w:val="fr-FR"/>
        </w:rPr>
      </w:pPr>
      <w:r w:rsidRPr="00121F8C">
        <w:rPr>
          <w:lang w:val="fr-FR"/>
        </w:rPr>
        <w:t xml:space="preserve">Soixante et onzième session </w:t>
      </w:r>
      <w:r w:rsidRPr="00121F8C">
        <w:rPr>
          <w:lang w:val="fr-FR"/>
        </w:rPr>
        <w:br/>
        <w:t>Genève, 26 mars 2015</w:t>
      </w:r>
    </w:p>
    <w:p w:rsidR="0058402C" w:rsidRPr="005C556C" w:rsidRDefault="000473B6" w:rsidP="005C556C">
      <w:pPr>
        <w:pStyle w:val="Titleofdoc0"/>
        <w:rPr>
          <w:lang w:val="fr-FR"/>
        </w:rPr>
      </w:pPr>
      <w:r w:rsidRPr="005C556C">
        <w:rPr>
          <w:lang w:val="fr-FR"/>
        </w:rPr>
        <w:t>compte rendu des conclusions</w:t>
      </w:r>
    </w:p>
    <w:p w:rsidR="0058402C" w:rsidRPr="005C556C" w:rsidRDefault="006C100B" w:rsidP="005C556C">
      <w:pPr>
        <w:pStyle w:val="preparedby1"/>
        <w:rPr>
          <w:color w:val="A6A6A6" w:themeColor="background1" w:themeShade="A6"/>
          <w:lang w:val="fr-FR"/>
        </w:rPr>
      </w:pPr>
      <w:bookmarkStart w:id="1" w:name="Prepared"/>
      <w:bookmarkEnd w:id="1"/>
      <w:r w:rsidRPr="005C556C">
        <w:rPr>
          <w:lang w:val="fr-FR"/>
        </w:rPr>
        <w:t>adopté par le Comité administratif et juridique</w:t>
      </w:r>
      <w:r w:rsidR="002F67E2" w:rsidRPr="005C556C">
        <w:rPr>
          <w:lang w:val="fr-FR"/>
        </w:rPr>
        <w:br/>
      </w:r>
      <w:r w:rsidR="001B0A14" w:rsidRPr="005C556C">
        <w:rPr>
          <w:lang w:val="fr-FR"/>
        </w:rPr>
        <w:br/>
      </w:r>
      <w:r w:rsidR="00026EE0" w:rsidRPr="005C556C">
        <w:rPr>
          <w:color w:val="A6A6A6" w:themeColor="background1" w:themeShade="A6"/>
          <w:lang w:val="fr-FR"/>
        </w:rPr>
        <w:t>Avertissement : le présent document ne représente pas les principes ou les orientations de l</w:t>
      </w:r>
      <w:r w:rsidR="00817667" w:rsidRPr="005C556C">
        <w:rPr>
          <w:color w:val="A6A6A6" w:themeColor="background1" w:themeShade="A6"/>
          <w:lang w:val="fr-FR"/>
        </w:rPr>
        <w:t>’</w:t>
      </w:r>
      <w:r w:rsidR="00026EE0" w:rsidRPr="005C556C">
        <w:rPr>
          <w:color w:val="A6A6A6" w:themeColor="background1" w:themeShade="A6"/>
          <w:lang w:val="fr-FR"/>
        </w:rPr>
        <w:t>UPOV</w:t>
      </w:r>
    </w:p>
    <w:p w:rsidR="0058402C" w:rsidRPr="005C556C" w:rsidRDefault="000473B6" w:rsidP="005C556C">
      <w:pPr>
        <w:keepNext/>
        <w:jc w:val="left"/>
        <w:outlineLvl w:val="0"/>
        <w:rPr>
          <w:snapToGrid w:val="0"/>
          <w:u w:val="single"/>
          <w:lang w:val="fr-FR"/>
        </w:rPr>
      </w:pPr>
      <w:r w:rsidRPr="005C556C">
        <w:rPr>
          <w:snapToGrid w:val="0"/>
          <w:u w:val="single"/>
          <w:lang w:val="fr-FR"/>
        </w:rPr>
        <w:t>Ouverture de la session</w:t>
      </w:r>
    </w:p>
    <w:p w:rsidR="0058402C" w:rsidRPr="005C556C" w:rsidRDefault="0058402C" w:rsidP="005C556C">
      <w:pPr>
        <w:rPr>
          <w:lang w:val="fr-FR"/>
        </w:rPr>
      </w:pPr>
    </w:p>
    <w:p w:rsidR="0058402C" w:rsidRPr="005C556C" w:rsidRDefault="00175AE8"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30C8B" w:rsidRPr="005C556C">
        <w:rPr>
          <w:lang w:val="fr-FR"/>
        </w:rPr>
        <w:t>Le Comité administratif et juridique (CAJ) a tenu sa soixante et onzième session à Genève le 2</w:t>
      </w:r>
      <w:r w:rsidR="00817667" w:rsidRPr="005C556C">
        <w:rPr>
          <w:lang w:val="fr-FR"/>
        </w:rPr>
        <w:t>6 mars 20</w:t>
      </w:r>
      <w:r w:rsidR="00C30C8B" w:rsidRPr="005C556C">
        <w:rPr>
          <w:lang w:val="fr-FR"/>
        </w:rPr>
        <w:t>15, sous la présidence de M.</w:t>
      </w:r>
      <w:r w:rsidR="00824A4B" w:rsidRPr="005C556C">
        <w:rPr>
          <w:lang w:val="fr-FR"/>
        </w:rPr>
        <w:t> </w:t>
      </w:r>
      <w:r w:rsidR="00C30C8B" w:rsidRPr="005C556C">
        <w:rPr>
          <w:lang w:val="fr-FR"/>
        </w:rPr>
        <w:t>Martin</w:t>
      </w:r>
      <w:r w:rsidR="002C6DE0" w:rsidRPr="005C556C">
        <w:rPr>
          <w:lang w:val="fr-FR"/>
        </w:rPr>
        <w:t> </w:t>
      </w:r>
      <w:r w:rsidR="00C30C8B" w:rsidRPr="005C556C">
        <w:rPr>
          <w:lang w:val="fr-FR"/>
        </w:rPr>
        <w:t>Ekvad (Union européenne).</w:t>
      </w:r>
    </w:p>
    <w:p w:rsidR="0058402C" w:rsidRPr="005C556C" w:rsidRDefault="0058402C" w:rsidP="005C556C">
      <w:pPr>
        <w:rPr>
          <w:lang w:val="fr-FR"/>
        </w:rPr>
      </w:pPr>
    </w:p>
    <w:p w:rsidR="0058402C" w:rsidRPr="005C556C" w:rsidRDefault="00175AE8"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4B1C88" w:rsidRPr="005C556C">
        <w:rPr>
          <w:lang w:val="fr-FR"/>
        </w:rPr>
        <w:t>Le président</w:t>
      </w:r>
      <w:r w:rsidR="000473B6" w:rsidRPr="005C556C">
        <w:rPr>
          <w:lang w:val="fr-FR"/>
        </w:rPr>
        <w:t xml:space="preserve"> ouvre la session et souhaite la bienvenue aux participants.</w:t>
      </w:r>
      <w:r w:rsidRPr="005C556C">
        <w:rPr>
          <w:lang w:val="fr-FR"/>
        </w:rPr>
        <w:t xml:space="preserve">  </w:t>
      </w:r>
      <w:r w:rsidR="000473B6" w:rsidRPr="005C556C">
        <w:rPr>
          <w:lang w:val="fr-FR"/>
        </w:rPr>
        <w:t xml:space="preserve">La liste des participants </w:t>
      </w:r>
      <w:r w:rsidR="004B1C88" w:rsidRPr="005C556C">
        <w:rPr>
          <w:lang w:val="fr-FR"/>
        </w:rPr>
        <w:t>fait l</w:t>
      </w:r>
      <w:r w:rsidR="00817667" w:rsidRPr="005C556C">
        <w:rPr>
          <w:lang w:val="fr-FR"/>
        </w:rPr>
        <w:t>’</w:t>
      </w:r>
      <w:r w:rsidR="004B1C88" w:rsidRPr="005C556C">
        <w:rPr>
          <w:lang w:val="fr-FR"/>
        </w:rPr>
        <w:t>objet de</w:t>
      </w:r>
      <w:r w:rsidR="000473B6" w:rsidRPr="005C556C">
        <w:rPr>
          <w:lang w:val="fr-FR"/>
        </w:rPr>
        <w:t xml:space="preserve"> l</w:t>
      </w:r>
      <w:r w:rsidR="00817667" w:rsidRPr="005C556C">
        <w:rPr>
          <w:lang w:val="fr-FR"/>
        </w:rPr>
        <w:t>’</w:t>
      </w:r>
      <w:r w:rsidR="000473B6" w:rsidRPr="005C556C">
        <w:rPr>
          <w:lang w:val="fr-FR"/>
        </w:rPr>
        <w:t>annexe du présent compte rendu.</w:t>
      </w:r>
    </w:p>
    <w:p w:rsidR="0058402C" w:rsidRPr="005C556C" w:rsidRDefault="0058402C" w:rsidP="005C556C">
      <w:pPr>
        <w:rPr>
          <w:lang w:val="fr-FR"/>
        </w:rPr>
      </w:pPr>
    </w:p>
    <w:p w:rsidR="0058402C" w:rsidRPr="005C556C" w:rsidRDefault="00A1111C"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A197B" w:rsidRPr="005C556C">
        <w:rPr>
          <w:lang w:val="fr-FR"/>
        </w:rPr>
        <w:t>Le président informe</w:t>
      </w:r>
      <w:r w:rsidR="00817667" w:rsidRPr="005C556C">
        <w:rPr>
          <w:lang w:val="fr-FR"/>
        </w:rPr>
        <w:t xml:space="preserve"> le CAJ</w:t>
      </w:r>
      <w:r w:rsidR="007A197B" w:rsidRPr="005C556C">
        <w:rPr>
          <w:lang w:val="fr-FR"/>
        </w:rPr>
        <w:t xml:space="preserve"> que le statut d</w:t>
      </w:r>
      <w:r w:rsidR="00817667" w:rsidRPr="005C556C">
        <w:rPr>
          <w:lang w:val="fr-FR"/>
        </w:rPr>
        <w:t>’</w:t>
      </w:r>
      <w:r w:rsidR="007A197B" w:rsidRPr="005C556C">
        <w:rPr>
          <w:lang w:val="fr-FR"/>
        </w:rPr>
        <w:t>observateur auprès du Conseil et</w:t>
      </w:r>
      <w:r w:rsidR="00817667" w:rsidRPr="005C556C">
        <w:rPr>
          <w:lang w:val="fr-FR"/>
        </w:rPr>
        <w:t xml:space="preserve"> du CAJ</w:t>
      </w:r>
      <w:r w:rsidR="007A197B" w:rsidRPr="005C556C">
        <w:rPr>
          <w:lang w:val="fr-FR"/>
        </w:rPr>
        <w:t xml:space="preserve"> a été accordé à Centre Sud et </w:t>
      </w:r>
      <w:r w:rsidR="00B73C94" w:rsidRPr="005C556C">
        <w:rPr>
          <w:lang w:val="fr-FR"/>
        </w:rPr>
        <w:t>le statut d</w:t>
      </w:r>
      <w:r w:rsidR="00817667" w:rsidRPr="005C556C">
        <w:rPr>
          <w:lang w:val="fr-FR"/>
        </w:rPr>
        <w:t>’</w:t>
      </w:r>
      <w:r w:rsidR="00B73C94" w:rsidRPr="005C556C">
        <w:rPr>
          <w:lang w:val="fr-FR"/>
        </w:rPr>
        <w:t xml:space="preserve">observateur </w:t>
      </w:r>
      <w:r w:rsidR="007A197B" w:rsidRPr="005C556C">
        <w:rPr>
          <w:lang w:val="fr-FR"/>
        </w:rPr>
        <w:t>auprès du Conseil,</w:t>
      </w:r>
      <w:r w:rsidR="00817667" w:rsidRPr="005C556C">
        <w:rPr>
          <w:lang w:val="fr-FR"/>
        </w:rPr>
        <w:t xml:space="preserve"> du CAJ</w:t>
      </w:r>
      <w:r w:rsidR="007A197B" w:rsidRPr="005C556C">
        <w:rPr>
          <w:lang w:val="fr-FR"/>
        </w:rPr>
        <w:t xml:space="preserve"> et du Comité technique (TC) à l</w:t>
      </w:r>
      <w:r w:rsidR="00817667" w:rsidRPr="005C556C">
        <w:rPr>
          <w:lang w:val="fr-FR"/>
        </w:rPr>
        <w:t>’</w:t>
      </w:r>
      <w:r w:rsidR="007A197B" w:rsidRPr="005C556C">
        <w:rPr>
          <w:lang w:val="fr-FR"/>
        </w:rPr>
        <w:t>Organisation mondiale des agriculteurs (OMA).</w:t>
      </w:r>
    </w:p>
    <w:p w:rsidR="0058402C" w:rsidRPr="005C556C" w:rsidRDefault="0058402C" w:rsidP="005C556C">
      <w:pPr>
        <w:rPr>
          <w:lang w:val="fr-FR"/>
        </w:rPr>
      </w:pPr>
    </w:p>
    <w:p w:rsidR="0058402C" w:rsidRPr="005C556C" w:rsidRDefault="00175AE8"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A3E1E" w:rsidRPr="005C556C">
        <w:rPr>
          <w:lang w:val="fr-FR"/>
        </w:rPr>
        <w:t xml:space="preserve">Le président confirme que le compte rendu de la </w:t>
      </w:r>
      <w:r w:rsidR="003800B6" w:rsidRPr="005C556C">
        <w:rPr>
          <w:lang w:val="fr-FR"/>
        </w:rPr>
        <w:t>soixante-dixième</w:t>
      </w:r>
      <w:r w:rsidR="00824A4B" w:rsidRPr="005C556C">
        <w:rPr>
          <w:lang w:val="fr-FR"/>
        </w:rPr>
        <w:t> </w:t>
      </w:r>
      <w:r w:rsidR="007A3E1E" w:rsidRPr="005C556C">
        <w:rPr>
          <w:lang w:val="fr-FR"/>
        </w:rPr>
        <w:t>session</w:t>
      </w:r>
      <w:r w:rsidR="00817667" w:rsidRPr="005C556C">
        <w:rPr>
          <w:lang w:val="fr-FR"/>
        </w:rPr>
        <w:t xml:space="preserve"> du CAJ</w:t>
      </w:r>
      <w:r w:rsidR="007A3E1E" w:rsidRPr="005C556C">
        <w:rPr>
          <w:lang w:val="fr-FR"/>
        </w:rPr>
        <w:t>, tenue à Genève le 1</w:t>
      </w:r>
      <w:r w:rsidR="00817667" w:rsidRPr="005C556C">
        <w:rPr>
          <w:lang w:val="fr-FR"/>
        </w:rPr>
        <w:t>3 octobre 20</w:t>
      </w:r>
      <w:r w:rsidR="007A3E1E" w:rsidRPr="005C556C">
        <w:rPr>
          <w:lang w:val="fr-FR"/>
        </w:rPr>
        <w:t>14 (document CAJ/70/11), a été approuvé par correspondance et qu</w:t>
      </w:r>
      <w:r w:rsidR="00817667" w:rsidRPr="005C556C">
        <w:rPr>
          <w:lang w:val="fr-FR"/>
        </w:rPr>
        <w:t>’</w:t>
      </w:r>
      <w:r w:rsidR="007A3E1E" w:rsidRPr="005C556C">
        <w:rPr>
          <w:lang w:val="fr-FR"/>
        </w:rPr>
        <w:t>il est disponible sur le site</w:t>
      </w:r>
      <w:r w:rsidR="00824A4B" w:rsidRPr="005C556C">
        <w:rPr>
          <w:lang w:val="fr-FR"/>
        </w:rPr>
        <w:t> </w:t>
      </w:r>
      <w:r w:rsidR="007A3E1E" w:rsidRPr="005C556C">
        <w:rPr>
          <w:lang w:val="fr-FR"/>
        </w:rPr>
        <w:t>Web de l</w:t>
      </w:r>
      <w:r w:rsidR="00817667" w:rsidRPr="005C556C">
        <w:rPr>
          <w:lang w:val="fr-FR"/>
        </w:rPr>
        <w:t>’</w:t>
      </w:r>
      <w:r w:rsidR="007A3E1E" w:rsidRPr="005C556C">
        <w:rPr>
          <w:lang w:val="fr-FR"/>
        </w:rPr>
        <w:t>UPOV.</w:t>
      </w:r>
    </w:p>
    <w:p w:rsidR="0058402C" w:rsidRPr="005C556C" w:rsidRDefault="0058402C" w:rsidP="005C556C">
      <w:pPr>
        <w:rPr>
          <w:szCs w:val="24"/>
          <w:lang w:val="fr-FR"/>
        </w:rPr>
      </w:pPr>
    </w:p>
    <w:p w:rsidR="0058402C" w:rsidRPr="005C556C" w:rsidRDefault="0058402C" w:rsidP="005C556C">
      <w:pPr>
        <w:jc w:val="left"/>
        <w:rPr>
          <w:lang w:val="fr-FR"/>
        </w:rPr>
      </w:pPr>
    </w:p>
    <w:p w:rsidR="0058402C" w:rsidRPr="005C556C" w:rsidRDefault="000473B6" w:rsidP="005C556C">
      <w:pPr>
        <w:keepNext/>
        <w:jc w:val="left"/>
        <w:outlineLvl w:val="0"/>
        <w:rPr>
          <w:snapToGrid w:val="0"/>
          <w:u w:val="single"/>
          <w:lang w:val="fr-FR"/>
        </w:rPr>
      </w:pPr>
      <w:r w:rsidRPr="005C556C">
        <w:rPr>
          <w:snapToGrid w:val="0"/>
          <w:u w:val="single"/>
          <w:lang w:val="fr-FR"/>
        </w:rPr>
        <w:t>Adoption de l</w:t>
      </w:r>
      <w:r w:rsidR="00817667" w:rsidRPr="005C556C">
        <w:rPr>
          <w:snapToGrid w:val="0"/>
          <w:u w:val="single"/>
          <w:lang w:val="fr-FR"/>
        </w:rPr>
        <w:t>’</w:t>
      </w:r>
      <w:r w:rsidRPr="005C556C">
        <w:rPr>
          <w:snapToGrid w:val="0"/>
          <w:u w:val="single"/>
          <w:lang w:val="fr-FR"/>
        </w:rPr>
        <w:t>ordre du jour</w:t>
      </w:r>
    </w:p>
    <w:p w:rsidR="0058402C" w:rsidRPr="005C556C" w:rsidRDefault="0058402C" w:rsidP="005C556C">
      <w:pPr>
        <w:keepNext/>
        <w:jc w:val="left"/>
        <w:rPr>
          <w:lang w:val="fr-FR"/>
        </w:rPr>
      </w:pPr>
    </w:p>
    <w:p w:rsidR="0058402C" w:rsidRPr="005C556C" w:rsidRDefault="00175AE8"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473B6" w:rsidRPr="005C556C">
        <w:rPr>
          <w:lang w:val="fr-FR"/>
        </w:rPr>
        <w:t>Le CAJ adopte le projet d</w:t>
      </w:r>
      <w:r w:rsidR="00817667" w:rsidRPr="005C556C">
        <w:rPr>
          <w:lang w:val="fr-FR"/>
        </w:rPr>
        <w:t>’</w:t>
      </w:r>
      <w:r w:rsidR="000473B6" w:rsidRPr="005C556C">
        <w:rPr>
          <w:lang w:val="fr-FR"/>
        </w:rPr>
        <w:t>ordre du jour</w:t>
      </w:r>
      <w:r w:rsidR="00B73C94" w:rsidRPr="005C556C">
        <w:rPr>
          <w:lang w:val="fr-FR"/>
        </w:rPr>
        <w:t xml:space="preserve"> révisé proposé</w:t>
      </w:r>
      <w:r w:rsidR="00121F8C" w:rsidRPr="005C556C">
        <w:rPr>
          <w:lang w:val="fr-FR"/>
        </w:rPr>
        <w:t xml:space="preserve"> dans le document CAJ/71/1 </w:t>
      </w:r>
      <w:r w:rsidR="000473B6" w:rsidRPr="005C556C">
        <w:rPr>
          <w:lang w:val="fr-FR"/>
        </w:rPr>
        <w:t>Rev.</w:t>
      </w:r>
    </w:p>
    <w:p w:rsidR="0058402C" w:rsidRPr="005C556C" w:rsidRDefault="0058402C" w:rsidP="005C556C">
      <w:pPr>
        <w:rPr>
          <w:lang w:val="fr-FR"/>
        </w:rPr>
      </w:pPr>
    </w:p>
    <w:p w:rsidR="0058402C" w:rsidRPr="005C556C" w:rsidRDefault="0073629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A3E1E" w:rsidRPr="005C556C">
        <w:rPr>
          <w:lang w:val="fr-FR"/>
        </w:rPr>
        <w:t>Le CAJ note que le document CAJ/71/9 “Rapport sur les faits nouveaux interve</w:t>
      </w:r>
      <w:r w:rsidR="005C556C" w:rsidRPr="005C556C">
        <w:rPr>
          <w:lang w:val="fr-FR"/>
        </w:rPr>
        <w:t>nus au sein du Comité technique”</w:t>
      </w:r>
      <w:r w:rsidR="007A3E1E" w:rsidRPr="005C556C">
        <w:rPr>
          <w:lang w:val="fr-FR"/>
        </w:rPr>
        <w:t xml:space="preserve"> sera examiné au titre des points</w:t>
      </w:r>
      <w:r w:rsidR="00824A4B" w:rsidRPr="005C556C">
        <w:rPr>
          <w:lang w:val="fr-FR"/>
        </w:rPr>
        <w:t> </w:t>
      </w:r>
      <w:r w:rsidR="007A3E1E" w:rsidRPr="005C556C">
        <w:rPr>
          <w:lang w:val="fr-FR"/>
        </w:rPr>
        <w:t>3, 5, 6, 7 et 8 de l</w:t>
      </w:r>
      <w:r w:rsidR="00817667" w:rsidRPr="005C556C">
        <w:rPr>
          <w:lang w:val="fr-FR"/>
        </w:rPr>
        <w:t>’</w:t>
      </w:r>
      <w:r w:rsidR="007A3E1E" w:rsidRPr="005C556C">
        <w:rPr>
          <w:lang w:val="fr-FR"/>
        </w:rPr>
        <w:t>ordre du jour.</w:t>
      </w:r>
    </w:p>
    <w:p w:rsidR="0058402C" w:rsidRPr="005C556C" w:rsidRDefault="0058402C" w:rsidP="005C556C">
      <w:pPr>
        <w:rPr>
          <w:lang w:val="fr-FR"/>
        </w:rPr>
      </w:pPr>
    </w:p>
    <w:p w:rsidR="0058402C" w:rsidRPr="005C556C" w:rsidRDefault="0058402C" w:rsidP="005C556C">
      <w:pPr>
        <w:rPr>
          <w:lang w:val="fr-FR"/>
        </w:rPr>
      </w:pPr>
    </w:p>
    <w:p w:rsidR="00817667" w:rsidRPr="005C556C" w:rsidRDefault="000473B6" w:rsidP="005C556C">
      <w:pPr>
        <w:keepNext/>
        <w:jc w:val="left"/>
        <w:outlineLvl w:val="0"/>
        <w:rPr>
          <w:snapToGrid w:val="0"/>
          <w:u w:val="single"/>
          <w:lang w:val="fr-FR"/>
        </w:rPr>
      </w:pPr>
      <w:r w:rsidRPr="005C556C">
        <w:rPr>
          <w:snapToGrid w:val="0"/>
          <w:u w:val="single"/>
          <w:lang w:val="fr-FR"/>
        </w:rPr>
        <w:t>Rapport sur les faits nouveaux intervenus au sein du Comité technique</w:t>
      </w:r>
    </w:p>
    <w:p w:rsidR="0058402C" w:rsidRPr="005C556C" w:rsidRDefault="0058402C" w:rsidP="005C556C">
      <w:pPr>
        <w:jc w:val="left"/>
        <w:rPr>
          <w:snapToGrid w:val="0"/>
          <w:lang w:val="fr-FR"/>
        </w:rPr>
      </w:pPr>
    </w:p>
    <w:p w:rsidR="0058402C" w:rsidRPr="005C556C" w:rsidRDefault="0057792E" w:rsidP="005C556C">
      <w:pPr>
        <w:jc w:val="left"/>
        <w:rPr>
          <w:lang w:val="fr-FR"/>
        </w:rPr>
      </w:pPr>
      <w:r w:rsidRPr="005C556C">
        <w:rPr>
          <w:rFonts w:cs="Arial"/>
          <w:lang w:val="fr-FR"/>
        </w:rPr>
        <w:fldChar w:fldCharType="begin"/>
      </w:r>
      <w:r w:rsidRPr="005C556C">
        <w:rPr>
          <w:rFonts w:cs="Arial"/>
          <w:lang w:val="fr-FR"/>
        </w:rPr>
        <w:instrText xml:space="preserve"> AUTONUM  </w:instrText>
      </w:r>
      <w:r w:rsidRPr="005C556C">
        <w:rPr>
          <w:rFonts w:cs="Arial"/>
          <w:lang w:val="fr-FR"/>
        </w:rPr>
        <w:fldChar w:fldCharType="end"/>
      </w:r>
      <w:r w:rsidRPr="005C556C">
        <w:rPr>
          <w:rFonts w:cs="Arial"/>
          <w:lang w:val="fr-FR"/>
        </w:rPr>
        <w:tab/>
      </w:r>
      <w:r w:rsidR="000473B6" w:rsidRPr="005C556C">
        <w:rPr>
          <w:rFonts w:cs="Arial"/>
          <w:lang w:val="fr-FR"/>
        </w:rPr>
        <w:t>Le CAJ examine le document CAJ/71/9.</w:t>
      </w:r>
    </w:p>
    <w:p w:rsidR="0058402C" w:rsidRPr="005C556C" w:rsidRDefault="0058402C" w:rsidP="005C556C">
      <w:pPr>
        <w:jc w:val="left"/>
        <w:rPr>
          <w:lang w:val="fr-FR"/>
        </w:rPr>
      </w:pPr>
    </w:p>
    <w:p w:rsidR="0058402C" w:rsidRPr="005C556C" w:rsidRDefault="0009345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A3E1E" w:rsidRPr="005C556C">
        <w:rPr>
          <w:lang w:val="fr-FR"/>
        </w:rPr>
        <w:t>Le CAJ prend note du rapport présenté par M.</w:t>
      </w:r>
      <w:r w:rsidR="00824A4B" w:rsidRPr="005C556C">
        <w:rPr>
          <w:lang w:val="fr-FR"/>
        </w:rPr>
        <w:t> </w:t>
      </w:r>
      <w:r w:rsidR="007A3E1E" w:rsidRPr="005C556C">
        <w:rPr>
          <w:lang w:val="fr-FR"/>
        </w:rPr>
        <w:t>Alejandro</w:t>
      </w:r>
      <w:r w:rsidR="002C6DE0" w:rsidRPr="005C556C">
        <w:rPr>
          <w:lang w:val="fr-FR"/>
        </w:rPr>
        <w:t> </w:t>
      </w:r>
      <w:r w:rsidR="007A3E1E" w:rsidRPr="005C556C">
        <w:rPr>
          <w:lang w:val="fr-FR"/>
        </w:rPr>
        <w:t>Barrientos</w:t>
      </w:r>
      <w:r w:rsidR="002C6DE0" w:rsidRPr="005C556C">
        <w:rPr>
          <w:lang w:val="fr-FR"/>
        </w:rPr>
        <w:t> </w:t>
      </w:r>
      <w:r w:rsidR="007A3E1E" w:rsidRPr="005C556C">
        <w:rPr>
          <w:lang w:val="fr-FR"/>
        </w:rPr>
        <w:t>Priego (Mexique), président du</w:t>
      </w:r>
      <w:r w:rsidR="00817667" w:rsidRPr="005C556C">
        <w:rPr>
          <w:lang w:val="fr-FR"/>
        </w:rPr>
        <w:t> TC</w:t>
      </w:r>
      <w:r w:rsidR="007A3E1E" w:rsidRPr="005C556C">
        <w:rPr>
          <w:lang w:val="fr-FR"/>
        </w:rPr>
        <w:t>, sur les faits no</w:t>
      </w:r>
      <w:r w:rsidR="00B73C94" w:rsidRPr="005C556C">
        <w:rPr>
          <w:lang w:val="fr-FR"/>
        </w:rPr>
        <w:t>uveaux intervenus au sein du</w:t>
      </w:r>
      <w:r w:rsidR="00817667" w:rsidRPr="005C556C">
        <w:rPr>
          <w:lang w:val="fr-FR"/>
        </w:rPr>
        <w:t> TC</w:t>
      </w:r>
      <w:r w:rsidR="007A3E1E" w:rsidRPr="005C556C">
        <w:rPr>
          <w:lang w:val="fr-FR"/>
        </w:rPr>
        <w:t xml:space="preserve"> à sa cinquante</w:t>
      </w:r>
      <w:r w:rsidR="00824A4B" w:rsidRPr="005C556C">
        <w:rPr>
          <w:lang w:val="fr-FR"/>
        </w:rPr>
        <w:t> </w:t>
      </w:r>
      <w:r w:rsidR="007A3E1E" w:rsidRPr="005C556C">
        <w:rPr>
          <w:lang w:val="fr-FR"/>
        </w:rPr>
        <w:t>et</w:t>
      </w:r>
      <w:r w:rsidR="00824A4B" w:rsidRPr="005C556C">
        <w:rPr>
          <w:lang w:val="fr-FR"/>
        </w:rPr>
        <w:t> </w:t>
      </w:r>
      <w:r w:rsidR="007A3E1E" w:rsidRPr="005C556C">
        <w:rPr>
          <w:lang w:val="fr-FR"/>
        </w:rPr>
        <w:t>un</w:t>
      </w:r>
      <w:r w:rsidR="004B1C88" w:rsidRPr="005C556C">
        <w:rPr>
          <w:lang w:val="fr-FR"/>
        </w:rPr>
        <w:t>ième</w:t>
      </w:r>
      <w:r w:rsidR="00824A4B" w:rsidRPr="005C556C">
        <w:rPr>
          <w:lang w:val="fr-FR"/>
        </w:rPr>
        <w:t> </w:t>
      </w:r>
      <w:r w:rsidR="004B1C88" w:rsidRPr="005C556C">
        <w:rPr>
          <w:lang w:val="fr-FR"/>
        </w:rPr>
        <w:t>session</w:t>
      </w:r>
      <w:r w:rsidR="007A3E1E" w:rsidRPr="005C556C">
        <w:rPr>
          <w:lang w:val="fr-FR"/>
        </w:rPr>
        <w:t xml:space="preserve"> tenue à Genève du 23 au 25 </w:t>
      </w:r>
      <w:r w:rsidR="00817667" w:rsidRPr="005C556C">
        <w:rPr>
          <w:lang w:val="fr-FR"/>
        </w:rPr>
        <w:t>mars 20</w:t>
      </w:r>
      <w:r w:rsidR="007A3E1E" w:rsidRPr="005C556C">
        <w:rPr>
          <w:lang w:val="fr-FR"/>
        </w:rPr>
        <w:t>15.</w:t>
      </w:r>
      <w:r w:rsidRPr="005C556C">
        <w:rPr>
          <w:lang w:val="fr-FR"/>
        </w:rPr>
        <w:t xml:space="preserve"> </w:t>
      </w:r>
      <w:r w:rsidR="00817667" w:rsidRPr="005C556C">
        <w:rPr>
          <w:lang w:val="fr-FR"/>
        </w:rPr>
        <w:t xml:space="preserve"> Le CAJ</w:t>
      </w:r>
      <w:r w:rsidR="0045155D" w:rsidRPr="005C556C">
        <w:rPr>
          <w:lang w:val="fr-FR"/>
        </w:rPr>
        <w:t xml:space="preserve"> note que les conclusions du</w:t>
      </w:r>
      <w:r w:rsidR="00817667" w:rsidRPr="005C556C">
        <w:rPr>
          <w:lang w:val="fr-FR"/>
        </w:rPr>
        <w:t> TC</w:t>
      </w:r>
      <w:r w:rsidR="0045155D" w:rsidRPr="005C556C">
        <w:rPr>
          <w:lang w:val="fr-FR"/>
        </w:rPr>
        <w:t xml:space="preserve"> en ce qui concerne les questions devant être examinées par</w:t>
      </w:r>
      <w:r w:rsidR="00817667" w:rsidRPr="005C556C">
        <w:rPr>
          <w:lang w:val="fr-FR"/>
        </w:rPr>
        <w:t xml:space="preserve"> le CAJ</w:t>
      </w:r>
      <w:r w:rsidR="0045155D" w:rsidRPr="005C556C">
        <w:rPr>
          <w:lang w:val="fr-FR"/>
        </w:rPr>
        <w:t xml:space="preserve"> figurent dans le document CAJ/71/9.  Il note également que le compte rendu du</w:t>
      </w:r>
      <w:r w:rsidR="00817667" w:rsidRPr="005C556C">
        <w:rPr>
          <w:lang w:val="fr-FR"/>
        </w:rPr>
        <w:t> TC</w:t>
      </w:r>
      <w:r w:rsidR="0045155D" w:rsidRPr="005C556C">
        <w:rPr>
          <w:lang w:val="fr-FR"/>
        </w:rPr>
        <w:t xml:space="preserve"> figure dans le </w:t>
      </w:r>
      <w:r w:rsidR="00817667" w:rsidRPr="005C556C">
        <w:rPr>
          <w:lang w:val="fr-FR"/>
        </w:rPr>
        <w:t>document TC</w:t>
      </w:r>
      <w:r w:rsidR="0045155D" w:rsidRPr="005C556C">
        <w:rPr>
          <w:lang w:val="fr-FR"/>
        </w:rPr>
        <w:t>/51/39 “</w:t>
      </w:r>
      <w:r w:rsidR="005C556C" w:rsidRPr="005C556C">
        <w:rPr>
          <w:lang w:val="fr-FR"/>
        </w:rPr>
        <w:t>C</w:t>
      </w:r>
      <w:r w:rsidR="0045155D" w:rsidRPr="005C556C">
        <w:rPr>
          <w:lang w:val="fr-FR"/>
        </w:rPr>
        <w:t>ompte rendu</w:t>
      </w:r>
      <w:r w:rsidR="005C556C" w:rsidRPr="005C556C">
        <w:rPr>
          <w:lang w:val="fr-FR"/>
        </w:rPr>
        <w:t>”</w:t>
      </w:r>
      <w:r w:rsidR="0045155D" w:rsidRPr="005C556C">
        <w:rPr>
          <w:lang w:val="fr-FR"/>
        </w:rPr>
        <w:t>.</w:t>
      </w:r>
    </w:p>
    <w:p w:rsidR="0058402C" w:rsidRPr="005C556C" w:rsidRDefault="0058402C" w:rsidP="005C556C">
      <w:pPr>
        <w:rPr>
          <w:lang w:val="fr-FR"/>
        </w:rPr>
      </w:pPr>
    </w:p>
    <w:p w:rsidR="0058402C" w:rsidRPr="005C556C" w:rsidRDefault="0058402C" w:rsidP="005C556C">
      <w:pPr>
        <w:rPr>
          <w:lang w:val="fr-FR"/>
        </w:rPr>
      </w:pPr>
    </w:p>
    <w:p w:rsidR="0058402C" w:rsidRPr="005C556C" w:rsidRDefault="000473B6" w:rsidP="005C556C">
      <w:pPr>
        <w:keepNext/>
        <w:jc w:val="left"/>
        <w:outlineLvl w:val="0"/>
        <w:rPr>
          <w:snapToGrid w:val="0"/>
          <w:u w:val="single"/>
          <w:lang w:val="fr-FR"/>
        </w:rPr>
      </w:pPr>
      <w:r w:rsidRPr="005C556C">
        <w:rPr>
          <w:snapToGrid w:val="0"/>
          <w:u w:val="single"/>
          <w:lang w:val="fr-FR"/>
        </w:rPr>
        <w:lastRenderedPageBreak/>
        <w:t>Élaboration de matériel d</w:t>
      </w:r>
      <w:r w:rsidR="00817667" w:rsidRPr="005C556C">
        <w:rPr>
          <w:snapToGrid w:val="0"/>
          <w:u w:val="single"/>
          <w:lang w:val="fr-FR"/>
        </w:rPr>
        <w:t>’</w:t>
      </w:r>
      <w:r w:rsidRPr="005C556C">
        <w:rPr>
          <w:snapToGrid w:val="0"/>
          <w:u w:val="single"/>
          <w:lang w:val="fr-FR"/>
        </w:rPr>
        <w:t xml:space="preserve">information concernant la </w:t>
      </w:r>
      <w:r w:rsidR="00817667" w:rsidRPr="005C556C">
        <w:rPr>
          <w:snapToGrid w:val="0"/>
          <w:u w:val="single"/>
          <w:lang w:val="fr-FR"/>
        </w:rPr>
        <w:t>Convention UPOV</w:t>
      </w:r>
    </w:p>
    <w:p w:rsidR="0058402C" w:rsidRPr="005C556C" w:rsidRDefault="0058402C" w:rsidP="005C556C">
      <w:pPr>
        <w:keepNext/>
        <w:jc w:val="left"/>
        <w:outlineLvl w:val="0"/>
        <w:rPr>
          <w:snapToGrid w:val="0"/>
          <w:u w:val="single"/>
          <w:lang w:val="fr-FR"/>
        </w:rPr>
      </w:pPr>
    </w:p>
    <w:p w:rsidR="0058402C" w:rsidRPr="005C556C" w:rsidRDefault="000321F0" w:rsidP="005C556C">
      <w:pPr>
        <w:rPr>
          <w:rFonts w:cs="Arial"/>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45155D" w:rsidRPr="005C556C">
        <w:rPr>
          <w:lang w:val="fr-FR"/>
        </w:rPr>
        <w:t>Le CAJ examine les documents CAJ/71/2, CAJ</w:t>
      </w:r>
      <w:r w:rsidR="002C6DE0" w:rsidRPr="005C556C">
        <w:rPr>
          <w:lang w:val="fr-FR"/>
        </w:rPr>
        <w:noBreakHyphen/>
      </w:r>
      <w:r w:rsidR="0045155D" w:rsidRPr="005C556C">
        <w:rPr>
          <w:lang w:val="fr-FR"/>
        </w:rPr>
        <w:t>AG/14/9/6, UPOV/EXN/PPM/1 Draft 4, UPOV/EXN/CAN/2 Draft 3, UPOV/EXN/NUL/2 Draft 3 et UPOV/EXN/PRP/2 Draft 3.</w:t>
      </w:r>
    </w:p>
    <w:p w:rsidR="0058402C" w:rsidRPr="005C556C" w:rsidRDefault="0058402C" w:rsidP="005C556C">
      <w:pPr>
        <w:rPr>
          <w:rFonts w:cs="Arial"/>
          <w:lang w:val="fr-FR"/>
        </w:rPr>
      </w:pPr>
    </w:p>
    <w:p w:rsidR="00817667" w:rsidRPr="005C556C" w:rsidRDefault="000473B6" w:rsidP="005C556C">
      <w:pPr>
        <w:keepNext/>
        <w:outlineLvl w:val="1"/>
        <w:rPr>
          <w:i/>
          <w:snapToGrid w:val="0"/>
          <w:lang w:val="fr-FR"/>
        </w:rPr>
      </w:pPr>
      <w:r w:rsidRPr="005C556C">
        <w:rPr>
          <w:i/>
          <w:snapToGrid w:val="0"/>
          <w:lang w:val="fr-FR"/>
        </w:rPr>
        <w:t>Notes explicatives sur les variétés essentiellement dérivées selon l</w:t>
      </w:r>
      <w:r w:rsidR="00817667" w:rsidRPr="005C556C">
        <w:rPr>
          <w:i/>
          <w:snapToGrid w:val="0"/>
          <w:lang w:val="fr-FR"/>
        </w:rPr>
        <w:t>’</w:t>
      </w:r>
      <w:r w:rsidRPr="005C556C">
        <w:rPr>
          <w:i/>
          <w:snapToGrid w:val="0"/>
          <w:lang w:val="fr-FR"/>
        </w:rPr>
        <w:t>Acte de</w:t>
      </w:r>
      <w:r w:rsidR="00824A4B" w:rsidRPr="005C556C">
        <w:rPr>
          <w:i/>
          <w:snapToGrid w:val="0"/>
          <w:lang w:val="fr-FR"/>
        </w:rPr>
        <w:t> </w:t>
      </w:r>
      <w:r w:rsidRPr="005C556C">
        <w:rPr>
          <w:i/>
          <w:snapToGrid w:val="0"/>
          <w:lang w:val="fr-FR"/>
        </w:rPr>
        <w:t xml:space="preserve">1991 de la </w:t>
      </w:r>
      <w:r w:rsidR="00817667" w:rsidRPr="005C556C">
        <w:rPr>
          <w:i/>
          <w:snapToGrid w:val="0"/>
          <w:lang w:val="fr-FR"/>
        </w:rPr>
        <w:t>Convention UPOV</w:t>
      </w:r>
      <w:r w:rsidRPr="005C556C">
        <w:rPr>
          <w:i/>
          <w:snapToGrid w:val="0"/>
          <w:lang w:val="fr-FR"/>
        </w:rPr>
        <w:t xml:space="preserve"> (révision)</w:t>
      </w:r>
    </w:p>
    <w:p w:rsidR="0058402C" w:rsidRPr="005C556C" w:rsidRDefault="0058402C" w:rsidP="005C556C">
      <w:pPr>
        <w:tabs>
          <w:tab w:val="left" w:pos="5387"/>
          <w:tab w:val="left" w:pos="5954"/>
        </w:tabs>
        <w:rPr>
          <w:i/>
          <w:snapToGrid w:val="0"/>
          <w:lang w:val="fr-FR"/>
        </w:rPr>
      </w:pPr>
    </w:p>
    <w:p w:rsidR="0058402C" w:rsidRPr="005C556C" w:rsidRDefault="005932A9"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00554CDB" w:rsidRPr="005C556C">
        <w:rPr>
          <w:lang w:val="fr-FR"/>
        </w:rPr>
        <w:tab/>
      </w:r>
      <w:r w:rsidR="0045155D" w:rsidRPr="005C556C">
        <w:rPr>
          <w:lang w:val="fr-FR"/>
        </w:rPr>
        <w:t>Le CAJ note que</w:t>
      </w:r>
      <w:r w:rsidR="00817667" w:rsidRPr="005C556C">
        <w:rPr>
          <w:lang w:val="fr-FR"/>
        </w:rPr>
        <w:t xml:space="preserve"> le CAJ</w:t>
      </w:r>
      <w:r w:rsidR="002C6DE0" w:rsidRPr="005C556C">
        <w:rPr>
          <w:lang w:val="fr-FR"/>
        </w:rPr>
        <w:noBreakHyphen/>
      </w:r>
      <w:r w:rsidR="0045155D" w:rsidRPr="005C556C">
        <w:rPr>
          <w:lang w:val="fr-FR"/>
        </w:rPr>
        <w:t>AG, à sa neuvième</w:t>
      </w:r>
      <w:r w:rsidR="00824A4B" w:rsidRPr="005C556C">
        <w:rPr>
          <w:lang w:val="fr-FR"/>
        </w:rPr>
        <w:t> </w:t>
      </w:r>
      <w:r w:rsidR="0045155D" w:rsidRPr="005C556C">
        <w:rPr>
          <w:lang w:val="fr-FR"/>
        </w:rPr>
        <w:t>session, a accueilli avec satisfaction l</w:t>
      </w:r>
      <w:r w:rsidR="00817667" w:rsidRPr="005C556C">
        <w:rPr>
          <w:lang w:val="fr-FR"/>
        </w:rPr>
        <w:t>’</w:t>
      </w:r>
      <w:r w:rsidR="0045155D" w:rsidRPr="005C556C">
        <w:rPr>
          <w:lang w:val="fr-FR"/>
        </w:rPr>
        <w:t>exposé de l</w:t>
      </w:r>
      <w:r w:rsidR="00817667" w:rsidRPr="005C556C">
        <w:rPr>
          <w:lang w:val="fr-FR"/>
        </w:rPr>
        <w:t>’</w:t>
      </w:r>
      <w:r w:rsidR="0045155D" w:rsidRPr="005C556C">
        <w:rPr>
          <w:lang w:val="fr-FR"/>
        </w:rPr>
        <w:t>Australie diffusé par voie électronique via l</w:t>
      </w:r>
      <w:r w:rsidR="00817667" w:rsidRPr="005C556C">
        <w:rPr>
          <w:lang w:val="fr-FR"/>
        </w:rPr>
        <w:t>’</w:t>
      </w:r>
      <w:r w:rsidR="0045155D" w:rsidRPr="005C556C">
        <w:rPr>
          <w:lang w:val="fr-FR"/>
        </w:rPr>
        <w:t>Internet, qui contenait des renseignements supplémentaires sur le contexte des exemples donnés par l</w:t>
      </w:r>
      <w:r w:rsidR="00817667" w:rsidRPr="005C556C">
        <w:rPr>
          <w:lang w:val="fr-FR"/>
        </w:rPr>
        <w:t>’</w:t>
      </w:r>
      <w:r w:rsidR="0045155D" w:rsidRPr="005C556C">
        <w:rPr>
          <w:lang w:val="fr-FR"/>
        </w:rPr>
        <w:t>Australie au séminaire sur les variétés essentiellement dérivées, et que cet exposé peut être consulté dans la partie du site</w:t>
      </w:r>
      <w:r w:rsidR="00824A4B" w:rsidRPr="005C556C">
        <w:rPr>
          <w:lang w:val="fr-FR"/>
        </w:rPr>
        <w:t> </w:t>
      </w:r>
      <w:r w:rsidR="0045155D" w:rsidRPr="005C556C">
        <w:rPr>
          <w:lang w:val="fr-FR"/>
        </w:rPr>
        <w:t>Web de l</w:t>
      </w:r>
      <w:r w:rsidR="00817667" w:rsidRPr="005C556C">
        <w:rPr>
          <w:lang w:val="fr-FR"/>
        </w:rPr>
        <w:t>’</w:t>
      </w:r>
      <w:r w:rsidR="0045155D" w:rsidRPr="005C556C">
        <w:rPr>
          <w:lang w:val="fr-FR"/>
        </w:rPr>
        <w:t>UPOV consacrée à la quatorzième</w:t>
      </w:r>
      <w:r w:rsidR="00824A4B" w:rsidRPr="005C556C">
        <w:rPr>
          <w:lang w:val="fr-FR"/>
        </w:rPr>
        <w:t> </w:t>
      </w:r>
      <w:r w:rsidR="0045155D" w:rsidRPr="005C556C">
        <w:rPr>
          <w:lang w:val="fr-FR"/>
        </w:rPr>
        <w:t>session</w:t>
      </w:r>
      <w:r w:rsidR="00817667" w:rsidRPr="005C556C">
        <w:rPr>
          <w:lang w:val="fr-FR"/>
        </w:rPr>
        <w:t xml:space="preserve"> du CAJ</w:t>
      </w:r>
      <w:r w:rsidR="002C6DE0" w:rsidRPr="005C556C">
        <w:rPr>
          <w:lang w:val="fr-FR"/>
        </w:rPr>
        <w:noBreakHyphen/>
      </w:r>
      <w:r w:rsidR="0045155D" w:rsidRPr="005C556C">
        <w:rPr>
          <w:lang w:val="fr-FR"/>
        </w:rPr>
        <w:t>AG.</w:t>
      </w:r>
    </w:p>
    <w:p w:rsidR="0058402C" w:rsidRPr="005C556C" w:rsidRDefault="0058402C" w:rsidP="005C556C">
      <w:pPr>
        <w:rPr>
          <w:lang w:val="fr-FR"/>
        </w:rPr>
      </w:pPr>
    </w:p>
    <w:p w:rsidR="0058402C" w:rsidRPr="005C556C" w:rsidRDefault="005932A9"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F37BA" w:rsidRPr="005C556C">
        <w:rPr>
          <w:lang w:val="fr-FR"/>
        </w:rPr>
        <w:t>Le CAJ convient d</w:t>
      </w:r>
      <w:r w:rsidR="00817667" w:rsidRPr="005C556C">
        <w:rPr>
          <w:lang w:val="fr-FR"/>
        </w:rPr>
        <w:t>’</w:t>
      </w:r>
      <w:r w:rsidR="00CF37BA" w:rsidRPr="005C556C">
        <w:rPr>
          <w:lang w:val="fr-FR"/>
        </w:rPr>
        <w:t>envisager l</w:t>
      </w:r>
      <w:r w:rsidR="00817667" w:rsidRPr="005C556C">
        <w:rPr>
          <w:lang w:val="fr-FR"/>
        </w:rPr>
        <w:t>’</w:t>
      </w:r>
      <w:r w:rsidR="00CF37BA" w:rsidRPr="005C556C">
        <w:rPr>
          <w:lang w:val="fr-FR"/>
        </w:rPr>
        <w:t>élaboration d</w:t>
      </w:r>
      <w:r w:rsidR="00817667" w:rsidRPr="005C556C">
        <w:rPr>
          <w:lang w:val="fr-FR"/>
        </w:rPr>
        <w:t>’</w:t>
      </w:r>
      <w:r w:rsidR="00CF37BA" w:rsidRPr="005C556C">
        <w:rPr>
          <w:lang w:val="fr-FR"/>
        </w:rPr>
        <w:t>orientations concernant le statut des variétés essentiellement dérivées qui n</w:t>
      </w:r>
      <w:r w:rsidR="00817667" w:rsidRPr="005C556C">
        <w:rPr>
          <w:lang w:val="fr-FR"/>
        </w:rPr>
        <w:t>’</w:t>
      </w:r>
      <w:r w:rsidR="00CF37BA" w:rsidRPr="005C556C">
        <w:rPr>
          <w:lang w:val="fr-FR"/>
        </w:rPr>
        <w:t>ont pas bénéficié de la protection de plein droit, après l</w:t>
      </w:r>
      <w:r w:rsidR="00817667" w:rsidRPr="005C556C">
        <w:rPr>
          <w:lang w:val="fr-FR"/>
        </w:rPr>
        <w:t>’</w:t>
      </w:r>
      <w:r w:rsidR="00CF37BA" w:rsidRPr="005C556C">
        <w:rPr>
          <w:lang w:val="fr-FR"/>
        </w:rPr>
        <w:t xml:space="preserve">adoption du document révisé UPOV/EXN/EDV/2, comme indiqué </w:t>
      </w:r>
      <w:r w:rsidR="004B1C88" w:rsidRPr="005C556C">
        <w:rPr>
          <w:lang w:val="fr-FR"/>
        </w:rPr>
        <w:t>au</w:t>
      </w:r>
      <w:r w:rsidR="00CF37BA" w:rsidRPr="005C556C">
        <w:rPr>
          <w:lang w:val="fr-FR"/>
        </w:rPr>
        <w:t xml:space="preserve"> paragraphe</w:t>
      </w:r>
      <w:r w:rsidR="00824A4B" w:rsidRPr="005C556C">
        <w:rPr>
          <w:lang w:val="fr-FR"/>
        </w:rPr>
        <w:t> </w:t>
      </w:r>
      <w:r w:rsidR="00CF37BA" w:rsidRPr="005C556C">
        <w:rPr>
          <w:lang w:val="fr-FR"/>
        </w:rPr>
        <w:t>11 du document CAJ/71/2.</w:t>
      </w:r>
    </w:p>
    <w:p w:rsidR="0058402C" w:rsidRPr="005C556C" w:rsidRDefault="0058402C" w:rsidP="005C556C">
      <w:pPr>
        <w:rPr>
          <w:snapToGrid w:val="0"/>
          <w:lang w:val="fr-FR"/>
        </w:rPr>
      </w:pPr>
    </w:p>
    <w:p w:rsidR="00817667" w:rsidRPr="005C556C" w:rsidRDefault="005932A9"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F37BA" w:rsidRPr="005C556C">
        <w:rPr>
          <w:lang w:val="fr-FR"/>
        </w:rPr>
        <w:t>Le CAJ convient d</w:t>
      </w:r>
      <w:r w:rsidR="00817667" w:rsidRPr="005C556C">
        <w:rPr>
          <w:lang w:val="fr-FR"/>
        </w:rPr>
        <w:t>’</w:t>
      </w:r>
      <w:r w:rsidR="00CF37BA" w:rsidRPr="005C556C">
        <w:rPr>
          <w:lang w:val="fr-FR"/>
        </w:rPr>
        <w:t>inviter les membres de l</w:t>
      </w:r>
      <w:r w:rsidR="00817667" w:rsidRPr="005C556C">
        <w:rPr>
          <w:lang w:val="fr-FR"/>
        </w:rPr>
        <w:t>’</w:t>
      </w:r>
      <w:r w:rsidR="00CF37BA" w:rsidRPr="005C556C">
        <w:rPr>
          <w:lang w:val="fr-FR"/>
        </w:rPr>
        <w:t>Union à présenter des exposés sur leurs systèmes concernant les variétés essentiellement dérivées à sa soixante</w:t>
      </w:r>
      <w:r w:rsidR="002C6DE0" w:rsidRPr="005C556C">
        <w:rPr>
          <w:lang w:val="fr-FR"/>
        </w:rPr>
        <w:noBreakHyphen/>
      </w:r>
      <w:r w:rsidR="00CF37BA" w:rsidRPr="005C556C">
        <w:rPr>
          <w:lang w:val="fr-FR"/>
        </w:rPr>
        <w:t>douzième</w:t>
      </w:r>
      <w:r w:rsidR="00824A4B" w:rsidRPr="005C556C">
        <w:rPr>
          <w:lang w:val="fr-FR"/>
        </w:rPr>
        <w:t> </w:t>
      </w:r>
      <w:r w:rsidR="00CF37BA" w:rsidRPr="005C556C">
        <w:rPr>
          <w:lang w:val="fr-FR"/>
        </w:rPr>
        <w:t>session.</w:t>
      </w:r>
    </w:p>
    <w:p w:rsidR="0058402C" w:rsidRPr="005C556C" w:rsidRDefault="0058402C" w:rsidP="005C556C">
      <w:pPr>
        <w:rPr>
          <w:snapToGrid w:val="0"/>
          <w:lang w:val="fr-FR"/>
        </w:rPr>
      </w:pPr>
    </w:p>
    <w:p w:rsidR="0058402C" w:rsidRPr="005C556C" w:rsidRDefault="005932A9"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F37BA" w:rsidRPr="005C556C">
        <w:rPr>
          <w:lang w:val="fr-FR"/>
        </w:rPr>
        <w:t>Le CAJ convient d</w:t>
      </w:r>
      <w:r w:rsidR="00817667" w:rsidRPr="005C556C">
        <w:rPr>
          <w:lang w:val="fr-FR"/>
        </w:rPr>
        <w:t>’</w:t>
      </w:r>
      <w:r w:rsidR="00CF37BA" w:rsidRPr="005C556C">
        <w:rPr>
          <w:lang w:val="fr-FR"/>
        </w:rPr>
        <w:t>examiner, à sa soixante</w:t>
      </w:r>
      <w:r w:rsidR="002C6DE0" w:rsidRPr="005C556C">
        <w:rPr>
          <w:lang w:val="fr-FR"/>
        </w:rPr>
        <w:noBreakHyphen/>
      </w:r>
      <w:r w:rsidR="00CF37BA" w:rsidRPr="005C556C">
        <w:rPr>
          <w:lang w:val="fr-FR"/>
        </w:rPr>
        <w:t>douzième</w:t>
      </w:r>
      <w:r w:rsidR="00824A4B" w:rsidRPr="005C556C">
        <w:rPr>
          <w:lang w:val="fr-FR"/>
        </w:rPr>
        <w:t> </w:t>
      </w:r>
      <w:r w:rsidR="00CF37BA" w:rsidRPr="005C556C">
        <w:rPr>
          <w:lang w:val="fr-FR"/>
        </w:rPr>
        <w:t>session, la proposition selon laquelle le Bureau de l</w:t>
      </w:r>
      <w:r w:rsidR="00817667" w:rsidRPr="005C556C">
        <w:rPr>
          <w:lang w:val="fr-FR"/>
        </w:rPr>
        <w:t>’</w:t>
      </w:r>
      <w:r w:rsidR="00CF37BA" w:rsidRPr="005C556C">
        <w:rPr>
          <w:lang w:val="fr-FR"/>
        </w:rPr>
        <w:t>Union devrait organiser une réunion pour échanger des informations avec la Communauté internationale des obtenteurs de plantes ornementales et fruitières à reproduction asexuée (CIOPORA), l</w:t>
      </w:r>
      <w:r w:rsidR="00817667" w:rsidRPr="005C556C">
        <w:rPr>
          <w:lang w:val="fr-FR"/>
        </w:rPr>
        <w:t>’</w:t>
      </w:r>
      <w:r w:rsidR="00CF37BA" w:rsidRPr="00C21E7B">
        <w:rPr>
          <w:i/>
          <w:lang w:val="fr-FR"/>
        </w:rPr>
        <w:t>International Seed Federation</w:t>
      </w:r>
      <w:r w:rsidR="00CF37BA" w:rsidRPr="005C556C">
        <w:rPr>
          <w:lang w:val="fr-FR"/>
        </w:rPr>
        <w:t xml:space="preserve"> (ISF) et l</w:t>
      </w:r>
      <w:r w:rsidR="00817667" w:rsidRPr="005C556C">
        <w:rPr>
          <w:lang w:val="fr-FR"/>
        </w:rPr>
        <w:t>’</w:t>
      </w:r>
      <w:r w:rsidR="00CF37BA" w:rsidRPr="005C556C">
        <w:rPr>
          <w:lang w:val="fr-FR"/>
        </w:rPr>
        <w:t>Organisation Mondiale de la Propriété Intellectuelle (OMPI) en vue d</w:t>
      </w:r>
      <w:r w:rsidR="00817667" w:rsidRPr="005C556C">
        <w:rPr>
          <w:lang w:val="fr-FR"/>
        </w:rPr>
        <w:t>’</w:t>
      </w:r>
      <w:r w:rsidR="00CF37BA" w:rsidRPr="005C556C">
        <w:rPr>
          <w:lang w:val="fr-FR"/>
        </w:rPr>
        <w:t>étudier le rôle que l</w:t>
      </w:r>
      <w:r w:rsidR="00817667" w:rsidRPr="005C556C">
        <w:rPr>
          <w:lang w:val="fr-FR"/>
        </w:rPr>
        <w:t>’</w:t>
      </w:r>
      <w:r w:rsidR="00CF37BA" w:rsidRPr="005C556C">
        <w:rPr>
          <w:lang w:val="fr-FR"/>
        </w:rPr>
        <w:t xml:space="preserve">UPOV pourrait jouer dans les mécanismes extrajudiciaires de règlement des litiges pour les questions relatives aux variétés essentiellement dérivées, </w:t>
      </w:r>
      <w:r w:rsidR="00817667" w:rsidRPr="005C556C">
        <w:rPr>
          <w:lang w:val="fr-FR"/>
        </w:rPr>
        <w:t>y compris</w:t>
      </w:r>
      <w:r w:rsidR="00CF37BA" w:rsidRPr="005C556C">
        <w:rPr>
          <w:lang w:val="fr-FR"/>
        </w:rPr>
        <w:t xml:space="preserve"> la mise à disposition d</w:t>
      </w:r>
      <w:r w:rsidR="00817667" w:rsidRPr="005C556C">
        <w:rPr>
          <w:lang w:val="fr-FR"/>
        </w:rPr>
        <w:t>’</w:t>
      </w:r>
      <w:r w:rsidR="00CF37BA" w:rsidRPr="005C556C">
        <w:rPr>
          <w:lang w:val="fr-FR"/>
        </w:rPr>
        <w:t>experts concernant les questions relatives aux variétés essentiellement dérivées.</w:t>
      </w:r>
      <w:r w:rsidR="00687461" w:rsidRPr="005C556C">
        <w:rPr>
          <w:lang w:val="fr-FR"/>
        </w:rPr>
        <w:t xml:space="preserve"> </w:t>
      </w:r>
      <w:r w:rsidRPr="005C556C">
        <w:rPr>
          <w:lang w:val="fr-FR"/>
        </w:rPr>
        <w:t xml:space="preserve"> </w:t>
      </w:r>
      <w:r w:rsidR="008B6C1D" w:rsidRPr="005C556C">
        <w:rPr>
          <w:lang w:val="fr-FR"/>
        </w:rPr>
        <w:t>Il note que le Conseil a adopté le document UPOV/INF/21/1 “Mécanismes extrajudiciaires de règlement des litiges”.</w:t>
      </w:r>
    </w:p>
    <w:p w:rsidR="0058402C" w:rsidRPr="005C556C" w:rsidRDefault="0058402C" w:rsidP="005C556C">
      <w:pPr>
        <w:rPr>
          <w:lang w:val="fr-FR"/>
        </w:rPr>
      </w:pPr>
    </w:p>
    <w:p w:rsidR="0058402C" w:rsidRPr="005C556C" w:rsidRDefault="00E705F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F3EC8" w:rsidRPr="005C556C">
        <w:rPr>
          <w:lang w:val="fr-FR"/>
        </w:rPr>
        <w:t>Le CAJ convient d</w:t>
      </w:r>
      <w:r w:rsidR="00817667" w:rsidRPr="005C556C">
        <w:rPr>
          <w:lang w:val="fr-FR"/>
        </w:rPr>
        <w:t>’</w:t>
      </w:r>
      <w:r w:rsidR="000F3EC8" w:rsidRPr="005C556C">
        <w:rPr>
          <w:lang w:val="fr-FR"/>
        </w:rPr>
        <w:t>examiner un nouveau projet de “Notes explicatives sur les variétés essentiellement dérivées selon l</w:t>
      </w:r>
      <w:r w:rsidR="00817667" w:rsidRPr="005C556C">
        <w:rPr>
          <w:lang w:val="fr-FR"/>
        </w:rPr>
        <w:t>’</w:t>
      </w:r>
      <w:r w:rsidR="000F3EC8" w:rsidRPr="005C556C">
        <w:rPr>
          <w:lang w:val="fr-FR"/>
        </w:rPr>
        <w:t>Acte de</w:t>
      </w:r>
      <w:r w:rsidR="00824A4B" w:rsidRPr="005C556C">
        <w:rPr>
          <w:lang w:val="fr-FR"/>
        </w:rPr>
        <w:t> </w:t>
      </w:r>
      <w:r w:rsidR="000F3EC8" w:rsidRPr="005C556C">
        <w:rPr>
          <w:lang w:val="fr-FR"/>
        </w:rPr>
        <w:t xml:space="preserve">1991 de la </w:t>
      </w:r>
      <w:r w:rsidR="00817667" w:rsidRPr="005C556C">
        <w:rPr>
          <w:lang w:val="fr-FR"/>
        </w:rPr>
        <w:t>Convention UPOV</w:t>
      </w:r>
      <w:r w:rsidR="000F3EC8" w:rsidRPr="005C556C">
        <w:rPr>
          <w:lang w:val="fr-FR"/>
        </w:rPr>
        <w:t>” (révision) (document UPOV/EXN/EDV/2 Draft 6) à sa soixante</w:t>
      </w:r>
      <w:r w:rsidR="002C6DE0" w:rsidRPr="005C556C">
        <w:rPr>
          <w:lang w:val="fr-FR"/>
        </w:rPr>
        <w:noBreakHyphen/>
      </w:r>
      <w:r w:rsidR="000F3EC8" w:rsidRPr="005C556C">
        <w:rPr>
          <w:lang w:val="fr-FR"/>
        </w:rPr>
        <w:t>douzième</w:t>
      </w:r>
      <w:r w:rsidR="00824A4B" w:rsidRPr="005C556C">
        <w:rPr>
          <w:lang w:val="fr-FR"/>
        </w:rPr>
        <w:t> </w:t>
      </w:r>
      <w:r w:rsidR="000F3EC8" w:rsidRPr="005C556C">
        <w:rPr>
          <w:lang w:val="fr-FR"/>
        </w:rPr>
        <w:t>session, comme indiqué aux paragraphes</w:t>
      </w:r>
      <w:r w:rsidR="00824A4B" w:rsidRPr="005C556C">
        <w:rPr>
          <w:lang w:val="fr-FR"/>
        </w:rPr>
        <w:t> </w:t>
      </w:r>
      <w:r w:rsidR="000F3EC8" w:rsidRPr="005C556C">
        <w:rPr>
          <w:lang w:val="fr-FR"/>
        </w:rPr>
        <w:t>15 et</w:t>
      </w:r>
      <w:r w:rsidR="002C6DE0" w:rsidRPr="005C556C">
        <w:rPr>
          <w:lang w:val="fr-FR"/>
        </w:rPr>
        <w:t> </w:t>
      </w:r>
      <w:r w:rsidR="000F3EC8" w:rsidRPr="005C556C">
        <w:rPr>
          <w:lang w:val="fr-FR"/>
        </w:rPr>
        <w:t>16 du document CAJ/71/2.</w:t>
      </w:r>
    </w:p>
    <w:p w:rsidR="0058402C" w:rsidRPr="005C556C" w:rsidRDefault="0058402C" w:rsidP="00C21E7B">
      <w:pPr>
        <w:spacing w:line="360" w:lineRule="auto"/>
        <w:rPr>
          <w:lang w:val="fr-FR"/>
        </w:rPr>
      </w:pPr>
    </w:p>
    <w:p w:rsidR="0058402C" w:rsidRPr="005C556C" w:rsidRDefault="00CF37BA" w:rsidP="005C556C">
      <w:pPr>
        <w:keepNext/>
        <w:outlineLvl w:val="1"/>
        <w:rPr>
          <w:i/>
          <w:snapToGrid w:val="0"/>
          <w:lang w:val="fr-FR"/>
        </w:rPr>
      </w:pPr>
      <w:r w:rsidRPr="005C556C">
        <w:rPr>
          <w:i/>
          <w:snapToGrid w:val="0"/>
          <w:lang w:val="fr-FR"/>
        </w:rPr>
        <w:t>Notes explicatives sur le matériel de reproduction ou de multiplication selon l</w:t>
      </w:r>
      <w:r w:rsidR="00817667" w:rsidRPr="005C556C">
        <w:rPr>
          <w:i/>
          <w:snapToGrid w:val="0"/>
          <w:lang w:val="fr-FR"/>
        </w:rPr>
        <w:t>’</w:t>
      </w:r>
      <w:r w:rsidRPr="005C556C">
        <w:rPr>
          <w:i/>
          <w:snapToGrid w:val="0"/>
          <w:lang w:val="fr-FR"/>
        </w:rPr>
        <w:t>Acte de</w:t>
      </w:r>
      <w:r w:rsidR="00824A4B" w:rsidRPr="005C556C">
        <w:rPr>
          <w:i/>
          <w:snapToGrid w:val="0"/>
          <w:lang w:val="fr-FR"/>
        </w:rPr>
        <w:t> </w:t>
      </w:r>
      <w:r w:rsidRPr="005C556C">
        <w:rPr>
          <w:i/>
          <w:snapToGrid w:val="0"/>
          <w:lang w:val="fr-FR"/>
        </w:rPr>
        <w:t xml:space="preserve">1991 de la </w:t>
      </w:r>
      <w:r w:rsidR="00817667" w:rsidRPr="005C556C">
        <w:rPr>
          <w:i/>
          <w:snapToGrid w:val="0"/>
          <w:lang w:val="fr-FR"/>
        </w:rPr>
        <w:t>Convention UPOV</w:t>
      </w:r>
    </w:p>
    <w:p w:rsidR="0058402C" w:rsidRPr="005C556C" w:rsidRDefault="0058402C" w:rsidP="005C556C">
      <w:pPr>
        <w:rPr>
          <w:lang w:val="fr-FR"/>
        </w:rPr>
      </w:pPr>
    </w:p>
    <w:p w:rsidR="0058402C" w:rsidRPr="005C556C" w:rsidRDefault="00C9299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F3EC8" w:rsidRPr="005C556C">
        <w:rPr>
          <w:lang w:val="fr-FR"/>
        </w:rPr>
        <w:t>Le CAJ convient d</w:t>
      </w:r>
      <w:r w:rsidR="00817667" w:rsidRPr="005C556C">
        <w:rPr>
          <w:lang w:val="fr-FR"/>
        </w:rPr>
        <w:t>’</w:t>
      </w:r>
      <w:r w:rsidR="000F3EC8" w:rsidRPr="005C556C">
        <w:rPr>
          <w:lang w:val="fr-FR"/>
        </w:rPr>
        <w:t>examiner un nouveau projet de “Notes explicatives sur le matériel de reproduction ou de multiplication selon l</w:t>
      </w:r>
      <w:r w:rsidR="00817667" w:rsidRPr="005C556C">
        <w:rPr>
          <w:lang w:val="fr-FR"/>
        </w:rPr>
        <w:t>’</w:t>
      </w:r>
      <w:r w:rsidR="000F3EC8" w:rsidRPr="005C556C">
        <w:rPr>
          <w:lang w:val="fr-FR"/>
        </w:rPr>
        <w:t>Acte de</w:t>
      </w:r>
      <w:r w:rsidR="00824A4B" w:rsidRPr="005C556C">
        <w:rPr>
          <w:lang w:val="fr-FR"/>
        </w:rPr>
        <w:t> </w:t>
      </w:r>
      <w:r w:rsidR="000F3EC8" w:rsidRPr="005C556C">
        <w:rPr>
          <w:lang w:val="fr-FR"/>
        </w:rPr>
        <w:t xml:space="preserve">1991 de la </w:t>
      </w:r>
      <w:r w:rsidR="00817667" w:rsidRPr="005C556C">
        <w:rPr>
          <w:lang w:val="fr-FR"/>
        </w:rPr>
        <w:t>Convention UPOV</w:t>
      </w:r>
      <w:r w:rsidR="003800B6" w:rsidRPr="005C556C">
        <w:rPr>
          <w:lang w:val="fr-FR"/>
        </w:rPr>
        <w:t xml:space="preserve">” </w:t>
      </w:r>
      <w:r w:rsidR="000F3EC8" w:rsidRPr="005C556C">
        <w:rPr>
          <w:lang w:val="fr-FR"/>
        </w:rPr>
        <w:t>(document UPOV/EXN/PPM/1 Draft 5) à sa soixante</w:t>
      </w:r>
      <w:r w:rsidR="002C6DE0" w:rsidRPr="005C556C">
        <w:rPr>
          <w:lang w:val="fr-FR"/>
        </w:rPr>
        <w:noBreakHyphen/>
      </w:r>
      <w:r w:rsidR="000F3EC8" w:rsidRPr="005C556C">
        <w:rPr>
          <w:lang w:val="fr-FR"/>
        </w:rPr>
        <w:t>douzième</w:t>
      </w:r>
      <w:r w:rsidR="00824A4B" w:rsidRPr="005C556C">
        <w:rPr>
          <w:lang w:val="fr-FR"/>
        </w:rPr>
        <w:t> </w:t>
      </w:r>
      <w:r w:rsidR="000F3EC8" w:rsidRPr="005C556C">
        <w:rPr>
          <w:lang w:val="fr-FR"/>
        </w:rPr>
        <w:t xml:space="preserve">session, </w:t>
      </w:r>
      <w:r w:rsidR="00B73C94" w:rsidRPr="005C556C">
        <w:rPr>
          <w:lang w:val="fr-FR"/>
        </w:rPr>
        <w:t>incorporant les modifications suivantes</w:t>
      </w:r>
      <w:r w:rsidR="000F3EC8" w:rsidRPr="005C556C">
        <w:rPr>
          <w:lang w:val="fr-FR"/>
        </w:rPr>
        <w:t> :</w:t>
      </w:r>
    </w:p>
    <w:p w:rsidR="0058402C" w:rsidRPr="005C556C" w:rsidRDefault="0058402C" w:rsidP="005C556C">
      <w:pPr>
        <w:rPr>
          <w:lang w:val="fr-FR"/>
        </w:rPr>
      </w:pPr>
    </w:p>
    <w:p w:rsidR="0058402C" w:rsidRPr="005C556C" w:rsidRDefault="00A534A3" w:rsidP="005C556C">
      <w:pPr>
        <w:ind w:left="567"/>
        <w:rPr>
          <w:lang w:val="fr-FR"/>
        </w:rPr>
      </w:pPr>
      <w:r w:rsidRPr="005C556C">
        <w:rPr>
          <w:lang w:val="fr-FR"/>
        </w:rPr>
        <w:t>a)</w:t>
      </w:r>
      <w:r w:rsidRPr="005C556C">
        <w:rPr>
          <w:lang w:val="fr-FR"/>
        </w:rPr>
        <w:tab/>
      </w:r>
      <w:r w:rsidR="00C21E7B">
        <w:rPr>
          <w:lang w:val="fr-FR"/>
        </w:rPr>
        <w:t xml:space="preserve">inclure la </w:t>
      </w:r>
      <w:r w:rsidR="00893041" w:rsidRPr="005C556C">
        <w:rPr>
          <w:lang w:val="fr-FR"/>
        </w:rPr>
        <w:t xml:space="preserve">référence à la Convention UPOV </w:t>
      </w:r>
      <w:r w:rsidR="00893041">
        <w:rPr>
          <w:lang w:val="fr-FR"/>
        </w:rPr>
        <w:t xml:space="preserve">dans le </w:t>
      </w:r>
      <w:r w:rsidRPr="005C556C">
        <w:rPr>
          <w:lang w:val="fr-FR"/>
        </w:rPr>
        <w:t xml:space="preserve">titre du document et </w:t>
      </w:r>
      <w:r w:rsidR="00893041">
        <w:rPr>
          <w:lang w:val="fr-FR"/>
        </w:rPr>
        <w:t xml:space="preserve">dans le </w:t>
      </w:r>
      <w:r w:rsidRPr="005C556C">
        <w:rPr>
          <w:lang w:val="fr-FR"/>
        </w:rPr>
        <w:t>préambule;</w:t>
      </w:r>
    </w:p>
    <w:p w:rsidR="0058402C" w:rsidRPr="005C556C" w:rsidRDefault="0058402C" w:rsidP="005C556C">
      <w:pPr>
        <w:ind w:left="567"/>
        <w:rPr>
          <w:lang w:val="fr-FR"/>
        </w:rPr>
      </w:pPr>
    </w:p>
    <w:p w:rsidR="0058402C" w:rsidRPr="005C556C" w:rsidRDefault="006E70C5" w:rsidP="005C556C">
      <w:pPr>
        <w:ind w:left="567"/>
        <w:rPr>
          <w:lang w:val="fr-FR"/>
        </w:rPr>
      </w:pPr>
      <w:r w:rsidRPr="005C556C">
        <w:rPr>
          <w:lang w:val="fr-FR"/>
        </w:rPr>
        <w:t>b)</w:t>
      </w:r>
      <w:r w:rsidRPr="005C556C">
        <w:rPr>
          <w:lang w:val="fr-FR"/>
        </w:rPr>
        <w:tab/>
      </w:r>
      <w:r w:rsidR="00893041">
        <w:rPr>
          <w:lang w:val="fr-FR"/>
        </w:rPr>
        <w:t xml:space="preserve">acutaliser </w:t>
      </w:r>
      <w:r w:rsidRPr="005C556C">
        <w:rPr>
          <w:lang w:val="fr-FR"/>
        </w:rPr>
        <w:t>la section</w:t>
      </w:r>
      <w:r w:rsidR="00824A4B" w:rsidRPr="005C556C">
        <w:rPr>
          <w:lang w:val="fr-FR"/>
        </w:rPr>
        <w:t> </w:t>
      </w:r>
      <w:r w:rsidRPr="005C556C">
        <w:rPr>
          <w:lang w:val="fr-FR"/>
        </w:rPr>
        <w:t xml:space="preserve">a) pour y </w:t>
      </w:r>
      <w:r w:rsidR="004B1C88" w:rsidRPr="005C556C">
        <w:rPr>
          <w:lang w:val="fr-FR"/>
        </w:rPr>
        <w:t>faire figurer</w:t>
      </w:r>
      <w:r w:rsidRPr="005C556C">
        <w:rPr>
          <w:lang w:val="fr-FR"/>
        </w:rPr>
        <w:t xml:space="preserve"> les articles pertinents de l</w:t>
      </w:r>
      <w:r w:rsidR="00817667" w:rsidRPr="005C556C">
        <w:rPr>
          <w:lang w:val="fr-FR"/>
        </w:rPr>
        <w:t>’</w:t>
      </w:r>
      <w:r w:rsidRPr="005C556C">
        <w:rPr>
          <w:lang w:val="fr-FR"/>
        </w:rPr>
        <w:t>Acte de</w:t>
      </w:r>
      <w:r w:rsidR="00824A4B" w:rsidRPr="005C556C">
        <w:rPr>
          <w:lang w:val="fr-FR"/>
        </w:rPr>
        <w:t> </w:t>
      </w:r>
      <w:r w:rsidRPr="005C556C">
        <w:rPr>
          <w:lang w:val="fr-FR"/>
        </w:rPr>
        <w:t>1978;</w:t>
      </w:r>
    </w:p>
    <w:p w:rsidR="0058402C" w:rsidRPr="005C556C" w:rsidRDefault="0058402C" w:rsidP="005C556C">
      <w:pPr>
        <w:ind w:left="567"/>
        <w:rPr>
          <w:lang w:val="fr-FR"/>
        </w:rPr>
      </w:pPr>
    </w:p>
    <w:p w:rsidR="0058402C" w:rsidRPr="005C556C" w:rsidRDefault="00B73C94" w:rsidP="005C556C">
      <w:pPr>
        <w:ind w:left="567"/>
        <w:rPr>
          <w:lang w:val="fr-FR"/>
        </w:rPr>
      </w:pPr>
      <w:r w:rsidRPr="005C556C">
        <w:rPr>
          <w:lang w:val="fr-FR"/>
        </w:rPr>
        <w:t>c)</w:t>
      </w:r>
      <w:r w:rsidRPr="005C556C">
        <w:rPr>
          <w:lang w:val="fr-FR"/>
        </w:rPr>
        <w:tab/>
      </w:r>
      <w:r w:rsidR="00893041">
        <w:rPr>
          <w:lang w:val="fr-FR"/>
        </w:rPr>
        <w:t>supprimer l</w:t>
      </w:r>
      <w:r w:rsidR="006E70C5" w:rsidRPr="005C556C">
        <w:rPr>
          <w:lang w:val="fr-FR"/>
        </w:rPr>
        <w:t>es paragraphes</w:t>
      </w:r>
      <w:r w:rsidR="00824A4B" w:rsidRPr="005C556C">
        <w:rPr>
          <w:lang w:val="fr-FR"/>
        </w:rPr>
        <w:t> </w:t>
      </w:r>
      <w:r w:rsidR="006E70C5" w:rsidRPr="005C556C">
        <w:rPr>
          <w:lang w:val="fr-FR"/>
        </w:rPr>
        <w:t>2 et 3;  et</w:t>
      </w:r>
    </w:p>
    <w:p w:rsidR="0058402C" w:rsidRPr="005C556C" w:rsidRDefault="0058402C" w:rsidP="005C556C">
      <w:pPr>
        <w:ind w:left="567"/>
        <w:rPr>
          <w:lang w:val="fr-FR"/>
        </w:rPr>
      </w:pPr>
    </w:p>
    <w:p w:rsidR="0058402C" w:rsidRPr="005C556C" w:rsidRDefault="00893041" w:rsidP="005C556C">
      <w:pPr>
        <w:ind w:left="567"/>
        <w:rPr>
          <w:lang w:val="fr-FR"/>
        </w:rPr>
      </w:pPr>
      <w:r>
        <w:rPr>
          <w:lang w:val="fr-FR"/>
        </w:rPr>
        <w:t>d)</w:t>
      </w:r>
      <w:r>
        <w:rPr>
          <w:lang w:val="fr-FR"/>
        </w:rPr>
        <w:tab/>
        <w:t>remplacer</w:t>
      </w:r>
      <w:r w:rsidR="006E70C5" w:rsidRPr="005C556C">
        <w:rPr>
          <w:lang w:val="fr-FR"/>
        </w:rPr>
        <w:t xml:space="preserve"> </w:t>
      </w:r>
      <w:r>
        <w:rPr>
          <w:lang w:val="fr-FR"/>
        </w:rPr>
        <w:t xml:space="preserve">le </w:t>
      </w:r>
      <w:r w:rsidR="006E70C5" w:rsidRPr="005C556C">
        <w:rPr>
          <w:lang w:val="fr-FR"/>
        </w:rPr>
        <w:t xml:space="preserve">verbe “décider” par “déterminer” </w:t>
      </w:r>
      <w:r w:rsidR="00B73C94" w:rsidRPr="005C556C">
        <w:rPr>
          <w:lang w:val="fr-FR"/>
        </w:rPr>
        <w:t>au</w:t>
      </w:r>
      <w:r w:rsidR="006E70C5" w:rsidRPr="005C556C">
        <w:rPr>
          <w:lang w:val="fr-FR"/>
        </w:rPr>
        <w:t xml:space="preserve"> paragraphe</w:t>
      </w:r>
      <w:r w:rsidR="00824A4B" w:rsidRPr="005C556C">
        <w:rPr>
          <w:lang w:val="fr-FR"/>
        </w:rPr>
        <w:t> </w:t>
      </w:r>
      <w:r w:rsidR="006E70C5" w:rsidRPr="005C556C">
        <w:rPr>
          <w:lang w:val="fr-FR"/>
        </w:rPr>
        <w:t>4.</w:t>
      </w:r>
    </w:p>
    <w:p w:rsidR="0058402C" w:rsidRPr="005C556C" w:rsidRDefault="0058402C" w:rsidP="00893041">
      <w:pPr>
        <w:spacing w:line="360" w:lineRule="auto"/>
        <w:rPr>
          <w:lang w:val="fr-FR"/>
        </w:rPr>
      </w:pPr>
      <w:bookmarkStart w:id="2" w:name="_Toc381257321"/>
    </w:p>
    <w:p w:rsidR="0058402C" w:rsidRPr="005C556C" w:rsidRDefault="000473B6" w:rsidP="005C556C">
      <w:pPr>
        <w:keepNext/>
        <w:outlineLvl w:val="1"/>
        <w:rPr>
          <w:i/>
          <w:snapToGrid w:val="0"/>
          <w:lang w:val="fr-FR"/>
        </w:rPr>
      </w:pPr>
      <w:r w:rsidRPr="005C556C">
        <w:rPr>
          <w:i/>
          <w:snapToGrid w:val="0"/>
          <w:lang w:val="fr-FR"/>
        </w:rPr>
        <w:t xml:space="preserve">Notes explicatives sur les actes </w:t>
      </w:r>
      <w:r w:rsidR="00817667" w:rsidRPr="005C556C">
        <w:rPr>
          <w:i/>
          <w:snapToGrid w:val="0"/>
          <w:lang w:val="fr-FR"/>
        </w:rPr>
        <w:t>à l’égard</w:t>
      </w:r>
      <w:r w:rsidRPr="005C556C">
        <w:rPr>
          <w:i/>
          <w:snapToGrid w:val="0"/>
          <w:lang w:val="fr-FR"/>
        </w:rPr>
        <w:t xml:space="preserve"> du produit de la récolte selon l</w:t>
      </w:r>
      <w:r w:rsidR="00817667" w:rsidRPr="005C556C">
        <w:rPr>
          <w:i/>
          <w:snapToGrid w:val="0"/>
          <w:lang w:val="fr-FR"/>
        </w:rPr>
        <w:t>’</w:t>
      </w:r>
      <w:r w:rsidRPr="005C556C">
        <w:rPr>
          <w:i/>
          <w:snapToGrid w:val="0"/>
          <w:lang w:val="fr-FR"/>
        </w:rPr>
        <w:t xml:space="preserve">Acte de 1991 de la </w:t>
      </w:r>
      <w:r w:rsidR="00817667" w:rsidRPr="005C556C">
        <w:rPr>
          <w:i/>
          <w:snapToGrid w:val="0"/>
          <w:lang w:val="fr-FR"/>
        </w:rPr>
        <w:t>Convention UPOV</w:t>
      </w:r>
    </w:p>
    <w:p w:rsidR="0058402C" w:rsidRPr="005C556C" w:rsidRDefault="0058402C" w:rsidP="005C556C">
      <w:pPr>
        <w:keepNext/>
        <w:rPr>
          <w:lang w:val="fr-FR"/>
        </w:rPr>
      </w:pPr>
    </w:p>
    <w:p w:rsidR="00817667" w:rsidRPr="005C556C" w:rsidRDefault="00E705F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4B1C88" w:rsidRPr="005C556C">
        <w:rPr>
          <w:lang w:val="fr-FR"/>
        </w:rPr>
        <w:t>L</w:t>
      </w:r>
      <w:r w:rsidR="006E70C5" w:rsidRPr="005C556C">
        <w:rPr>
          <w:lang w:val="fr-FR"/>
        </w:rPr>
        <w:t>e CAJ prend note de la conclusion adoptée par</w:t>
      </w:r>
      <w:r w:rsidR="00817667" w:rsidRPr="005C556C">
        <w:rPr>
          <w:lang w:val="fr-FR"/>
        </w:rPr>
        <w:t xml:space="preserve"> le CAJ</w:t>
      </w:r>
      <w:r w:rsidR="002C6DE0" w:rsidRPr="005C556C">
        <w:rPr>
          <w:lang w:val="fr-FR"/>
        </w:rPr>
        <w:noBreakHyphen/>
      </w:r>
      <w:r w:rsidR="006E70C5" w:rsidRPr="005C556C">
        <w:rPr>
          <w:lang w:val="fr-FR"/>
        </w:rPr>
        <w:t>AG à sa neuvième</w:t>
      </w:r>
      <w:r w:rsidR="00824A4B" w:rsidRPr="005C556C">
        <w:rPr>
          <w:lang w:val="fr-FR"/>
        </w:rPr>
        <w:t> </w:t>
      </w:r>
      <w:r w:rsidR="006E70C5" w:rsidRPr="005C556C">
        <w:rPr>
          <w:lang w:val="fr-FR"/>
        </w:rPr>
        <w:t xml:space="preserve">session, selon laquelle il ne serait pas approprié pour le moment de chercher à élaborer une révision du document </w:t>
      </w:r>
      <w:r w:rsidR="00824A4B" w:rsidRPr="005C556C">
        <w:rPr>
          <w:lang w:val="fr-FR"/>
        </w:rPr>
        <w:t>“</w:t>
      </w:r>
      <w:r w:rsidR="006E70C5" w:rsidRPr="005C556C">
        <w:rPr>
          <w:lang w:val="fr-FR"/>
        </w:rPr>
        <w:t xml:space="preserve">Notes explicatives sur les actes </w:t>
      </w:r>
      <w:r w:rsidR="00817667" w:rsidRPr="005C556C">
        <w:rPr>
          <w:lang w:val="fr-FR"/>
        </w:rPr>
        <w:t>à l’égard</w:t>
      </w:r>
      <w:r w:rsidR="006E70C5" w:rsidRPr="005C556C">
        <w:rPr>
          <w:lang w:val="fr-FR"/>
        </w:rPr>
        <w:t xml:space="preserve"> du produit de la récolte selon l</w:t>
      </w:r>
      <w:r w:rsidR="00817667" w:rsidRPr="005C556C">
        <w:rPr>
          <w:lang w:val="fr-FR"/>
        </w:rPr>
        <w:t>’</w:t>
      </w:r>
      <w:r w:rsidR="006E70C5" w:rsidRPr="005C556C">
        <w:rPr>
          <w:lang w:val="fr-FR"/>
        </w:rPr>
        <w:t>Acte de</w:t>
      </w:r>
      <w:r w:rsidR="00824A4B" w:rsidRPr="005C556C">
        <w:rPr>
          <w:lang w:val="fr-FR"/>
        </w:rPr>
        <w:t> </w:t>
      </w:r>
      <w:r w:rsidR="006E70C5" w:rsidRPr="005C556C">
        <w:rPr>
          <w:lang w:val="fr-FR"/>
        </w:rPr>
        <w:t xml:space="preserve">1991 de la </w:t>
      </w:r>
      <w:r w:rsidR="00817667" w:rsidRPr="005C556C">
        <w:rPr>
          <w:lang w:val="fr-FR"/>
        </w:rPr>
        <w:t>Convention UPOV</w:t>
      </w:r>
      <w:r w:rsidR="00824A4B" w:rsidRPr="005C556C">
        <w:rPr>
          <w:lang w:val="fr-FR"/>
        </w:rPr>
        <w:t>”</w:t>
      </w:r>
      <w:r w:rsidR="006E70C5" w:rsidRPr="005C556C">
        <w:rPr>
          <w:lang w:val="fr-FR"/>
        </w:rPr>
        <w:t xml:space="preserve"> (document UPOV/EXN/HRV/1).</w:t>
      </w:r>
      <w:r w:rsidRPr="005C556C">
        <w:rPr>
          <w:lang w:val="fr-FR"/>
        </w:rPr>
        <w:t xml:space="preserve">  </w:t>
      </w:r>
      <w:r w:rsidR="00501826" w:rsidRPr="005C556C">
        <w:rPr>
          <w:lang w:val="fr-FR"/>
        </w:rPr>
        <w:t>Il juge utile, toutefois, d</w:t>
      </w:r>
      <w:r w:rsidR="00817667" w:rsidRPr="005C556C">
        <w:rPr>
          <w:lang w:val="fr-FR"/>
        </w:rPr>
        <w:t>’</w:t>
      </w:r>
      <w:r w:rsidR="00501826" w:rsidRPr="005C556C">
        <w:rPr>
          <w:lang w:val="fr-FR"/>
        </w:rPr>
        <w:t>inviter les membres de l</w:t>
      </w:r>
      <w:r w:rsidR="00817667" w:rsidRPr="005C556C">
        <w:rPr>
          <w:lang w:val="fr-FR"/>
        </w:rPr>
        <w:t>’</w:t>
      </w:r>
      <w:r w:rsidR="00501826" w:rsidRPr="005C556C">
        <w:rPr>
          <w:lang w:val="fr-FR"/>
        </w:rPr>
        <w:t>Union, à sa soixante</w:t>
      </w:r>
      <w:r w:rsidR="002C6DE0" w:rsidRPr="005C556C">
        <w:rPr>
          <w:lang w:val="fr-FR"/>
        </w:rPr>
        <w:noBreakHyphen/>
      </w:r>
      <w:r w:rsidR="00501826" w:rsidRPr="005C556C">
        <w:rPr>
          <w:lang w:val="fr-FR"/>
        </w:rPr>
        <w:t>douzième</w:t>
      </w:r>
      <w:r w:rsidR="00824A4B" w:rsidRPr="005C556C">
        <w:rPr>
          <w:lang w:val="fr-FR"/>
        </w:rPr>
        <w:t> </w:t>
      </w:r>
      <w:r w:rsidR="00501826" w:rsidRPr="005C556C">
        <w:rPr>
          <w:lang w:val="fr-FR"/>
        </w:rPr>
        <w:t xml:space="preserve">session, </w:t>
      </w:r>
      <w:r w:rsidR="00B73C94" w:rsidRPr="005C556C">
        <w:rPr>
          <w:lang w:val="fr-FR"/>
        </w:rPr>
        <w:t xml:space="preserve">à présenter </w:t>
      </w:r>
      <w:r w:rsidR="00501826" w:rsidRPr="005C556C">
        <w:rPr>
          <w:lang w:val="fr-FR"/>
        </w:rPr>
        <w:t>les questions concernant le produit de la récolte qui devraient être examinées dans le cadre d</w:t>
      </w:r>
      <w:r w:rsidR="00817667" w:rsidRPr="005C556C">
        <w:rPr>
          <w:lang w:val="fr-FR"/>
        </w:rPr>
        <w:t>’</w:t>
      </w:r>
      <w:r w:rsidR="00501826" w:rsidRPr="005C556C">
        <w:rPr>
          <w:lang w:val="fr-FR"/>
        </w:rPr>
        <w:t>une révision éventuelle du document UPOV/EXN/HRV/1 comme point de départ pour l</w:t>
      </w:r>
      <w:r w:rsidR="00817667" w:rsidRPr="005C556C">
        <w:rPr>
          <w:lang w:val="fr-FR"/>
        </w:rPr>
        <w:t>’</w:t>
      </w:r>
      <w:r w:rsidR="00501826" w:rsidRPr="005C556C">
        <w:rPr>
          <w:lang w:val="fr-FR"/>
        </w:rPr>
        <w:t>examen des options possibles concernant la poursuite de ses travaux.</w:t>
      </w:r>
    </w:p>
    <w:p w:rsidR="0058402C" w:rsidRPr="005C556C" w:rsidRDefault="0058402C" w:rsidP="00893041">
      <w:pPr>
        <w:spacing w:line="360" w:lineRule="auto"/>
        <w:rPr>
          <w:lang w:val="fr-FR"/>
        </w:rPr>
      </w:pPr>
    </w:p>
    <w:p w:rsidR="0058402C" w:rsidRPr="005C556C" w:rsidRDefault="00501826" w:rsidP="005C556C">
      <w:pPr>
        <w:keepNext/>
        <w:rPr>
          <w:i/>
          <w:lang w:val="fr-FR"/>
        </w:rPr>
      </w:pPr>
      <w:r w:rsidRPr="005C556C">
        <w:rPr>
          <w:i/>
          <w:lang w:val="fr-FR"/>
        </w:rPr>
        <w:lastRenderedPageBreak/>
        <w:t>Notes explicatives sur la déchéance de l</w:t>
      </w:r>
      <w:r w:rsidR="00817667" w:rsidRPr="005C556C">
        <w:rPr>
          <w:i/>
          <w:lang w:val="fr-FR"/>
        </w:rPr>
        <w:t>’</w:t>
      </w:r>
      <w:r w:rsidRPr="005C556C">
        <w:rPr>
          <w:i/>
          <w:lang w:val="fr-FR"/>
        </w:rPr>
        <w:t xml:space="preserve">obtenteur selon la </w:t>
      </w:r>
      <w:r w:rsidR="00817667" w:rsidRPr="005C556C">
        <w:rPr>
          <w:i/>
          <w:lang w:val="fr-FR"/>
        </w:rPr>
        <w:t>Convention UPOV</w:t>
      </w:r>
      <w:r w:rsidRPr="005C556C">
        <w:rPr>
          <w:i/>
          <w:lang w:val="fr-FR"/>
        </w:rPr>
        <w:t xml:space="preserve"> (révision)</w:t>
      </w:r>
    </w:p>
    <w:p w:rsidR="0058402C" w:rsidRPr="005C556C" w:rsidRDefault="0058402C" w:rsidP="005C556C">
      <w:pPr>
        <w:keepNext/>
        <w:rPr>
          <w:lang w:val="fr-FR"/>
        </w:rPr>
      </w:pPr>
    </w:p>
    <w:p w:rsidR="0058402C" w:rsidRPr="005C556C" w:rsidRDefault="00B84E4E" w:rsidP="005C556C">
      <w:pPr>
        <w:spacing w:after="240"/>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501826" w:rsidRPr="005C556C">
        <w:rPr>
          <w:lang w:val="fr-FR"/>
        </w:rPr>
        <w:t xml:space="preserve">Le CAJ </w:t>
      </w:r>
      <w:r w:rsidR="00B73C94" w:rsidRPr="005C556C">
        <w:rPr>
          <w:lang w:val="fr-FR"/>
        </w:rPr>
        <w:t>approuve</w:t>
      </w:r>
      <w:r w:rsidR="00501826" w:rsidRPr="005C556C">
        <w:rPr>
          <w:lang w:val="fr-FR"/>
        </w:rPr>
        <w:t xml:space="preserve"> le document UPOV/EXN/CAN/2 Draft 3 </w:t>
      </w:r>
      <w:r w:rsidR="00B73C94" w:rsidRPr="005C556C">
        <w:rPr>
          <w:lang w:val="fr-FR"/>
        </w:rPr>
        <w:t>en tant que</w:t>
      </w:r>
      <w:r w:rsidR="00501826" w:rsidRPr="005C556C">
        <w:rPr>
          <w:lang w:val="fr-FR"/>
        </w:rPr>
        <w:t xml:space="preserve"> base pour la révision des “Notes explicatives sur la déchéance de l</w:t>
      </w:r>
      <w:r w:rsidR="00817667" w:rsidRPr="005C556C">
        <w:rPr>
          <w:lang w:val="fr-FR"/>
        </w:rPr>
        <w:t>’</w:t>
      </w:r>
      <w:r w:rsidR="00501826" w:rsidRPr="005C556C">
        <w:rPr>
          <w:lang w:val="fr-FR"/>
        </w:rPr>
        <w:t xml:space="preserve">obtenteur selon la </w:t>
      </w:r>
      <w:r w:rsidR="00817667" w:rsidRPr="005C556C">
        <w:rPr>
          <w:lang w:val="fr-FR"/>
        </w:rPr>
        <w:t>Convention UPOV</w:t>
      </w:r>
      <w:r w:rsidR="00501826" w:rsidRPr="005C556C">
        <w:rPr>
          <w:lang w:val="fr-FR"/>
        </w:rPr>
        <w:t>” (révision) (document UPOV/EXN/CAN/1) par le Conseil à sa quarante</w:t>
      </w:r>
      <w:r w:rsidR="002C6DE0" w:rsidRPr="005C556C">
        <w:rPr>
          <w:lang w:val="fr-FR"/>
        </w:rPr>
        <w:noBreakHyphen/>
      </w:r>
      <w:r w:rsidR="00501826" w:rsidRPr="005C556C">
        <w:rPr>
          <w:lang w:val="fr-FR"/>
        </w:rPr>
        <w:t>neuvième</w:t>
      </w:r>
      <w:r w:rsidR="00824A4B" w:rsidRPr="005C556C">
        <w:rPr>
          <w:lang w:val="fr-FR"/>
        </w:rPr>
        <w:t> </w:t>
      </w:r>
      <w:r w:rsidR="00501826" w:rsidRPr="005C556C">
        <w:rPr>
          <w:lang w:val="fr-FR"/>
        </w:rPr>
        <w:t>session ordinaire, prévue le 2</w:t>
      </w:r>
      <w:r w:rsidR="00817667" w:rsidRPr="005C556C">
        <w:rPr>
          <w:lang w:val="fr-FR"/>
        </w:rPr>
        <w:t>9 octobre 20</w:t>
      </w:r>
      <w:r w:rsidR="00501826" w:rsidRPr="005C556C">
        <w:rPr>
          <w:lang w:val="fr-FR"/>
        </w:rPr>
        <w:t>15.</w:t>
      </w:r>
    </w:p>
    <w:p w:rsidR="0058402C" w:rsidRPr="005C556C" w:rsidRDefault="00B84E4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501826" w:rsidRPr="005C556C">
        <w:rPr>
          <w:lang w:val="fr-FR"/>
        </w:rPr>
        <w:t>Le CAJ note qu</w:t>
      </w:r>
      <w:r w:rsidR="00817667" w:rsidRPr="005C556C">
        <w:rPr>
          <w:lang w:val="fr-FR"/>
        </w:rPr>
        <w:t>’</w:t>
      </w:r>
      <w:r w:rsidR="00501826" w:rsidRPr="005C556C">
        <w:rPr>
          <w:lang w:val="fr-FR"/>
        </w:rPr>
        <w:t>à sa soixante</w:t>
      </w:r>
      <w:r w:rsidR="002C6DE0" w:rsidRPr="005C556C">
        <w:rPr>
          <w:lang w:val="fr-FR"/>
        </w:rPr>
        <w:noBreakHyphen/>
      </w:r>
      <w:r w:rsidR="00501826" w:rsidRPr="005C556C">
        <w:rPr>
          <w:lang w:val="fr-FR"/>
        </w:rPr>
        <w:t>neuvième</w:t>
      </w:r>
      <w:r w:rsidR="00824A4B" w:rsidRPr="005C556C">
        <w:rPr>
          <w:lang w:val="fr-FR"/>
        </w:rPr>
        <w:t> </w:t>
      </w:r>
      <w:r w:rsidR="00501826" w:rsidRPr="005C556C">
        <w:rPr>
          <w:lang w:val="fr-FR"/>
        </w:rPr>
        <w:t>session, il est convenu d</w:t>
      </w:r>
      <w:r w:rsidR="00817667" w:rsidRPr="005C556C">
        <w:rPr>
          <w:lang w:val="fr-FR"/>
        </w:rPr>
        <w:t>’</w:t>
      </w:r>
      <w:r w:rsidR="00501826" w:rsidRPr="005C556C">
        <w:rPr>
          <w:lang w:val="fr-FR"/>
        </w:rPr>
        <w:t>inviter le</w:t>
      </w:r>
      <w:r w:rsidR="00817667" w:rsidRPr="005C556C">
        <w:rPr>
          <w:lang w:val="fr-FR"/>
        </w:rPr>
        <w:t> TC</w:t>
      </w:r>
      <w:r w:rsidR="00501826" w:rsidRPr="005C556C">
        <w:rPr>
          <w:lang w:val="fr-FR"/>
        </w:rPr>
        <w:t xml:space="preserve"> à envisager l</w:t>
      </w:r>
      <w:r w:rsidR="00817667" w:rsidRPr="005C556C">
        <w:rPr>
          <w:lang w:val="fr-FR"/>
        </w:rPr>
        <w:t>’</w:t>
      </w:r>
      <w:r w:rsidR="00501826" w:rsidRPr="005C556C">
        <w:rPr>
          <w:lang w:val="fr-FR"/>
        </w:rPr>
        <w:t>élaboration d</w:t>
      </w:r>
      <w:r w:rsidR="00817667" w:rsidRPr="005C556C">
        <w:rPr>
          <w:lang w:val="fr-FR"/>
        </w:rPr>
        <w:t>’</w:t>
      </w:r>
      <w:r w:rsidR="00501826" w:rsidRPr="005C556C">
        <w:rPr>
          <w:lang w:val="fr-FR"/>
        </w:rPr>
        <w:t>orientations sur certaines questions concernant les descriptions variétales, comme indiqué au paragraphe</w:t>
      </w:r>
      <w:r w:rsidR="00824A4B" w:rsidRPr="005C556C">
        <w:rPr>
          <w:lang w:val="fr-FR"/>
        </w:rPr>
        <w:t> </w:t>
      </w:r>
      <w:r w:rsidR="00501826" w:rsidRPr="005C556C">
        <w:rPr>
          <w:lang w:val="fr-FR"/>
        </w:rPr>
        <w:t>26 du document CAJ/71/2.</w:t>
      </w:r>
    </w:p>
    <w:p w:rsidR="0058402C" w:rsidRPr="005C556C" w:rsidRDefault="0058402C" w:rsidP="00893041">
      <w:pPr>
        <w:spacing w:line="360" w:lineRule="auto"/>
        <w:rPr>
          <w:lang w:val="fr-FR"/>
        </w:rPr>
      </w:pPr>
    </w:p>
    <w:p w:rsidR="0058402C" w:rsidRPr="005C556C" w:rsidRDefault="00501826" w:rsidP="005C556C">
      <w:pPr>
        <w:keepNext/>
        <w:outlineLvl w:val="1"/>
        <w:rPr>
          <w:i/>
          <w:snapToGrid w:val="0"/>
          <w:lang w:val="fr-FR"/>
        </w:rPr>
      </w:pPr>
      <w:r w:rsidRPr="005C556C">
        <w:rPr>
          <w:i/>
          <w:snapToGrid w:val="0"/>
          <w:lang w:val="fr-FR"/>
        </w:rPr>
        <w:t>Notes explicatives sur la nullité du droit d</w:t>
      </w:r>
      <w:r w:rsidR="00817667" w:rsidRPr="005C556C">
        <w:rPr>
          <w:i/>
          <w:snapToGrid w:val="0"/>
          <w:lang w:val="fr-FR"/>
        </w:rPr>
        <w:t>’</w:t>
      </w:r>
      <w:r w:rsidRPr="005C556C">
        <w:rPr>
          <w:i/>
          <w:snapToGrid w:val="0"/>
          <w:lang w:val="fr-FR"/>
        </w:rPr>
        <w:t xml:space="preserve">obtenteur conformément à la </w:t>
      </w:r>
      <w:r w:rsidR="00817667" w:rsidRPr="005C556C">
        <w:rPr>
          <w:i/>
          <w:snapToGrid w:val="0"/>
          <w:lang w:val="fr-FR"/>
        </w:rPr>
        <w:t>Convention UPOV</w:t>
      </w:r>
      <w:r w:rsidRPr="005C556C">
        <w:rPr>
          <w:i/>
          <w:snapToGrid w:val="0"/>
          <w:lang w:val="fr-FR"/>
        </w:rPr>
        <w:t xml:space="preserve"> (révision)</w:t>
      </w:r>
    </w:p>
    <w:p w:rsidR="0058402C" w:rsidRPr="005C556C" w:rsidRDefault="0058402C" w:rsidP="005C556C">
      <w:pPr>
        <w:keepNext/>
        <w:outlineLvl w:val="1"/>
        <w:rPr>
          <w:i/>
          <w:lang w:val="fr-FR"/>
        </w:rPr>
      </w:pPr>
    </w:p>
    <w:p w:rsidR="0058402C" w:rsidRPr="005C556C" w:rsidRDefault="00B84E4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121F8C" w:rsidRPr="005C556C">
        <w:rPr>
          <w:lang w:val="fr-FR"/>
        </w:rPr>
        <w:t xml:space="preserve">Le CAJ </w:t>
      </w:r>
      <w:r w:rsidR="00B73C94" w:rsidRPr="005C556C">
        <w:rPr>
          <w:lang w:val="fr-FR"/>
        </w:rPr>
        <w:t>approuve</w:t>
      </w:r>
      <w:r w:rsidR="000473B6" w:rsidRPr="005C556C">
        <w:rPr>
          <w:lang w:val="fr-FR"/>
        </w:rPr>
        <w:t xml:space="preserve"> le document UPOV/EXN/NUL/2 Draft 3 </w:t>
      </w:r>
      <w:r w:rsidR="00B73C94" w:rsidRPr="005C556C">
        <w:rPr>
          <w:lang w:val="fr-FR"/>
        </w:rPr>
        <w:t>en tant que</w:t>
      </w:r>
      <w:r w:rsidR="000473B6" w:rsidRPr="005C556C">
        <w:rPr>
          <w:lang w:val="fr-FR"/>
        </w:rPr>
        <w:t xml:space="preserve"> base pour la révision des “Notes explicatives sur la nullité du droit d</w:t>
      </w:r>
      <w:r w:rsidR="00817667" w:rsidRPr="005C556C">
        <w:rPr>
          <w:lang w:val="fr-FR"/>
        </w:rPr>
        <w:t>’</w:t>
      </w:r>
      <w:r w:rsidR="000473B6" w:rsidRPr="005C556C">
        <w:rPr>
          <w:lang w:val="fr-FR"/>
        </w:rPr>
        <w:t xml:space="preserve">obtenteur selon la </w:t>
      </w:r>
      <w:r w:rsidR="00817667" w:rsidRPr="005C556C">
        <w:rPr>
          <w:lang w:val="fr-FR"/>
        </w:rPr>
        <w:t>Convention UPOV</w:t>
      </w:r>
      <w:r w:rsidR="000473B6" w:rsidRPr="005C556C">
        <w:rPr>
          <w:lang w:val="fr-FR"/>
        </w:rPr>
        <w:t>” (révision) (document UPOV/EXN/NUL/1) par le Conseil à sa quarante</w:t>
      </w:r>
      <w:r w:rsidR="002C6DE0" w:rsidRPr="005C556C">
        <w:rPr>
          <w:lang w:val="fr-FR"/>
        </w:rPr>
        <w:noBreakHyphen/>
      </w:r>
      <w:r w:rsidR="000473B6" w:rsidRPr="005C556C">
        <w:rPr>
          <w:lang w:val="fr-FR"/>
        </w:rPr>
        <w:t>neuvième</w:t>
      </w:r>
      <w:r w:rsidR="00824A4B" w:rsidRPr="005C556C">
        <w:rPr>
          <w:lang w:val="fr-FR"/>
        </w:rPr>
        <w:t> </w:t>
      </w:r>
      <w:r w:rsidR="000473B6" w:rsidRPr="005C556C">
        <w:rPr>
          <w:lang w:val="fr-FR"/>
        </w:rPr>
        <w:t>session ordinaire, prévue le 2</w:t>
      </w:r>
      <w:r w:rsidR="00817667" w:rsidRPr="005C556C">
        <w:rPr>
          <w:lang w:val="fr-FR"/>
        </w:rPr>
        <w:t>9 octobre 20</w:t>
      </w:r>
      <w:r w:rsidR="000473B6" w:rsidRPr="005C556C">
        <w:rPr>
          <w:lang w:val="fr-FR"/>
        </w:rPr>
        <w:t>15</w:t>
      </w:r>
      <w:r w:rsidR="00121F8C" w:rsidRPr="005C556C">
        <w:rPr>
          <w:lang w:val="fr-FR"/>
        </w:rPr>
        <w:t>.</w:t>
      </w:r>
    </w:p>
    <w:p w:rsidR="0058402C" w:rsidRPr="005C556C" w:rsidRDefault="0058402C" w:rsidP="00893041">
      <w:pPr>
        <w:spacing w:line="360" w:lineRule="auto"/>
        <w:rPr>
          <w:lang w:val="fr-FR"/>
        </w:rPr>
      </w:pPr>
    </w:p>
    <w:p w:rsidR="0058402C" w:rsidRPr="005C556C" w:rsidRDefault="000473B6" w:rsidP="005C556C">
      <w:pPr>
        <w:keepNext/>
        <w:outlineLvl w:val="1"/>
        <w:rPr>
          <w:i/>
          <w:snapToGrid w:val="0"/>
          <w:lang w:val="fr-FR"/>
        </w:rPr>
      </w:pPr>
      <w:r w:rsidRPr="005C556C">
        <w:rPr>
          <w:i/>
          <w:snapToGrid w:val="0"/>
          <w:lang w:val="fr-FR"/>
        </w:rPr>
        <w:t>Notes explicatives sur la protection provis</w:t>
      </w:r>
      <w:r w:rsidR="00121F8C" w:rsidRPr="005C556C">
        <w:rPr>
          <w:i/>
          <w:snapToGrid w:val="0"/>
          <w:lang w:val="fr-FR"/>
        </w:rPr>
        <w:t xml:space="preserve">oire selon la </w:t>
      </w:r>
      <w:r w:rsidR="00817667" w:rsidRPr="005C556C">
        <w:rPr>
          <w:i/>
          <w:snapToGrid w:val="0"/>
          <w:lang w:val="fr-FR"/>
        </w:rPr>
        <w:t>Convention UPOV</w:t>
      </w:r>
      <w:r w:rsidR="00121F8C" w:rsidRPr="005C556C">
        <w:rPr>
          <w:i/>
          <w:snapToGrid w:val="0"/>
          <w:lang w:val="fr-FR"/>
        </w:rPr>
        <w:t xml:space="preserve"> (r</w:t>
      </w:r>
      <w:r w:rsidRPr="005C556C">
        <w:rPr>
          <w:i/>
          <w:snapToGrid w:val="0"/>
          <w:lang w:val="fr-FR"/>
        </w:rPr>
        <w:t>évision)</w:t>
      </w:r>
    </w:p>
    <w:p w:rsidR="0058402C" w:rsidRPr="005C556C" w:rsidRDefault="0058402C" w:rsidP="005C556C">
      <w:pPr>
        <w:keepNext/>
        <w:outlineLvl w:val="1"/>
        <w:rPr>
          <w:i/>
          <w:snapToGrid w:val="0"/>
          <w:lang w:val="fr-FR"/>
        </w:rPr>
      </w:pPr>
    </w:p>
    <w:p w:rsidR="0058402C" w:rsidRPr="005C556C" w:rsidRDefault="00B84E4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501826" w:rsidRPr="005C556C">
        <w:rPr>
          <w:lang w:val="fr-FR"/>
        </w:rPr>
        <w:t xml:space="preserve">Le CAJ </w:t>
      </w:r>
      <w:r w:rsidR="00B73C94" w:rsidRPr="005C556C">
        <w:rPr>
          <w:lang w:val="fr-FR"/>
        </w:rPr>
        <w:t>approuve</w:t>
      </w:r>
      <w:r w:rsidR="00501826" w:rsidRPr="005C556C">
        <w:rPr>
          <w:lang w:val="fr-FR"/>
        </w:rPr>
        <w:t xml:space="preserve"> le document UPOV/EXN/PRP/2 Draft 3 </w:t>
      </w:r>
      <w:r w:rsidR="00B73C94" w:rsidRPr="005C556C">
        <w:rPr>
          <w:lang w:val="fr-FR"/>
        </w:rPr>
        <w:t>en tant que</w:t>
      </w:r>
      <w:r w:rsidR="00501826" w:rsidRPr="005C556C">
        <w:rPr>
          <w:lang w:val="fr-FR"/>
        </w:rPr>
        <w:t xml:space="preserve"> base pour la révision des “Notes explicatives sur la protection provisoire selon la </w:t>
      </w:r>
      <w:r w:rsidR="00817667" w:rsidRPr="005C556C">
        <w:rPr>
          <w:lang w:val="fr-FR"/>
        </w:rPr>
        <w:t>Convention UPOV</w:t>
      </w:r>
      <w:r w:rsidR="00501826" w:rsidRPr="005C556C">
        <w:rPr>
          <w:lang w:val="fr-FR"/>
        </w:rPr>
        <w:t>” (révision) (document UPOV/EXN/PRP/1) par le Conseil à sa quarante</w:t>
      </w:r>
      <w:r w:rsidR="002C6DE0" w:rsidRPr="005C556C">
        <w:rPr>
          <w:lang w:val="fr-FR"/>
        </w:rPr>
        <w:noBreakHyphen/>
      </w:r>
      <w:r w:rsidR="00501826" w:rsidRPr="005C556C">
        <w:rPr>
          <w:lang w:val="fr-FR"/>
        </w:rPr>
        <w:t>neuvième</w:t>
      </w:r>
      <w:r w:rsidR="00824A4B" w:rsidRPr="005C556C">
        <w:rPr>
          <w:lang w:val="fr-FR"/>
        </w:rPr>
        <w:t> </w:t>
      </w:r>
      <w:r w:rsidR="00501826" w:rsidRPr="005C556C">
        <w:rPr>
          <w:lang w:val="fr-FR"/>
        </w:rPr>
        <w:t>session ordinaire, prévue le 2</w:t>
      </w:r>
      <w:r w:rsidR="00817667" w:rsidRPr="005C556C">
        <w:rPr>
          <w:lang w:val="fr-FR"/>
        </w:rPr>
        <w:t>9 octobre 20</w:t>
      </w:r>
      <w:r w:rsidR="00501826" w:rsidRPr="005C556C">
        <w:rPr>
          <w:lang w:val="fr-FR"/>
        </w:rPr>
        <w:t xml:space="preserve">15, </w:t>
      </w:r>
      <w:r w:rsidR="00B73C94" w:rsidRPr="005C556C">
        <w:rPr>
          <w:lang w:val="fr-FR"/>
        </w:rPr>
        <w:t>sous réserve des</w:t>
      </w:r>
      <w:r w:rsidR="00501826" w:rsidRPr="005C556C">
        <w:rPr>
          <w:lang w:val="fr-FR"/>
        </w:rPr>
        <w:t xml:space="preserve"> modifications suivantes</w:t>
      </w:r>
      <w:r w:rsidR="00824A4B" w:rsidRPr="005C556C">
        <w:rPr>
          <w:lang w:val="fr-FR"/>
        </w:rPr>
        <w:t> </w:t>
      </w:r>
      <w:r w:rsidR="00501826" w:rsidRPr="005C556C">
        <w:rPr>
          <w:lang w:val="fr-FR"/>
        </w:rPr>
        <w:t>:</w:t>
      </w:r>
    </w:p>
    <w:p w:rsidR="0058402C" w:rsidRPr="005C556C" w:rsidRDefault="0058402C" w:rsidP="005C556C">
      <w:pPr>
        <w:rPr>
          <w:lang w:val="fr-FR"/>
        </w:rPr>
      </w:pPr>
    </w:p>
    <w:p w:rsidR="0058402C" w:rsidRPr="005C556C" w:rsidRDefault="00501826" w:rsidP="005C556C">
      <w:pPr>
        <w:ind w:firstLine="567"/>
        <w:rPr>
          <w:lang w:val="fr-FR"/>
        </w:rPr>
      </w:pPr>
      <w:r w:rsidRPr="005C556C">
        <w:rPr>
          <w:lang w:val="fr-FR"/>
        </w:rPr>
        <w:t>a)</w:t>
      </w:r>
      <w:r w:rsidRPr="005C556C">
        <w:rPr>
          <w:lang w:val="fr-FR"/>
        </w:rPr>
        <w:tab/>
        <w:t>au paragraphe</w:t>
      </w:r>
      <w:r w:rsidR="00824A4B" w:rsidRPr="005C556C">
        <w:rPr>
          <w:lang w:val="fr-FR"/>
        </w:rPr>
        <w:t> </w:t>
      </w:r>
      <w:r w:rsidRPr="005C556C">
        <w:rPr>
          <w:lang w:val="fr-FR"/>
        </w:rPr>
        <w:t xml:space="preserve">9, supprimer la phrase </w:t>
      </w:r>
      <w:r w:rsidR="00824A4B" w:rsidRPr="005C556C">
        <w:rPr>
          <w:lang w:val="fr-FR"/>
        </w:rPr>
        <w:t>“</w:t>
      </w:r>
      <w:r w:rsidRPr="005C556C">
        <w:rPr>
          <w:lang w:val="fr-FR"/>
        </w:rPr>
        <w:t>Par conséquent, si le droit n</w:t>
      </w:r>
      <w:r w:rsidR="00817667" w:rsidRPr="005C556C">
        <w:rPr>
          <w:lang w:val="fr-FR"/>
        </w:rPr>
        <w:t>’</w:t>
      </w:r>
      <w:r w:rsidRPr="005C556C">
        <w:rPr>
          <w:lang w:val="fr-FR"/>
        </w:rPr>
        <w:t>est pas octroyé, la protection provisoire n</w:t>
      </w:r>
      <w:r w:rsidR="00817667" w:rsidRPr="005C556C">
        <w:rPr>
          <w:lang w:val="fr-FR"/>
        </w:rPr>
        <w:t>’</w:t>
      </w:r>
      <w:r w:rsidRPr="005C556C">
        <w:rPr>
          <w:lang w:val="fr-FR"/>
        </w:rPr>
        <w:t>est pas applicable.</w:t>
      </w:r>
      <w:r w:rsidR="00824A4B" w:rsidRPr="005C556C">
        <w:rPr>
          <w:lang w:val="fr-FR"/>
        </w:rPr>
        <w:t>”;</w:t>
      </w:r>
      <w:r w:rsidRPr="005C556C">
        <w:rPr>
          <w:lang w:val="fr-FR"/>
        </w:rPr>
        <w:t xml:space="preserve">  et</w:t>
      </w:r>
    </w:p>
    <w:p w:rsidR="0058402C" w:rsidRPr="005C556C" w:rsidRDefault="0058402C" w:rsidP="005C556C">
      <w:pPr>
        <w:ind w:firstLine="567"/>
        <w:rPr>
          <w:lang w:val="fr-FR"/>
        </w:rPr>
      </w:pPr>
    </w:p>
    <w:p w:rsidR="0058402C" w:rsidRPr="005C556C" w:rsidRDefault="00B33817" w:rsidP="005C556C">
      <w:pPr>
        <w:ind w:firstLine="567"/>
        <w:rPr>
          <w:rFonts w:cs="Arial"/>
          <w:lang w:val="fr-FR"/>
        </w:rPr>
      </w:pPr>
      <w:r w:rsidRPr="005C556C">
        <w:rPr>
          <w:lang w:val="fr-FR"/>
        </w:rPr>
        <w:t>b)</w:t>
      </w:r>
      <w:r w:rsidRPr="005C556C">
        <w:rPr>
          <w:lang w:val="fr-FR"/>
        </w:rPr>
        <w:tab/>
      </w:r>
      <w:r w:rsidR="004B1C88" w:rsidRPr="005C556C">
        <w:rPr>
          <w:lang w:val="fr-FR"/>
        </w:rPr>
        <w:t xml:space="preserve">libeller </w:t>
      </w:r>
      <w:r w:rsidRPr="005C556C">
        <w:rPr>
          <w:lang w:val="fr-FR"/>
        </w:rPr>
        <w:t>le paragraphe</w:t>
      </w:r>
      <w:r w:rsidR="00824A4B" w:rsidRPr="005C556C">
        <w:rPr>
          <w:lang w:val="fr-FR"/>
        </w:rPr>
        <w:t> </w:t>
      </w:r>
      <w:r w:rsidRPr="005C556C">
        <w:rPr>
          <w:lang w:val="fr-FR"/>
        </w:rPr>
        <w:t xml:space="preserve">12 </w:t>
      </w:r>
      <w:r w:rsidR="004B1C88" w:rsidRPr="005C556C">
        <w:rPr>
          <w:lang w:val="fr-FR"/>
        </w:rPr>
        <w:t>de la manière suivante</w:t>
      </w:r>
      <w:r w:rsidR="00824A4B" w:rsidRPr="005C556C">
        <w:rPr>
          <w:lang w:val="fr-FR"/>
        </w:rPr>
        <w:t> </w:t>
      </w:r>
      <w:r w:rsidRPr="005C556C">
        <w:rPr>
          <w:lang w:val="fr-FR"/>
        </w:rPr>
        <w:t>: “Dans certains membres de l</w:t>
      </w:r>
      <w:r w:rsidR="00817667" w:rsidRPr="005C556C">
        <w:rPr>
          <w:lang w:val="fr-FR"/>
        </w:rPr>
        <w:t>’</w:t>
      </w:r>
      <w:r w:rsidRPr="005C556C">
        <w:rPr>
          <w:lang w:val="fr-FR"/>
        </w:rPr>
        <w:t>Union, une action en justice au titre de la protection provisoire ne peut être intentée qu</w:t>
      </w:r>
      <w:r w:rsidR="00817667" w:rsidRPr="005C556C">
        <w:rPr>
          <w:lang w:val="fr-FR"/>
        </w:rPr>
        <w:t>’</w:t>
      </w:r>
      <w:r w:rsidRPr="005C556C">
        <w:rPr>
          <w:lang w:val="fr-FR"/>
        </w:rPr>
        <w:t>après l</w:t>
      </w:r>
      <w:r w:rsidR="00817667" w:rsidRPr="005C556C">
        <w:rPr>
          <w:lang w:val="fr-FR"/>
        </w:rPr>
        <w:t>’</w:t>
      </w:r>
      <w:r w:rsidRPr="005C556C">
        <w:rPr>
          <w:lang w:val="fr-FR"/>
        </w:rPr>
        <w:t>octroi du droit.</w:t>
      </w:r>
      <w:r w:rsidR="00087F5E" w:rsidRPr="005C556C">
        <w:rPr>
          <w:lang w:val="fr-FR"/>
        </w:rPr>
        <w:t xml:space="preserve"> </w:t>
      </w:r>
      <w:r w:rsidR="00824A4B" w:rsidRPr="005C556C">
        <w:rPr>
          <w:lang w:val="fr-FR"/>
        </w:rPr>
        <w:t xml:space="preserve"> </w:t>
      </w:r>
      <w:r w:rsidRPr="005C556C">
        <w:rPr>
          <w:lang w:val="fr-FR"/>
        </w:rPr>
        <w:t>Dans d</w:t>
      </w:r>
      <w:r w:rsidR="00817667" w:rsidRPr="005C556C">
        <w:rPr>
          <w:lang w:val="fr-FR"/>
        </w:rPr>
        <w:t>’</w:t>
      </w:r>
      <w:r w:rsidRPr="005C556C">
        <w:rPr>
          <w:lang w:val="fr-FR"/>
        </w:rPr>
        <w:t>autres membres de l</w:t>
      </w:r>
      <w:r w:rsidR="00817667" w:rsidRPr="005C556C">
        <w:rPr>
          <w:lang w:val="fr-FR"/>
        </w:rPr>
        <w:t>’</w:t>
      </w:r>
      <w:r w:rsidRPr="005C556C">
        <w:rPr>
          <w:lang w:val="fr-FR"/>
        </w:rPr>
        <w:t>Union, il est possible d</w:t>
      </w:r>
      <w:r w:rsidR="00817667" w:rsidRPr="005C556C">
        <w:rPr>
          <w:lang w:val="fr-FR"/>
        </w:rPr>
        <w:t>’</w:t>
      </w:r>
      <w:r w:rsidRPr="005C556C">
        <w:rPr>
          <w:lang w:val="fr-FR"/>
        </w:rPr>
        <w:t>engager une action avant l</w:t>
      </w:r>
      <w:r w:rsidR="00817667" w:rsidRPr="005C556C">
        <w:rPr>
          <w:lang w:val="fr-FR"/>
        </w:rPr>
        <w:t>’</w:t>
      </w:r>
      <w:r w:rsidRPr="005C556C">
        <w:rPr>
          <w:lang w:val="fr-FR"/>
        </w:rPr>
        <w:t>octroi du droit d</w:t>
      </w:r>
      <w:r w:rsidR="00817667" w:rsidRPr="005C556C">
        <w:rPr>
          <w:lang w:val="fr-FR"/>
        </w:rPr>
        <w:t>’</w:t>
      </w:r>
      <w:r w:rsidRPr="005C556C">
        <w:rPr>
          <w:lang w:val="fr-FR"/>
        </w:rPr>
        <w:t>obtenteur.</w:t>
      </w:r>
      <w:r w:rsidR="00087F5E" w:rsidRPr="005C556C">
        <w:rPr>
          <w:lang w:val="fr-FR"/>
        </w:rPr>
        <w:t xml:space="preserve"> </w:t>
      </w:r>
      <w:r w:rsidR="00824A4B" w:rsidRPr="005C556C">
        <w:rPr>
          <w:lang w:val="fr-FR"/>
        </w:rPr>
        <w:t xml:space="preserve"> </w:t>
      </w:r>
      <w:r w:rsidR="00C76BF5" w:rsidRPr="005C556C">
        <w:rPr>
          <w:lang w:val="fr-FR"/>
        </w:rPr>
        <w:t>L</w:t>
      </w:r>
      <w:r w:rsidR="00817667" w:rsidRPr="005C556C">
        <w:rPr>
          <w:lang w:val="fr-FR"/>
        </w:rPr>
        <w:t>’</w:t>
      </w:r>
      <w:r w:rsidR="00C76BF5" w:rsidRPr="005C556C">
        <w:rPr>
          <w:lang w:val="fr-FR"/>
        </w:rPr>
        <w:t>autorité judiciaire compétente peut alors décider que le paiement de dommages</w:t>
      </w:r>
      <w:r w:rsidR="002C6DE0" w:rsidRPr="005C556C">
        <w:rPr>
          <w:lang w:val="fr-FR"/>
        </w:rPr>
        <w:noBreakHyphen/>
      </w:r>
      <w:r w:rsidR="00C76BF5" w:rsidRPr="005C556C">
        <w:rPr>
          <w:lang w:val="fr-FR"/>
        </w:rPr>
        <w:t>intérêts durant la période de protection provisoire n</w:t>
      </w:r>
      <w:r w:rsidR="00817667" w:rsidRPr="005C556C">
        <w:rPr>
          <w:lang w:val="fr-FR"/>
        </w:rPr>
        <w:t>’</w:t>
      </w:r>
      <w:r w:rsidR="00C76BF5" w:rsidRPr="005C556C">
        <w:rPr>
          <w:lang w:val="fr-FR"/>
        </w:rPr>
        <w:t>aurait force exécutoire qu</w:t>
      </w:r>
      <w:r w:rsidR="00817667" w:rsidRPr="005C556C">
        <w:rPr>
          <w:lang w:val="fr-FR"/>
        </w:rPr>
        <w:t>’</w:t>
      </w:r>
      <w:r w:rsidR="00C76BF5" w:rsidRPr="005C556C">
        <w:rPr>
          <w:lang w:val="fr-FR"/>
        </w:rPr>
        <w:t>après l</w:t>
      </w:r>
      <w:r w:rsidR="00817667" w:rsidRPr="005C556C">
        <w:rPr>
          <w:lang w:val="fr-FR"/>
        </w:rPr>
        <w:t>’</w:t>
      </w:r>
      <w:r w:rsidR="00C76BF5" w:rsidRPr="005C556C">
        <w:rPr>
          <w:lang w:val="fr-FR"/>
        </w:rPr>
        <w:t>octroi du droit.</w:t>
      </w:r>
      <w:r w:rsidR="00087F5E" w:rsidRPr="005C556C">
        <w:rPr>
          <w:lang w:val="fr-FR"/>
        </w:rPr>
        <w:t xml:space="preserve">  </w:t>
      </w:r>
      <w:r w:rsidR="00C76BF5" w:rsidRPr="005C556C">
        <w:rPr>
          <w:lang w:val="fr-FR"/>
        </w:rPr>
        <w:t>Dans ce cas, l</w:t>
      </w:r>
      <w:r w:rsidR="00817667" w:rsidRPr="005C556C">
        <w:rPr>
          <w:lang w:val="fr-FR"/>
        </w:rPr>
        <w:t>’</w:t>
      </w:r>
      <w:r w:rsidR="00C76BF5" w:rsidRPr="005C556C">
        <w:rPr>
          <w:lang w:val="fr-FR"/>
        </w:rPr>
        <w:t>autorité judiciaire pourrait, par exemple, demander au tiers de transférer le montant des dommages</w:t>
      </w:r>
      <w:r w:rsidR="002C6DE0" w:rsidRPr="005C556C">
        <w:rPr>
          <w:lang w:val="fr-FR"/>
        </w:rPr>
        <w:noBreakHyphen/>
      </w:r>
      <w:r w:rsidR="00C76BF5" w:rsidRPr="005C556C">
        <w:rPr>
          <w:lang w:val="fr-FR"/>
        </w:rPr>
        <w:t>intérêts sur un compte de dépôt en vue de son versement à l</w:t>
      </w:r>
      <w:r w:rsidR="00817667" w:rsidRPr="005C556C">
        <w:rPr>
          <w:lang w:val="fr-FR"/>
        </w:rPr>
        <w:t>’</w:t>
      </w:r>
      <w:r w:rsidR="00C76BF5" w:rsidRPr="005C556C">
        <w:rPr>
          <w:lang w:val="fr-FR"/>
        </w:rPr>
        <w:t>obtenteur en cas d</w:t>
      </w:r>
      <w:r w:rsidR="00817667" w:rsidRPr="005C556C">
        <w:rPr>
          <w:lang w:val="fr-FR"/>
        </w:rPr>
        <w:t>’</w:t>
      </w:r>
      <w:r w:rsidR="00C76BF5" w:rsidRPr="005C556C">
        <w:rPr>
          <w:lang w:val="fr-FR"/>
        </w:rPr>
        <w:t>octroi du droit.</w:t>
      </w:r>
      <w:r w:rsidR="00824A4B" w:rsidRPr="005C556C">
        <w:rPr>
          <w:lang w:val="fr-FR"/>
        </w:rPr>
        <w:t>”</w:t>
      </w:r>
    </w:p>
    <w:p w:rsidR="0058402C" w:rsidRPr="005C556C" w:rsidRDefault="0058402C" w:rsidP="00893041">
      <w:pPr>
        <w:spacing w:line="360" w:lineRule="auto"/>
        <w:rPr>
          <w:spacing w:val="-3"/>
          <w:lang w:val="fr-FR"/>
        </w:rPr>
      </w:pPr>
    </w:p>
    <w:p w:rsidR="00817667" w:rsidRPr="005C556C" w:rsidRDefault="00C76BF5" w:rsidP="005C556C">
      <w:pPr>
        <w:keepNext/>
        <w:outlineLvl w:val="1"/>
        <w:rPr>
          <w:i/>
          <w:snapToGrid w:val="0"/>
          <w:lang w:val="fr-FR"/>
        </w:rPr>
      </w:pPr>
      <w:bookmarkStart w:id="3" w:name="_Toc413059225"/>
      <w:r w:rsidRPr="005C556C">
        <w:rPr>
          <w:i/>
          <w:snapToGrid w:val="0"/>
          <w:lang w:val="fr-FR"/>
        </w:rPr>
        <w:t>Questions concernant les descriptions variétales examinées par</w:t>
      </w:r>
      <w:r w:rsidR="00817667" w:rsidRPr="005C556C">
        <w:rPr>
          <w:i/>
          <w:snapToGrid w:val="0"/>
          <w:lang w:val="fr-FR"/>
        </w:rPr>
        <w:t xml:space="preserve"> le CAJ</w:t>
      </w:r>
      <w:r w:rsidR="002C6DE0" w:rsidRPr="005C556C">
        <w:rPr>
          <w:i/>
          <w:snapToGrid w:val="0"/>
          <w:lang w:val="fr-FR"/>
        </w:rPr>
        <w:noBreakHyphen/>
      </w:r>
      <w:r w:rsidRPr="005C556C">
        <w:rPr>
          <w:i/>
          <w:snapToGrid w:val="0"/>
          <w:lang w:val="fr-FR"/>
        </w:rPr>
        <w:t>AG</w:t>
      </w:r>
      <w:bookmarkEnd w:id="3"/>
    </w:p>
    <w:p w:rsidR="0058402C" w:rsidRPr="005C556C" w:rsidRDefault="0058402C" w:rsidP="005C556C">
      <w:pPr>
        <w:keepNext/>
        <w:tabs>
          <w:tab w:val="left" w:pos="5387"/>
          <w:tab w:val="left" w:pos="5954"/>
        </w:tabs>
        <w:rPr>
          <w:i/>
          <w:lang w:val="fr-FR"/>
        </w:rPr>
      </w:pPr>
    </w:p>
    <w:p w:rsidR="0058402C" w:rsidRPr="005C556C" w:rsidRDefault="009A466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76BF5" w:rsidRPr="005C556C">
        <w:rPr>
          <w:lang w:val="fr-FR"/>
        </w:rPr>
        <w:t>Le CAJ souscrit à la conclusion adoptée par</w:t>
      </w:r>
      <w:r w:rsidR="00817667" w:rsidRPr="005C556C">
        <w:rPr>
          <w:lang w:val="fr-FR"/>
        </w:rPr>
        <w:t xml:space="preserve"> le CAJ</w:t>
      </w:r>
      <w:r w:rsidR="002C6DE0" w:rsidRPr="005C556C">
        <w:rPr>
          <w:lang w:val="fr-FR"/>
        </w:rPr>
        <w:noBreakHyphen/>
      </w:r>
      <w:r w:rsidR="00C76BF5" w:rsidRPr="005C556C">
        <w:rPr>
          <w:lang w:val="fr-FR"/>
        </w:rPr>
        <w:t>AG, à sa neuvième</w:t>
      </w:r>
      <w:r w:rsidR="00824A4B" w:rsidRPr="005C556C">
        <w:rPr>
          <w:lang w:val="fr-FR"/>
        </w:rPr>
        <w:t> </w:t>
      </w:r>
      <w:r w:rsidR="00C76BF5" w:rsidRPr="005C556C">
        <w:rPr>
          <w:lang w:val="fr-FR"/>
        </w:rPr>
        <w:t>session, sur le ou les buts de la description variétale élaborée au moment de l</w:t>
      </w:r>
      <w:r w:rsidR="00817667" w:rsidRPr="005C556C">
        <w:rPr>
          <w:lang w:val="fr-FR"/>
        </w:rPr>
        <w:t>’</w:t>
      </w:r>
      <w:r w:rsidR="00C76BF5" w:rsidRPr="005C556C">
        <w:rPr>
          <w:lang w:val="fr-FR"/>
        </w:rPr>
        <w:t>octroi du droit d</w:t>
      </w:r>
      <w:r w:rsidR="00817667" w:rsidRPr="005C556C">
        <w:rPr>
          <w:lang w:val="fr-FR"/>
        </w:rPr>
        <w:t>’</w:t>
      </w:r>
      <w:r w:rsidR="00C76BF5" w:rsidRPr="005C556C">
        <w:rPr>
          <w:lang w:val="fr-FR"/>
        </w:rPr>
        <w:t>obtenteur (description variétale initiale), comme indiqué au paragraphe</w:t>
      </w:r>
      <w:r w:rsidR="00824A4B" w:rsidRPr="005C556C">
        <w:rPr>
          <w:lang w:val="fr-FR"/>
        </w:rPr>
        <w:t> </w:t>
      </w:r>
      <w:r w:rsidR="00C76BF5" w:rsidRPr="005C556C">
        <w:rPr>
          <w:lang w:val="fr-FR"/>
        </w:rPr>
        <w:t>37 du document CAJ/71/2, reproduit ci</w:t>
      </w:r>
      <w:r w:rsidR="002C6DE0" w:rsidRPr="005C556C">
        <w:rPr>
          <w:lang w:val="fr-FR"/>
        </w:rPr>
        <w:noBreakHyphen/>
      </w:r>
      <w:r w:rsidR="00C76BF5" w:rsidRPr="005C556C">
        <w:rPr>
          <w:lang w:val="fr-FR"/>
        </w:rPr>
        <w:t>dessous</w:t>
      </w:r>
      <w:r w:rsidR="00824A4B" w:rsidRPr="005C556C">
        <w:rPr>
          <w:lang w:val="fr-FR"/>
        </w:rPr>
        <w:t> </w:t>
      </w:r>
      <w:r w:rsidR="00C76BF5" w:rsidRPr="005C556C">
        <w:rPr>
          <w:lang w:val="fr-FR"/>
        </w:rPr>
        <w:t>:</w:t>
      </w:r>
    </w:p>
    <w:p w:rsidR="0058402C" w:rsidRPr="005C556C" w:rsidRDefault="0058402C" w:rsidP="005C556C">
      <w:pPr>
        <w:rPr>
          <w:lang w:val="fr-FR"/>
        </w:rPr>
      </w:pPr>
    </w:p>
    <w:p w:rsidR="0058402C" w:rsidRPr="005C556C" w:rsidRDefault="006C100B" w:rsidP="005C556C">
      <w:pPr>
        <w:ind w:left="567" w:right="567"/>
        <w:rPr>
          <w:sz w:val="18"/>
          <w:lang w:val="fr-FR"/>
        </w:rPr>
      </w:pPr>
      <w:r w:rsidRPr="005C556C">
        <w:rPr>
          <w:sz w:val="18"/>
          <w:lang w:val="fr-FR"/>
        </w:rPr>
        <w:t>“37.</w:t>
      </w:r>
      <w:r w:rsidRPr="005C556C">
        <w:rPr>
          <w:sz w:val="18"/>
          <w:lang w:val="fr-FR"/>
        </w:rPr>
        <w:tab/>
      </w:r>
      <w:r w:rsidR="000473B6" w:rsidRPr="005C556C">
        <w:rPr>
          <w:sz w:val="18"/>
          <w:lang w:val="fr-FR"/>
        </w:rPr>
        <w:t>Le CAJ</w:t>
      </w:r>
      <w:r w:rsidR="002C6DE0" w:rsidRPr="005C556C">
        <w:rPr>
          <w:sz w:val="18"/>
          <w:lang w:val="fr-FR"/>
        </w:rPr>
        <w:noBreakHyphen/>
      </w:r>
      <w:r w:rsidR="000473B6" w:rsidRPr="005C556C">
        <w:rPr>
          <w:sz w:val="18"/>
          <w:lang w:val="fr-FR"/>
        </w:rPr>
        <w:t>AG est convenu que, sur la base de la section</w:t>
      </w:r>
      <w:r w:rsidR="00824A4B" w:rsidRPr="005C556C">
        <w:rPr>
          <w:sz w:val="18"/>
          <w:lang w:val="fr-FR"/>
        </w:rPr>
        <w:t> </w:t>
      </w:r>
      <w:r w:rsidR="000473B6" w:rsidRPr="005C556C">
        <w:rPr>
          <w:sz w:val="18"/>
          <w:lang w:val="fr-FR"/>
        </w:rPr>
        <w:t>6 du “Rapport UPOV d</w:t>
      </w:r>
      <w:r w:rsidR="00817667" w:rsidRPr="005C556C">
        <w:rPr>
          <w:sz w:val="18"/>
          <w:lang w:val="fr-FR"/>
        </w:rPr>
        <w:t>’</w:t>
      </w:r>
      <w:r w:rsidR="000473B6" w:rsidRPr="005C556C">
        <w:rPr>
          <w:sz w:val="18"/>
          <w:lang w:val="fr-FR"/>
        </w:rPr>
        <w:t>examen technique et Formulaire UPOV de description variétale” du document TGP/5 “Expérience et coopération en matière d</w:t>
      </w:r>
      <w:r w:rsidR="00817667" w:rsidRPr="005C556C">
        <w:rPr>
          <w:sz w:val="18"/>
          <w:lang w:val="fr-FR"/>
        </w:rPr>
        <w:t>’</w:t>
      </w:r>
      <w:r w:rsidR="000473B6" w:rsidRPr="005C556C">
        <w:rPr>
          <w:sz w:val="18"/>
          <w:lang w:val="fr-FR"/>
        </w:rPr>
        <w:t>examen</w:t>
      </w:r>
      <w:r w:rsidR="00824A4B" w:rsidRPr="005C556C">
        <w:rPr>
          <w:sz w:val="18"/>
          <w:lang w:val="fr-FR"/>
        </w:rPr>
        <w:t> </w:t>
      </w:r>
      <w:r w:rsidR="000473B6" w:rsidRPr="005C556C">
        <w:rPr>
          <w:sz w:val="18"/>
          <w:lang w:val="fr-FR"/>
        </w:rPr>
        <w:t>DHS”, le but de la description variétale élaborée au moment de l</w:t>
      </w:r>
      <w:r w:rsidR="00817667" w:rsidRPr="005C556C">
        <w:rPr>
          <w:sz w:val="18"/>
          <w:lang w:val="fr-FR"/>
        </w:rPr>
        <w:t>’</w:t>
      </w:r>
      <w:r w:rsidR="000473B6" w:rsidRPr="005C556C">
        <w:rPr>
          <w:sz w:val="18"/>
          <w:lang w:val="fr-FR"/>
        </w:rPr>
        <w:t>octroi du droit d</w:t>
      </w:r>
      <w:r w:rsidR="00817667" w:rsidRPr="005C556C">
        <w:rPr>
          <w:sz w:val="18"/>
          <w:lang w:val="fr-FR"/>
        </w:rPr>
        <w:t>’</w:t>
      </w:r>
      <w:r w:rsidR="000473B6" w:rsidRPr="005C556C">
        <w:rPr>
          <w:sz w:val="18"/>
          <w:lang w:val="fr-FR"/>
        </w:rPr>
        <w:t>obtenteur (description variétale initiale) pourrait être résumé comme suit</w:t>
      </w:r>
      <w:r w:rsidR="00824A4B" w:rsidRPr="005C556C">
        <w:rPr>
          <w:sz w:val="18"/>
          <w:lang w:val="fr-FR"/>
        </w:rPr>
        <w:t> </w:t>
      </w:r>
      <w:r w:rsidR="000473B6" w:rsidRPr="005C556C">
        <w:rPr>
          <w:sz w:val="18"/>
          <w:lang w:val="fr-FR"/>
        </w:rPr>
        <w:t>:</w:t>
      </w:r>
    </w:p>
    <w:p w:rsidR="0058402C" w:rsidRPr="005C556C" w:rsidRDefault="0058402C" w:rsidP="005C556C">
      <w:pPr>
        <w:ind w:left="567" w:right="567"/>
        <w:rPr>
          <w:sz w:val="18"/>
          <w:lang w:val="fr-FR"/>
        </w:rPr>
      </w:pPr>
    </w:p>
    <w:p w:rsidR="00817667" w:rsidRPr="005C556C" w:rsidRDefault="005219A2" w:rsidP="005C556C">
      <w:pPr>
        <w:ind w:left="1134" w:right="567"/>
        <w:rPr>
          <w:sz w:val="18"/>
          <w:lang w:val="fr-FR"/>
        </w:rPr>
      </w:pPr>
      <w:r w:rsidRPr="005C556C">
        <w:rPr>
          <w:sz w:val="18"/>
          <w:lang w:val="fr-FR"/>
        </w:rPr>
        <w:t>“</w:t>
      </w:r>
      <w:r w:rsidR="00661C02" w:rsidRPr="005C556C">
        <w:rPr>
          <w:sz w:val="18"/>
          <w:lang w:val="fr-FR"/>
        </w:rPr>
        <w:t>a)</w:t>
      </w:r>
      <w:r w:rsidR="00661C02" w:rsidRPr="005C556C">
        <w:rPr>
          <w:sz w:val="18"/>
          <w:lang w:val="fr-FR"/>
        </w:rPr>
        <w:tab/>
      </w:r>
      <w:r w:rsidR="00E754E6" w:rsidRPr="005C556C">
        <w:rPr>
          <w:sz w:val="18"/>
          <w:lang w:val="fr-FR"/>
        </w:rPr>
        <w:t xml:space="preserve">décrire les caractères de la variété; </w:t>
      </w:r>
      <w:r w:rsidR="00824A4B" w:rsidRPr="005C556C">
        <w:rPr>
          <w:sz w:val="18"/>
          <w:lang w:val="fr-FR"/>
        </w:rPr>
        <w:t xml:space="preserve"> </w:t>
      </w:r>
      <w:r w:rsidR="00E754E6" w:rsidRPr="005C556C">
        <w:rPr>
          <w:sz w:val="18"/>
          <w:lang w:val="fr-FR"/>
        </w:rPr>
        <w:t>et</w:t>
      </w:r>
    </w:p>
    <w:p w:rsidR="00817667" w:rsidRPr="005C556C" w:rsidRDefault="005219A2" w:rsidP="005C556C">
      <w:pPr>
        <w:ind w:left="1689" w:right="567" w:hanging="555"/>
        <w:rPr>
          <w:sz w:val="18"/>
          <w:lang w:val="fr-FR"/>
        </w:rPr>
      </w:pPr>
      <w:r w:rsidRPr="005C556C">
        <w:rPr>
          <w:sz w:val="18"/>
          <w:lang w:val="fr-FR"/>
        </w:rPr>
        <w:t>“</w:t>
      </w:r>
      <w:r w:rsidR="00E754E6" w:rsidRPr="005C556C">
        <w:rPr>
          <w:sz w:val="18"/>
          <w:lang w:val="fr-FR"/>
        </w:rPr>
        <w:t>b)</w:t>
      </w:r>
      <w:r w:rsidR="00E754E6" w:rsidRPr="005C556C">
        <w:rPr>
          <w:sz w:val="18"/>
          <w:lang w:val="fr-FR"/>
        </w:rPr>
        <w:tab/>
        <w:t>identifier les variétés voisines et les différences par rapport à ces variétés, et en dresser la liste;</w:t>
      </w:r>
    </w:p>
    <w:p w:rsidR="0058402C" w:rsidRPr="005C556C" w:rsidRDefault="005219A2" w:rsidP="005C556C">
      <w:pPr>
        <w:ind w:left="1134" w:right="567" w:firstLine="555"/>
        <w:rPr>
          <w:sz w:val="18"/>
          <w:lang w:val="fr-FR"/>
        </w:rPr>
      </w:pPr>
      <w:r w:rsidRPr="005C556C">
        <w:rPr>
          <w:sz w:val="18"/>
          <w:lang w:val="fr-FR"/>
        </w:rPr>
        <w:t>“</w:t>
      </w:r>
      <w:r w:rsidR="00E754E6" w:rsidRPr="005C556C">
        <w:rPr>
          <w:sz w:val="18"/>
          <w:lang w:val="fr-FR"/>
        </w:rPr>
        <w:t xml:space="preserve">avec les informations sur la base pour a) et b), </w:t>
      </w:r>
      <w:r w:rsidR="00817667" w:rsidRPr="005C556C">
        <w:rPr>
          <w:sz w:val="18"/>
          <w:lang w:val="fr-FR"/>
        </w:rPr>
        <w:t>à savoir</w:t>
      </w:r>
      <w:r w:rsidR="00824A4B" w:rsidRPr="005C556C">
        <w:rPr>
          <w:sz w:val="18"/>
          <w:lang w:val="fr-FR"/>
        </w:rPr>
        <w:t> </w:t>
      </w:r>
      <w:r w:rsidR="00E754E6" w:rsidRPr="005C556C">
        <w:rPr>
          <w:sz w:val="18"/>
          <w:lang w:val="fr-FR"/>
        </w:rPr>
        <w:t>:</w:t>
      </w:r>
    </w:p>
    <w:p w:rsidR="0058402C" w:rsidRPr="005C556C" w:rsidRDefault="005219A2" w:rsidP="005C556C">
      <w:pPr>
        <w:ind w:left="2268" w:right="567" w:hanging="567"/>
        <w:rPr>
          <w:sz w:val="18"/>
          <w:lang w:val="fr-FR"/>
        </w:rPr>
      </w:pPr>
      <w:r w:rsidRPr="005C556C">
        <w:rPr>
          <w:sz w:val="18"/>
          <w:lang w:val="fr-FR"/>
        </w:rPr>
        <w:t>“</w:t>
      </w:r>
      <w:r w:rsidRPr="002F266D">
        <w:rPr>
          <w:sz w:val="14"/>
          <w:lang w:val="fr-FR"/>
        </w:rPr>
        <w:sym w:font="Wingdings 2" w:char="F097"/>
      </w:r>
      <w:r w:rsidR="00121F8C" w:rsidRPr="005C556C">
        <w:rPr>
          <w:sz w:val="18"/>
          <w:lang w:val="fr-FR"/>
        </w:rPr>
        <w:tab/>
      </w:r>
      <w:r w:rsidR="00E754E6" w:rsidRPr="005C556C">
        <w:rPr>
          <w:sz w:val="18"/>
          <w:lang w:val="fr-FR"/>
        </w:rPr>
        <w:t>Date et référence du document contenant les principes directeurs d</w:t>
      </w:r>
      <w:r w:rsidR="00817667" w:rsidRPr="005C556C">
        <w:rPr>
          <w:sz w:val="18"/>
          <w:lang w:val="fr-FR"/>
        </w:rPr>
        <w:t>’</w:t>
      </w:r>
      <w:r w:rsidR="00E754E6" w:rsidRPr="005C556C">
        <w:rPr>
          <w:sz w:val="18"/>
          <w:lang w:val="fr-FR"/>
        </w:rPr>
        <w:t>examen de l</w:t>
      </w:r>
      <w:r w:rsidR="00817667" w:rsidRPr="005C556C">
        <w:rPr>
          <w:sz w:val="18"/>
          <w:lang w:val="fr-FR"/>
        </w:rPr>
        <w:t>’</w:t>
      </w:r>
      <w:r w:rsidR="00E754E6" w:rsidRPr="005C556C">
        <w:rPr>
          <w:sz w:val="18"/>
          <w:lang w:val="fr-FR"/>
        </w:rPr>
        <w:t>UPOV</w:t>
      </w:r>
      <w:r w:rsidR="00661C02" w:rsidRPr="005C556C">
        <w:rPr>
          <w:sz w:val="18"/>
          <w:lang w:val="fr-FR"/>
        </w:rPr>
        <w:t>;</w:t>
      </w:r>
    </w:p>
    <w:p w:rsidR="0058402C" w:rsidRPr="005C556C" w:rsidRDefault="005219A2" w:rsidP="005C556C">
      <w:pPr>
        <w:ind w:left="2268" w:right="567" w:hanging="567"/>
        <w:rPr>
          <w:sz w:val="18"/>
          <w:lang w:val="fr-FR"/>
        </w:rPr>
      </w:pPr>
      <w:r w:rsidRPr="005C556C">
        <w:rPr>
          <w:sz w:val="18"/>
          <w:lang w:val="fr-FR"/>
        </w:rPr>
        <w:t>“</w:t>
      </w:r>
      <w:r w:rsidR="002F266D" w:rsidRPr="002F266D">
        <w:rPr>
          <w:sz w:val="14"/>
          <w:lang w:val="fr-FR"/>
        </w:rPr>
        <w:sym w:font="Wingdings 2" w:char="F097"/>
      </w:r>
      <w:r w:rsidR="000473B6" w:rsidRPr="005C556C">
        <w:rPr>
          <w:sz w:val="18"/>
          <w:lang w:val="fr-FR"/>
        </w:rPr>
        <w:tab/>
        <w:t>Date et/ou référence des principes directeurs du service ayant établi le rapport d</w:t>
      </w:r>
      <w:r w:rsidR="00817667" w:rsidRPr="005C556C">
        <w:rPr>
          <w:sz w:val="18"/>
          <w:lang w:val="fr-FR"/>
        </w:rPr>
        <w:t>’</w:t>
      </w:r>
      <w:r w:rsidR="000473B6" w:rsidRPr="005C556C">
        <w:rPr>
          <w:sz w:val="18"/>
          <w:lang w:val="fr-FR"/>
        </w:rPr>
        <w:t>examen</w:t>
      </w:r>
      <w:r w:rsidRPr="005C556C">
        <w:rPr>
          <w:sz w:val="18"/>
          <w:lang w:val="fr-FR"/>
        </w:rPr>
        <w:t>;</w:t>
      </w:r>
    </w:p>
    <w:p w:rsidR="0058402C" w:rsidRPr="005C556C" w:rsidRDefault="005219A2" w:rsidP="005C556C">
      <w:pPr>
        <w:ind w:left="1701" w:right="567"/>
        <w:rPr>
          <w:sz w:val="18"/>
          <w:lang w:val="fr-FR"/>
        </w:rPr>
      </w:pPr>
      <w:r w:rsidRPr="005C556C">
        <w:rPr>
          <w:sz w:val="18"/>
          <w:lang w:val="fr-FR"/>
        </w:rPr>
        <w:t>“</w:t>
      </w:r>
      <w:r w:rsidR="002F266D" w:rsidRPr="002F266D">
        <w:rPr>
          <w:sz w:val="14"/>
          <w:lang w:val="fr-FR"/>
        </w:rPr>
        <w:sym w:font="Wingdings 2" w:char="F097"/>
      </w:r>
      <w:r w:rsidR="00661C02" w:rsidRPr="005C556C">
        <w:rPr>
          <w:sz w:val="18"/>
          <w:lang w:val="fr-FR"/>
        </w:rPr>
        <w:tab/>
      </w:r>
      <w:r w:rsidR="00E754E6" w:rsidRPr="005C556C">
        <w:rPr>
          <w:sz w:val="18"/>
          <w:lang w:val="fr-FR"/>
        </w:rPr>
        <w:t>Service ayant établi le rapport d</w:t>
      </w:r>
      <w:r w:rsidR="00817667" w:rsidRPr="005C556C">
        <w:rPr>
          <w:sz w:val="18"/>
          <w:lang w:val="fr-FR"/>
        </w:rPr>
        <w:t>’</w:t>
      </w:r>
      <w:r w:rsidR="00E754E6" w:rsidRPr="005C556C">
        <w:rPr>
          <w:sz w:val="18"/>
          <w:lang w:val="fr-FR"/>
        </w:rPr>
        <w:t>examen</w:t>
      </w:r>
      <w:r w:rsidR="00661C02" w:rsidRPr="005C556C">
        <w:rPr>
          <w:sz w:val="18"/>
          <w:lang w:val="fr-FR"/>
        </w:rPr>
        <w:t>;</w:t>
      </w:r>
    </w:p>
    <w:p w:rsidR="00817667" w:rsidRPr="005C556C" w:rsidRDefault="005219A2" w:rsidP="005C556C">
      <w:pPr>
        <w:ind w:left="1701" w:right="567"/>
        <w:rPr>
          <w:sz w:val="18"/>
          <w:lang w:val="fr-FR"/>
        </w:rPr>
      </w:pPr>
      <w:r w:rsidRPr="005C556C">
        <w:rPr>
          <w:sz w:val="18"/>
          <w:lang w:val="fr-FR"/>
        </w:rPr>
        <w:t>“</w:t>
      </w:r>
      <w:r w:rsidR="002F266D" w:rsidRPr="002F266D">
        <w:rPr>
          <w:sz w:val="14"/>
          <w:lang w:val="fr-FR"/>
        </w:rPr>
        <w:sym w:font="Wingdings 2" w:char="F097"/>
      </w:r>
      <w:r w:rsidR="00661C02" w:rsidRPr="005C556C">
        <w:rPr>
          <w:sz w:val="18"/>
          <w:lang w:val="fr-FR"/>
        </w:rPr>
        <w:tab/>
      </w:r>
      <w:r w:rsidR="00E754E6" w:rsidRPr="005C556C">
        <w:rPr>
          <w:sz w:val="18"/>
          <w:lang w:val="fr-FR"/>
        </w:rPr>
        <w:t>Station(s) et lieu(x) d</w:t>
      </w:r>
      <w:r w:rsidR="00817667" w:rsidRPr="005C556C">
        <w:rPr>
          <w:sz w:val="18"/>
          <w:lang w:val="fr-FR"/>
        </w:rPr>
        <w:t>’</w:t>
      </w:r>
      <w:r w:rsidR="00E754E6" w:rsidRPr="005C556C">
        <w:rPr>
          <w:sz w:val="18"/>
          <w:lang w:val="fr-FR"/>
        </w:rPr>
        <w:t>examen;</w:t>
      </w:r>
    </w:p>
    <w:p w:rsidR="00817667" w:rsidRPr="005C556C" w:rsidRDefault="005219A2" w:rsidP="005C556C">
      <w:pPr>
        <w:ind w:left="1701" w:right="567"/>
        <w:rPr>
          <w:sz w:val="18"/>
          <w:lang w:val="fr-FR"/>
        </w:rPr>
      </w:pPr>
      <w:r w:rsidRPr="005C556C">
        <w:rPr>
          <w:sz w:val="18"/>
          <w:lang w:val="fr-FR"/>
        </w:rPr>
        <w:t>“</w:t>
      </w:r>
      <w:r w:rsidR="002F266D" w:rsidRPr="002F266D">
        <w:rPr>
          <w:sz w:val="14"/>
          <w:lang w:val="fr-FR"/>
        </w:rPr>
        <w:sym w:font="Wingdings 2" w:char="F097"/>
      </w:r>
      <w:r w:rsidR="00661C02" w:rsidRPr="005C556C">
        <w:rPr>
          <w:sz w:val="18"/>
          <w:lang w:val="fr-FR"/>
        </w:rPr>
        <w:tab/>
      </w:r>
      <w:r w:rsidR="00E754E6" w:rsidRPr="005C556C">
        <w:rPr>
          <w:sz w:val="18"/>
          <w:lang w:val="fr-FR"/>
        </w:rPr>
        <w:t>Période d</w:t>
      </w:r>
      <w:r w:rsidR="00817667" w:rsidRPr="005C556C">
        <w:rPr>
          <w:sz w:val="18"/>
          <w:lang w:val="fr-FR"/>
        </w:rPr>
        <w:t>’</w:t>
      </w:r>
      <w:r w:rsidR="00E754E6" w:rsidRPr="005C556C">
        <w:rPr>
          <w:sz w:val="18"/>
          <w:lang w:val="fr-FR"/>
        </w:rPr>
        <w:t>examen;</w:t>
      </w:r>
    </w:p>
    <w:p w:rsidR="0058402C" w:rsidRPr="005C556C" w:rsidRDefault="005219A2" w:rsidP="005C556C">
      <w:pPr>
        <w:ind w:left="1701" w:right="567"/>
        <w:rPr>
          <w:sz w:val="18"/>
          <w:lang w:val="fr-FR"/>
        </w:rPr>
      </w:pPr>
      <w:r w:rsidRPr="005C556C">
        <w:rPr>
          <w:sz w:val="18"/>
          <w:lang w:val="fr-FR"/>
        </w:rPr>
        <w:t>“</w:t>
      </w:r>
      <w:r w:rsidR="002F266D" w:rsidRPr="002F266D">
        <w:rPr>
          <w:sz w:val="14"/>
          <w:lang w:val="fr-FR"/>
        </w:rPr>
        <w:sym w:font="Wingdings 2" w:char="F097"/>
      </w:r>
      <w:r w:rsidR="00661C02" w:rsidRPr="005C556C">
        <w:rPr>
          <w:sz w:val="18"/>
          <w:lang w:val="fr-FR"/>
        </w:rPr>
        <w:tab/>
      </w:r>
      <w:r w:rsidR="00E754E6" w:rsidRPr="005C556C">
        <w:rPr>
          <w:sz w:val="18"/>
          <w:lang w:val="fr-FR"/>
        </w:rPr>
        <w:t>Date et lieu de publication du document</w:t>
      </w:r>
      <w:r w:rsidR="00661C02" w:rsidRPr="005C556C">
        <w:rPr>
          <w:sz w:val="18"/>
          <w:lang w:val="fr-FR"/>
        </w:rPr>
        <w:t>;</w:t>
      </w:r>
    </w:p>
    <w:p w:rsidR="0058402C" w:rsidRPr="005C556C" w:rsidRDefault="005219A2" w:rsidP="005C556C">
      <w:pPr>
        <w:ind w:left="1701" w:right="567"/>
        <w:rPr>
          <w:sz w:val="18"/>
          <w:lang w:val="fr-FR"/>
        </w:rPr>
      </w:pPr>
      <w:r w:rsidRPr="005C556C">
        <w:rPr>
          <w:sz w:val="18"/>
          <w:lang w:val="fr-FR"/>
        </w:rPr>
        <w:t>“</w:t>
      </w:r>
      <w:r w:rsidR="002F266D" w:rsidRPr="002F266D">
        <w:rPr>
          <w:sz w:val="14"/>
          <w:lang w:val="fr-FR"/>
        </w:rPr>
        <w:sym w:font="Wingdings 2" w:char="F097"/>
      </w:r>
      <w:r w:rsidR="00661C02" w:rsidRPr="005C556C">
        <w:rPr>
          <w:sz w:val="18"/>
          <w:lang w:val="fr-FR"/>
        </w:rPr>
        <w:tab/>
        <w:t>Group</w:t>
      </w:r>
      <w:r w:rsidR="00E754E6" w:rsidRPr="005C556C">
        <w:rPr>
          <w:sz w:val="18"/>
          <w:lang w:val="fr-FR"/>
        </w:rPr>
        <w:t>e</w:t>
      </w:r>
      <w:r w:rsidR="00824A4B" w:rsidRPr="005C556C">
        <w:rPr>
          <w:sz w:val="18"/>
          <w:lang w:val="fr-FR"/>
        </w:rPr>
        <w:t> </w:t>
      </w:r>
      <w:r w:rsidR="00661C02" w:rsidRPr="005C556C">
        <w:rPr>
          <w:sz w:val="18"/>
          <w:lang w:val="fr-FR"/>
        </w:rPr>
        <w:t>: (</w:t>
      </w:r>
      <w:r w:rsidR="00E754E6" w:rsidRPr="005C556C">
        <w:rPr>
          <w:sz w:val="18"/>
          <w:lang w:val="fr-FR"/>
        </w:rPr>
        <w:t>tableau</w:t>
      </w:r>
      <w:r w:rsidR="00824A4B" w:rsidRPr="005C556C">
        <w:rPr>
          <w:sz w:val="18"/>
          <w:lang w:val="fr-FR"/>
        </w:rPr>
        <w:t> </w:t>
      </w:r>
      <w:r w:rsidR="00E754E6" w:rsidRPr="005C556C">
        <w:rPr>
          <w:sz w:val="18"/>
          <w:lang w:val="fr-FR"/>
        </w:rPr>
        <w:t xml:space="preserve">: caractères; </w:t>
      </w:r>
      <w:r w:rsidR="004B1C88" w:rsidRPr="005C556C">
        <w:rPr>
          <w:sz w:val="18"/>
          <w:lang w:val="fr-FR"/>
        </w:rPr>
        <w:t xml:space="preserve"> </w:t>
      </w:r>
      <w:r w:rsidR="00E754E6" w:rsidRPr="005C556C">
        <w:rPr>
          <w:sz w:val="18"/>
          <w:lang w:val="fr-FR"/>
        </w:rPr>
        <w:t>niveaux d</w:t>
      </w:r>
      <w:r w:rsidR="00817667" w:rsidRPr="005C556C">
        <w:rPr>
          <w:sz w:val="18"/>
          <w:lang w:val="fr-FR"/>
        </w:rPr>
        <w:t>’</w:t>
      </w:r>
      <w:r w:rsidR="00E754E6" w:rsidRPr="005C556C">
        <w:rPr>
          <w:sz w:val="18"/>
          <w:lang w:val="fr-FR"/>
        </w:rPr>
        <w:t xml:space="preserve">expression; </w:t>
      </w:r>
      <w:r w:rsidR="004B1C88" w:rsidRPr="005C556C">
        <w:rPr>
          <w:sz w:val="18"/>
          <w:lang w:val="fr-FR"/>
        </w:rPr>
        <w:t xml:space="preserve"> </w:t>
      </w:r>
      <w:r w:rsidR="00E754E6" w:rsidRPr="005C556C">
        <w:rPr>
          <w:sz w:val="18"/>
          <w:lang w:val="fr-FR"/>
        </w:rPr>
        <w:t xml:space="preserve">note; </w:t>
      </w:r>
      <w:r w:rsidR="004B1C88" w:rsidRPr="005C556C">
        <w:rPr>
          <w:sz w:val="18"/>
          <w:lang w:val="fr-FR"/>
        </w:rPr>
        <w:t xml:space="preserve"> </w:t>
      </w:r>
      <w:r w:rsidR="00E754E6" w:rsidRPr="005C556C">
        <w:rPr>
          <w:sz w:val="18"/>
          <w:lang w:val="fr-FR"/>
        </w:rPr>
        <w:t>observations</w:t>
      </w:r>
      <w:r w:rsidR="00661C02" w:rsidRPr="005C556C">
        <w:rPr>
          <w:sz w:val="18"/>
          <w:lang w:val="fr-FR"/>
        </w:rPr>
        <w:t>);</w:t>
      </w:r>
    </w:p>
    <w:p w:rsidR="0058402C" w:rsidRPr="005C556C" w:rsidRDefault="005219A2" w:rsidP="005C556C">
      <w:pPr>
        <w:ind w:left="1701" w:right="567"/>
        <w:rPr>
          <w:sz w:val="18"/>
          <w:lang w:val="fr-FR"/>
        </w:rPr>
      </w:pPr>
      <w:r w:rsidRPr="005C556C">
        <w:rPr>
          <w:sz w:val="18"/>
          <w:lang w:val="fr-FR"/>
        </w:rPr>
        <w:t>“</w:t>
      </w:r>
      <w:r w:rsidR="002F266D" w:rsidRPr="002F266D">
        <w:rPr>
          <w:sz w:val="14"/>
          <w:lang w:val="fr-FR"/>
        </w:rPr>
        <w:sym w:font="Wingdings 2" w:char="F097"/>
      </w:r>
      <w:r w:rsidR="00661C02" w:rsidRPr="005C556C">
        <w:rPr>
          <w:sz w:val="18"/>
          <w:lang w:val="fr-FR"/>
        </w:rPr>
        <w:tab/>
      </w:r>
      <w:r w:rsidR="00E754E6" w:rsidRPr="005C556C">
        <w:rPr>
          <w:sz w:val="18"/>
          <w:lang w:val="fr-FR"/>
        </w:rPr>
        <w:t>Renseignements complémentaires</w:t>
      </w:r>
      <w:r w:rsidR="00661C02" w:rsidRPr="005C556C">
        <w:rPr>
          <w:sz w:val="18"/>
          <w:lang w:val="fr-FR"/>
        </w:rPr>
        <w:t>;</w:t>
      </w:r>
    </w:p>
    <w:p w:rsidR="0058402C" w:rsidRPr="005C556C" w:rsidRDefault="00661C02" w:rsidP="005C556C">
      <w:pPr>
        <w:ind w:left="1701" w:right="567"/>
        <w:rPr>
          <w:sz w:val="18"/>
          <w:lang w:val="fr-FR"/>
        </w:rPr>
      </w:pPr>
      <w:r w:rsidRPr="005C556C">
        <w:rPr>
          <w:sz w:val="18"/>
          <w:lang w:val="fr-FR"/>
        </w:rPr>
        <w:tab/>
      </w:r>
      <w:r w:rsidR="005219A2" w:rsidRPr="005C556C">
        <w:rPr>
          <w:sz w:val="18"/>
          <w:lang w:val="fr-FR"/>
        </w:rPr>
        <w:t>“</w:t>
      </w:r>
      <w:r w:rsidR="00C06AC6" w:rsidRPr="005C556C">
        <w:rPr>
          <w:sz w:val="18"/>
          <w:lang w:val="fr-FR"/>
        </w:rPr>
        <w:t>a)</w:t>
      </w:r>
      <w:r w:rsidR="00C06AC6" w:rsidRPr="005C556C">
        <w:rPr>
          <w:sz w:val="18"/>
          <w:lang w:val="fr-FR"/>
        </w:rPr>
        <w:tab/>
      </w:r>
      <w:r w:rsidR="00E754E6" w:rsidRPr="005C556C">
        <w:rPr>
          <w:sz w:val="18"/>
          <w:lang w:val="fr-FR"/>
        </w:rPr>
        <w:t>D</w:t>
      </w:r>
      <w:r w:rsidR="00B73C94" w:rsidRPr="005C556C">
        <w:rPr>
          <w:sz w:val="18"/>
          <w:lang w:val="fr-FR"/>
        </w:rPr>
        <w:t>onnées additionnelles</w:t>
      </w:r>
      <w:r w:rsidR="005219A2" w:rsidRPr="005C556C">
        <w:rPr>
          <w:sz w:val="18"/>
          <w:lang w:val="fr-FR"/>
        </w:rPr>
        <w:t>;</w:t>
      </w:r>
    </w:p>
    <w:p w:rsidR="0058402C" w:rsidRPr="005C556C" w:rsidRDefault="00661C02" w:rsidP="005C556C">
      <w:pPr>
        <w:ind w:left="1701" w:right="567"/>
        <w:rPr>
          <w:sz w:val="18"/>
          <w:lang w:val="fr-FR"/>
        </w:rPr>
      </w:pPr>
      <w:r w:rsidRPr="005C556C">
        <w:rPr>
          <w:sz w:val="18"/>
          <w:lang w:val="fr-FR"/>
        </w:rPr>
        <w:tab/>
      </w:r>
      <w:r w:rsidR="005219A2" w:rsidRPr="005C556C">
        <w:rPr>
          <w:sz w:val="18"/>
          <w:lang w:val="fr-FR"/>
        </w:rPr>
        <w:t>“</w:t>
      </w:r>
      <w:r w:rsidR="000473B6" w:rsidRPr="005C556C">
        <w:rPr>
          <w:sz w:val="18"/>
          <w:lang w:val="fr-FR"/>
        </w:rPr>
        <w:t>b)</w:t>
      </w:r>
      <w:r w:rsidR="000473B6" w:rsidRPr="005C556C">
        <w:rPr>
          <w:sz w:val="18"/>
          <w:lang w:val="fr-FR"/>
        </w:rPr>
        <w:tab/>
      </w:r>
      <w:r w:rsidR="00E754E6" w:rsidRPr="005C556C">
        <w:rPr>
          <w:sz w:val="18"/>
          <w:lang w:val="fr-FR"/>
        </w:rPr>
        <w:t>P</w:t>
      </w:r>
      <w:r w:rsidR="000473B6" w:rsidRPr="005C556C">
        <w:rPr>
          <w:sz w:val="18"/>
          <w:lang w:val="fr-FR"/>
        </w:rPr>
        <w:t>hotographie (</w:t>
      </w:r>
      <w:r w:rsidR="00E754E6" w:rsidRPr="005C556C">
        <w:rPr>
          <w:sz w:val="18"/>
          <w:lang w:val="fr-FR"/>
        </w:rPr>
        <w:t>le cas échéant</w:t>
      </w:r>
      <w:r w:rsidR="00B73C94" w:rsidRPr="005C556C">
        <w:rPr>
          <w:sz w:val="18"/>
          <w:lang w:val="fr-FR"/>
        </w:rPr>
        <w:t>)</w:t>
      </w:r>
      <w:r w:rsidR="005219A2" w:rsidRPr="005C556C">
        <w:rPr>
          <w:sz w:val="18"/>
          <w:lang w:val="fr-FR"/>
        </w:rPr>
        <w:t>;</w:t>
      </w:r>
    </w:p>
    <w:p w:rsidR="0058402C" w:rsidRPr="005C556C" w:rsidRDefault="00661C02" w:rsidP="005C556C">
      <w:pPr>
        <w:ind w:left="1701" w:right="567"/>
        <w:rPr>
          <w:sz w:val="18"/>
          <w:lang w:val="fr-FR"/>
        </w:rPr>
      </w:pPr>
      <w:r w:rsidRPr="005C556C">
        <w:rPr>
          <w:sz w:val="18"/>
          <w:lang w:val="fr-FR"/>
        </w:rPr>
        <w:tab/>
      </w:r>
      <w:r w:rsidR="005219A2" w:rsidRPr="005C556C">
        <w:rPr>
          <w:sz w:val="18"/>
          <w:lang w:val="fr-FR"/>
        </w:rPr>
        <w:t>“</w:t>
      </w:r>
      <w:r w:rsidR="00E754E6" w:rsidRPr="005C556C">
        <w:rPr>
          <w:sz w:val="18"/>
          <w:lang w:val="fr-FR"/>
        </w:rPr>
        <w:t>c)</w:t>
      </w:r>
      <w:r w:rsidR="00E754E6" w:rsidRPr="005C556C">
        <w:rPr>
          <w:sz w:val="18"/>
          <w:lang w:val="fr-FR"/>
        </w:rPr>
        <w:tab/>
        <w:t>V</w:t>
      </w:r>
      <w:r w:rsidR="000473B6" w:rsidRPr="005C556C">
        <w:rPr>
          <w:sz w:val="18"/>
          <w:lang w:val="fr-FR"/>
        </w:rPr>
        <w:t xml:space="preserve">ersion du code </w:t>
      </w:r>
      <w:r w:rsidR="00E754E6" w:rsidRPr="005C556C">
        <w:rPr>
          <w:sz w:val="18"/>
          <w:lang w:val="fr-FR"/>
        </w:rPr>
        <w:t xml:space="preserve">RHS </w:t>
      </w:r>
      <w:r w:rsidR="000473B6" w:rsidRPr="005C556C">
        <w:rPr>
          <w:sz w:val="18"/>
          <w:lang w:val="fr-FR"/>
        </w:rPr>
        <w:t>de</w:t>
      </w:r>
      <w:r w:rsidR="00E754E6" w:rsidRPr="005C556C">
        <w:rPr>
          <w:sz w:val="18"/>
          <w:lang w:val="fr-FR"/>
        </w:rPr>
        <w:t>s</w:t>
      </w:r>
      <w:r w:rsidR="000473B6" w:rsidRPr="005C556C">
        <w:rPr>
          <w:sz w:val="18"/>
          <w:lang w:val="fr-FR"/>
        </w:rPr>
        <w:t xml:space="preserve"> couleur</w:t>
      </w:r>
      <w:r w:rsidR="00E754E6" w:rsidRPr="005C556C">
        <w:rPr>
          <w:sz w:val="18"/>
          <w:lang w:val="fr-FR"/>
        </w:rPr>
        <w:t>s</w:t>
      </w:r>
      <w:r w:rsidR="000473B6" w:rsidRPr="005C556C">
        <w:rPr>
          <w:sz w:val="18"/>
          <w:lang w:val="fr-FR"/>
        </w:rPr>
        <w:t xml:space="preserve"> utilisée (</w:t>
      </w:r>
      <w:r w:rsidR="00E754E6" w:rsidRPr="005C556C">
        <w:rPr>
          <w:sz w:val="18"/>
          <w:lang w:val="fr-FR"/>
        </w:rPr>
        <w:t>le cas échéant</w:t>
      </w:r>
      <w:r w:rsidR="00B73C94" w:rsidRPr="005C556C">
        <w:rPr>
          <w:sz w:val="18"/>
          <w:lang w:val="fr-FR"/>
        </w:rPr>
        <w:t>)</w:t>
      </w:r>
      <w:r w:rsidR="005219A2" w:rsidRPr="005C556C">
        <w:rPr>
          <w:sz w:val="18"/>
          <w:lang w:val="fr-FR"/>
        </w:rPr>
        <w:t>;</w:t>
      </w:r>
    </w:p>
    <w:p w:rsidR="0058402C" w:rsidRPr="005C556C" w:rsidRDefault="00661C02" w:rsidP="00C21E7B">
      <w:pPr>
        <w:spacing w:after="240"/>
        <w:ind w:left="1701" w:right="567"/>
        <w:rPr>
          <w:sz w:val="18"/>
          <w:lang w:val="fr-FR"/>
        </w:rPr>
      </w:pPr>
      <w:r w:rsidRPr="005C556C">
        <w:rPr>
          <w:sz w:val="18"/>
          <w:lang w:val="fr-FR"/>
        </w:rPr>
        <w:tab/>
      </w:r>
      <w:r w:rsidR="005219A2" w:rsidRPr="005C556C">
        <w:rPr>
          <w:sz w:val="18"/>
          <w:lang w:val="fr-FR"/>
        </w:rPr>
        <w:t>“</w:t>
      </w:r>
      <w:r w:rsidR="00C06AC6" w:rsidRPr="005C556C">
        <w:rPr>
          <w:sz w:val="18"/>
          <w:lang w:val="fr-FR"/>
        </w:rPr>
        <w:t>d)</w:t>
      </w:r>
      <w:r w:rsidR="00C06AC6" w:rsidRPr="005C556C">
        <w:rPr>
          <w:sz w:val="18"/>
          <w:lang w:val="fr-FR"/>
        </w:rPr>
        <w:tab/>
      </w:r>
      <w:r w:rsidR="00E754E6" w:rsidRPr="005C556C">
        <w:rPr>
          <w:sz w:val="18"/>
          <w:lang w:val="fr-FR"/>
        </w:rPr>
        <w:t>Observations.</w:t>
      </w:r>
      <w:r w:rsidR="00412CE1" w:rsidRPr="005C556C">
        <w:rPr>
          <w:sz w:val="18"/>
          <w:lang w:val="fr-FR"/>
        </w:rPr>
        <w:t>”</w:t>
      </w:r>
    </w:p>
    <w:p w:rsidR="0058402C" w:rsidRPr="005C556C" w:rsidRDefault="00B84E4E" w:rsidP="005C556C">
      <w:pPr>
        <w:rPr>
          <w:lang w:val="fr-FR"/>
        </w:rPr>
      </w:pPr>
      <w:r w:rsidRPr="005C556C">
        <w:rPr>
          <w:lang w:val="fr-FR"/>
        </w:rPr>
        <w:lastRenderedPageBreak/>
        <w:fldChar w:fldCharType="begin"/>
      </w:r>
      <w:r w:rsidRPr="005C556C">
        <w:rPr>
          <w:lang w:val="fr-FR"/>
        </w:rPr>
        <w:instrText xml:space="preserve"> AUTONUM  </w:instrText>
      </w:r>
      <w:r w:rsidRPr="005C556C">
        <w:rPr>
          <w:lang w:val="fr-FR"/>
        </w:rPr>
        <w:fldChar w:fldCharType="end"/>
      </w:r>
      <w:r w:rsidRPr="005C556C">
        <w:rPr>
          <w:lang w:val="fr-FR"/>
        </w:rPr>
        <w:tab/>
      </w:r>
      <w:r w:rsidR="00D563A2" w:rsidRPr="005C556C">
        <w:rPr>
          <w:lang w:val="fr-FR"/>
        </w:rPr>
        <w:t>Le</w:t>
      </w:r>
      <w:r w:rsidRPr="005C556C">
        <w:rPr>
          <w:lang w:val="fr-FR"/>
        </w:rPr>
        <w:t xml:space="preserve"> CAJ </w:t>
      </w:r>
      <w:r w:rsidR="00D563A2" w:rsidRPr="005C556C">
        <w:rPr>
          <w:lang w:val="fr-FR"/>
        </w:rPr>
        <w:t xml:space="preserve">souscrit à la </w:t>
      </w:r>
      <w:r w:rsidRPr="005C556C">
        <w:rPr>
          <w:lang w:val="fr-FR"/>
        </w:rPr>
        <w:t xml:space="preserve">conclusion </w:t>
      </w:r>
      <w:r w:rsidR="00D563A2" w:rsidRPr="005C556C">
        <w:rPr>
          <w:lang w:val="fr-FR"/>
        </w:rPr>
        <w:t>adoptée par</w:t>
      </w:r>
      <w:r w:rsidR="00817667" w:rsidRPr="005C556C">
        <w:rPr>
          <w:lang w:val="fr-FR"/>
        </w:rPr>
        <w:t xml:space="preserve"> le CAJ</w:t>
      </w:r>
      <w:r w:rsidR="002C6DE0" w:rsidRPr="005C556C">
        <w:rPr>
          <w:lang w:val="fr-FR"/>
        </w:rPr>
        <w:noBreakHyphen/>
      </w:r>
      <w:r w:rsidRPr="005C556C">
        <w:rPr>
          <w:lang w:val="fr-FR"/>
        </w:rPr>
        <w:t>AG</w:t>
      </w:r>
      <w:r w:rsidR="007821E9" w:rsidRPr="005C556C">
        <w:rPr>
          <w:lang w:val="fr-FR"/>
        </w:rPr>
        <w:t xml:space="preserve"> </w:t>
      </w:r>
      <w:r w:rsidR="00D563A2" w:rsidRPr="005C556C">
        <w:rPr>
          <w:lang w:val="fr-FR"/>
        </w:rPr>
        <w:t>à sa neuvième</w:t>
      </w:r>
      <w:r w:rsidR="00824A4B" w:rsidRPr="005C556C">
        <w:rPr>
          <w:lang w:val="fr-FR"/>
        </w:rPr>
        <w:t> </w:t>
      </w:r>
      <w:r w:rsidR="007821E9" w:rsidRPr="005C556C">
        <w:rPr>
          <w:lang w:val="fr-FR"/>
        </w:rPr>
        <w:t>session</w:t>
      </w:r>
      <w:r w:rsidRPr="005C556C">
        <w:rPr>
          <w:lang w:val="fr-FR"/>
        </w:rPr>
        <w:t xml:space="preserve"> </w:t>
      </w:r>
      <w:r w:rsidR="00D563A2" w:rsidRPr="005C556C">
        <w:rPr>
          <w:lang w:val="fr-FR"/>
        </w:rPr>
        <w:t>sur le statut de la description variétale initiale, au regard de la vérification du matériel végétal d</w:t>
      </w:r>
      <w:r w:rsidR="00817667" w:rsidRPr="005C556C">
        <w:rPr>
          <w:lang w:val="fr-FR"/>
        </w:rPr>
        <w:t>’</w:t>
      </w:r>
      <w:r w:rsidR="00D563A2" w:rsidRPr="005C556C">
        <w:rPr>
          <w:lang w:val="fr-FR"/>
        </w:rPr>
        <w:t>une variété protégée aux fins de la défense du droit d</w:t>
      </w:r>
      <w:r w:rsidR="00817667" w:rsidRPr="005C556C">
        <w:rPr>
          <w:lang w:val="fr-FR"/>
        </w:rPr>
        <w:t>’</w:t>
      </w:r>
      <w:r w:rsidR="00D563A2" w:rsidRPr="005C556C">
        <w:rPr>
          <w:lang w:val="fr-FR"/>
        </w:rPr>
        <w:t>obtenteur</w:t>
      </w:r>
      <w:r w:rsidRPr="005C556C">
        <w:rPr>
          <w:lang w:val="fr-FR"/>
        </w:rPr>
        <w:t xml:space="preserve">, </w:t>
      </w:r>
      <w:r w:rsidR="00D563A2" w:rsidRPr="005C556C">
        <w:rPr>
          <w:lang w:val="fr-FR"/>
        </w:rPr>
        <w:t>comme indiqué aux paragraphes</w:t>
      </w:r>
      <w:r w:rsidR="00824A4B" w:rsidRPr="005C556C">
        <w:rPr>
          <w:lang w:val="fr-FR"/>
        </w:rPr>
        <w:t> </w:t>
      </w:r>
      <w:r w:rsidR="00D563A2" w:rsidRPr="005C556C">
        <w:rPr>
          <w:lang w:val="fr-FR"/>
        </w:rPr>
        <w:t xml:space="preserve">38 et 39 du </w:t>
      </w:r>
      <w:r w:rsidR="00817667" w:rsidRPr="005C556C">
        <w:rPr>
          <w:lang w:val="fr-FR"/>
        </w:rPr>
        <w:t>document CA</w:t>
      </w:r>
      <w:r w:rsidR="00320263" w:rsidRPr="005C556C">
        <w:rPr>
          <w:lang w:val="fr-FR"/>
        </w:rPr>
        <w:t>J/71/2</w:t>
      </w:r>
      <w:r w:rsidR="00D563A2" w:rsidRPr="005C556C">
        <w:rPr>
          <w:lang w:val="fr-FR"/>
        </w:rPr>
        <w:t> </w:t>
      </w:r>
      <w:r w:rsidR="006117E2" w:rsidRPr="005C556C">
        <w:rPr>
          <w:lang w:val="fr-FR"/>
        </w:rPr>
        <w:t>:</w:t>
      </w:r>
    </w:p>
    <w:p w:rsidR="0058402C" w:rsidRPr="005C556C" w:rsidRDefault="0058402C" w:rsidP="005C556C">
      <w:pPr>
        <w:rPr>
          <w:lang w:val="fr-FR"/>
        </w:rPr>
      </w:pPr>
    </w:p>
    <w:p w:rsidR="00817667" w:rsidRPr="005C556C" w:rsidRDefault="00C06AC6" w:rsidP="005C556C">
      <w:pPr>
        <w:ind w:left="567" w:right="567"/>
        <w:rPr>
          <w:snapToGrid w:val="0"/>
          <w:spacing w:val="-2"/>
          <w:sz w:val="18"/>
          <w:szCs w:val="18"/>
          <w:lang w:val="fr-FR"/>
        </w:rPr>
      </w:pPr>
      <w:r w:rsidRPr="005C556C">
        <w:rPr>
          <w:snapToGrid w:val="0"/>
          <w:spacing w:val="-2"/>
          <w:sz w:val="18"/>
          <w:szCs w:val="18"/>
          <w:lang w:val="fr-FR"/>
        </w:rPr>
        <w:t>“38.</w:t>
      </w:r>
      <w:r w:rsidRPr="005C556C">
        <w:rPr>
          <w:snapToGrid w:val="0"/>
          <w:spacing w:val="-2"/>
          <w:sz w:val="18"/>
          <w:szCs w:val="18"/>
          <w:lang w:val="fr-FR"/>
        </w:rPr>
        <w:tab/>
      </w:r>
      <w:r w:rsidR="000473B6" w:rsidRPr="005C556C">
        <w:rPr>
          <w:snapToGrid w:val="0"/>
          <w:spacing w:val="-2"/>
          <w:sz w:val="18"/>
          <w:szCs w:val="18"/>
          <w:lang w:val="fr-FR"/>
        </w:rPr>
        <w:t>Le CAJ</w:t>
      </w:r>
      <w:r w:rsidR="002C6DE0" w:rsidRPr="005C556C">
        <w:rPr>
          <w:snapToGrid w:val="0"/>
          <w:spacing w:val="-2"/>
          <w:sz w:val="18"/>
          <w:szCs w:val="18"/>
          <w:lang w:val="fr-FR"/>
        </w:rPr>
        <w:noBreakHyphen/>
      </w:r>
      <w:r w:rsidR="000473B6" w:rsidRPr="005C556C">
        <w:rPr>
          <w:snapToGrid w:val="0"/>
          <w:spacing w:val="-2"/>
          <w:sz w:val="18"/>
          <w:szCs w:val="18"/>
          <w:lang w:val="fr-FR"/>
        </w:rPr>
        <w:t>AG a examiné le statut de la description variétale initiale</w:t>
      </w:r>
      <w:r w:rsidR="00B73C94" w:rsidRPr="005C556C">
        <w:rPr>
          <w:snapToGrid w:val="0"/>
          <w:spacing w:val="-2"/>
          <w:sz w:val="18"/>
          <w:szCs w:val="18"/>
          <w:lang w:val="fr-FR"/>
        </w:rPr>
        <w:t>,</w:t>
      </w:r>
      <w:r w:rsidR="000473B6" w:rsidRPr="005C556C">
        <w:rPr>
          <w:snapToGrid w:val="0"/>
          <w:spacing w:val="-2"/>
          <w:sz w:val="18"/>
          <w:szCs w:val="18"/>
          <w:lang w:val="fr-FR"/>
        </w:rPr>
        <w:t xml:space="preserve"> au regard de la vérification du matériel végétal d</w:t>
      </w:r>
      <w:r w:rsidR="00817667" w:rsidRPr="005C556C">
        <w:rPr>
          <w:snapToGrid w:val="0"/>
          <w:spacing w:val="-2"/>
          <w:sz w:val="18"/>
          <w:szCs w:val="18"/>
          <w:lang w:val="fr-FR"/>
        </w:rPr>
        <w:t>’</w:t>
      </w:r>
      <w:r w:rsidR="000473B6" w:rsidRPr="005C556C">
        <w:rPr>
          <w:snapToGrid w:val="0"/>
          <w:spacing w:val="-2"/>
          <w:sz w:val="18"/>
          <w:szCs w:val="18"/>
          <w:lang w:val="fr-FR"/>
        </w:rPr>
        <w:t>une variété protégée aux fins de la défense du droit d</w:t>
      </w:r>
      <w:r w:rsidR="00817667" w:rsidRPr="005C556C">
        <w:rPr>
          <w:snapToGrid w:val="0"/>
          <w:spacing w:val="-2"/>
          <w:sz w:val="18"/>
          <w:szCs w:val="18"/>
          <w:lang w:val="fr-FR"/>
        </w:rPr>
        <w:t>’</w:t>
      </w:r>
      <w:r w:rsidR="000473B6" w:rsidRPr="005C556C">
        <w:rPr>
          <w:snapToGrid w:val="0"/>
          <w:spacing w:val="-2"/>
          <w:sz w:val="18"/>
          <w:szCs w:val="18"/>
          <w:lang w:val="fr-FR"/>
        </w:rPr>
        <w:t>obtenteur</w:t>
      </w:r>
      <w:r w:rsidR="00B73C94" w:rsidRPr="005C556C">
        <w:rPr>
          <w:snapToGrid w:val="0"/>
          <w:spacing w:val="-2"/>
          <w:sz w:val="18"/>
          <w:szCs w:val="18"/>
          <w:lang w:val="fr-FR"/>
        </w:rPr>
        <w:t>,</w:t>
      </w:r>
      <w:r w:rsidR="000473B6" w:rsidRPr="005C556C">
        <w:rPr>
          <w:snapToGrid w:val="0"/>
          <w:spacing w:val="-2"/>
          <w:sz w:val="18"/>
          <w:szCs w:val="18"/>
          <w:lang w:val="fr-FR"/>
        </w:rPr>
        <w:t xml:space="preserve"> et a noté que les orientations de l</w:t>
      </w:r>
      <w:r w:rsidR="00817667" w:rsidRPr="005C556C">
        <w:rPr>
          <w:snapToGrid w:val="0"/>
          <w:spacing w:val="-2"/>
          <w:sz w:val="18"/>
          <w:szCs w:val="18"/>
          <w:lang w:val="fr-FR"/>
        </w:rPr>
        <w:t>’</w:t>
      </w:r>
      <w:r w:rsidR="000473B6" w:rsidRPr="005C556C">
        <w:rPr>
          <w:snapToGrid w:val="0"/>
          <w:spacing w:val="-2"/>
          <w:sz w:val="18"/>
          <w:szCs w:val="18"/>
          <w:lang w:val="fr-FR"/>
        </w:rPr>
        <w:t>UPOV sur la défense des droits d</w:t>
      </w:r>
      <w:r w:rsidR="00817667" w:rsidRPr="005C556C">
        <w:rPr>
          <w:snapToGrid w:val="0"/>
          <w:spacing w:val="-2"/>
          <w:sz w:val="18"/>
          <w:szCs w:val="18"/>
          <w:lang w:val="fr-FR"/>
        </w:rPr>
        <w:t>’</w:t>
      </w:r>
      <w:r w:rsidR="000473B6" w:rsidRPr="005C556C">
        <w:rPr>
          <w:snapToGrid w:val="0"/>
          <w:spacing w:val="-2"/>
          <w:sz w:val="18"/>
          <w:szCs w:val="18"/>
          <w:lang w:val="fr-FR"/>
        </w:rPr>
        <w:t>obtenteur figurant dans le document UPOV/EXN/ENF/1 “Notes explicatives sur la défense des droits d</w:t>
      </w:r>
      <w:r w:rsidR="00817667" w:rsidRPr="005C556C">
        <w:rPr>
          <w:snapToGrid w:val="0"/>
          <w:spacing w:val="-2"/>
          <w:sz w:val="18"/>
          <w:szCs w:val="18"/>
          <w:lang w:val="fr-FR"/>
        </w:rPr>
        <w:t>’</w:t>
      </w:r>
      <w:r w:rsidR="000473B6" w:rsidRPr="005C556C">
        <w:rPr>
          <w:snapToGrid w:val="0"/>
          <w:spacing w:val="-2"/>
          <w:sz w:val="18"/>
          <w:szCs w:val="18"/>
          <w:lang w:val="fr-FR"/>
        </w:rPr>
        <w:t xml:space="preserve">obtenteur selon la </w:t>
      </w:r>
      <w:r w:rsidR="00817667" w:rsidRPr="005C556C">
        <w:rPr>
          <w:snapToGrid w:val="0"/>
          <w:spacing w:val="-2"/>
          <w:sz w:val="18"/>
          <w:szCs w:val="18"/>
          <w:lang w:val="fr-FR"/>
        </w:rPr>
        <w:t>Convention UPOV</w:t>
      </w:r>
      <w:r w:rsidR="000473B6" w:rsidRPr="005C556C">
        <w:rPr>
          <w:snapToGrid w:val="0"/>
          <w:spacing w:val="-2"/>
          <w:sz w:val="18"/>
          <w:szCs w:val="18"/>
          <w:lang w:val="fr-FR"/>
        </w:rPr>
        <w:t>” expliquent ce qui suit</w:t>
      </w:r>
      <w:r w:rsidRPr="005C556C">
        <w:rPr>
          <w:rStyle w:val="FootnoteReference"/>
          <w:snapToGrid w:val="0"/>
          <w:spacing w:val="-2"/>
          <w:sz w:val="18"/>
          <w:szCs w:val="18"/>
          <w:lang w:val="fr-FR"/>
        </w:rPr>
        <w:footnoteReference w:id="2"/>
      </w:r>
      <w:r w:rsidR="00824A4B" w:rsidRPr="005C556C">
        <w:rPr>
          <w:snapToGrid w:val="0"/>
          <w:spacing w:val="-2"/>
          <w:sz w:val="18"/>
          <w:szCs w:val="18"/>
          <w:lang w:val="fr-FR"/>
        </w:rPr>
        <w:t> </w:t>
      </w:r>
      <w:r w:rsidR="000473B6" w:rsidRPr="005C556C">
        <w:rPr>
          <w:snapToGrid w:val="0"/>
          <w:spacing w:val="-2"/>
          <w:sz w:val="18"/>
          <w:szCs w:val="18"/>
          <w:lang w:val="fr-FR"/>
        </w:rPr>
        <w:t>:</w:t>
      </w:r>
    </w:p>
    <w:p w:rsidR="0058402C" w:rsidRPr="005C556C" w:rsidRDefault="0058402C" w:rsidP="005C556C">
      <w:pPr>
        <w:pStyle w:val="ListParagraph"/>
        <w:ind w:left="567" w:right="567"/>
        <w:rPr>
          <w:snapToGrid w:val="0"/>
          <w:sz w:val="18"/>
          <w:szCs w:val="18"/>
          <w:lang w:val="fr-FR"/>
        </w:rPr>
      </w:pPr>
    </w:p>
    <w:p w:rsidR="00817667" w:rsidRPr="005C556C" w:rsidRDefault="000473B6" w:rsidP="005C556C">
      <w:pPr>
        <w:pStyle w:val="ListParagraph"/>
        <w:ind w:left="567" w:right="567"/>
        <w:rPr>
          <w:snapToGrid w:val="0"/>
          <w:sz w:val="18"/>
          <w:szCs w:val="18"/>
          <w:lang w:val="fr-FR"/>
        </w:rPr>
      </w:pPr>
      <w:r w:rsidRPr="005C556C">
        <w:rPr>
          <w:snapToGrid w:val="0"/>
          <w:sz w:val="18"/>
          <w:szCs w:val="18"/>
          <w:lang w:val="fr-FR"/>
        </w:rPr>
        <w:t>“SECTION II</w:t>
      </w:r>
      <w:r w:rsidR="00824A4B" w:rsidRPr="005C556C">
        <w:rPr>
          <w:snapToGrid w:val="0"/>
          <w:sz w:val="18"/>
          <w:szCs w:val="18"/>
          <w:lang w:val="fr-FR"/>
        </w:rPr>
        <w:t> </w:t>
      </w:r>
      <w:r w:rsidRPr="005C556C">
        <w:rPr>
          <w:snapToGrid w:val="0"/>
          <w:sz w:val="18"/>
          <w:szCs w:val="18"/>
          <w:lang w:val="fr-FR"/>
        </w:rPr>
        <w:t>: Quelques mesures possibles pour la défense des droits d</w:t>
      </w:r>
      <w:r w:rsidR="00817667" w:rsidRPr="005C556C">
        <w:rPr>
          <w:snapToGrid w:val="0"/>
          <w:sz w:val="18"/>
          <w:szCs w:val="18"/>
          <w:lang w:val="fr-FR"/>
        </w:rPr>
        <w:t>’</w:t>
      </w:r>
      <w:r w:rsidRPr="005C556C">
        <w:rPr>
          <w:snapToGrid w:val="0"/>
          <w:sz w:val="18"/>
          <w:szCs w:val="18"/>
          <w:lang w:val="fr-FR"/>
        </w:rPr>
        <w:t>obtenteur</w:t>
      </w:r>
    </w:p>
    <w:p w:rsidR="0058402C" w:rsidRPr="005C556C" w:rsidRDefault="0058402C" w:rsidP="005C556C">
      <w:pPr>
        <w:pStyle w:val="ListParagraph"/>
        <w:ind w:left="567" w:right="567"/>
        <w:rPr>
          <w:snapToGrid w:val="0"/>
          <w:sz w:val="18"/>
          <w:szCs w:val="18"/>
          <w:lang w:val="fr-FR"/>
        </w:rPr>
      </w:pPr>
    </w:p>
    <w:p w:rsidR="0058402C" w:rsidRPr="005C556C" w:rsidRDefault="00824A4B" w:rsidP="005C556C">
      <w:pPr>
        <w:pStyle w:val="ListParagraph"/>
        <w:ind w:left="567" w:right="567"/>
        <w:rPr>
          <w:snapToGrid w:val="0"/>
          <w:sz w:val="18"/>
          <w:szCs w:val="18"/>
          <w:lang w:val="fr-FR"/>
        </w:rPr>
      </w:pPr>
      <w:r w:rsidRPr="005C556C">
        <w:rPr>
          <w:snapToGrid w:val="0"/>
          <w:sz w:val="18"/>
          <w:szCs w:val="18"/>
          <w:lang w:val="fr-FR"/>
        </w:rPr>
        <w:t>“</w:t>
      </w:r>
      <w:r w:rsidR="000473B6" w:rsidRPr="005C556C">
        <w:rPr>
          <w:snapToGrid w:val="0"/>
          <w:sz w:val="18"/>
          <w:szCs w:val="18"/>
          <w:lang w:val="fr-FR"/>
        </w:rPr>
        <w:t>S</w:t>
      </w:r>
      <w:r w:rsidR="00817667" w:rsidRPr="005C556C">
        <w:rPr>
          <w:snapToGrid w:val="0"/>
          <w:sz w:val="18"/>
          <w:szCs w:val="18"/>
          <w:lang w:val="fr-FR"/>
        </w:rPr>
        <w:t>’</w:t>
      </w:r>
      <w:r w:rsidR="000473B6" w:rsidRPr="005C556C">
        <w:rPr>
          <w:snapToGrid w:val="0"/>
          <w:sz w:val="18"/>
          <w:szCs w:val="18"/>
          <w:lang w:val="fr-FR"/>
        </w:rPr>
        <w:t xml:space="preserve">il est vrai que la </w:t>
      </w:r>
      <w:r w:rsidR="00817667" w:rsidRPr="005C556C">
        <w:rPr>
          <w:snapToGrid w:val="0"/>
          <w:sz w:val="18"/>
          <w:szCs w:val="18"/>
          <w:lang w:val="fr-FR"/>
        </w:rPr>
        <w:t>Convention UPOV</w:t>
      </w:r>
      <w:r w:rsidR="000473B6" w:rsidRPr="005C556C">
        <w:rPr>
          <w:snapToGrid w:val="0"/>
          <w:sz w:val="18"/>
          <w:szCs w:val="18"/>
          <w:lang w:val="fr-FR"/>
        </w:rPr>
        <w:t xml:space="preserve"> exige des membres de l</w:t>
      </w:r>
      <w:r w:rsidR="00817667" w:rsidRPr="005C556C">
        <w:rPr>
          <w:snapToGrid w:val="0"/>
          <w:sz w:val="18"/>
          <w:szCs w:val="18"/>
          <w:lang w:val="fr-FR"/>
        </w:rPr>
        <w:t>’</w:t>
      </w:r>
      <w:r w:rsidR="000473B6" w:rsidRPr="005C556C">
        <w:rPr>
          <w:snapToGrid w:val="0"/>
          <w:sz w:val="18"/>
          <w:szCs w:val="18"/>
          <w:lang w:val="fr-FR"/>
        </w:rPr>
        <w:t>Union que ceux</w:t>
      </w:r>
      <w:r w:rsidR="002C6DE0" w:rsidRPr="005C556C">
        <w:rPr>
          <w:snapToGrid w:val="0"/>
          <w:sz w:val="18"/>
          <w:szCs w:val="18"/>
          <w:lang w:val="fr-FR"/>
        </w:rPr>
        <w:noBreakHyphen/>
      </w:r>
      <w:r w:rsidR="000473B6" w:rsidRPr="005C556C">
        <w:rPr>
          <w:snapToGrid w:val="0"/>
          <w:sz w:val="18"/>
          <w:szCs w:val="18"/>
          <w:lang w:val="fr-FR"/>
        </w:rPr>
        <w:t>ci prévoient les recours légaux appropriés permettant de défendre efficacement les droits d</w:t>
      </w:r>
      <w:r w:rsidR="00817667" w:rsidRPr="005C556C">
        <w:rPr>
          <w:snapToGrid w:val="0"/>
          <w:sz w:val="18"/>
          <w:szCs w:val="18"/>
          <w:lang w:val="fr-FR"/>
        </w:rPr>
        <w:t>’</w:t>
      </w:r>
      <w:r w:rsidR="000473B6" w:rsidRPr="005C556C">
        <w:rPr>
          <w:snapToGrid w:val="0"/>
          <w:sz w:val="18"/>
          <w:szCs w:val="18"/>
          <w:lang w:val="fr-FR"/>
        </w:rPr>
        <w:t>obtenteur, il n</w:t>
      </w:r>
      <w:r w:rsidR="00817667" w:rsidRPr="005C556C">
        <w:rPr>
          <w:snapToGrid w:val="0"/>
          <w:sz w:val="18"/>
          <w:szCs w:val="18"/>
          <w:lang w:val="fr-FR"/>
        </w:rPr>
        <w:t>’</w:t>
      </w:r>
      <w:r w:rsidR="000473B6" w:rsidRPr="005C556C">
        <w:rPr>
          <w:snapToGrid w:val="0"/>
          <w:sz w:val="18"/>
          <w:szCs w:val="18"/>
          <w:lang w:val="fr-FR"/>
        </w:rPr>
        <w:t>en reste pas moins que c</w:t>
      </w:r>
      <w:r w:rsidR="00817667" w:rsidRPr="005C556C">
        <w:rPr>
          <w:snapToGrid w:val="0"/>
          <w:sz w:val="18"/>
          <w:szCs w:val="18"/>
          <w:lang w:val="fr-FR"/>
        </w:rPr>
        <w:t>’</w:t>
      </w:r>
      <w:r w:rsidR="000473B6" w:rsidRPr="005C556C">
        <w:rPr>
          <w:snapToGrid w:val="0"/>
          <w:sz w:val="18"/>
          <w:szCs w:val="18"/>
          <w:lang w:val="fr-FR"/>
        </w:rPr>
        <w:t>est aux obtenteurs qu</w:t>
      </w:r>
      <w:r w:rsidR="00817667" w:rsidRPr="005C556C">
        <w:rPr>
          <w:snapToGrid w:val="0"/>
          <w:sz w:val="18"/>
          <w:szCs w:val="18"/>
          <w:lang w:val="fr-FR"/>
        </w:rPr>
        <w:t>’</w:t>
      </w:r>
      <w:r w:rsidR="000473B6" w:rsidRPr="005C556C">
        <w:rPr>
          <w:snapToGrid w:val="0"/>
          <w:sz w:val="18"/>
          <w:szCs w:val="18"/>
          <w:lang w:val="fr-FR"/>
        </w:rPr>
        <w:t>il incombe de défendre leurs droits.</w:t>
      </w:r>
    </w:p>
    <w:p w:rsidR="0058402C" w:rsidRPr="005C556C" w:rsidRDefault="006117E2" w:rsidP="005C556C">
      <w:pPr>
        <w:pStyle w:val="ListParagraph"/>
        <w:ind w:left="567" w:right="567"/>
        <w:rPr>
          <w:snapToGrid w:val="0"/>
          <w:sz w:val="18"/>
          <w:szCs w:val="18"/>
          <w:lang w:val="fr-FR"/>
        </w:rPr>
      </w:pPr>
      <w:r w:rsidRPr="005C556C">
        <w:rPr>
          <w:snapToGrid w:val="0"/>
          <w:sz w:val="18"/>
          <w:szCs w:val="18"/>
          <w:lang w:val="fr-FR"/>
        </w:rPr>
        <w:t>[…]</w:t>
      </w:r>
    </w:p>
    <w:p w:rsidR="0058402C" w:rsidRPr="005C556C" w:rsidRDefault="00C06AC6" w:rsidP="005C556C">
      <w:pPr>
        <w:ind w:left="567" w:right="567"/>
        <w:rPr>
          <w:snapToGrid w:val="0"/>
          <w:sz w:val="18"/>
          <w:szCs w:val="18"/>
          <w:lang w:val="fr-FR"/>
        </w:rPr>
      </w:pPr>
      <w:r w:rsidRPr="005C556C">
        <w:rPr>
          <w:snapToGrid w:val="0"/>
          <w:sz w:val="18"/>
          <w:szCs w:val="18"/>
          <w:lang w:val="fr-FR"/>
        </w:rPr>
        <w:t>“39.</w:t>
      </w:r>
      <w:r w:rsidRPr="005C556C">
        <w:rPr>
          <w:snapToGrid w:val="0"/>
          <w:sz w:val="18"/>
          <w:szCs w:val="18"/>
          <w:lang w:val="fr-FR"/>
        </w:rPr>
        <w:tab/>
      </w:r>
      <w:r w:rsidR="000473B6" w:rsidRPr="005C556C">
        <w:rPr>
          <w:snapToGrid w:val="0"/>
          <w:sz w:val="18"/>
          <w:szCs w:val="18"/>
          <w:lang w:val="fr-FR"/>
        </w:rPr>
        <w:t>Le CAJ</w:t>
      </w:r>
      <w:r w:rsidR="002C6DE0" w:rsidRPr="005C556C">
        <w:rPr>
          <w:snapToGrid w:val="0"/>
          <w:sz w:val="18"/>
          <w:szCs w:val="18"/>
          <w:lang w:val="fr-FR"/>
        </w:rPr>
        <w:noBreakHyphen/>
      </w:r>
      <w:r w:rsidR="000473B6" w:rsidRPr="005C556C">
        <w:rPr>
          <w:snapToGrid w:val="0"/>
          <w:sz w:val="18"/>
          <w:szCs w:val="18"/>
          <w:lang w:val="fr-FR"/>
        </w:rPr>
        <w:t xml:space="preserve">AG </w:t>
      </w:r>
      <w:r w:rsidR="00D563A2" w:rsidRPr="005C556C">
        <w:rPr>
          <w:snapToGrid w:val="0"/>
          <w:sz w:val="18"/>
          <w:szCs w:val="18"/>
          <w:lang w:val="fr-FR"/>
        </w:rPr>
        <w:t>est convenu</w:t>
      </w:r>
      <w:r w:rsidR="000473B6" w:rsidRPr="005C556C">
        <w:rPr>
          <w:snapToGrid w:val="0"/>
          <w:sz w:val="18"/>
          <w:szCs w:val="18"/>
          <w:lang w:val="fr-FR"/>
        </w:rPr>
        <w:t xml:space="preserve"> que, s</w:t>
      </w:r>
      <w:r w:rsidR="00817667" w:rsidRPr="005C556C">
        <w:rPr>
          <w:snapToGrid w:val="0"/>
          <w:sz w:val="18"/>
          <w:szCs w:val="18"/>
          <w:lang w:val="fr-FR"/>
        </w:rPr>
        <w:t>’</w:t>
      </w:r>
      <w:r w:rsidR="000473B6" w:rsidRPr="005C556C">
        <w:rPr>
          <w:snapToGrid w:val="0"/>
          <w:sz w:val="18"/>
          <w:szCs w:val="18"/>
          <w:lang w:val="fr-FR"/>
        </w:rPr>
        <w:t>agissant de l</w:t>
      </w:r>
      <w:r w:rsidR="00817667" w:rsidRPr="005C556C">
        <w:rPr>
          <w:snapToGrid w:val="0"/>
          <w:sz w:val="18"/>
          <w:szCs w:val="18"/>
          <w:lang w:val="fr-FR"/>
        </w:rPr>
        <w:t>’</w:t>
      </w:r>
      <w:r w:rsidR="000473B6" w:rsidRPr="005C556C">
        <w:rPr>
          <w:snapToGrid w:val="0"/>
          <w:sz w:val="18"/>
          <w:szCs w:val="18"/>
          <w:lang w:val="fr-FR"/>
        </w:rPr>
        <w:t xml:space="preserve">utilisation de la description variétale initiale, il </w:t>
      </w:r>
      <w:r w:rsidR="00D563A2" w:rsidRPr="005C556C">
        <w:rPr>
          <w:snapToGrid w:val="0"/>
          <w:sz w:val="18"/>
          <w:szCs w:val="18"/>
          <w:lang w:val="fr-FR"/>
        </w:rPr>
        <w:t>y avait lieu</w:t>
      </w:r>
      <w:r w:rsidR="000473B6" w:rsidRPr="005C556C">
        <w:rPr>
          <w:snapToGrid w:val="0"/>
          <w:sz w:val="18"/>
          <w:szCs w:val="18"/>
          <w:lang w:val="fr-FR"/>
        </w:rPr>
        <w:t xml:space="preserve"> de rappeler que la description des caractères de la variété et la base de la distinction de la variété la plus semblable </w:t>
      </w:r>
      <w:r w:rsidR="00D563A2" w:rsidRPr="005C556C">
        <w:rPr>
          <w:snapToGrid w:val="0"/>
          <w:sz w:val="18"/>
          <w:szCs w:val="18"/>
          <w:lang w:val="fr-FR"/>
        </w:rPr>
        <w:t>étaient</w:t>
      </w:r>
      <w:r w:rsidR="000473B6" w:rsidRPr="005C556C">
        <w:rPr>
          <w:snapToGrid w:val="0"/>
          <w:sz w:val="18"/>
          <w:szCs w:val="18"/>
          <w:lang w:val="fr-FR"/>
        </w:rPr>
        <w:t xml:space="preserve"> liées aux circonstances de l</w:t>
      </w:r>
      <w:r w:rsidR="00817667" w:rsidRPr="005C556C">
        <w:rPr>
          <w:snapToGrid w:val="0"/>
          <w:sz w:val="18"/>
          <w:szCs w:val="18"/>
          <w:lang w:val="fr-FR"/>
        </w:rPr>
        <w:t>’</w:t>
      </w:r>
      <w:r w:rsidR="000473B6" w:rsidRPr="005C556C">
        <w:rPr>
          <w:snapToGrid w:val="0"/>
          <w:sz w:val="18"/>
          <w:szCs w:val="18"/>
          <w:lang w:val="fr-FR"/>
        </w:rPr>
        <w:t>examen</w:t>
      </w:r>
      <w:r w:rsidR="00824A4B" w:rsidRPr="005C556C">
        <w:rPr>
          <w:snapToGrid w:val="0"/>
          <w:sz w:val="18"/>
          <w:szCs w:val="18"/>
          <w:lang w:val="fr-FR"/>
        </w:rPr>
        <w:t> </w:t>
      </w:r>
      <w:r w:rsidR="000473B6" w:rsidRPr="005C556C">
        <w:rPr>
          <w:snapToGrid w:val="0"/>
          <w:sz w:val="18"/>
          <w:szCs w:val="18"/>
          <w:lang w:val="fr-FR"/>
        </w:rPr>
        <w:t>DHS comme indiqué dans le paragraphe</w:t>
      </w:r>
      <w:r w:rsidR="00824A4B" w:rsidRPr="005C556C">
        <w:rPr>
          <w:snapToGrid w:val="0"/>
          <w:sz w:val="18"/>
          <w:szCs w:val="18"/>
          <w:lang w:val="fr-FR"/>
        </w:rPr>
        <w:t> </w:t>
      </w:r>
      <w:r w:rsidR="000473B6" w:rsidRPr="005C556C">
        <w:rPr>
          <w:snapToGrid w:val="0"/>
          <w:sz w:val="18"/>
          <w:szCs w:val="18"/>
          <w:lang w:val="fr-FR"/>
        </w:rPr>
        <w:t xml:space="preserve">10.c) du document, </w:t>
      </w:r>
      <w:r w:rsidR="00817667" w:rsidRPr="005C556C">
        <w:rPr>
          <w:snapToGrid w:val="0"/>
          <w:sz w:val="18"/>
          <w:szCs w:val="18"/>
          <w:lang w:val="fr-FR"/>
        </w:rPr>
        <w:t>à savoir</w:t>
      </w:r>
      <w:r w:rsidRPr="005C556C">
        <w:rPr>
          <w:rStyle w:val="FootnoteReference"/>
          <w:snapToGrid w:val="0"/>
          <w:sz w:val="18"/>
          <w:szCs w:val="18"/>
          <w:lang w:val="fr-FR"/>
        </w:rPr>
        <w:footnoteReference w:id="3"/>
      </w:r>
      <w:r w:rsidR="00824A4B" w:rsidRPr="005C556C">
        <w:rPr>
          <w:snapToGrid w:val="0"/>
          <w:sz w:val="18"/>
          <w:szCs w:val="18"/>
          <w:lang w:val="fr-FR"/>
        </w:rPr>
        <w:t> </w:t>
      </w:r>
      <w:r w:rsidR="000473B6" w:rsidRPr="005C556C">
        <w:rPr>
          <w:snapToGrid w:val="0"/>
          <w:sz w:val="18"/>
          <w:szCs w:val="18"/>
          <w:lang w:val="fr-FR"/>
        </w:rPr>
        <w:t>:</w:t>
      </w:r>
    </w:p>
    <w:p w:rsidR="0058402C" w:rsidRPr="005C556C" w:rsidRDefault="0058402C" w:rsidP="005C556C">
      <w:pPr>
        <w:ind w:left="567" w:right="567"/>
        <w:rPr>
          <w:snapToGrid w:val="0"/>
          <w:sz w:val="18"/>
          <w:szCs w:val="18"/>
          <w:lang w:val="fr-FR"/>
        </w:rPr>
      </w:pPr>
    </w:p>
    <w:p w:rsidR="0058402C" w:rsidRPr="005C556C" w:rsidRDefault="005219A2" w:rsidP="005C556C">
      <w:pPr>
        <w:pStyle w:val="ListParagraph"/>
        <w:keepNext/>
        <w:tabs>
          <w:tab w:val="left" w:pos="567"/>
          <w:tab w:val="left" w:pos="1134"/>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0473B6" w:rsidRPr="005C556C">
        <w:rPr>
          <w:sz w:val="18"/>
          <w:szCs w:val="18"/>
          <w:lang w:val="fr-FR"/>
        </w:rPr>
        <w:t>Date et référence du document contenant les principes directeurs d</w:t>
      </w:r>
      <w:r w:rsidR="00817667" w:rsidRPr="005C556C">
        <w:rPr>
          <w:sz w:val="18"/>
          <w:szCs w:val="18"/>
          <w:lang w:val="fr-FR"/>
        </w:rPr>
        <w:t>’</w:t>
      </w:r>
      <w:r w:rsidR="000473B6" w:rsidRPr="005C556C">
        <w:rPr>
          <w:sz w:val="18"/>
          <w:szCs w:val="18"/>
          <w:lang w:val="fr-FR"/>
        </w:rPr>
        <w:t>examen de l</w:t>
      </w:r>
      <w:r w:rsidR="00817667" w:rsidRPr="005C556C">
        <w:rPr>
          <w:sz w:val="18"/>
          <w:szCs w:val="18"/>
          <w:lang w:val="fr-FR"/>
        </w:rPr>
        <w:t>’</w:t>
      </w:r>
      <w:r w:rsidR="000473B6" w:rsidRPr="005C556C">
        <w:rPr>
          <w:sz w:val="18"/>
          <w:szCs w:val="18"/>
          <w:lang w:val="fr-FR"/>
        </w:rPr>
        <w:t>UPOV;</w:t>
      </w:r>
    </w:p>
    <w:p w:rsidR="0058402C" w:rsidRPr="005C556C" w:rsidRDefault="005219A2" w:rsidP="005C556C">
      <w:pPr>
        <w:pStyle w:val="ListParagraph"/>
        <w:tabs>
          <w:tab w:val="left" w:pos="567"/>
          <w:tab w:val="left" w:pos="1134"/>
          <w:tab w:val="left" w:pos="5103"/>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0473B6" w:rsidRPr="005C556C">
        <w:rPr>
          <w:sz w:val="18"/>
          <w:szCs w:val="18"/>
          <w:lang w:val="fr-FR"/>
        </w:rPr>
        <w:t>Date et</w:t>
      </w:r>
      <w:r w:rsidR="00D563A2" w:rsidRPr="005C556C">
        <w:rPr>
          <w:sz w:val="18"/>
          <w:szCs w:val="18"/>
          <w:lang w:val="fr-FR"/>
        </w:rPr>
        <w:t>/ou</w:t>
      </w:r>
      <w:r w:rsidR="000473B6" w:rsidRPr="005C556C">
        <w:rPr>
          <w:sz w:val="18"/>
          <w:szCs w:val="18"/>
          <w:lang w:val="fr-FR"/>
        </w:rPr>
        <w:t xml:space="preserve"> référence des principes directeurs du service ayant établi le rapport d</w:t>
      </w:r>
      <w:r w:rsidR="00817667" w:rsidRPr="005C556C">
        <w:rPr>
          <w:sz w:val="18"/>
          <w:szCs w:val="18"/>
          <w:lang w:val="fr-FR"/>
        </w:rPr>
        <w:t>’</w:t>
      </w:r>
      <w:r w:rsidR="000473B6" w:rsidRPr="005C556C">
        <w:rPr>
          <w:sz w:val="18"/>
          <w:szCs w:val="18"/>
          <w:lang w:val="fr-FR"/>
        </w:rPr>
        <w:t>examen;</w:t>
      </w:r>
    </w:p>
    <w:p w:rsidR="0058402C" w:rsidRPr="005C556C" w:rsidRDefault="005219A2" w:rsidP="005C556C">
      <w:pPr>
        <w:pStyle w:val="ListParagraph"/>
        <w:tabs>
          <w:tab w:val="left" w:pos="567"/>
          <w:tab w:val="left" w:pos="1134"/>
          <w:tab w:val="left" w:pos="5103"/>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0473B6" w:rsidRPr="005C556C">
        <w:rPr>
          <w:sz w:val="18"/>
          <w:szCs w:val="18"/>
          <w:lang w:val="fr-FR"/>
        </w:rPr>
        <w:t>Service ayant établi le rapport d</w:t>
      </w:r>
      <w:r w:rsidR="00817667" w:rsidRPr="005C556C">
        <w:rPr>
          <w:sz w:val="18"/>
          <w:szCs w:val="18"/>
          <w:lang w:val="fr-FR"/>
        </w:rPr>
        <w:t>’</w:t>
      </w:r>
      <w:r w:rsidR="000473B6" w:rsidRPr="005C556C">
        <w:rPr>
          <w:sz w:val="18"/>
          <w:szCs w:val="18"/>
          <w:lang w:val="fr-FR"/>
        </w:rPr>
        <w:t>examen;</w:t>
      </w:r>
    </w:p>
    <w:p w:rsidR="0058402C" w:rsidRPr="005C556C" w:rsidRDefault="005219A2" w:rsidP="005C556C">
      <w:pPr>
        <w:pStyle w:val="ListParagraph"/>
        <w:tabs>
          <w:tab w:val="left" w:pos="567"/>
          <w:tab w:val="left" w:pos="1134"/>
          <w:tab w:val="left" w:pos="5103"/>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0473B6" w:rsidRPr="005C556C">
        <w:rPr>
          <w:sz w:val="18"/>
          <w:szCs w:val="18"/>
          <w:lang w:val="fr-FR"/>
        </w:rPr>
        <w:t>Station(s) et lieu(x) d</w:t>
      </w:r>
      <w:r w:rsidR="00817667" w:rsidRPr="005C556C">
        <w:rPr>
          <w:sz w:val="18"/>
          <w:szCs w:val="18"/>
          <w:lang w:val="fr-FR"/>
        </w:rPr>
        <w:t>’</w:t>
      </w:r>
      <w:r w:rsidR="000473B6" w:rsidRPr="005C556C">
        <w:rPr>
          <w:sz w:val="18"/>
          <w:szCs w:val="18"/>
          <w:lang w:val="fr-FR"/>
        </w:rPr>
        <w:t>examen;</w:t>
      </w:r>
    </w:p>
    <w:p w:rsidR="0058402C" w:rsidRPr="005C556C" w:rsidRDefault="005219A2" w:rsidP="005C556C">
      <w:pPr>
        <w:pStyle w:val="ListParagraph"/>
        <w:tabs>
          <w:tab w:val="left" w:pos="567"/>
          <w:tab w:val="left" w:pos="1134"/>
          <w:tab w:val="left" w:pos="5103"/>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0473B6" w:rsidRPr="005C556C">
        <w:rPr>
          <w:sz w:val="18"/>
          <w:szCs w:val="18"/>
          <w:lang w:val="fr-FR"/>
        </w:rPr>
        <w:t>Période d</w:t>
      </w:r>
      <w:r w:rsidR="00817667" w:rsidRPr="005C556C">
        <w:rPr>
          <w:sz w:val="18"/>
          <w:szCs w:val="18"/>
          <w:lang w:val="fr-FR"/>
        </w:rPr>
        <w:t>’</w:t>
      </w:r>
      <w:r w:rsidR="000473B6" w:rsidRPr="005C556C">
        <w:rPr>
          <w:sz w:val="18"/>
          <w:szCs w:val="18"/>
          <w:lang w:val="fr-FR"/>
        </w:rPr>
        <w:t>examen;</w:t>
      </w:r>
    </w:p>
    <w:p w:rsidR="0058402C" w:rsidRPr="005C556C" w:rsidRDefault="005219A2" w:rsidP="005C556C">
      <w:pPr>
        <w:pStyle w:val="ListParagraph"/>
        <w:tabs>
          <w:tab w:val="left" w:pos="567"/>
          <w:tab w:val="left" w:pos="1134"/>
          <w:tab w:val="left" w:pos="5103"/>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1B22AA" w:rsidRPr="005C556C">
        <w:rPr>
          <w:sz w:val="18"/>
          <w:szCs w:val="18"/>
          <w:lang w:val="fr-FR"/>
        </w:rPr>
        <w:t>Date et lieu de publication du document;</w:t>
      </w:r>
    </w:p>
    <w:p w:rsidR="0058402C" w:rsidRPr="005C556C" w:rsidRDefault="005219A2" w:rsidP="005C556C">
      <w:pPr>
        <w:pStyle w:val="ListParagraph"/>
        <w:tabs>
          <w:tab w:val="left" w:pos="1134"/>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1B22AA" w:rsidRPr="005C556C">
        <w:rPr>
          <w:sz w:val="18"/>
          <w:szCs w:val="18"/>
          <w:lang w:val="fr-FR"/>
        </w:rPr>
        <w:t>Groupe</w:t>
      </w:r>
      <w:r w:rsidR="00824A4B" w:rsidRPr="005C556C">
        <w:rPr>
          <w:sz w:val="18"/>
          <w:szCs w:val="18"/>
          <w:lang w:val="fr-FR"/>
        </w:rPr>
        <w:t> </w:t>
      </w:r>
      <w:r w:rsidR="001B22AA" w:rsidRPr="005C556C">
        <w:rPr>
          <w:sz w:val="18"/>
          <w:szCs w:val="18"/>
          <w:lang w:val="fr-FR"/>
        </w:rPr>
        <w:t>: (tableau</w:t>
      </w:r>
      <w:r w:rsidR="00824A4B" w:rsidRPr="005C556C">
        <w:rPr>
          <w:sz w:val="18"/>
          <w:szCs w:val="18"/>
          <w:lang w:val="fr-FR"/>
        </w:rPr>
        <w:t> </w:t>
      </w:r>
      <w:r w:rsidR="001B22AA" w:rsidRPr="005C556C">
        <w:rPr>
          <w:sz w:val="18"/>
          <w:szCs w:val="18"/>
          <w:lang w:val="fr-FR"/>
        </w:rPr>
        <w:t>: caractères;  niveaux d</w:t>
      </w:r>
      <w:r w:rsidR="00817667" w:rsidRPr="005C556C">
        <w:rPr>
          <w:sz w:val="18"/>
          <w:szCs w:val="18"/>
          <w:lang w:val="fr-FR"/>
        </w:rPr>
        <w:t>’</w:t>
      </w:r>
      <w:r w:rsidR="001B22AA" w:rsidRPr="005C556C">
        <w:rPr>
          <w:sz w:val="18"/>
          <w:szCs w:val="18"/>
          <w:lang w:val="fr-FR"/>
        </w:rPr>
        <w:t xml:space="preserve">expression;  note;  </w:t>
      </w:r>
      <w:r w:rsidR="00D563A2" w:rsidRPr="005C556C">
        <w:rPr>
          <w:sz w:val="18"/>
          <w:szCs w:val="18"/>
          <w:lang w:val="fr-FR"/>
        </w:rPr>
        <w:t>observations</w:t>
      </w:r>
      <w:r w:rsidR="001B22AA" w:rsidRPr="005C556C">
        <w:rPr>
          <w:sz w:val="18"/>
          <w:szCs w:val="18"/>
          <w:lang w:val="fr-FR"/>
        </w:rPr>
        <w:t>);</w:t>
      </w:r>
    </w:p>
    <w:p w:rsidR="0058402C" w:rsidRPr="005C556C" w:rsidRDefault="005219A2" w:rsidP="005C556C">
      <w:pPr>
        <w:pStyle w:val="ListParagraph"/>
        <w:tabs>
          <w:tab w:val="left" w:pos="1134"/>
        </w:tabs>
        <w:ind w:left="567" w:right="567"/>
        <w:rPr>
          <w:sz w:val="18"/>
          <w:szCs w:val="18"/>
          <w:lang w:val="fr-FR"/>
        </w:rPr>
      </w:pPr>
      <w:r w:rsidRPr="005C556C">
        <w:rPr>
          <w:snapToGrid w:val="0"/>
          <w:sz w:val="18"/>
          <w:szCs w:val="18"/>
          <w:lang w:val="fr-FR"/>
        </w:rPr>
        <w:t>“</w:t>
      </w:r>
      <w:r w:rsidR="002F266D" w:rsidRPr="002F266D">
        <w:rPr>
          <w:sz w:val="14"/>
          <w:lang w:val="fr-FR"/>
        </w:rPr>
        <w:sym w:font="Wingdings 2" w:char="F097"/>
      </w:r>
      <w:r w:rsidRPr="005C556C">
        <w:rPr>
          <w:sz w:val="18"/>
          <w:lang w:val="fr-FR"/>
        </w:rPr>
        <w:tab/>
      </w:r>
      <w:r w:rsidR="00D563A2" w:rsidRPr="005C556C">
        <w:rPr>
          <w:sz w:val="18"/>
          <w:szCs w:val="18"/>
          <w:lang w:val="fr-FR"/>
        </w:rPr>
        <w:t>Renseignements complémentaires</w:t>
      </w:r>
      <w:r w:rsidR="00B73C94" w:rsidRPr="005C556C">
        <w:rPr>
          <w:sz w:val="18"/>
          <w:szCs w:val="18"/>
          <w:lang w:val="fr-FR"/>
        </w:rPr>
        <w:t>;</w:t>
      </w:r>
    </w:p>
    <w:p w:rsidR="0058402C" w:rsidRPr="005C556C" w:rsidRDefault="006117E2" w:rsidP="005C556C">
      <w:pPr>
        <w:ind w:left="567" w:right="567"/>
        <w:rPr>
          <w:sz w:val="18"/>
          <w:szCs w:val="18"/>
          <w:lang w:val="fr-FR"/>
        </w:rPr>
      </w:pPr>
      <w:r w:rsidRPr="005C556C">
        <w:rPr>
          <w:sz w:val="18"/>
          <w:szCs w:val="18"/>
          <w:lang w:val="fr-FR"/>
        </w:rPr>
        <w:tab/>
      </w:r>
      <w:r w:rsidR="005219A2" w:rsidRPr="005C556C">
        <w:rPr>
          <w:snapToGrid w:val="0"/>
          <w:sz w:val="18"/>
          <w:szCs w:val="18"/>
          <w:lang w:val="fr-FR"/>
        </w:rPr>
        <w:t>“</w:t>
      </w:r>
      <w:r w:rsidR="00B73C94" w:rsidRPr="005C556C">
        <w:rPr>
          <w:sz w:val="18"/>
          <w:szCs w:val="18"/>
          <w:lang w:val="fr-FR"/>
        </w:rPr>
        <w:t>a)</w:t>
      </w:r>
      <w:r w:rsidR="00B73C94" w:rsidRPr="005C556C">
        <w:rPr>
          <w:sz w:val="18"/>
          <w:szCs w:val="18"/>
          <w:lang w:val="fr-FR"/>
        </w:rPr>
        <w:tab/>
        <w:t>Données additionnelles</w:t>
      </w:r>
      <w:r w:rsidR="005219A2" w:rsidRPr="005C556C">
        <w:rPr>
          <w:sz w:val="18"/>
          <w:szCs w:val="18"/>
          <w:lang w:val="fr-FR"/>
        </w:rPr>
        <w:t>;</w:t>
      </w:r>
    </w:p>
    <w:p w:rsidR="0058402C" w:rsidRPr="005C556C" w:rsidRDefault="006117E2" w:rsidP="005C556C">
      <w:pPr>
        <w:ind w:left="567" w:right="567"/>
        <w:rPr>
          <w:sz w:val="18"/>
          <w:szCs w:val="18"/>
          <w:lang w:val="fr-FR"/>
        </w:rPr>
      </w:pPr>
      <w:r w:rsidRPr="005C556C">
        <w:rPr>
          <w:sz w:val="18"/>
          <w:szCs w:val="18"/>
          <w:lang w:val="fr-FR"/>
        </w:rPr>
        <w:tab/>
      </w:r>
      <w:r w:rsidR="005219A2" w:rsidRPr="005C556C">
        <w:rPr>
          <w:snapToGrid w:val="0"/>
          <w:sz w:val="18"/>
          <w:szCs w:val="18"/>
          <w:lang w:val="fr-FR"/>
        </w:rPr>
        <w:t>“</w:t>
      </w:r>
      <w:r w:rsidR="001B22AA" w:rsidRPr="005C556C">
        <w:rPr>
          <w:sz w:val="18"/>
          <w:szCs w:val="18"/>
          <w:lang w:val="fr-FR"/>
        </w:rPr>
        <w:t>b)</w:t>
      </w:r>
      <w:r w:rsidR="001B22AA" w:rsidRPr="005C556C">
        <w:rPr>
          <w:sz w:val="18"/>
          <w:szCs w:val="18"/>
          <w:lang w:val="fr-FR"/>
        </w:rPr>
        <w:tab/>
        <w:t>Photographie (</w:t>
      </w:r>
      <w:r w:rsidR="00D563A2" w:rsidRPr="005C556C">
        <w:rPr>
          <w:sz w:val="18"/>
          <w:szCs w:val="18"/>
          <w:lang w:val="fr-FR"/>
        </w:rPr>
        <w:t>le cas échéant</w:t>
      </w:r>
      <w:r w:rsidR="00B73C94" w:rsidRPr="005C556C">
        <w:rPr>
          <w:sz w:val="18"/>
          <w:szCs w:val="18"/>
          <w:lang w:val="fr-FR"/>
        </w:rPr>
        <w:t>)</w:t>
      </w:r>
      <w:r w:rsidR="005219A2" w:rsidRPr="005C556C">
        <w:rPr>
          <w:sz w:val="18"/>
          <w:szCs w:val="18"/>
          <w:lang w:val="fr-FR"/>
        </w:rPr>
        <w:t>;</w:t>
      </w:r>
    </w:p>
    <w:p w:rsidR="0058402C" w:rsidRPr="005C556C" w:rsidRDefault="006117E2" w:rsidP="005C556C">
      <w:pPr>
        <w:ind w:left="567" w:right="567"/>
        <w:rPr>
          <w:sz w:val="18"/>
          <w:szCs w:val="18"/>
          <w:lang w:val="fr-FR"/>
        </w:rPr>
      </w:pPr>
      <w:r w:rsidRPr="005C556C">
        <w:rPr>
          <w:sz w:val="18"/>
          <w:szCs w:val="18"/>
          <w:lang w:val="fr-FR"/>
        </w:rPr>
        <w:tab/>
      </w:r>
      <w:r w:rsidR="005219A2" w:rsidRPr="005C556C">
        <w:rPr>
          <w:snapToGrid w:val="0"/>
          <w:sz w:val="18"/>
          <w:szCs w:val="18"/>
          <w:lang w:val="fr-FR"/>
        </w:rPr>
        <w:t>“</w:t>
      </w:r>
      <w:r w:rsidR="001B22AA" w:rsidRPr="005C556C">
        <w:rPr>
          <w:sz w:val="18"/>
          <w:szCs w:val="18"/>
          <w:lang w:val="fr-FR"/>
        </w:rPr>
        <w:t>c)</w:t>
      </w:r>
      <w:r w:rsidR="001B22AA" w:rsidRPr="005C556C">
        <w:rPr>
          <w:sz w:val="18"/>
          <w:szCs w:val="18"/>
          <w:lang w:val="fr-FR"/>
        </w:rPr>
        <w:tab/>
        <w:t>Version du code</w:t>
      </w:r>
      <w:r w:rsidR="00D563A2" w:rsidRPr="005C556C">
        <w:rPr>
          <w:sz w:val="18"/>
          <w:szCs w:val="18"/>
          <w:lang w:val="fr-FR"/>
        </w:rPr>
        <w:t xml:space="preserve"> RHS</w:t>
      </w:r>
      <w:r w:rsidR="001B22AA" w:rsidRPr="005C556C">
        <w:rPr>
          <w:sz w:val="18"/>
          <w:szCs w:val="18"/>
          <w:lang w:val="fr-FR"/>
        </w:rPr>
        <w:t xml:space="preserve"> de</w:t>
      </w:r>
      <w:r w:rsidR="00D563A2" w:rsidRPr="005C556C">
        <w:rPr>
          <w:sz w:val="18"/>
          <w:szCs w:val="18"/>
          <w:lang w:val="fr-FR"/>
        </w:rPr>
        <w:t>s</w:t>
      </w:r>
      <w:r w:rsidR="001B22AA" w:rsidRPr="005C556C">
        <w:rPr>
          <w:sz w:val="18"/>
          <w:szCs w:val="18"/>
          <w:lang w:val="fr-FR"/>
        </w:rPr>
        <w:t xml:space="preserve"> couleur</w:t>
      </w:r>
      <w:r w:rsidR="00D563A2" w:rsidRPr="005C556C">
        <w:rPr>
          <w:sz w:val="18"/>
          <w:szCs w:val="18"/>
          <w:lang w:val="fr-FR"/>
        </w:rPr>
        <w:t>s</w:t>
      </w:r>
      <w:r w:rsidR="001B22AA" w:rsidRPr="005C556C">
        <w:rPr>
          <w:sz w:val="18"/>
          <w:szCs w:val="18"/>
          <w:lang w:val="fr-FR"/>
        </w:rPr>
        <w:t xml:space="preserve"> utilisée (</w:t>
      </w:r>
      <w:r w:rsidR="00D563A2" w:rsidRPr="005C556C">
        <w:rPr>
          <w:sz w:val="18"/>
          <w:szCs w:val="18"/>
          <w:lang w:val="fr-FR"/>
        </w:rPr>
        <w:t>le cas échéant</w:t>
      </w:r>
      <w:r w:rsidR="00B73C94" w:rsidRPr="005C556C">
        <w:rPr>
          <w:sz w:val="18"/>
          <w:szCs w:val="18"/>
          <w:lang w:val="fr-FR"/>
        </w:rPr>
        <w:t>)</w:t>
      </w:r>
      <w:r w:rsidR="005219A2" w:rsidRPr="005C556C">
        <w:rPr>
          <w:sz w:val="18"/>
          <w:szCs w:val="18"/>
          <w:lang w:val="fr-FR"/>
        </w:rPr>
        <w:t>;</w:t>
      </w:r>
    </w:p>
    <w:p w:rsidR="0058402C" w:rsidRPr="005C556C" w:rsidRDefault="006117E2" w:rsidP="005C556C">
      <w:pPr>
        <w:tabs>
          <w:tab w:val="left" w:pos="284"/>
        </w:tabs>
        <w:ind w:left="567" w:right="567"/>
        <w:rPr>
          <w:sz w:val="18"/>
          <w:szCs w:val="18"/>
          <w:lang w:val="fr-FR"/>
        </w:rPr>
      </w:pPr>
      <w:r w:rsidRPr="005C556C">
        <w:rPr>
          <w:sz w:val="18"/>
          <w:szCs w:val="18"/>
          <w:lang w:val="fr-FR"/>
        </w:rPr>
        <w:tab/>
      </w:r>
      <w:r w:rsidR="005219A2" w:rsidRPr="005C556C">
        <w:rPr>
          <w:snapToGrid w:val="0"/>
          <w:sz w:val="18"/>
          <w:szCs w:val="18"/>
          <w:lang w:val="fr-FR"/>
        </w:rPr>
        <w:t>“</w:t>
      </w:r>
      <w:r w:rsidR="001B22AA" w:rsidRPr="005C556C">
        <w:rPr>
          <w:sz w:val="18"/>
          <w:szCs w:val="18"/>
          <w:lang w:val="fr-FR"/>
        </w:rPr>
        <w:t>d)</w:t>
      </w:r>
      <w:r w:rsidR="001B22AA" w:rsidRPr="005C556C">
        <w:rPr>
          <w:sz w:val="18"/>
          <w:szCs w:val="18"/>
          <w:lang w:val="fr-FR"/>
        </w:rPr>
        <w:tab/>
      </w:r>
      <w:r w:rsidR="00D563A2" w:rsidRPr="005C556C">
        <w:rPr>
          <w:sz w:val="18"/>
          <w:szCs w:val="18"/>
          <w:lang w:val="fr-FR"/>
        </w:rPr>
        <w:t>Observations.</w:t>
      </w:r>
      <w:r w:rsidR="00412CE1" w:rsidRPr="005C556C">
        <w:rPr>
          <w:sz w:val="18"/>
          <w:szCs w:val="18"/>
          <w:lang w:val="fr-FR"/>
        </w:rPr>
        <w:t>”</w:t>
      </w:r>
    </w:p>
    <w:p w:rsidR="0058402C" w:rsidRPr="005C556C" w:rsidRDefault="0058402C" w:rsidP="005C556C">
      <w:pPr>
        <w:rPr>
          <w:lang w:val="fr-FR"/>
        </w:rPr>
      </w:pPr>
    </w:p>
    <w:p w:rsidR="0058402C" w:rsidRPr="005C556C" w:rsidRDefault="00852CA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34815" w:rsidRPr="005C556C">
        <w:rPr>
          <w:lang w:val="fr-FR"/>
        </w:rPr>
        <w:t>Le CAJ note que le</w:t>
      </w:r>
      <w:r w:rsidR="00817667" w:rsidRPr="005C556C">
        <w:rPr>
          <w:lang w:val="fr-FR"/>
        </w:rPr>
        <w:t> TC</w:t>
      </w:r>
      <w:r w:rsidR="00034815" w:rsidRPr="005C556C">
        <w:rPr>
          <w:lang w:val="fr-FR"/>
        </w:rPr>
        <w:t xml:space="preserve"> a pris note de l</w:t>
      </w:r>
      <w:r w:rsidR="00817667" w:rsidRPr="005C556C">
        <w:rPr>
          <w:lang w:val="fr-FR"/>
        </w:rPr>
        <w:t>’</w:t>
      </w:r>
      <w:r w:rsidR="00034815" w:rsidRPr="005C556C">
        <w:rPr>
          <w:lang w:val="fr-FR"/>
        </w:rPr>
        <w:t>existence de différentes approches pour l</w:t>
      </w:r>
      <w:r w:rsidR="00817667" w:rsidRPr="005C556C">
        <w:rPr>
          <w:lang w:val="fr-FR"/>
        </w:rPr>
        <w:t>’</w:t>
      </w:r>
      <w:r w:rsidR="00034815" w:rsidRPr="005C556C">
        <w:rPr>
          <w:lang w:val="fr-FR"/>
        </w:rPr>
        <w:t>établissement de descriptions variétales et le contrôle du maintien des variétés dan</w:t>
      </w:r>
      <w:r w:rsidR="004B1C88" w:rsidRPr="005C556C">
        <w:rPr>
          <w:lang w:val="fr-FR"/>
        </w:rPr>
        <w:t>s différents membres de l</w:t>
      </w:r>
      <w:r w:rsidR="00817667" w:rsidRPr="005C556C">
        <w:rPr>
          <w:lang w:val="fr-FR"/>
        </w:rPr>
        <w:t>’</w:t>
      </w:r>
      <w:r w:rsidR="004B1C88" w:rsidRPr="005C556C">
        <w:rPr>
          <w:lang w:val="fr-FR"/>
        </w:rPr>
        <w:t xml:space="preserve">UPOV </w:t>
      </w:r>
      <w:r w:rsidR="00034815" w:rsidRPr="005C556C">
        <w:rPr>
          <w:lang w:val="fr-FR"/>
        </w:rPr>
        <w:t>et selon divers systèmes d</w:t>
      </w:r>
      <w:r w:rsidR="00817667" w:rsidRPr="005C556C">
        <w:rPr>
          <w:lang w:val="fr-FR"/>
        </w:rPr>
        <w:t>’</w:t>
      </w:r>
      <w:r w:rsidR="00034815" w:rsidRPr="005C556C">
        <w:rPr>
          <w:lang w:val="fr-FR"/>
        </w:rPr>
        <w:t>examen DHS.</w:t>
      </w:r>
      <w:r w:rsidRPr="005C556C">
        <w:rPr>
          <w:lang w:val="fr-FR"/>
        </w:rPr>
        <w:t xml:space="preserve"> </w:t>
      </w:r>
      <w:r w:rsidR="00556FFA" w:rsidRPr="005C556C">
        <w:rPr>
          <w:lang w:val="fr-FR"/>
        </w:rPr>
        <w:t xml:space="preserve"> </w:t>
      </w:r>
      <w:r w:rsidR="00000B1E" w:rsidRPr="005C556C">
        <w:rPr>
          <w:lang w:val="fr-FR"/>
        </w:rPr>
        <w:t>Il note également que le</w:t>
      </w:r>
      <w:r w:rsidR="00817667" w:rsidRPr="005C556C">
        <w:rPr>
          <w:lang w:val="fr-FR"/>
        </w:rPr>
        <w:t> TC</w:t>
      </w:r>
      <w:r w:rsidR="00000B1E" w:rsidRPr="005C556C">
        <w:rPr>
          <w:lang w:val="fr-FR"/>
        </w:rPr>
        <w:t xml:space="preserve"> est convenu d</w:t>
      </w:r>
      <w:r w:rsidR="00817667" w:rsidRPr="005C556C">
        <w:rPr>
          <w:lang w:val="fr-FR"/>
        </w:rPr>
        <w:t>’</w:t>
      </w:r>
      <w:r w:rsidR="00000B1E" w:rsidRPr="005C556C">
        <w:rPr>
          <w:lang w:val="fr-FR"/>
        </w:rPr>
        <w:t xml:space="preserve">inviter des experts </w:t>
      </w:r>
      <w:r w:rsidR="004B1C88" w:rsidRPr="005C556C">
        <w:rPr>
          <w:lang w:val="fr-FR"/>
        </w:rPr>
        <w:t xml:space="preserve">à </w:t>
      </w:r>
      <w:r w:rsidR="00000B1E" w:rsidRPr="005C556C">
        <w:rPr>
          <w:lang w:val="fr-FR"/>
        </w:rPr>
        <w:t xml:space="preserve">expliquer aux </w:t>
      </w:r>
      <w:r w:rsidR="004B1C88" w:rsidRPr="005C556C">
        <w:rPr>
          <w:lang w:val="fr-FR"/>
        </w:rPr>
        <w:t>groupes de travail techniques</w:t>
      </w:r>
      <w:r w:rsidR="00000B1E" w:rsidRPr="005C556C">
        <w:rPr>
          <w:lang w:val="fr-FR"/>
        </w:rPr>
        <w:t>, à leurs sessions de</w:t>
      </w:r>
      <w:r w:rsidR="00824A4B" w:rsidRPr="005C556C">
        <w:rPr>
          <w:lang w:val="fr-FR"/>
        </w:rPr>
        <w:t> </w:t>
      </w:r>
      <w:r w:rsidR="00000B1E" w:rsidRPr="005C556C">
        <w:rPr>
          <w:lang w:val="fr-FR"/>
        </w:rPr>
        <w:t>2015, comment les descriptions variétales sont établies dans le cadre de l</w:t>
      </w:r>
      <w:r w:rsidR="00817667" w:rsidRPr="005C556C">
        <w:rPr>
          <w:lang w:val="fr-FR"/>
        </w:rPr>
        <w:t>’</w:t>
      </w:r>
      <w:r w:rsidR="00000B1E" w:rsidRPr="005C556C">
        <w:rPr>
          <w:lang w:val="fr-FR"/>
        </w:rPr>
        <w:t>examen</w:t>
      </w:r>
      <w:r w:rsidR="00824A4B" w:rsidRPr="005C556C">
        <w:rPr>
          <w:lang w:val="fr-FR"/>
        </w:rPr>
        <w:t> </w:t>
      </w:r>
      <w:r w:rsidR="00000B1E" w:rsidRPr="005C556C">
        <w:rPr>
          <w:lang w:val="fr-FR"/>
        </w:rPr>
        <w:t>DHS et utilisées après l</w:t>
      </w:r>
      <w:r w:rsidR="00817667" w:rsidRPr="005C556C">
        <w:rPr>
          <w:lang w:val="fr-FR"/>
        </w:rPr>
        <w:t>’</w:t>
      </w:r>
      <w:r w:rsidR="00000B1E" w:rsidRPr="005C556C">
        <w:rPr>
          <w:lang w:val="fr-FR"/>
        </w:rPr>
        <w:t>octroi d</w:t>
      </w:r>
      <w:r w:rsidR="00817667" w:rsidRPr="005C556C">
        <w:rPr>
          <w:lang w:val="fr-FR"/>
        </w:rPr>
        <w:t>’</w:t>
      </w:r>
      <w:r w:rsidR="00000B1E" w:rsidRPr="005C556C">
        <w:rPr>
          <w:lang w:val="fr-FR"/>
        </w:rPr>
        <w:t>un droit d</w:t>
      </w:r>
      <w:r w:rsidR="00817667" w:rsidRPr="005C556C">
        <w:rPr>
          <w:lang w:val="fr-FR"/>
        </w:rPr>
        <w:t>’</w:t>
      </w:r>
      <w:r w:rsidR="00000B1E" w:rsidRPr="005C556C">
        <w:rPr>
          <w:lang w:val="fr-FR"/>
        </w:rPr>
        <w:t>obtenteur et comment le maintien de la variété est contrôlé.</w:t>
      </w:r>
      <w:r w:rsidR="00556FFA" w:rsidRPr="005C556C">
        <w:rPr>
          <w:lang w:val="fr-FR"/>
        </w:rPr>
        <w:t xml:space="preserve"> </w:t>
      </w:r>
      <w:r w:rsidR="00817667" w:rsidRPr="005C556C">
        <w:rPr>
          <w:lang w:val="fr-FR"/>
        </w:rPr>
        <w:t xml:space="preserve"> Le CAJ</w:t>
      </w:r>
      <w:r w:rsidR="00000B1E" w:rsidRPr="005C556C">
        <w:rPr>
          <w:lang w:val="fr-FR"/>
        </w:rPr>
        <w:t xml:space="preserve"> note également que le</w:t>
      </w:r>
      <w:r w:rsidR="00817667" w:rsidRPr="005C556C">
        <w:rPr>
          <w:lang w:val="fr-FR"/>
        </w:rPr>
        <w:t> TC</w:t>
      </w:r>
      <w:r w:rsidR="00000B1E" w:rsidRPr="005C556C">
        <w:rPr>
          <w:lang w:val="fr-FR"/>
        </w:rPr>
        <w:t xml:space="preserve"> est convenu que des experts devraient aussi être invités à expliquer aux </w:t>
      </w:r>
      <w:r w:rsidR="00B73C94" w:rsidRPr="005C556C">
        <w:rPr>
          <w:lang w:val="fr-FR"/>
        </w:rPr>
        <w:t>groupes de travail techniques</w:t>
      </w:r>
      <w:r w:rsidR="00000B1E" w:rsidRPr="005C556C">
        <w:rPr>
          <w:lang w:val="fr-FR"/>
        </w:rPr>
        <w:t>, à leurs sessions de</w:t>
      </w:r>
      <w:r w:rsidR="00824A4B" w:rsidRPr="005C556C">
        <w:rPr>
          <w:lang w:val="fr-FR"/>
        </w:rPr>
        <w:t> </w:t>
      </w:r>
      <w:r w:rsidR="00000B1E" w:rsidRPr="005C556C">
        <w:rPr>
          <w:lang w:val="fr-FR"/>
        </w:rPr>
        <w:t>2015, le rôle du matériel végétal utilisé comme base de l</w:t>
      </w:r>
      <w:r w:rsidR="00817667" w:rsidRPr="005C556C">
        <w:rPr>
          <w:lang w:val="fr-FR"/>
        </w:rPr>
        <w:t>’</w:t>
      </w:r>
      <w:r w:rsidR="00000B1E" w:rsidRPr="005C556C">
        <w:rPr>
          <w:lang w:val="fr-FR"/>
        </w:rPr>
        <w:t>examen</w:t>
      </w:r>
      <w:r w:rsidR="00824A4B" w:rsidRPr="005C556C">
        <w:rPr>
          <w:lang w:val="fr-FR"/>
        </w:rPr>
        <w:t> </w:t>
      </w:r>
      <w:r w:rsidR="00000B1E" w:rsidRPr="005C556C">
        <w:rPr>
          <w:lang w:val="fr-FR"/>
        </w:rPr>
        <w:t>DHS en relation avec les questions visées au paragraphe</w:t>
      </w:r>
      <w:r w:rsidR="00824A4B" w:rsidRPr="005C556C">
        <w:rPr>
          <w:lang w:val="fr-FR"/>
        </w:rPr>
        <w:t> </w:t>
      </w:r>
      <w:r w:rsidR="00000B1E" w:rsidRPr="005C556C">
        <w:rPr>
          <w:lang w:val="fr-FR"/>
        </w:rPr>
        <w:t xml:space="preserve">8 du </w:t>
      </w:r>
      <w:r w:rsidR="00817667" w:rsidRPr="005C556C">
        <w:rPr>
          <w:lang w:val="fr-FR"/>
        </w:rPr>
        <w:t>document TC</w:t>
      </w:r>
      <w:r w:rsidR="00000B1E" w:rsidRPr="005C556C">
        <w:rPr>
          <w:lang w:val="fr-FR"/>
        </w:rPr>
        <w:t>/51/38.</w:t>
      </w:r>
    </w:p>
    <w:p w:rsidR="0058402C" w:rsidRPr="005C556C" w:rsidRDefault="0058402C" w:rsidP="005C556C">
      <w:pPr>
        <w:rPr>
          <w:lang w:val="fr-FR"/>
        </w:rPr>
      </w:pPr>
    </w:p>
    <w:p w:rsidR="0058402C" w:rsidRPr="005C556C" w:rsidRDefault="00852CA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00B1E" w:rsidRPr="005C556C">
        <w:rPr>
          <w:lang w:val="fr-FR"/>
        </w:rPr>
        <w:t>Le CAJ note que le</w:t>
      </w:r>
      <w:r w:rsidR="00817667" w:rsidRPr="005C556C">
        <w:rPr>
          <w:lang w:val="fr-FR"/>
        </w:rPr>
        <w:t> TC</w:t>
      </w:r>
      <w:r w:rsidR="00000B1E" w:rsidRPr="005C556C">
        <w:rPr>
          <w:lang w:val="fr-FR"/>
        </w:rPr>
        <w:t xml:space="preserve"> est convenu d</w:t>
      </w:r>
      <w:r w:rsidR="00817667" w:rsidRPr="005C556C">
        <w:rPr>
          <w:lang w:val="fr-FR"/>
        </w:rPr>
        <w:t>’</w:t>
      </w:r>
      <w:r w:rsidR="00000B1E" w:rsidRPr="005C556C">
        <w:rPr>
          <w:lang w:val="fr-FR"/>
        </w:rPr>
        <w:t xml:space="preserve">inscrire </w:t>
      </w:r>
      <w:r w:rsidR="004B1C88" w:rsidRPr="005C556C">
        <w:rPr>
          <w:lang w:val="fr-FR"/>
        </w:rPr>
        <w:t>à l</w:t>
      </w:r>
      <w:r w:rsidR="00817667" w:rsidRPr="005C556C">
        <w:rPr>
          <w:lang w:val="fr-FR"/>
        </w:rPr>
        <w:t>’</w:t>
      </w:r>
      <w:r w:rsidR="004B1C88" w:rsidRPr="005C556C">
        <w:rPr>
          <w:lang w:val="fr-FR"/>
        </w:rPr>
        <w:t>ordre du jour de sa cinquante</w:t>
      </w:r>
      <w:r w:rsidR="002C6DE0" w:rsidRPr="005C556C">
        <w:rPr>
          <w:lang w:val="fr-FR"/>
        </w:rPr>
        <w:noBreakHyphen/>
      </w:r>
      <w:r w:rsidR="004B1C88" w:rsidRPr="005C556C">
        <w:rPr>
          <w:lang w:val="fr-FR"/>
        </w:rPr>
        <w:t>deuxième</w:t>
      </w:r>
      <w:r w:rsidR="00824A4B" w:rsidRPr="005C556C">
        <w:rPr>
          <w:lang w:val="fr-FR"/>
        </w:rPr>
        <w:t> </w:t>
      </w:r>
      <w:r w:rsidR="004B1C88" w:rsidRPr="005C556C">
        <w:rPr>
          <w:lang w:val="fr-FR"/>
        </w:rPr>
        <w:t>session, prévue à Genève en</w:t>
      </w:r>
      <w:r w:rsidR="00824A4B" w:rsidRPr="005C556C">
        <w:rPr>
          <w:lang w:val="fr-FR"/>
        </w:rPr>
        <w:t> </w:t>
      </w:r>
      <w:r w:rsidR="004B1C88" w:rsidRPr="005C556C">
        <w:rPr>
          <w:lang w:val="fr-FR"/>
        </w:rPr>
        <w:t xml:space="preserve">2016, </w:t>
      </w:r>
      <w:r w:rsidR="00000B1E" w:rsidRPr="005C556C">
        <w:rPr>
          <w:lang w:val="fr-FR"/>
        </w:rPr>
        <w:t xml:space="preserve">un débat sur les descriptions variétales et le rôle du matériel végétal, </w:t>
      </w:r>
      <w:r w:rsidR="004B1C88" w:rsidRPr="005C556C">
        <w:rPr>
          <w:lang w:val="fr-FR"/>
        </w:rPr>
        <w:t>notamment</w:t>
      </w:r>
      <w:r w:rsidR="00000B1E" w:rsidRPr="005C556C">
        <w:rPr>
          <w:lang w:val="fr-FR"/>
        </w:rPr>
        <w:t xml:space="preserve"> le nombre minimal de cycles </w:t>
      </w:r>
      <w:r w:rsidR="004B1C88" w:rsidRPr="005C556C">
        <w:rPr>
          <w:lang w:val="fr-FR"/>
        </w:rPr>
        <w:t>de végétation pour l</w:t>
      </w:r>
      <w:r w:rsidR="00817667" w:rsidRPr="005C556C">
        <w:rPr>
          <w:lang w:val="fr-FR"/>
        </w:rPr>
        <w:t>’</w:t>
      </w:r>
      <w:r w:rsidR="004B1C88" w:rsidRPr="005C556C">
        <w:rPr>
          <w:lang w:val="fr-FR"/>
        </w:rPr>
        <w:t>examen</w:t>
      </w:r>
      <w:r w:rsidR="00824A4B" w:rsidRPr="005C556C">
        <w:rPr>
          <w:lang w:val="fr-FR"/>
        </w:rPr>
        <w:t> </w:t>
      </w:r>
      <w:r w:rsidR="004B1C88" w:rsidRPr="005C556C">
        <w:rPr>
          <w:lang w:val="fr-FR"/>
        </w:rPr>
        <w:t>DHS</w:t>
      </w:r>
      <w:r w:rsidR="00000B1E" w:rsidRPr="005C556C">
        <w:rPr>
          <w:lang w:val="fr-FR"/>
        </w:rPr>
        <w:t>.</w:t>
      </w:r>
    </w:p>
    <w:p w:rsidR="0058402C" w:rsidRPr="005C556C" w:rsidRDefault="0058402C" w:rsidP="00893041">
      <w:pPr>
        <w:spacing w:line="360" w:lineRule="auto"/>
        <w:rPr>
          <w:lang w:val="fr-FR"/>
        </w:rPr>
      </w:pPr>
    </w:p>
    <w:p w:rsidR="0058402C" w:rsidRPr="005C556C" w:rsidRDefault="001B22AA" w:rsidP="005C556C">
      <w:pPr>
        <w:keepNext/>
        <w:rPr>
          <w:i/>
          <w:lang w:val="fr-FR"/>
        </w:rPr>
      </w:pPr>
      <w:r w:rsidRPr="005C556C">
        <w:rPr>
          <w:i/>
          <w:lang w:val="fr-FR"/>
        </w:rPr>
        <w:t>Dénominations variétales</w:t>
      </w:r>
    </w:p>
    <w:p w:rsidR="0058402C" w:rsidRPr="005C556C" w:rsidRDefault="0058402C" w:rsidP="005C556C">
      <w:pPr>
        <w:keepNext/>
        <w:rPr>
          <w:lang w:val="fr-FR"/>
        </w:rPr>
      </w:pPr>
    </w:p>
    <w:p w:rsidR="0058402C" w:rsidRPr="005C556C" w:rsidRDefault="00F47697"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B05A5" w:rsidRPr="005C556C">
        <w:rPr>
          <w:lang w:val="fr-FR"/>
        </w:rPr>
        <w:t>Le CAJ note qu</w:t>
      </w:r>
      <w:r w:rsidR="00817667" w:rsidRPr="005C556C">
        <w:rPr>
          <w:lang w:val="fr-FR"/>
        </w:rPr>
        <w:t>’</w:t>
      </w:r>
      <w:r w:rsidR="002B05A5" w:rsidRPr="005C556C">
        <w:rPr>
          <w:lang w:val="fr-FR"/>
        </w:rPr>
        <w:t>un rapport sur les travaux concernant la possibilité d</w:t>
      </w:r>
      <w:r w:rsidR="00817667" w:rsidRPr="005C556C">
        <w:rPr>
          <w:lang w:val="fr-FR"/>
        </w:rPr>
        <w:t>’</w:t>
      </w:r>
      <w:r w:rsidR="002B05A5" w:rsidRPr="005C556C">
        <w:rPr>
          <w:lang w:val="fr-FR"/>
        </w:rPr>
        <w:t>élaboration d</w:t>
      </w:r>
      <w:r w:rsidR="00817667" w:rsidRPr="005C556C">
        <w:rPr>
          <w:lang w:val="fr-FR"/>
        </w:rPr>
        <w:t>’</w:t>
      </w:r>
      <w:r w:rsidR="002B05A5" w:rsidRPr="005C556C">
        <w:rPr>
          <w:lang w:val="fr-FR"/>
        </w:rPr>
        <w:t>un outil de recherche de l</w:t>
      </w:r>
      <w:r w:rsidR="00817667" w:rsidRPr="005C556C">
        <w:rPr>
          <w:lang w:val="fr-FR"/>
        </w:rPr>
        <w:t>’</w:t>
      </w:r>
      <w:r w:rsidR="002B05A5" w:rsidRPr="005C556C">
        <w:rPr>
          <w:lang w:val="fr-FR"/>
        </w:rPr>
        <w:t xml:space="preserve">UPOV de similarité aux fins de la dénomination variétale et des propositions de révision éventuelle du document UPOV/INF/12/4 “Notes explicatives concernant les dénominations variétales en vertu de la </w:t>
      </w:r>
      <w:r w:rsidR="00817667" w:rsidRPr="005C556C">
        <w:rPr>
          <w:lang w:val="fr-FR"/>
        </w:rPr>
        <w:t>Convention UPOV</w:t>
      </w:r>
      <w:r w:rsidR="002B05A5" w:rsidRPr="005C556C">
        <w:rPr>
          <w:lang w:val="fr-FR"/>
        </w:rPr>
        <w:t>” figurent dans le document CAJ/71/3 “Dénominations variétales”.</w:t>
      </w:r>
    </w:p>
    <w:p w:rsidR="0058402C" w:rsidRPr="005C556C" w:rsidRDefault="0058402C" w:rsidP="00893041">
      <w:pPr>
        <w:spacing w:line="360" w:lineRule="auto"/>
        <w:rPr>
          <w:lang w:val="fr-FR"/>
        </w:rPr>
      </w:pPr>
    </w:p>
    <w:p w:rsidR="0058402C" w:rsidRPr="005C556C" w:rsidRDefault="001B22AA" w:rsidP="005C556C">
      <w:pPr>
        <w:keepNext/>
        <w:rPr>
          <w:i/>
          <w:lang w:val="fr-FR"/>
        </w:rPr>
      </w:pPr>
      <w:r w:rsidRPr="005C556C">
        <w:rPr>
          <w:i/>
          <w:lang w:val="fr-FR"/>
        </w:rPr>
        <w:t>Questions concernant la participation d</w:t>
      </w:r>
      <w:r w:rsidR="00817667" w:rsidRPr="005C556C">
        <w:rPr>
          <w:i/>
          <w:lang w:val="fr-FR"/>
        </w:rPr>
        <w:t>’</w:t>
      </w:r>
      <w:r w:rsidRPr="005C556C">
        <w:rPr>
          <w:i/>
          <w:lang w:val="fr-FR"/>
        </w:rPr>
        <w:t>observateurs</w:t>
      </w:r>
      <w:r w:rsidR="00817667" w:rsidRPr="005C556C">
        <w:rPr>
          <w:i/>
          <w:lang w:val="fr-FR"/>
        </w:rPr>
        <w:t xml:space="preserve"> au CAJ</w:t>
      </w:r>
      <w:r w:rsidR="002C6DE0" w:rsidRPr="005C556C">
        <w:rPr>
          <w:i/>
          <w:lang w:val="fr-FR"/>
        </w:rPr>
        <w:noBreakHyphen/>
      </w:r>
      <w:r w:rsidRPr="005C556C">
        <w:rPr>
          <w:i/>
          <w:lang w:val="fr-FR"/>
        </w:rPr>
        <w:t>AG</w:t>
      </w:r>
    </w:p>
    <w:p w:rsidR="0058402C" w:rsidRPr="005C556C" w:rsidRDefault="0058402C" w:rsidP="005C556C">
      <w:pPr>
        <w:keepNext/>
        <w:rPr>
          <w:lang w:val="fr-FR"/>
        </w:rPr>
      </w:pPr>
    </w:p>
    <w:p w:rsidR="0058402C" w:rsidRPr="005C556C" w:rsidRDefault="00F47697"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B05A5" w:rsidRPr="005C556C">
        <w:rPr>
          <w:lang w:val="fr-FR"/>
        </w:rPr>
        <w:t xml:space="preserve">Le CAJ </w:t>
      </w:r>
      <w:r w:rsidR="00B73C94" w:rsidRPr="005C556C">
        <w:rPr>
          <w:lang w:val="fr-FR"/>
        </w:rPr>
        <w:t>convient d</w:t>
      </w:r>
      <w:r w:rsidR="00817667" w:rsidRPr="005C556C">
        <w:rPr>
          <w:lang w:val="fr-FR"/>
        </w:rPr>
        <w:t>’</w:t>
      </w:r>
      <w:r w:rsidR="002B05A5" w:rsidRPr="005C556C">
        <w:rPr>
          <w:lang w:val="fr-FR"/>
        </w:rPr>
        <w:t>examine</w:t>
      </w:r>
      <w:r w:rsidR="00B73C94" w:rsidRPr="005C556C">
        <w:rPr>
          <w:lang w:val="fr-FR"/>
        </w:rPr>
        <w:t>r</w:t>
      </w:r>
      <w:r w:rsidR="002B05A5" w:rsidRPr="005C556C">
        <w:rPr>
          <w:lang w:val="fr-FR"/>
        </w:rPr>
        <w:t xml:space="preserve"> les questions concernant la part</w:t>
      </w:r>
      <w:r w:rsidR="0078723E" w:rsidRPr="005C556C">
        <w:rPr>
          <w:lang w:val="fr-FR"/>
        </w:rPr>
        <w:t>icipation d</w:t>
      </w:r>
      <w:r w:rsidR="00817667" w:rsidRPr="005C556C">
        <w:rPr>
          <w:lang w:val="fr-FR"/>
        </w:rPr>
        <w:t>’</w:t>
      </w:r>
      <w:r w:rsidR="0078723E" w:rsidRPr="005C556C">
        <w:rPr>
          <w:lang w:val="fr-FR"/>
        </w:rPr>
        <w:t>observateurs</w:t>
      </w:r>
      <w:r w:rsidR="00817667" w:rsidRPr="005C556C">
        <w:rPr>
          <w:lang w:val="fr-FR"/>
        </w:rPr>
        <w:t xml:space="preserve"> au CAJ</w:t>
      </w:r>
      <w:r w:rsidR="002C6DE0" w:rsidRPr="005C556C">
        <w:rPr>
          <w:szCs w:val="22"/>
          <w:lang w:val="fr-FR"/>
        </w:rPr>
        <w:noBreakHyphen/>
      </w:r>
      <w:r w:rsidR="002B05A5" w:rsidRPr="005C556C">
        <w:rPr>
          <w:lang w:val="fr-FR"/>
        </w:rPr>
        <w:t>AG en cas de convocation d</w:t>
      </w:r>
      <w:r w:rsidR="00817667" w:rsidRPr="005C556C">
        <w:rPr>
          <w:lang w:val="fr-FR"/>
        </w:rPr>
        <w:t>’</w:t>
      </w:r>
      <w:r w:rsidR="002B05A5" w:rsidRPr="005C556C">
        <w:rPr>
          <w:lang w:val="fr-FR"/>
        </w:rPr>
        <w:t>une session</w:t>
      </w:r>
      <w:r w:rsidR="00817667" w:rsidRPr="005C556C">
        <w:rPr>
          <w:lang w:val="fr-FR"/>
        </w:rPr>
        <w:t xml:space="preserve"> du CAJ</w:t>
      </w:r>
      <w:r w:rsidR="002C6DE0" w:rsidRPr="005C556C">
        <w:rPr>
          <w:lang w:val="fr-FR"/>
        </w:rPr>
        <w:noBreakHyphen/>
      </w:r>
      <w:r w:rsidR="002B05A5" w:rsidRPr="005C556C">
        <w:rPr>
          <w:lang w:val="fr-FR"/>
        </w:rPr>
        <w:t>AG par</w:t>
      </w:r>
      <w:r w:rsidR="00817667" w:rsidRPr="005C556C">
        <w:rPr>
          <w:lang w:val="fr-FR"/>
        </w:rPr>
        <w:t xml:space="preserve"> le CAJ</w:t>
      </w:r>
      <w:r w:rsidR="002B05A5" w:rsidRPr="005C556C">
        <w:rPr>
          <w:lang w:val="fr-FR"/>
        </w:rPr>
        <w:t>.</w:t>
      </w:r>
    </w:p>
    <w:p w:rsidR="0058402C" w:rsidRPr="005C556C" w:rsidRDefault="0058402C" w:rsidP="00893041">
      <w:pPr>
        <w:spacing w:line="360" w:lineRule="auto"/>
        <w:rPr>
          <w:lang w:val="fr-FR"/>
        </w:rPr>
      </w:pPr>
    </w:p>
    <w:p w:rsidR="0058402C" w:rsidRPr="005C556C" w:rsidRDefault="0078723E" w:rsidP="005C556C">
      <w:pPr>
        <w:keepNext/>
        <w:rPr>
          <w:i/>
          <w:lang w:val="fr-FR"/>
        </w:rPr>
      </w:pPr>
      <w:r w:rsidRPr="005C556C">
        <w:rPr>
          <w:i/>
          <w:lang w:val="fr-FR"/>
        </w:rPr>
        <w:lastRenderedPageBreak/>
        <w:t>Questions soumises au C</w:t>
      </w:r>
      <w:r w:rsidR="002B05A5" w:rsidRPr="005C556C">
        <w:rPr>
          <w:i/>
          <w:lang w:val="fr-FR"/>
        </w:rPr>
        <w:t xml:space="preserve">omité consultatif et au </w:t>
      </w:r>
      <w:r w:rsidRPr="005C556C">
        <w:rPr>
          <w:i/>
          <w:lang w:val="fr-FR"/>
        </w:rPr>
        <w:t>C</w:t>
      </w:r>
      <w:r w:rsidR="002B05A5" w:rsidRPr="005C556C">
        <w:rPr>
          <w:i/>
          <w:lang w:val="fr-FR"/>
        </w:rPr>
        <w:t>onseil par</w:t>
      </w:r>
      <w:r w:rsidR="00817667" w:rsidRPr="005C556C">
        <w:rPr>
          <w:i/>
          <w:lang w:val="fr-FR"/>
        </w:rPr>
        <w:t xml:space="preserve"> le CAJ</w:t>
      </w:r>
    </w:p>
    <w:p w:rsidR="0058402C" w:rsidRPr="005C556C" w:rsidRDefault="0058402C" w:rsidP="005C556C">
      <w:pPr>
        <w:keepNext/>
        <w:rPr>
          <w:lang w:val="fr-FR"/>
        </w:rPr>
      </w:pPr>
    </w:p>
    <w:p w:rsidR="0058402C" w:rsidRDefault="00F47697" w:rsidP="00504E54">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B05A5" w:rsidRPr="005C556C">
        <w:rPr>
          <w:lang w:val="fr-FR"/>
        </w:rPr>
        <w:t>Le CAJ note qu</w:t>
      </w:r>
      <w:r w:rsidR="00817667" w:rsidRPr="005C556C">
        <w:rPr>
          <w:lang w:val="fr-FR"/>
        </w:rPr>
        <w:t>’</w:t>
      </w:r>
      <w:r w:rsidR="002B05A5" w:rsidRPr="005C556C">
        <w:rPr>
          <w:lang w:val="fr-FR"/>
        </w:rPr>
        <w:t>il a été fait part au Comité consultatif et au Conseil de l</w:t>
      </w:r>
      <w:r w:rsidR="00817667" w:rsidRPr="005C556C">
        <w:rPr>
          <w:lang w:val="fr-FR"/>
        </w:rPr>
        <w:t>’</w:t>
      </w:r>
      <w:r w:rsidR="002B05A5" w:rsidRPr="005C556C">
        <w:rPr>
          <w:lang w:val="fr-FR"/>
        </w:rPr>
        <w:t>intérêt de l</w:t>
      </w:r>
      <w:r w:rsidR="00817667" w:rsidRPr="005C556C">
        <w:rPr>
          <w:lang w:val="fr-FR"/>
        </w:rPr>
        <w:t>’</w:t>
      </w:r>
      <w:r w:rsidR="002B05A5" w:rsidRPr="005C556C">
        <w:rPr>
          <w:lang w:val="fr-FR"/>
        </w:rPr>
        <w:t>examen des effets de la mise en œuvre du “Protocole de Nagoya sur l</w:t>
      </w:r>
      <w:r w:rsidR="00817667" w:rsidRPr="005C556C">
        <w:rPr>
          <w:lang w:val="fr-FR"/>
        </w:rPr>
        <w:t>’</w:t>
      </w:r>
      <w:r w:rsidR="002B05A5" w:rsidRPr="005C556C">
        <w:rPr>
          <w:lang w:val="fr-FR"/>
        </w:rPr>
        <w:t>accès aux ressources génétiques et le partage juste et équitable des avantages découlant de leur utilisation relatif à la Convention sur la diversité biologique” au regard de l</w:t>
      </w:r>
      <w:r w:rsidR="00817667" w:rsidRPr="005C556C">
        <w:rPr>
          <w:lang w:val="fr-FR"/>
        </w:rPr>
        <w:t>’</w:t>
      </w:r>
      <w:r w:rsidR="002B05A5" w:rsidRPr="005C556C">
        <w:rPr>
          <w:lang w:val="fr-FR"/>
        </w:rPr>
        <w:t>exception en faveur de l</w:t>
      </w:r>
      <w:r w:rsidR="00817667" w:rsidRPr="005C556C">
        <w:rPr>
          <w:lang w:val="fr-FR"/>
        </w:rPr>
        <w:t>’</w:t>
      </w:r>
      <w:r w:rsidR="002B05A5" w:rsidRPr="005C556C">
        <w:rPr>
          <w:lang w:val="fr-FR"/>
        </w:rPr>
        <w:t>obtenteur et du rapport entre les deux, comme indiqué au paragraphe</w:t>
      </w:r>
      <w:r w:rsidR="00824A4B" w:rsidRPr="005C556C">
        <w:rPr>
          <w:lang w:val="fr-FR"/>
        </w:rPr>
        <w:t> </w:t>
      </w:r>
      <w:r w:rsidR="002B05A5" w:rsidRPr="005C556C">
        <w:rPr>
          <w:lang w:val="fr-FR"/>
        </w:rPr>
        <w:t>48 du document CAJ/71/2.</w:t>
      </w:r>
    </w:p>
    <w:p w:rsidR="00504E54" w:rsidRPr="005C556C" w:rsidRDefault="00504E54" w:rsidP="00893041">
      <w:pPr>
        <w:spacing w:line="360" w:lineRule="auto"/>
        <w:rPr>
          <w:lang w:val="fr-FR"/>
        </w:rPr>
      </w:pPr>
    </w:p>
    <w:p w:rsidR="0058402C" w:rsidRPr="005C556C" w:rsidRDefault="00412CE1" w:rsidP="005C556C">
      <w:pPr>
        <w:keepNext/>
        <w:rPr>
          <w:i/>
          <w:lang w:val="fr-FR"/>
        </w:rPr>
      </w:pPr>
      <w:r w:rsidRPr="005C556C">
        <w:rPr>
          <w:i/>
          <w:lang w:val="fr-FR"/>
        </w:rPr>
        <w:t>P</w:t>
      </w:r>
      <w:r w:rsidR="001B22AA" w:rsidRPr="005C556C">
        <w:rPr>
          <w:i/>
          <w:lang w:val="fr-FR"/>
        </w:rPr>
        <w:t>rogramme provisoire d</w:t>
      </w:r>
      <w:r w:rsidR="00817667" w:rsidRPr="005C556C">
        <w:rPr>
          <w:i/>
          <w:lang w:val="fr-FR"/>
        </w:rPr>
        <w:t>’</w:t>
      </w:r>
      <w:r w:rsidR="001B22AA" w:rsidRPr="005C556C">
        <w:rPr>
          <w:i/>
          <w:lang w:val="fr-FR"/>
        </w:rPr>
        <w:t>élaboration de matériel d</w:t>
      </w:r>
      <w:r w:rsidR="00817667" w:rsidRPr="005C556C">
        <w:rPr>
          <w:i/>
          <w:lang w:val="fr-FR"/>
        </w:rPr>
        <w:t>’</w:t>
      </w:r>
      <w:r w:rsidR="001B22AA" w:rsidRPr="005C556C">
        <w:rPr>
          <w:i/>
          <w:lang w:val="fr-FR"/>
        </w:rPr>
        <w:t>information</w:t>
      </w:r>
    </w:p>
    <w:p w:rsidR="0058402C" w:rsidRPr="005C556C" w:rsidRDefault="0058402C" w:rsidP="005C556C">
      <w:pPr>
        <w:keepNext/>
        <w:rPr>
          <w:lang w:val="fr-FR"/>
        </w:rPr>
      </w:pPr>
    </w:p>
    <w:p w:rsidR="0058402C" w:rsidRPr="005C556C" w:rsidRDefault="00F47697"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B05A5" w:rsidRPr="005C556C">
        <w:rPr>
          <w:lang w:val="fr-FR"/>
        </w:rPr>
        <w:t>Le CAJ approuve le programme provisoire d</w:t>
      </w:r>
      <w:r w:rsidR="00817667" w:rsidRPr="005C556C">
        <w:rPr>
          <w:lang w:val="fr-FR"/>
        </w:rPr>
        <w:t>’</w:t>
      </w:r>
      <w:r w:rsidR="002B05A5" w:rsidRPr="005C556C">
        <w:rPr>
          <w:lang w:val="fr-FR"/>
        </w:rPr>
        <w:t>élaboration de matériel d</w:t>
      </w:r>
      <w:r w:rsidR="00817667" w:rsidRPr="005C556C">
        <w:rPr>
          <w:lang w:val="fr-FR"/>
        </w:rPr>
        <w:t>’</w:t>
      </w:r>
      <w:r w:rsidR="002B05A5" w:rsidRPr="005C556C">
        <w:rPr>
          <w:lang w:val="fr-FR"/>
        </w:rPr>
        <w:t>information, comme indiqué aux paragra</w:t>
      </w:r>
      <w:r w:rsidR="0078723E" w:rsidRPr="005C556C">
        <w:rPr>
          <w:lang w:val="fr-FR"/>
        </w:rPr>
        <w:t>p</w:t>
      </w:r>
      <w:r w:rsidR="002B05A5" w:rsidRPr="005C556C">
        <w:rPr>
          <w:lang w:val="fr-FR"/>
        </w:rPr>
        <w:t>hes</w:t>
      </w:r>
      <w:r w:rsidR="00824A4B" w:rsidRPr="005C556C">
        <w:rPr>
          <w:lang w:val="fr-FR"/>
        </w:rPr>
        <w:t> </w:t>
      </w:r>
      <w:r w:rsidR="002B05A5" w:rsidRPr="005C556C">
        <w:rPr>
          <w:lang w:val="fr-FR"/>
        </w:rPr>
        <w:t>50 à 52 du document CAJ/71/2</w:t>
      </w:r>
      <w:r w:rsidR="00B73C94" w:rsidRPr="005C556C">
        <w:rPr>
          <w:lang w:val="fr-FR"/>
        </w:rPr>
        <w:t>.</w:t>
      </w:r>
    </w:p>
    <w:p w:rsidR="0058402C" w:rsidRPr="005C556C" w:rsidRDefault="0058402C" w:rsidP="005C556C">
      <w:pPr>
        <w:rPr>
          <w:lang w:val="fr-FR"/>
        </w:rPr>
      </w:pPr>
    </w:p>
    <w:p w:rsidR="00817667" w:rsidRPr="005C556C" w:rsidRDefault="007821E9"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B05A5" w:rsidRPr="005C556C">
        <w:rPr>
          <w:lang w:val="fr-FR"/>
        </w:rPr>
        <w:t>Le CAJ convient d</w:t>
      </w:r>
      <w:r w:rsidR="00817667" w:rsidRPr="005C556C">
        <w:rPr>
          <w:lang w:val="fr-FR"/>
        </w:rPr>
        <w:t>’</w:t>
      </w:r>
      <w:r w:rsidR="002B05A5" w:rsidRPr="005C556C">
        <w:rPr>
          <w:lang w:val="fr-FR"/>
        </w:rPr>
        <w:t>examiner les documents d</w:t>
      </w:r>
      <w:r w:rsidR="00817667" w:rsidRPr="005C556C">
        <w:rPr>
          <w:lang w:val="fr-FR"/>
        </w:rPr>
        <w:t>’</w:t>
      </w:r>
      <w:r w:rsidR="002B05A5" w:rsidRPr="005C556C">
        <w:rPr>
          <w:lang w:val="fr-FR"/>
        </w:rPr>
        <w:t>information ci</w:t>
      </w:r>
      <w:r w:rsidR="002C6DE0" w:rsidRPr="005C556C">
        <w:rPr>
          <w:lang w:val="fr-FR"/>
        </w:rPr>
        <w:noBreakHyphen/>
      </w:r>
      <w:r w:rsidR="002B05A5" w:rsidRPr="005C556C">
        <w:rPr>
          <w:lang w:val="fr-FR"/>
        </w:rPr>
        <w:t>après à sa soixante</w:t>
      </w:r>
      <w:r w:rsidR="002C6DE0" w:rsidRPr="005C556C">
        <w:rPr>
          <w:lang w:val="fr-FR"/>
        </w:rPr>
        <w:noBreakHyphen/>
      </w:r>
      <w:r w:rsidR="002B05A5" w:rsidRPr="005C556C">
        <w:rPr>
          <w:lang w:val="fr-FR"/>
        </w:rPr>
        <w:t>douzième</w:t>
      </w:r>
      <w:r w:rsidR="00824A4B" w:rsidRPr="005C556C">
        <w:rPr>
          <w:lang w:val="fr-FR"/>
        </w:rPr>
        <w:t> </w:t>
      </w:r>
      <w:r w:rsidR="002B05A5" w:rsidRPr="005C556C">
        <w:rPr>
          <w:lang w:val="fr-FR"/>
        </w:rPr>
        <w:t>session</w:t>
      </w:r>
      <w:r w:rsidR="00824A4B" w:rsidRPr="005C556C">
        <w:rPr>
          <w:lang w:val="fr-FR"/>
        </w:rPr>
        <w:t> </w:t>
      </w:r>
      <w:r w:rsidR="002B05A5" w:rsidRPr="005C556C">
        <w:rPr>
          <w:lang w:val="fr-FR"/>
        </w:rPr>
        <w:t>:</w:t>
      </w:r>
    </w:p>
    <w:p w:rsidR="0058402C" w:rsidRPr="005C556C" w:rsidRDefault="0058402C" w:rsidP="005C556C">
      <w:pPr>
        <w:rPr>
          <w:lang w:val="fr-FR"/>
        </w:rPr>
      </w:pPr>
    </w:p>
    <w:p w:rsidR="0058402C" w:rsidRPr="005C556C" w:rsidRDefault="00B73C94" w:rsidP="005C556C">
      <w:pPr>
        <w:ind w:left="1134" w:hanging="567"/>
        <w:rPr>
          <w:lang w:val="fr-FR"/>
        </w:rPr>
      </w:pPr>
      <w:r w:rsidRPr="005C556C">
        <w:rPr>
          <w:lang w:val="fr-FR"/>
        </w:rPr>
        <w:t>i)</w:t>
      </w:r>
      <w:r w:rsidR="00412CE1" w:rsidRPr="005C556C">
        <w:rPr>
          <w:lang w:val="fr-FR"/>
        </w:rPr>
        <w:tab/>
      </w:r>
      <w:r w:rsidR="001B22AA" w:rsidRPr="005C556C">
        <w:rPr>
          <w:lang w:val="fr-FR"/>
        </w:rPr>
        <w:t>Notes explicatives sur les variétés essentiellement dérivée</w:t>
      </w:r>
      <w:r w:rsidR="00412CE1" w:rsidRPr="005C556C">
        <w:rPr>
          <w:lang w:val="fr-FR"/>
        </w:rPr>
        <w:t xml:space="preserve">s </w:t>
      </w:r>
      <w:r w:rsidR="0078723E" w:rsidRPr="005C556C">
        <w:rPr>
          <w:lang w:val="fr-FR"/>
        </w:rPr>
        <w:t>selon</w:t>
      </w:r>
      <w:r w:rsidR="00412CE1" w:rsidRPr="005C556C">
        <w:rPr>
          <w:lang w:val="fr-FR"/>
        </w:rPr>
        <w:t xml:space="preserve"> l</w:t>
      </w:r>
      <w:r w:rsidR="00817667" w:rsidRPr="005C556C">
        <w:rPr>
          <w:lang w:val="fr-FR"/>
        </w:rPr>
        <w:t>’</w:t>
      </w:r>
      <w:r w:rsidR="00412CE1" w:rsidRPr="005C556C">
        <w:rPr>
          <w:lang w:val="fr-FR"/>
        </w:rPr>
        <w:t xml:space="preserve">Acte de 1991 de </w:t>
      </w:r>
      <w:r w:rsidR="001B22AA" w:rsidRPr="005C556C">
        <w:rPr>
          <w:lang w:val="fr-FR"/>
        </w:rPr>
        <w:t>la </w:t>
      </w:r>
      <w:r w:rsidR="00817667" w:rsidRPr="005C556C">
        <w:rPr>
          <w:lang w:val="fr-FR"/>
        </w:rPr>
        <w:t>Convention UPOV</w:t>
      </w:r>
      <w:r w:rsidR="001B22AA" w:rsidRPr="005C556C">
        <w:rPr>
          <w:lang w:val="fr-FR"/>
        </w:rPr>
        <w:t xml:space="preserve"> (révision)</w:t>
      </w:r>
    </w:p>
    <w:p w:rsidR="0058402C" w:rsidRPr="005C556C" w:rsidRDefault="0058402C" w:rsidP="005C556C">
      <w:pPr>
        <w:ind w:left="567"/>
        <w:rPr>
          <w:lang w:val="fr-FR"/>
        </w:rPr>
      </w:pPr>
    </w:p>
    <w:p w:rsidR="00817667" w:rsidRPr="005C556C" w:rsidRDefault="002B05A5" w:rsidP="005C556C">
      <w:pPr>
        <w:ind w:left="1134" w:hanging="567"/>
        <w:rPr>
          <w:lang w:val="fr-FR"/>
        </w:rPr>
      </w:pPr>
      <w:r w:rsidRPr="005C556C">
        <w:rPr>
          <w:lang w:val="fr-FR"/>
        </w:rPr>
        <w:t>ii)</w:t>
      </w:r>
      <w:r w:rsidRPr="005C556C">
        <w:rPr>
          <w:lang w:val="fr-FR"/>
        </w:rPr>
        <w:tab/>
        <w:t xml:space="preserve">Notes explicatives concernant les dénominations variétales en vertu de la </w:t>
      </w:r>
      <w:r w:rsidR="00817667" w:rsidRPr="005C556C">
        <w:rPr>
          <w:lang w:val="fr-FR"/>
        </w:rPr>
        <w:t>Convention UPOV</w:t>
      </w:r>
      <w:r w:rsidRPr="005C556C">
        <w:rPr>
          <w:lang w:val="fr-FR"/>
        </w:rPr>
        <w:t xml:space="preserve"> (révision)</w:t>
      </w:r>
    </w:p>
    <w:p w:rsidR="0058402C" w:rsidRPr="005C556C" w:rsidRDefault="0058402C" w:rsidP="005C556C">
      <w:pPr>
        <w:ind w:left="567"/>
        <w:rPr>
          <w:lang w:val="fr-FR"/>
        </w:rPr>
      </w:pPr>
    </w:p>
    <w:p w:rsidR="0058402C" w:rsidRPr="005C556C" w:rsidRDefault="002B05A5" w:rsidP="005C556C">
      <w:pPr>
        <w:ind w:left="1134" w:hanging="567"/>
        <w:rPr>
          <w:lang w:val="fr-FR"/>
        </w:rPr>
      </w:pPr>
      <w:r w:rsidRPr="005C556C">
        <w:rPr>
          <w:lang w:val="fr-FR"/>
        </w:rPr>
        <w:t>iii)</w:t>
      </w:r>
      <w:r w:rsidRPr="005C556C">
        <w:rPr>
          <w:lang w:val="fr-FR"/>
        </w:rPr>
        <w:tab/>
        <w:t>Notes explicatives sur le matériel de reproduction ou de multiplication selon l</w:t>
      </w:r>
      <w:r w:rsidR="00817667" w:rsidRPr="005C556C">
        <w:rPr>
          <w:lang w:val="fr-FR"/>
        </w:rPr>
        <w:t>’</w:t>
      </w:r>
      <w:r w:rsidRPr="005C556C">
        <w:rPr>
          <w:lang w:val="fr-FR"/>
        </w:rPr>
        <w:t>Acte de</w:t>
      </w:r>
      <w:r w:rsidR="00824A4B" w:rsidRPr="005C556C">
        <w:rPr>
          <w:lang w:val="fr-FR"/>
        </w:rPr>
        <w:t> </w:t>
      </w:r>
      <w:r w:rsidRPr="005C556C">
        <w:rPr>
          <w:lang w:val="fr-FR"/>
        </w:rPr>
        <w:t xml:space="preserve">1991 de la </w:t>
      </w:r>
      <w:r w:rsidR="00817667" w:rsidRPr="005C556C">
        <w:rPr>
          <w:lang w:val="fr-FR"/>
        </w:rPr>
        <w:t>Convention UPOV</w:t>
      </w:r>
    </w:p>
    <w:p w:rsidR="0058402C" w:rsidRPr="005C556C" w:rsidRDefault="0058402C" w:rsidP="005C556C">
      <w:pPr>
        <w:ind w:left="567"/>
        <w:rPr>
          <w:lang w:val="fr-FR"/>
        </w:rPr>
      </w:pPr>
    </w:p>
    <w:p w:rsidR="0058402C" w:rsidRPr="005C556C" w:rsidRDefault="008724BD"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F40827" w:rsidRPr="005C556C">
        <w:rPr>
          <w:lang w:val="fr-FR"/>
        </w:rPr>
        <w:t>Le CAJ convient de reporter l</w:t>
      </w:r>
      <w:r w:rsidR="00817667" w:rsidRPr="005C556C">
        <w:rPr>
          <w:lang w:val="fr-FR"/>
        </w:rPr>
        <w:t>’</w:t>
      </w:r>
      <w:r w:rsidR="00F40827" w:rsidRPr="005C556C">
        <w:rPr>
          <w:lang w:val="fr-FR"/>
        </w:rPr>
        <w:t>élaboration d</w:t>
      </w:r>
      <w:r w:rsidR="00817667" w:rsidRPr="005C556C">
        <w:rPr>
          <w:lang w:val="fr-FR"/>
        </w:rPr>
        <w:t>’</w:t>
      </w:r>
      <w:r w:rsidR="00F40827" w:rsidRPr="005C556C">
        <w:rPr>
          <w:lang w:val="fr-FR"/>
        </w:rPr>
        <w:t xml:space="preserve">un projet de révision du document UPOV/INF/5 </w:t>
      </w:r>
      <w:r w:rsidR="00824A4B" w:rsidRPr="005C556C">
        <w:rPr>
          <w:lang w:val="fr-FR"/>
        </w:rPr>
        <w:t>“</w:t>
      </w:r>
      <w:r w:rsidR="00F40827" w:rsidRPr="005C556C">
        <w:rPr>
          <w:lang w:val="fr-FR"/>
        </w:rPr>
        <w:t>Bulletin type de l</w:t>
      </w:r>
      <w:r w:rsidR="00817667" w:rsidRPr="005C556C">
        <w:rPr>
          <w:lang w:val="fr-FR"/>
        </w:rPr>
        <w:t>’</w:t>
      </w:r>
      <w:r w:rsidR="00F40827" w:rsidRPr="005C556C">
        <w:rPr>
          <w:lang w:val="fr-FR"/>
        </w:rPr>
        <w:t>UPOV de la protection des obtentions végétales” (document UPOV/INF/5/1 Draft 1) en attendant l</w:t>
      </w:r>
      <w:r w:rsidR="00817667" w:rsidRPr="005C556C">
        <w:rPr>
          <w:lang w:val="fr-FR"/>
        </w:rPr>
        <w:t>’</w:t>
      </w:r>
      <w:r w:rsidR="00F40827" w:rsidRPr="005C556C">
        <w:rPr>
          <w:lang w:val="fr-FR"/>
        </w:rPr>
        <w:t>avancement des travaux concernant l</w:t>
      </w:r>
      <w:r w:rsidR="00817667" w:rsidRPr="005C556C">
        <w:rPr>
          <w:lang w:val="fr-FR"/>
        </w:rPr>
        <w:t>’</w:t>
      </w:r>
      <w:r w:rsidR="00F40827" w:rsidRPr="005C556C">
        <w:rPr>
          <w:lang w:val="fr-FR"/>
        </w:rPr>
        <w:t>élaboration d</w:t>
      </w:r>
      <w:r w:rsidR="00817667" w:rsidRPr="005C556C">
        <w:rPr>
          <w:lang w:val="fr-FR"/>
        </w:rPr>
        <w:t>’</w:t>
      </w:r>
      <w:r w:rsidR="00F40827" w:rsidRPr="005C556C">
        <w:rPr>
          <w:lang w:val="fr-FR"/>
        </w:rPr>
        <w:t>un prototype de formulaire électronique (voir le document CAJ/71/4).</w:t>
      </w:r>
    </w:p>
    <w:p w:rsidR="0058402C" w:rsidRPr="005C556C" w:rsidRDefault="0058402C" w:rsidP="005C556C">
      <w:pPr>
        <w:rPr>
          <w:lang w:val="fr-FR"/>
        </w:rPr>
      </w:pPr>
    </w:p>
    <w:p w:rsidR="0058402C" w:rsidRPr="005C556C" w:rsidRDefault="00F47697"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F40827" w:rsidRPr="005C556C">
        <w:rPr>
          <w:lang w:val="fr-FR"/>
        </w:rPr>
        <w:t>Le CAJ note que le Conseil sera invité, à sa quarante</w:t>
      </w:r>
      <w:r w:rsidR="002C6DE0" w:rsidRPr="005C556C">
        <w:rPr>
          <w:lang w:val="fr-FR"/>
        </w:rPr>
        <w:noBreakHyphen/>
      </w:r>
      <w:r w:rsidR="00F40827" w:rsidRPr="005C556C">
        <w:rPr>
          <w:lang w:val="fr-FR"/>
        </w:rPr>
        <w:t>neuvième session ordinaire, à adopter les documents d</w:t>
      </w:r>
      <w:r w:rsidR="00817667" w:rsidRPr="005C556C">
        <w:rPr>
          <w:lang w:val="fr-FR"/>
        </w:rPr>
        <w:t>’</w:t>
      </w:r>
      <w:r w:rsidR="00F40827" w:rsidRPr="005C556C">
        <w:rPr>
          <w:lang w:val="fr-FR"/>
        </w:rPr>
        <w:t>information suivants</w:t>
      </w:r>
      <w:r w:rsidR="00824A4B" w:rsidRPr="005C556C">
        <w:rPr>
          <w:lang w:val="fr-FR"/>
        </w:rPr>
        <w:t> </w:t>
      </w:r>
      <w:r w:rsidR="00F40827" w:rsidRPr="005C556C">
        <w:rPr>
          <w:lang w:val="fr-FR"/>
        </w:rPr>
        <w:t>:</w:t>
      </w:r>
    </w:p>
    <w:p w:rsidR="0058402C" w:rsidRPr="005C556C" w:rsidRDefault="0058402C" w:rsidP="005C556C">
      <w:pPr>
        <w:rPr>
          <w:lang w:val="fr-FR"/>
        </w:rPr>
      </w:pPr>
    </w:p>
    <w:p w:rsidR="00817667" w:rsidRPr="005C556C" w:rsidRDefault="00F47697" w:rsidP="005C556C">
      <w:pPr>
        <w:tabs>
          <w:tab w:val="left" w:pos="567"/>
        </w:tabs>
        <w:ind w:left="1134" w:hanging="1134"/>
        <w:rPr>
          <w:lang w:val="fr-FR"/>
        </w:rPr>
      </w:pPr>
      <w:r w:rsidRPr="005C556C">
        <w:rPr>
          <w:lang w:val="fr-FR"/>
        </w:rPr>
        <w:tab/>
      </w:r>
      <w:r w:rsidR="001B22AA" w:rsidRPr="005C556C">
        <w:rPr>
          <w:lang w:val="fr-FR"/>
        </w:rPr>
        <w:t>i)</w:t>
      </w:r>
      <w:r w:rsidR="001B22AA" w:rsidRPr="005C556C">
        <w:rPr>
          <w:lang w:val="fr-FR"/>
        </w:rPr>
        <w:tab/>
        <w:t>“Notes explicatives sur la déchéance de l</w:t>
      </w:r>
      <w:r w:rsidR="00817667" w:rsidRPr="005C556C">
        <w:rPr>
          <w:lang w:val="fr-FR"/>
        </w:rPr>
        <w:t>’</w:t>
      </w:r>
      <w:r w:rsidR="001B22AA" w:rsidRPr="005C556C">
        <w:rPr>
          <w:lang w:val="fr-FR"/>
        </w:rPr>
        <w:t xml:space="preserve">obtenteur selon la </w:t>
      </w:r>
      <w:r w:rsidR="00817667" w:rsidRPr="005C556C">
        <w:rPr>
          <w:lang w:val="fr-FR"/>
        </w:rPr>
        <w:t>Convention UPOV</w:t>
      </w:r>
      <w:r w:rsidR="003800B6" w:rsidRPr="005C556C">
        <w:rPr>
          <w:lang w:val="fr-FR"/>
        </w:rPr>
        <w:t>”</w:t>
      </w:r>
      <w:r w:rsidR="001B22AA" w:rsidRPr="005C556C">
        <w:rPr>
          <w:lang w:val="fr-FR"/>
        </w:rPr>
        <w:t xml:space="preserve"> (révision) (document UPOV/EXN/CAN/2);</w:t>
      </w:r>
    </w:p>
    <w:p w:rsidR="0058402C" w:rsidRPr="005C556C" w:rsidRDefault="0058402C" w:rsidP="005C556C">
      <w:pPr>
        <w:tabs>
          <w:tab w:val="left" w:pos="567"/>
        </w:tabs>
        <w:ind w:left="1134" w:hanging="1134"/>
        <w:rPr>
          <w:lang w:val="fr-FR"/>
        </w:rPr>
      </w:pPr>
    </w:p>
    <w:p w:rsidR="0058402C" w:rsidRPr="005C556C" w:rsidRDefault="00F47697" w:rsidP="005C556C">
      <w:pPr>
        <w:tabs>
          <w:tab w:val="left" w:pos="567"/>
        </w:tabs>
        <w:ind w:left="1134" w:hanging="1134"/>
        <w:rPr>
          <w:lang w:val="fr-FR"/>
        </w:rPr>
      </w:pPr>
      <w:r w:rsidRPr="005C556C">
        <w:rPr>
          <w:lang w:val="fr-FR"/>
        </w:rPr>
        <w:tab/>
      </w:r>
      <w:r w:rsidR="001B22AA" w:rsidRPr="005C556C">
        <w:rPr>
          <w:lang w:val="fr-FR"/>
        </w:rPr>
        <w:t>ii)</w:t>
      </w:r>
      <w:r w:rsidR="001B22AA" w:rsidRPr="005C556C">
        <w:rPr>
          <w:lang w:val="fr-FR"/>
        </w:rPr>
        <w:tab/>
        <w:t>“Notes explicatives sur la nullité du droit d</w:t>
      </w:r>
      <w:r w:rsidR="00817667" w:rsidRPr="005C556C">
        <w:rPr>
          <w:lang w:val="fr-FR"/>
        </w:rPr>
        <w:t>’</w:t>
      </w:r>
      <w:r w:rsidR="001B22AA" w:rsidRPr="005C556C">
        <w:rPr>
          <w:lang w:val="fr-FR"/>
        </w:rPr>
        <w:t xml:space="preserve">obtenteur selon la </w:t>
      </w:r>
      <w:r w:rsidR="00817667" w:rsidRPr="005C556C">
        <w:rPr>
          <w:lang w:val="fr-FR"/>
        </w:rPr>
        <w:t>Convention UPOV</w:t>
      </w:r>
      <w:r w:rsidR="003800B6" w:rsidRPr="005C556C">
        <w:rPr>
          <w:lang w:val="fr-FR"/>
        </w:rPr>
        <w:t>”</w:t>
      </w:r>
      <w:r w:rsidR="001B22AA" w:rsidRPr="005C556C">
        <w:rPr>
          <w:lang w:val="fr-FR"/>
        </w:rPr>
        <w:t xml:space="preserve"> (révision) (document UPOV/EXN/NUL/2);</w:t>
      </w:r>
    </w:p>
    <w:p w:rsidR="0058402C" w:rsidRPr="005C556C" w:rsidRDefault="0058402C" w:rsidP="005C556C">
      <w:pPr>
        <w:tabs>
          <w:tab w:val="left" w:pos="567"/>
        </w:tabs>
        <w:ind w:left="1134" w:hanging="1134"/>
        <w:rPr>
          <w:lang w:val="fr-FR"/>
        </w:rPr>
      </w:pPr>
    </w:p>
    <w:p w:rsidR="0058402C" w:rsidRPr="005C556C" w:rsidRDefault="00F47697" w:rsidP="005C556C">
      <w:pPr>
        <w:tabs>
          <w:tab w:val="left" w:pos="567"/>
        </w:tabs>
        <w:ind w:left="1134" w:hanging="1134"/>
        <w:rPr>
          <w:lang w:val="fr-FR"/>
        </w:rPr>
      </w:pPr>
      <w:r w:rsidRPr="005C556C">
        <w:rPr>
          <w:lang w:val="fr-FR"/>
        </w:rPr>
        <w:tab/>
      </w:r>
      <w:r w:rsidR="00412CE1" w:rsidRPr="005C556C">
        <w:rPr>
          <w:lang w:val="fr-FR"/>
        </w:rPr>
        <w:t>iii</w:t>
      </w:r>
      <w:r w:rsidR="001B22AA" w:rsidRPr="005C556C">
        <w:rPr>
          <w:lang w:val="fr-FR"/>
        </w:rPr>
        <w:t>)</w:t>
      </w:r>
      <w:r w:rsidR="001B22AA" w:rsidRPr="005C556C">
        <w:rPr>
          <w:lang w:val="fr-FR"/>
        </w:rPr>
        <w:tab/>
        <w:t xml:space="preserve">“Notes explicatives sur la protection provisoire selon la </w:t>
      </w:r>
      <w:r w:rsidR="00817667" w:rsidRPr="005C556C">
        <w:rPr>
          <w:lang w:val="fr-FR"/>
        </w:rPr>
        <w:t>Convention UPOV</w:t>
      </w:r>
      <w:r w:rsidR="003800B6" w:rsidRPr="005C556C">
        <w:rPr>
          <w:lang w:val="fr-FR"/>
        </w:rPr>
        <w:t>”</w:t>
      </w:r>
      <w:r w:rsidR="001B22AA" w:rsidRPr="005C556C">
        <w:rPr>
          <w:lang w:val="fr-FR"/>
        </w:rPr>
        <w:t xml:space="preserve"> (révision) (document UPOV/EXN/PRP/2);  </w:t>
      </w:r>
      <w:r w:rsidR="00412CE1" w:rsidRPr="005C556C">
        <w:rPr>
          <w:lang w:val="fr-FR"/>
        </w:rPr>
        <w:t>et</w:t>
      </w:r>
      <w:r w:rsidR="005219A2" w:rsidRPr="005C556C">
        <w:rPr>
          <w:lang w:val="fr-FR"/>
        </w:rPr>
        <w:t>,</w:t>
      </w:r>
    </w:p>
    <w:p w:rsidR="0058402C" w:rsidRPr="005C556C" w:rsidRDefault="0058402C" w:rsidP="005C556C">
      <w:pPr>
        <w:tabs>
          <w:tab w:val="left" w:pos="567"/>
        </w:tabs>
        <w:ind w:left="1134" w:hanging="1134"/>
        <w:rPr>
          <w:lang w:val="fr-FR"/>
        </w:rPr>
      </w:pPr>
    </w:p>
    <w:p w:rsidR="0058402C" w:rsidRPr="005C556C" w:rsidRDefault="00F47697" w:rsidP="005C556C">
      <w:pPr>
        <w:tabs>
          <w:tab w:val="left" w:pos="567"/>
        </w:tabs>
        <w:ind w:left="1134" w:hanging="1134"/>
        <w:rPr>
          <w:lang w:val="fr-FR"/>
        </w:rPr>
      </w:pPr>
      <w:r w:rsidRPr="005C556C">
        <w:rPr>
          <w:lang w:val="fr-FR"/>
        </w:rPr>
        <w:tab/>
      </w:r>
      <w:r w:rsidR="00412CE1" w:rsidRPr="005C556C">
        <w:rPr>
          <w:lang w:val="fr-FR"/>
        </w:rPr>
        <w:t>i</w:t>
      </w:r>
      <w:r w:rsidR="001B22AA" w:rsidRPr="005C556C">
        <w:rPr>
          <w:lang w:val="fr-FR"/>
        </w:rPr>
        <w:t>v)</w:t>
      </w:r>
      <w:r w:rsidR="001B22AA" w:rsidRPr="005C556C">
        <w:rPr>
          <w:lang w:val="fr-FR"/>
        </w:rPr>
        <w:tab/>
        <w:t>parallèlement aux notes explicatives indiquées ci</w:t>
      </w:r>
      <w:r w:rsidR="002C6DE0" w:rsidRPr="005C556C">
        <w:rPr>
          <w:lang w:val="fr-FR"/>
        </w:rPr>
        <w:noBreakHyphen/>
      </w:r>
      <w:r w:rsidR="001B22AA" w:rsidRPr="005C556C">
        <w:rPr>
          <w:lang w:val="fr-FR"/>
        </w:rPr>
        <w:t>dessus, une version révisée du document UPOV/INF/6/3 “Orientations en vue de la rédaction de lois fondées sur l</w:t>
      </w:r>
      <w:r w:rsidR="00817667" w:rsidRPr="005C556C">
        <w:rPr>
          <w:lang w:val="fr-FR"/>
        </w:rPr>
        <w:t>’</w:t>
      </w:r>
      <w:r w:rsidR="001B22AA" w:rsidRPr="005C556C">
        <w:rPr>
          <w:lang w:val="fr-FR"/>
        </w:rPr>
        <w:t>Acte de</w:t>
      </w:r>
      <w:r w:rsidR="00824A4B" w:rsidRPr="005C556C">
        <w:rPr>
          <w:lang w:val="fr-FR"/>
        </w:rPr>
        <w:t> </w:t>
      </w:r>
      <w:r w:rsidR="001B22AA" w:rsidRPr="005C556C">
        <w:rPr>
          <w:lang w:val="fr-FR"/>
        </w:rPr>
        <w:t xml:space="preserve">1991 de la </w:t>
      </w:r>
      <w:r w:rsidR="00817667" w:rsidRPr="005C556C">
        <w:rPr>
          <w:lang w:val="fr-FR"/>
        </w:rPr>
        <w:t>Convention UPOV</w:t>
      </w:r>
      <w:r w:rsidR="001B22AA" w:rsidRPr="005C556C">
        <w:rPr>
          <w:lang w:val="fr-FR"/>
        </w:rPr>
        <w:t>” (document UPOV/INF/6/4).</w:t>
      </w:r>
    </w:p>
    <w:p w:rsidR="0058402C" w:rsidRPr="005C556C" w:rsidRDefault="0058402C" w:rsidP="005C556C">
      <w:pPr>
        <w:rPr>
          <w:lang w:val="fr-FR"/>
        </w:rPr>
      </w:pPr>
    </w:p>
    <w:p w:rsidR="0058402C" w:rsidRPr="005C556C" w:rsidRDefault="0058402C" w:rsidP="005C556C">
      <w:pPr>
        <w:rPr>
          <w:lang w:val="fr-FR"/>
        </w:rPr>
      </w:pPr>
    </w:p>
    <w:p w:rsidR="00817667" w:rsidRPr="005C556C" w:rsidRDefault="001B22AA" w:rsidP="005C556C">
      <w:pPr>
        <w:keepNext/>
        <w:outlineLvl w:val="1"/>
        <w:rPr>
          <w:snapToGrid w:val="0"/>
          <w:u w:val="single"/>
          <w:lang w:val="fr-FR"/>
        </w:rPr>
      </w:pPr>
      <w:bookmarkStart w:id="4" w:name="_Toc413059226"/>
      <w:r w:rsidRPr="005C556C">
        <w:rPr>
          <w:snapToGrid w:val="0"/>
          <w:u w:val="single"/>
          <w:lang w:val="fr-FR"/>
        </w:rPr>
        <w:t>Dénominations variétales</w:t>
      </w:r>
      <w:bookmarkEnd w:id="4"/>
    </w:p>
    <w:p w:rsidR="0058402C" w:rsidRPr="005C556C" w:rsidRDefault="0058402C" w:rsidP="005C556C">
      <w:pPr>
        <w:keepNext/>
        <w:outlineLvl w:val="1"/>
        <w:rPr>
          <w:i/>
          <w:snapToGrid w:val="0"/>
          <w:lang w:val="fr-FR"/>
        </w:rPr>
      </w:pPr>
    </w:p>
    <w:p w:rsidR="0058402C" w:rsidRPr="005C556C" w:rsidRDefault="00F9690D" w:rsidP="005C556C">
      <w:pPr>
        <w:keepNext/>
        <w:rPr>
          <w:lang w:val="fr-FR"/>
        </w:rPr>
      </w:pPr>
      <w:r w:rsidRPr="005C556C">
        <w:rPr>
          <w:rFonts w:cs="Arial"/>
          <w:lang w:val="fr-FR"/>
        </w:rPr>
        <w:fldChar w:fldCharType="begin"/>
      </w:r>
      <w:r w:rsidRPr="005C556C">
        <w:rPr>
          <w:rFonts w:cs="Arial"/>
          <w:lang w:val="fr-FR"/>
        </w:rPr>
        <w:instrText xml:space="preserve"> AUTONUM  </w:instrText>
      </w:r>
      <w:r w:rsidRPr="005C556C">
        <w:rPr>
          <w:rFonts w:cs="Arial"/>
          <w:lang w:val="fr-FR"/>
        </w:rPr>
        <w:fldChar w:fldCharType="end"/>
      </w:r>
      <w:r w:rsidRPr="005C556C">
        <w:rPr>
          <w:rFonts w:cs="Arial"/>
          <w:lang w:val="fr-FR"/>
        </w:rPr>
        <w:tab/>
      </w:r>
      <w:r w:rsidR="001B22AA" w:rsidRPr="005C556C">
        <w:rPr>
          <w:rFonts w:cs="Arial"/>
          <w:lang w:val="fr-FR"/>
        </w:rPr>
        <w:t>Le CAJ examine les documents CAJ/71/3 et CAJ/71/9.</w:t>
      </w:r>
    </w:p>
    <w:p w:rsidR="0058402C" w:rsidRPr="005C556C" w:rsidRDefault="0058402C" w:rsidP="005C556C">
      <w:pPr>
        <w:rPr>
          <w:lang w:val="fr-FR"/>
        </w:rPr>
      </w:pPr>
    </w:p>
    <w:p w:rsidR="0058402C" w:rsidRPr="005C556C" w:rsidRDefault="009A466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80A00" w:rsidRPr="005C556C">
        <w:rPr>
          <w:lang w:val="fr-FR"/>
        </w:rPr>
        <w:t>Le CAJ prend note des travaux concernant la possibilité d</w:t>
      </w:r>
      <w:r w:rsidR="00817667" w:rsidRPr="005C556C">
        <w:rPr>
          <w:lang w:val="fr-FR"/>
        </w:rPr>
        <w:t>’</w:t>
      </w:r>
      <w:r w:rsidR="00280A00" w:rsidRPr="005C556C">
        <w:rPr>
          <w:lang w:val="fr-FR"/>
        </w:rPr>
        <w:t>élaboration d</w:t>
      </w:r>
      <w:r w:rsidR="00817667" w:rsidRPr="005C556C">
        <w:rPr>
          <w:lang w:val="fr-FR"/>
        </w:rPr>
        <w:t>’</w:t>
      </w:r>
      <w:r w:rsidR="00280A00" w:rsidRPr="005C556C">
        <w:rPr>
          <w:lang w:val="fr-FR"/>
        </w:rPr>
        <w:t>un outil de recherche de l</w:t>
      </w:r>
      <w:r w:rsidR="00817667" w:rsidRPr="005C556C">
        <w:rPr>
          <w:lang w:val="fr-FR"/>
        </w:rPr>
        <w:t>’</w:t>
      </w:r>
      <w:r w:rsidR="00280A00" w:rsidRPr="005C556C">
        <w:rPr>
          <w:lang w:val="fr-FR"/>
        </w:rPr>
        <w:t>UPOV de similarité aux fins de la dénomination variétale réalisés par le groupe de travail sur l</w:t>
      </w:r>
      <w:r w:rsidR="00817667" w:rsidRPr="005C556C">
        <w:rPr>
          <w:lang w:val="fr-FR"/>
        </w:rPr>
        <w:t>’</w:t>
      </w:r>
      <w:r w:rsidR="00280A00" w:rsidRPr="005C556C">
        <w:rPr>
          <w:lang w:val="fr-FR"/>
        </w:rPr>
        <w:t>élaboration d</w:t>
      </w:r>
      <w:r w:rsidR="00817667" w:rsidRPr="005C556C">
        <w:rPr>
          <w:lang w:val="fr-FR"/>
        </w:rPr>
        <w:t>’</w:t>
      </w:r>
      <w:r w:rsidR="00280A00" w:rsidRPr="005C556C">
        <w:rPr>
          <w:lang w:val="fr-FR"/>
        </w:rPr>
        <w:t>un outil de recherche de l</w:t>
      </w:r>
      <w:r w:rsidR="00817667" w:rsidRPr="005C556C">
        <w:rPr>
          <w:lang w:val="fr-FR"/>
        </w:rPr>
        <w:t>’</w:t>
      </w:r>
      <w:r w:rsidR="00280A00" w:rsidRPr="005C556C">
        <w:rPr>
          <w:lang w:val="fr-FR"/>
        </w:rPr>
        <w:t>UPOV de similarité aux fins de la dénomination variétale (WG</w:t>
      </w:r>
      <w:r w:rsidR="002C6DE0" w:rsidRPr="005C556C">
        <w:rPr>
          <w:lang w:val="fr-FR"/>
        </w:rPr>
        <w:noBreakHyphen/>
      </w:r>
      <w:r w:rsidR="00280A00" w:rsidRPr="005C556C">
        <w:rPr>
          <w:lang w:val="fr-FR"/>
        </w:rPr>
        <w:t xml:space="preserve">DST), </w:t>
      </w:r>
      <w:r w:rsidR="00817667" w:rsidRPr="005C556C">
        <w:rPr>
          <w:lang w:val="fr-FR"/>
        </w:rPr>
        <w:t>y compris</w:t>
      </w:r>
      <w:r w:rsidR="00280A00" w:rsidRPr="005C556C">
        <w:rPr>
          <w:lang w:val="fr-FR"/>
        </w:rPr>
        <w:t xml:space="preserve"> </w:t>
      </w:r>
      <w:r w:rsidR="00B73C94" w:rsidRPr="005C556C">
        <w:rPr>
          <w:lang w:val="fr-FR"/>
        </w:rPr>
        <w:t xml:space="preserve">de </w:t>
      </w:r>
      <w:r w:rsidR="00280A00" w:rsidRPr="005C556C">
        <w:rPr>
          <w:lang w:val="fr-FR"/>
        </w:rPr>
        <w:t>l</w:t>
      </w:r>
      <w:r w:rsidR="00817667" w:rsidRPr="005C556C">
        <w:rPr>
          <w:lang w:val="fr-FR"/>
        </w:rPr>
        <w:t>’</w:t>
      </w:r>
      <w:r w:rsidR="00280A00" w:rsidRPr="005C556C">
        <w:rPr>
          <w:lang w:val="fr-FR"/>
        </w:rPr>
        <w:t>étude test, comme indiqué aux paragraphes</w:t>
      </w:r>
      <w:r w:rsidR="00824A4B" w:rsidRPr="005C556C">
        <w:rPr>
          <w:lang w:val="fr-FR"/>
        </w:rPr>
        <w:t> </w:t>
      </w:r>
      <w:r w:rsidR="00280A00" w:rsidRPr="005C556C">
        <w:rPr>
          <w:lang w:val="fr-FR"/>
        </w:rPr>
        <w:t>6 à 13 du document CAJ/71/3.</w:t>
      </w:r>
    </w:p>
    <w:p w:rsidR="0058402C" w:rsidRPr="005C556C" w:rsidRDefault="0058402C" w:rsidP="005C556C">
      <w:pPr>
        <w:rPr>
          <w:lang w:val="fr-FR"/>
        </w:rPr>
      </w:pPr>
    </w:p>
    <w:p w:rsidR="00817667" w:rsidRPr="005C556C" w:rsidRDefault="00F9690D"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E476F5" w:rsidRPr="005C556C">
        <w:rPr>
          <w:lang w:val="fr-FR"/>
        </w:rPr>
        <w:t xml:space="preserve">Le CAJ approuve la proposition de révision du document UPOV/INF/12 “Notes explicatives concernant les dénominations variétales en vertu de la </w:t>
      </w:r>
      <w:r w:rsidR="00817667" w:rsidRPr="005C556C">
        <w:rPr>
          <w:lang w:val="fr-FR"/>
        </w:rPr>
        <w:t>Convention UPOV</w:t>
      </w:r>
      <w:r w:rsidR="00E476F5" w:rsidRPr="005C556C">
        <w:rPr>
          <w:lang w:val="fr-FR"/>
        </w:rPr>
        <w:t xml:space="preserve">” </w:t>
      </w:r>
      <w:r w:rsidR="0078723E" w:rsidRPr="005C556C">
        <w:rPr>
          <w:lang w:val="fr-FR"/>
        </w:rPr>
        <w:t>en ce qui concerne</w:t>
      </w:r>
      <w:r w:rsidR="00E476F5" w:rsidRPr="005C556C">
        <w:rPr>
          <w:lang w:val="fr-FR"/>
        </w:rPr>
        <w:t xml:space="preserve"> les modifications de dénominations variétales enregistrées, et convient de </w:t>
      </w:r>
      <w:r w:rsidR="00B73C94" w:rsidRPr="005C556C">
        <w:rPr>
          <w:lang w:val="fr-FR"/>
        </w:rPr>
        <w:t>soumettre</w:t>
      </w:r>
      <w:r w:rsidR="00E476F5" w:rsidRPr="005C556C">
        <w:rPr>
          <w:lang w:val="fr-FR"/>
        </w:rPr>
        <w:t xml:space="preserve"> ces orientations </w:t>
      </w:r>
      <w:r w:rsidR="00B73C94" w:rsidRPr="005C556C">
        <w:rPr>
          <w:lang w:val="fr-FR"/>
        </w:rPr>
        <w:t xml:space="preserve">au Conseil </w:t>
      </w:r>
      <w:r w:rsidR="00E476F5" w:rsidRPr="005C556C">
        <w:rPr>
          <w:lang w:val="fr-FR"/>
        </w:rPr>
        <w:t>pour adoption à sa quarante</w:t>
      </w:r>
      <w:r w:rsidR="002C6DE0" w:rsidRPr="005C556C">
        <w:rPr>
          <w:lang w:val="fr-FR"/>
        </w:rPr>
        <w:noBreakHyphen/>
      </w:r>
      <w:r w:rsidR="00E476F5" w:rsidRPr="005C556C">
        <w:rPr>
          <w:lang w:val="fr-FR"/>
        </w:rPr>
        <w:t>neuvième</w:t>
      </w:r>
      <w:r w:rsidR="00824A4B" w:rsidRPr="005C556C">
        <w:rPr>
          <w:lang w:val="fr-FR"/>
        </w:rPr>
        <w:t> </w:t>
      </w:r>
      <w:r w:rsidR="00E476F5" w:rsidRPr="005C556C">
        <w:rPr>
          <w:lang w:val="fr-FR"/>
        </w:rPr>
        <w:t>session ordinaire, prévue le 2</w:t>
      </w:r>
      <w:r w:rsidR="00817667" w:rsidRPr="005C556C">
        <w:rPr>
          <w:lang w:val="fr-FR"/>
        </w:rPr>
        <w:t>9 octobre 20</w:t>
      </w:r>
      <w:r w:rsidR="00E476F5" w:rsidRPr="005C556C">
        <w:rPr>
          <w:lang w:val="fr-FR"/>
        </w:rPr>
        <w:t>15, comme indiqué ci</w:t>
      </w:r>
      <w:r w:rsidR="002C6DE0" w:rsidRPr="005C556C">
        <w:rPr>
          <w:lang w:val="fr-FR"/>
        </w:rPr>
        <w:noBreakHyphen/>
      </w:r>
      <w:r w:rsidR="00E476F5" w:rsidRPr="005C556C">
        <w:rPr>
          <w:lang w:val="fr-FR"/>
        </w:rPr>
        <w:t>dessous</w:t>
      </w:r>
      <w:r w:rsidR="00824A4B" w:rsidRPr="005C556C">
        <w:rPr>
          <w:lang w:val="fr-FR"/>
        </w:rPr>
        <w:t> </w:t>
      </w:r>
      <w:r w:rsidR="00E476F5" w:rsidRPr="005C556C">
        <w:rPr>
          <w:lang w:val="fr-FR"/>
        </w:rPr>
        <w:t>:</w:t>
      </w:r>
    </w:p>
    <w:p w:rsidR="0058402C" w:rsidRPr="005C556C" w:rsidRDefault="0058402C" w:rsidP="005C556C">
      <w:pPr>
        <w:rPr>
          <w:lang w:val="fr-FR"/>
        </w:rPr>
      </w:pPr>
    </w:p>
    <w:p w:rsidR="0058402C" w:rsidRPr="005C556C" w:rsidRDefault="001B22AA" w:rsidP="005C556C">
      <w:pPr>
        <w:ind w:left="567" w:right="567"/>
        <w:rPr>
          <w:sz w:val="18"/>
          <w:lang w:val="fr-FR"/>
        </w:rPr>
      </w:pPr>
      <w:r w:rsidRPr="005C556C">
        <w:rPr>
          <w:sz w:val="18"/>
          <w:lang w:val="fr-FR"/>
        </w:rPr>
        <w:lastRenderedPageBreak/>
        <w:t>“7.2</w:t>
      </w:r>
      <w:r w:rsidRPr="005C556C">
        <w:rPr>
          <w:sz w:val="18"/>
          <w:lang w:val="fr-FR"/>
        </w:rPr>
        <w:tab/>
        <w:t>Les points suivants fournissent des orientations concernant les modifications de dénominations variétales enregistrées</w:t>
      </w:r>
      <w:r w:rsidR="00824A4B" w:rsidRPr="005C556C">
        <w:rPr>
          <w:sz w:val="18"/>
          <w:lang w:val="fr-FR"/>
        </w:rPr>
        <w:t> </w:t>
      </w:r>
      <w:r w:rsidRPr="005C556C">
        <w:rPr>
          <w:sz w:val="18"/>
          <w:lang w:val="fr-FR"/>
        </w:rPr>
        <w:t>:</w:t>
      </w:r>
    </w:p>
    <w:p w:rsidR="0058402C" w:rsidRPr="005C556C" w:rsidRDefault="0058402C" w:rsidP="005C556C">
      <w:pPr>
        <w:ind w:left="567" w:right="567"/>
        <w:rPr>
          <w:sz w:val="18"/>
          <w:lang w:val="fr-FR"/>
        </w:rPr>
      </w:pPr>
    </w:p>
    <w:p w:rsidR="00817667" w:rsidRPr="005C556C" w:rsidRDefault="001B22AA" w:rsidP="005C556C">
      <w:pPr>
        <w:ind w:left="567" w:right="567" w:firstLine="567"/>
        <w:rPr>
          <w:sz w:val="18"/>
          <w:lang w:val="fr-FR"/>
        </w:rPr>
      </w:pPr>
      <w:r w:rsidRPr="005C556C">
        <w:rPr>
          <w:sz w:val="18"/>
          <w:lang w:val="fr-FR"/>
        </w:rPr>
        <w:t>“a)</w:t>
      </w:r>
      <w:r w:rsidRPr="005C556C">
        <w:rPr>
          <w:sz w:val="18"/>
          <w:lang w:val="fr-FR"/>
        </w:rPr>
        <w:tab/>
        <w:t xml:space="preserve">La </w:t>
      </w:r>
      <w:r w:rsidR="00817667" w:rsidRPr="005C556C">
        <w:rPr>
          <w:sz w:val="18"/>
          <w:lang w:val="fr-FR"/>
        </w:rPr>
        <w:t>Convention UPOV</w:t>
      </w:r>
      <w:r w:rsidRPr="005C556C">
        <w:rPr>
          <w:sz w:val="18"/>
          <w:lang w:val="fr-FR"/>
        </w:rPr>
        <w:t xml:space="preserve"> exige de changer la dénomination enregistrée lorsque la dénomination de la variété est radiée après l</w:t>
      </w:r>
      <w:r w:rsidR="00817667" w:rsidRPr="005C556C">
        <w:rPr>
          <w:sz w:val="18"/>
          <w:lang w:val="fr-FR"/>
        </w:rPr>
        <w:t>’</w:t>
      </w:r>
      <w:r w:rsidRPr="005C556C">
        <w:rPr>
          <w:sz w:val="18"/>
          <w:lang w:val="fr-FR"/>
        </w:rPr>
        <w:t>octroi du droit d</w:t>
      </w:r>
      <w:r w:rsidR="00817667" w:rsidRPr="005C556C">
        <w:rPr>
          <w:sz w:val="18"/>
          <w:lang w:val="fr-FR"/>
        </w:rPr>
        <w:t>’</w:t>
      </w:r>
      <w:r w:rsidRPr="005C556C">
        <w:rPr>
          <w:sz w:val="18"/>
          <w:lang w:val="fr-FR"/>
        </w:rPr>
        <w:t>obtenteur.</w:t>
      </w:r>
      <w:r w:rsidR="008449CC" w:rsidRPr="005C556C">
        <w:rPr>
          <w:sz w:val="18"/>
          <w:lang w:val="fr-FR"/>
        </w:rPr>
        <w:t xml:space="preserve"> </w:t>
      </w:r>
      <w:r w:rsidR="00824A4B" w:rsidRPr="005C556C">
        <w:rPr>
          <w:sz w:val="18"/>
          <w:lang w:val="fr-FR"/>
        </w:rPr>
        <w:t xml:space="preserve"> </w:t>
      </w:r>
      <w:r w:rsidRPr="005C556C">
        <w:rPr>
          <w:sz w:val="18"/>
          <w:lang w:val="fr-FR"/>
        </w:rPr>
        <w:t>Le service compétent doit radier une dénomination variétale si</w:t>
      </w:r>
      <w:r w:rsidR="00824A4B" w:rsidRPr="005C556C">
        <w:rPr>
          <w:sz w:val="18"/>
          <w:lang w:val="fr-FR"/>
        </w:rPr>
        <w:t> </w:t>
      </w:r>
      <w:r w:rsidRPr="005C556C">
        <w:rPr>
          <w:sz w:val="18"/>
          <w:lang w:val="fr-FR"/>
        </w:rPr>
        <w:t>:</w:t>
      </w:r>
    </w:p>
    <w:p w:rsidR="0058402C" w:rsidRPr="005C556C" w:rsidRDefault="0058402C" w:rsidP="005C556C">
      <w:pPr>
        <w:pStyle w:val="ListParagraph"/>
        <w:ind w:left="1287" w:right="567"/>
        <w:rPr>
          <w:sz w:val="18"/>
          <w:lang w:val="fr-FR"/>
        </w:rPr>
      </w:pPr>
    </w:p>
    <w:p w:rsidR="00817667" w:rsidRPr="005C556C" w:rsidRDefault="008449CC" w:rsidP="005C556C">
      <w:pPr>
        <w:ind w:left="567" w:right="567" w:firstLine="567"/>
        <w:rPr>
          <w:sz w:val="18"/>
          <w:lang w:val="fr-FR"/>
        </w:rPr>
      </w:pPr>
      <w:r w:rsidRPr="005C556C">
        <w:rPr>
          <w:sz w:val="18"/>
          <w:lang w:val="fr-FR"/>
        </w:rPr>
        <w:tab/>
      </w:r>
      <w:r w:rsidR="001B22AA" w:rsidRPr="005C556C">
        <w:rPr>
          <w:sz w:val="18"/>
          <w:lang w:val="fr-FR"/>
        </w:rPr>
        <w:t>“i)</w:t>
      </w:r>
      <w:r w:rsidR="001B22AA" w:rsidRPr="005C556C">
        <w:rPr>
          <w:sz w:val="18"/>
          <w:lang w:val="fr-FR"/>
        </w:rPr>
        <w:tab/>
        <w:t>en vertu d</w:t>
      </w:r>
      <w:r w:rsidR="00817667" w:rsidRPr="005C556C">
        <w:rPr>
          <w:sz w:val="18"/>
          <w:lang w:val="fr-FR"/>
        </w:rPr>
        <w:t>’</w:t>
      </w:r>
      <w:r w:rsidR="001B22AA" w:rsidRPr="005C556C">
        <w:rPr>
          <w:sz w:val="18"/>
          <w:lang w:val="fr-FR"/>
        </w:rPr>
        <w:t>un droit antérieur, l</w:t>
      </w:r>
      <w:r w:rsidR="00817667" w:rsidRPr="005C556C">
        <w:rPr>
          <w:sz w:val="18"/>
          <w:lang w:val="fr-FR"/>
        </w:rPr>
        <w:t>’</w:t>
      </w:r>
      <w:r w:rsidR="001B22AA" w:rsidRPr="005C556C">
        <w:rPr>
          <w:sz w:val="18"/>
          <w:lang w:val="fr-FR"/>
        </w:rPr>
        <w:t>utilisation de la dénomination d</w:t>
      </w:r>
      <w:r w:rsidR="00817667" w:rsidRPr="005C556C">
        <w:rPr>
          <w:sz w:val="18"/>
          <w:lang w:val="fr-FR"/>
        </w:rPr>
        <w:t>’</w:t>
      </w:r>
      <w:r w:rsidR="001B22AA" w:rsidRPr="005C556C">
        <w:rPr>
          <w:sz w:val="18"/>
          <w:lang w:val="fr-FR"/>
        </w:rPr>
        <w:t>une variété est interdite à une personne qui, conformément aux dispositions du paragraphe</w:t>
      </w:r>
      <w:r w:rsidR="00824A4B" w:rsidRPr="005C556C">
        <w:rPr>
          <w:sz w:val="18"/>
          <w:lang w:val="fr-FR"/>
        </w:rPr>
        <w:t> </w:t>
      </w:r>
      <w:r w:rsidR="001B22AA" w:rsidRPr="005C556C">
        <w:rPr>
          <w:sz w:val="18"/>
          <w:lang w:val="fr-FR"/>
        </w:rPr>
        <w:t>7), est obligée de l</w:t>
      </w:r>
      <w:r w:rsidR="00817667" w:rsidRPr="005C556C">
        <w:rPr>
          <w:sz w:val="18"/>
          <w:lang w:val="fr-FR"/>
        </w:rPr>
        <w:t>’</w:t>
      </w:r>
      <w:r w:rsidR="001B22AA" w:rsidRPr="005C556C">
        <w:rPr>
          <w:sz w:val="18"/>
          <w:lang w:val="fr-FR"/>
        </w:rPr>
        <w:t>utiliser (voir le paragraphe</w:t>
      </w:r>
      <w:r w:rsidR="00824A4B" w:rsidRPr="005C556C">
        <w:rPr>
          <w:sz w:val="18"/>
          <w:lang w:val="fr-FR"/>
        </w:rPr>
        <w:t> </w:t>
      </w:r>
      <w:r w:rsidR="001B22AA" w:rsidRPr="005C556C">
        <w:rPr>
          <w:sz w:val="18"/>
          <w:lang w:val="fr-FR"/>
        </w:rPr>
        <w:t xml:space="preserve">4) </w:t>
      </w:r>
      <w:r w:rsidR="00817667" w:rsidRPr="005C556C">
        <w:rPr>
          <w:sz w:val="18"/>
          <w:lang w:val="fr-FR"/>
        </w:rPr>
        <w:t>‘</w:t>
      </w:r>
      <w:r w:rsidR="001B22AA" w:rsidRPr="005C556C">
        <w:rPr>
          <w:sz w:val="18"/>
          <w:lang w:val="fr-FR"/>
        </w:rPr>
        <w:t>Droits antérieurs des tiers</w:t>
      </w:r>
      <w:r w:rsidR="00817667" w:rsidRPr="005C556C">
        <w:rPr>
          <w:sz w:val="18"/>
          <w:lang w:val="fr-FR"/>
        </w:rPr>
        <w:t>’</w:t>
      </w:r>
      <w:r w:rsidR="001B22AA" w:rsidRPr="005C556C">
        <w:rPr>
          <w:sz w:val="18"/>
          <w:lang w:val="fr-FR"/>
        </w:rPr>
        <w:t>);</w:t>
      </w:r>
    </w:p>
    <w:p w:rsidR="0058402C" w:rsidRPr="005C556C" w:rsidRDefault="0058402C" w:rsidP="005C556C">
      <w:pPr>
        <w:ind w:left="567" w:right="567" w:firstLine="567"/>
        <w:rPr>
          <w:sz w:val="18"/>
          <w:lang w:val="fr-FR"/>
        </w:rPr>
      </w:pPr>
    </w:p>
    <w:p w:rsidR="00817667" w:rsidRPr="005C556C" w:rsidRDefault="008449CC" w:rsidP="005C556C">
      <w:pPr>
        <w:ind w:left="567" w:right="567" w:firstLine="567"/>
        <w:rPr>
          <w:sz w:val="18"/>
          <w:lang w:val="fr-FR"/>
        </w:rPr>
      </w:pPr>
      <w:r w:rsidRPr="005C556C">
        <w:rPr>
          <w:sz w:val="18"/>
          <w:lang w:val="fr-FR"/>
        </w:rPr>
        <w:tab/>
      </w:r>
      <w:r w:rsidR="001B22AA" w:rsidRPr="005C556C">
        <w:rPr>
          <w:sz w:val="18"/>
          <w:lang w:val="fr-FR"/>
        </w:rPr>
        <w:t>“ii)</w:t>
      </w:r>
      <w:r w:rsidR="001B22AA" w:rsidRPr="005C556C">
        <w:rPr>
          <w:sz w:val="18"/>
          <w:lang w:val="fr-FR"/>
        </w:rPr>
        <w:tab/>
        <w:t>la dénomination est inadéquate car elle est contraire</w:t>
      </w:r>
      <w:r w:rsidR="003E456C" w:rsidRPr="005C556C">
        <w:rPr>
          <w:sz w:val="18"/>
          <w:lang w:val="fr-FR"/>
        </w:rPr>
        <w:t xml:space="preserve"> aux dispositions du paragraphe </w:t>
      </w:r>
      <w:r w:rsidR="001B22AA" w:rsidRPr="005C556C">
        <w:rPr>
          <w:sz w:val="18"/>
          <w:lang w:val="fr-FR"/>
        </w:rPr>
        <w:t xml:space="preserve">2) </w:t>
      </w:r>
      <w:r w:rsidR="00817667" w:rsidRPr="005C556C">
        <w:rPr>
          <w:sz w:val="18"/>
          <w:lang w:val="fr-FR"/>
        </w:rPr>
        <w:t>‘</w:t>
      </w:r>
      <w:r w:rsidR="001B22AA" w:rsidRPr="005C556C">
        <w:rPr>
          <w:sz w:val="18"/>
          <w:lang w:val="fr-FR"/>
        </w:rPr>
        <w:t>Caractères de la dénomination</w:t>
      </w:r>
      <w:r w:rsidR="00817667" w:rsidRPr="005C556C">
        <w:rPr>
          <w:sz w:val="18"/>
          <w:lang w:val="fr-FR"/>
        </w:rPr>
        <w:t>’</w:t>
      </w:r>
      <w:r w:rsidR="001B22AA" w:rsidRPr="005C556C">
        <w:rPr>
          <w:sz w:val="18"/>
          <w:lang w:val="fr-FR"/>
        </w:rPr>
        <w:t>;</w:t>
      </w:r>
    </w:p>
    <w:p w:rsidR="0058402C" w:rsidRPr="005C556C" w:rsidRDefault="0058402C" w:rsidP="005C556C">
      <w:pPr>
        <w:pStyle w:val="ListParagraph"/>
        <w:ind w:left="2421" w:right="567"/>
        <w:rPr>
          <w:sz w:val="18"/>
          <w:lang w:val="fr-FR"/>
        </w:rPr>
      </w:pPr>
    </w:p>
    <w:p w:rsidR="0058402C" w:rsidRPr="005C556C" w:rsidRDefault="001B22AA" w:rsidP="005C556C">
      <w:pPr>
        <w:ind w:left="567" w:right="567" w:firstLine="567"/>
        <w:rPr>
          <w:sz w:val="18"/>
          <w:lang w:val="fr-FR"/>
        </w:rPr>
      </w:pPr>
      <w:r w:rsidRPr="005C556C">
        <w:rPr>
          <w:sz w:val="18"/>
          <w:lang w:val="fr-FR"/>
        </w:rPr>
        <w:t>“b)</w:t>
      </w:r>
      <w:r w:rsidRPr="005C556C">
        <w:rPr>
          <w:sz w:val="18"/>
          <w:lang w:val="fr-FR"/>
        </w:rPr>
        <w:tab/>
        <w:t>si la dénomination enregistrée est par la suite refusée dans un autre membre de l</w:t>
      </w:r>
      <w:r w:rsidR="00817667" w:rsidRPr="005C556C">
        <w:rPr>
          <w:sz w:val="18"/>
          <w:lang w:val="fr-FR"/>
        </w:rPr>
        <w:t>’</w:t>
      </w:r>
      <w:r w:rsidRPr="005C556C">
        <w:rPr>
          <w:sz w:val="18"/>
          <w:lang w:val="fr-FR"/>
        </w:rPr>
        <w:t>Union car elle est inadéquate sur ce territoire (p.</w:t>
      </w:r>
      <w:r w:rsidR="00824A4B" w:rsidRPr="005C556C">
        <w:rPr>
          <w:sz w:val="18"/>
          <w:lang w:val="fr-FR"/>
        </w:rPr>
        <w:t> </w:t>
      </w:r>
      <w:r w:rsidRPr="005C556C">
        <w:rPr>
          <w:sz w:val="18"/>
          <w:lang w:val="fr-FR"/>
        </w:rPr>
        <w:t>ex. droit antérieur), à la demande de l</w:t>
      </w:r>
      <w:r w:rsidR="00817667" w:rsidRPr="005C556C">
        <w:rPr>
          <w:sz w:val="18"/>
          <w:lang w:val="fr-FR"/>
        </w:rPr>
        <w:t>’</w:t>
      </w:r>
      <w:r w:rsidRPr="005C556C">
        <w:rPr>
          <w:sz w:val="18"/>
          <w:lang w:val="fr-FR"/>
        </w:rPr>
        <w:t>obtenteur, le service peut juger approprié de modifier la dénomination enregistrée dans cet autre membre de l</w:t>
      </w:r>
      <w:r w:rsidR="00817667" w:rsidRPr="005C556C">
        <w:rPr>
          <w:sz w:val="18"/>
          <w:lang w:val="fr-FR"/>
        </w:rPr>
        <w:t>’</w:t>
      </w:r>
      <w:r w:rsidRPr="005C556C">
        <w:rPr>
          <w:sz w:val="18"/>
          <w:lang w:val="fr-FR"/>
        </w:rPr>
        <w:t>Union (voir les dispositions dans le paragraphe</w:t>
      </w:r>
      <w:r w:rsidR="00824A4B" w:rsidRPr="005C556C">
        <w:rPr>
          <w:sz w:val="18"/>
          <w:lang w:val="fr-FR"/>
        </w:rPr>
        <w:t> </w:t>
      </w:r>
      <w:r w:rsidRPr="005C556C">
        <w:rPr>
          <w:sz w:val="18"/>
          <w:lang w:val="fr-FR"/>
        </w:rPr>
        <w:t xml:space="preserve">5) </w:t>
      </w:r>
      <w:r w:rsidR="00817667" w:rsidRPr="005C556C">
        <w:rPr>
          <w:sz w:val="18"/>
          <w:lang w:val="fr-FR"/>
        </w:rPr>
        <w:t>‘</w:t>
      </w:r>
      <w:r w:rsidRPr="005C556C">
        <w:rPr>
          <w:sz w:val="18"/>
          <w:lang w:val="fr-FR"/>
        </w:rPr>
        <w:t>Même dénomination dans toute</w:t>
      </w:r>
      <w:r w:rsidR="003E456C" w:rsidRPr="005C556C">
        <w:rPr>
          <w:sz w:val="18"/>
          <w:lang w:val="fr-FR"/>
        </w:rPr>
        <w:t>s les Parties contractantes</w:t>
      </w:r>
      <w:r w:rsidR="00817667" w:rsidRPr="005C556C">
        <w:rPr>
          <w:sz w:val="18"/>
          <w:lang w:val="fr-FR"/>
        </w:rPr>
        <w:t>’</w:t>
      </w:r>
      <w:r w:rsidR="003E456C" w:rsidRPr="005C556C">
        <w:rPr>
          <w:sz w:val="18"/>
          <w:lang w:val="fr-FR"/>
        </w:rPr>
        <w:t xml:space="preserve">);  </w:t>
      </w:r>
      <w:r w:rsidRPr="005C556C">
        <w:rPr>
          <w:sz w:val="18"/>
          <w:lang w:val="fr-FR"/>
        </w:rPr>
        <w:t>et</w:t>
      </w:r>
    </w:p>
    <w:p w:rsidR="0058402C" w:rsidRPr="005C556C" w:rsidRDefault="0058402C" w:rsidP="005C556C">
      <w:pPr>
        <w:ind w:left="567" w:right="567"/>
        <w:rPr>
          <w:sz w:val="18"/>
          <w:lang w:val="fr-FR"/>
        </w:rPr>
      </w:pPr>
    </w:p>
    <w:p w:rsidR="0058402C" w:rsidRPr="005C556C" w:rsidRDefault="001B22AA" w:rsidP="005C556C">
      <w:pPr>
        <w:ind w:left="567" w:right="567" w:firstLine="567"/>
        <w:rPr>
          <w:sz w:val="18"/>
          <w:lang w:val="fr-FR" w:eastAsia="ja-JP"/>
        </w:rPr>
      </w:pPr>
      <w:r w:rsidRPr="005C556C">
        <w:rPr>
          <w:sz w:val="18"/>
          <w:lang w:val="fr-FR" w:eastAsia="ja-JP"/>
        </w:rPr>
        <w:t>“c)</w:t>
      </w:r>
      <w:r w:rsidRPr="005C556C">
        <w:rPr>
          <w:sz w:val="18"/>
          <w:lang w:val="fr-FR" w:eastAsia="ja-JP"/>
        </w:rPr>
        <w:tab/>
      </w:r>
      <w:r w:rsidR="0078723E" w:rsidRPr="005C556C">
        <w:rPr>
          <w:sz w:val="18"/>
          <w:lang w:val="fr-FR" w:eastAsia="ja-JP"/>
        </w:rPr>
        <w:t>e</w:t>
      </w:r>
      <w:r w:rsidRPr="005C556C">
        <w:rPr>
          <w:sz w:val="18"/>
          <w:lang w:val="fr-FR" w:eastAsia="ja-JP"/>
        </w:rPr>
        <w:t>n général, sous réserve des alinéas</w:t>
      </w:r>
      <w:r w:rsidR="00824A4B" w:rsidRPr="005C556C">
        <w:rPr>
          <w:sz w:val="18"/>
          <w:lang w:val="fr-FR" w:eastAsia="ja-JP"/>
        </w:rPr>
        <w:t> </w:t>
      </w:r>
      <w:r w:rsidRPr="005C556C">
        <w:rPr>
          <w:sz w:val="18"/>
          <w:lang w:val="fr-FR" w:eastAsia="ja-JP"/>
        </w:rPr>
        <w:t>a) et</w:t>
      </w:r>
      <w:r w:rsidR="002C6DE0" w:rsidRPr="005C556C">
        <w:rPr>
          <w:sz w:val="18"/>
          <w:lang w:val="fr-FR" w:eastAsia="ja-JP"/>
        </w:rPr>
        <w:t> </w:t>
      </w:r>
      <w:r w:rsidRPr="005C556C">
        <w:rPr>
          <w:sz w:val="18"/>
          <w:lang w:val="fr-FR" w:eastAsia="ja-JP"/>
        </w:rPr>
        <w:t>b) ci</w:t>
      </w:r>
      <w:r w:rsidR="002C6DE0" w:rsidRPr="005C556C">
        <w:rPr>
          <w:sz w:val="18"/>
          <w:lang w:val="fr-FR" w:eastAsia="ja-JP"/>
        </w:rPr>
        <w:noBreakHyphen/>
      </w:r>
      <w:r w:rsidRPr="005C556C">
        <w:rPr>
          <w:sz w:val="18"/>
          <w:lang w:val="fr-FR" w:eastAsia="ja-JP"/>
        </w:rPr>
        <w:t>dessus, il ne serait pas approprié pour le service de modifier une dénomination enregistrée à la demande de l</w:t>
      </w:r>
      <w:r w:rsidR="00817667" w:rsidRPr="005C556C">
        <w:rPr>
          <w:sz w:val="18"/>
          <w:lang w:val="fr-FR" w:eastAsia="ja-JP"/>
        </w:rPr>
        <w:t>’</w:t>
      </w:r>
      <w:r w:rsidRPr="005C556C">
        <w:rPr>
          <w:sz w:val="18"/>
          <w:lang w:val="fr-FR" w:eastAsia="ja-JP"/>
        </w:rPr>
        <w:t>obtenteur”.</w:t>
      </w:r>
    </w:p>
    <w:p w:rsidR="0058402C" w:rsidRPr="005C556C" w:rsidRDefault="0058402C" w:rsidP="005C556C">
      <w:pPr>
        <w:rPr>
          <w:lang w:val="fr-FR"/>
        </w:rPr>
      </w:pPr>
    </w:p>
    <w:p w:rsidR="0058402C" w:rsidRPr="005C556C" w:rsidRDefault="00F9690D"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EC1AE9" w:rsidRPr="005C556C">
        <w:rPr>
          <w:lang w:val="fr-FR"/>
        </w:rPr>
        <w:t>Le CAJ décide d</w:t>
      </w:r>
      <w:r w:rsidR="00817667" w:rsidRPr="005C556C">
        <w:rPr>
          <w:lang w:val="fr-FR"/>
        </w:rPr>
        <w:t>’</w:t>
      </w:r>
      <w:r w:rsidR="00EC1AE9" w:rsidRPr="005C556C">
        <w:rPr>
          <w:lang w:val="fr-FR"/>
        </w:rPr>
        <w:t>inviter le WG</w:t>
      </w:r>
      <w:r w:rsidR="002C6DE0" w:rsidRPr="005C556C">
        <w:rPr>
          <w:lang w:val="fr-FR"/>
        </w:rPr>
        <w:noBreakHyphen/>
      </w:r>
      <w:r w:rsidR="00EC1AE9" w:rsidRPr="005C556C">
        <w:rPr>
          <w:lang w:val="fr-FR"/>
        </w:rPr>
        <w:t>DST à examiner les observations faites par</w:t>
      </w:r>
      <w:r w:rsidR="00817667" w:rsidRPr="005C556C">
        <w:rPr>
          <w:lang w:val="fr-FR"/>
        </w:rPr>
        <w:t xml:space="preserve"> le CAJ</w:t>
      </w:r>
      <w:r w:rsidR="002C6DE0" w:rsidRPr="005C556C">
        <w:rPr>
          <w:lang w:val="fr-FR"/>
        </w:rPr>
        <w:noBreakHyphen/>
      </w:r>
      <w:r w:rsidR="00EC1AE9" w:rsidRPr="005C556C">
        <w:rPr>
          <w:lang w:val="fr-FR"/>
        </w:rPr>
        <w:t>AG sur les propositions présentées dans le document UPOV/INF/12/5 Draft 2 concernant les paragraphes</w:t>
      </w:r>
      <w:r w:rsidR="00824A4B" w:rsidRPr="005C556C">
        <w:rPr>
          <w:lang w:val="fr-FR"/>
        </w:rPr>
        <w:t> </w:t>
      </w:r>
      <w:r w:rsidR="00EC1AE9" w:rsidRPr="005C556C">
        <w:rPr>
          <w:lang w:val="fr-FR"/>
        </w:rPr>
        <w:t>2.2.2.b), 2.3.1.c) et</w:t>
      </w:r>
      <w:r w:rsidR="002C6DE0" w:rsidRPr="005C556C">
        <w:rPr>
          <w:lang w:val="fr-FR"/>
        </w:rPr>
        <w:t> </w:t>
      </w:r>
      <w:r w:rsidR="00EC1AE9" w:rsidRPr="005C556C">
        <w:rPr>
          <w:lang w:val="fr-FR"/>
        </w:rPr>
        <w:t>d) et 2.3.3, comme indiqué au paragraphe</w:t>
      </w:r>
      <w:r w:rsidR="00824A4B" w:rsidRPr="005C556C">
        <w:rPr>
          <w:lang w:val="fr-FR"/>
        </w:rPr>
        <w:t> </w:t>
      </w:r>
      <w:r w:rsidR="00EC1AE9" w:rsidRPr="005C556C">
        <w:rPr>
          <w:lang w:val="fr-FR"/>
        </w:rPr>
        <w:t>27 du document CAJ/71/3.</w:t>
      </w:r>
    </w:p>
    <w:p w:rsidR="0058402C" w:rsidRPr="005C556C" w:rsidRDefault="0058402C" w:rsidP="005C556C">
      <w:pPr>
        <w:rPr>
          <w:lang w:val="fr-FR"/>
        </w:rPr>
      </w:pPr>
    </w:p>
    <w:p w:rsidR="0058402C" w:rsidRPr="005C556C" w:rsidRDefault="00815BC8"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566B83" w:rsidRPr="005C556C">
        <w:rPr>
          <w:lang w:val="fr-FR"/>
        </w:rPr>
        <w:t>Le CAJ prend note du souhait du Japon de participer au WG</w:t>
      </w:r>
      <w:r w:rsidR="002C6DE0" w:rsidRPr="005C556C">
        <w:rPr>
          <w:lang w:val="fr-FR"/>
        </w:rPr>
        <w:noBreakHyphen/>
      </w:r>
      <w:r w:rsidR="00566B83" w:rsidRPr="005C556C">
        <w:rPr>
          <w:lang w:val="fr-FR"/>
        </w:rPr>
        <w:t>DST.</w:t>
      </w:r>
    </w:p>
    <w:p w:rsidR="0058402C" w:rsidRPr="005C556C" w:rsidRDefault="0058402C" w:rsidP="005C556C">
      <w:pPr>
        <w:rPr>
          <w:lang w:val="fr-FR"/>
        </w:rPr>
      </w:pPr>
    </w:p>
    <w:p w:rsidR="0058402C" w:rsidRPr="005C556C" w:rsidRDefault="00F9690D"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566B83" w:rsidRPr="005C556C">
        <w:rPr>
          <w:lang w:val="fr-FR"/>
        </w:rPr>
        <w:t>Le CAJ convient d</w:t>
      </w:r>
      <w:r w:rsidR="00817667" w:rsidRPr="005C556C">
        <w:rPr>
          <w:lang w:val="fr-FR"/>
        </w:rPr>
        <w:t>’</w:t>
      </w:r>
      <w:r w:rsidR="00566B83" w:rsidRPr="005C556C">
        <w:rPr>
          <w:lang w:val="fr-FR"/>
        </w:rPr>
        <w:t>examiner les propositions</w:t>
      </w:r>
      <w:r w:rsidR="00817667" w:rsidRPr="005C556C">
        <w:rPr>
          <w:lang w:val="fr-FR"/>
        </w:rPr>
        <w:t xml:space="preserve"> du CAJ</w:t>
      </w:r>
      <w:r w:rsidR="002C6DE0" w:rsidRPr="005C556C">
        <w:rPr>
          <w:lang w:val="fr-FR"/>
        </w:rPr>
        <w:noBreakHyphen/>
      </w:r>
      <w:r w:rsidR="00566B83" w:rsidRPr="005C556C">
        <w:rPr>
          <w:lang w:val="fr-FR"/>
        </w:rPr>
        <w:t xml:space="preserve">AG </w:t>
      </w:r>
      <w:r w:rsidR="0078723E" w:rsidRPr="005C556C">
        <w:rPr>
          <w:lang w:val="fr-FR"/>
        </w:rPr>
        <w:t>concernant</w:t>
      </w:r>
      <w:r w:rsidR="00566B83" w:rsidRPr="005C556C">
        <w:rPr>
          <w:lang w:val="fr-FR"/>
        </w:rPr>
        <w:t xml:space="preserve"> les paragraphes</w:t>
      </w:r>
      <w:r w:rsidR="00824A4B" w:rsidRPr="005C556C">
        <w:rPr>
          <w:lang w:val="fr-FR"/>
        </w:rPr>
        <w:t> </w:t>
      </w:r>
      <w:r w:rsidR="00566B83" w:rsidRPr="005C556C">
        <w:rPr>
          <w:lang w:val="fr-FR"/>
        </w:rPr>
        <w:t>2.2.2.c), 4.a) et 4.e)i) à sa soixante</w:t>
      </w:r>
      <w:r w:rsidR="002C6DE0" w:rsidRPr="005C556C">
        <w:rPr>
          <w:lang w:val="fr-FR"/>
        </w:rPr>
        <w:noBreakHyphen/>
      </w:r>
      <w:r w:rsidR="00566B83" w:rsidRPr="005C556C">
        <w:rPr>
          <w:lang w:val="fr-FR"/>
        </w:rPr>
        <w:t>douzième</w:t>
      </w:r>
      <w:r w:rsidR="00824A4B" w:rsidRPr="005C556C">
        <w:rPr>
          <w:lang w:val="fr-FR"/>
        </w:rPr>
        <w:t> </w:t>
      </w:r>
      <w:r w:rsidR="00566B83" w:rsidRPr="005C556C">
        <w:rPr>
          <w:lang w:val="fr-FR"/>
        </w:rPr>
        <w:t>session, comme indiqué au paragraphe</w:t>
      </w:r>
      <w:r w:rsidR="00824A4B" w:rsidRPr="005C556C">
        <w:rPr>
          <w:lang w:val="fr-FR"/>
        </w:rPr>
        <w:t> </w:t>
      </w:r>
      <w:r w:rsidR="00566B83" w:rsidRPr="005C556C">
        <w:rPr>
          <w:lang w:val="fr-FR"/>
        </w:rPr>
        <w:t>28 du document CAJ/71/3.</w:t>
      </w:r>
    </w:p>
    <w:p w:rsidR="0058402C" w:rsidRPr="005C556C" w:rsidRDefault="0058402C" w:rsidP="005C556C">
      <w:pPr>
        <w:rPr>
          <w:lang w:val="fr-FR"/>
        </w:rPr>
      </w:pPr>
    </w:p>
    <w:p w:rsidR="0058402C" w:rsidRPr="005C556C" w:rsidRDefault="00D86825"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566B83" w:rsidRPr="005C556C">
        <w:rPr>
          <w:lang w:val="fr-FR"/>
        </w:rPr>
        <w:t>Le CAJ note que la délégation de l</w:t>
      </w:r>
      <w:r w:rsidR="00817667" w:rsidRPr="005C556C">
        <w:rPr>
          <w:lang w:val="fr-FR"/>
        </w:rPr>
        <w:t>’</w:t>
      </w:r>
      <w:r w:rsidR="00566B83" w:rsidRPr="005C556C">
        <w:rPr>
          <w:lang w:val="fr-FR"/>
        </w:rPr>
        <w:t>Argentine réalise une étude sur les dénominations variétales qui lui sera présentée</w:t>
      </w:r>
      <w:r w:rsidR="00B73C94" w:rsidRPr="005C556C">
        <w:rPr>
          <w:lang w:val="fr-FR"/>
        </w:rPr>
        <w:t xml:space="preserve"> à sa soixante</w:t>
      </w:r>
      <w:r w:rsidR="002C6DE0" w:rsidRPr="005C556C">
        <w:rPr>
          <w:lang w:val="fr-FR"/>
        </w:rPr>
        <w:noBreakHyphen/>
      </w:r>
      <w:r w:rsidR="00B73C94" w:rsidRPr="005C556C">
        <w:rPr>
          <w:lang w:val="fr-FR"/>
        </w:rPr>
        <w:t>douzième</w:t>
      </w:r>
      <w:r w:rsidR="00824A4B" w:rsidRPr="005C556C">
        <w:rPr>
          <w:lang w:val="fr-FR"/>
        </w:rPr>
        <w:t> </w:t>
      </w:r>
      <w:r w:rsidR="00B73C94" w:rsidRPr="005C556C">
        <w:rPr>
          <w:lang w:val="fr-FR"/>
        </w:rPr>
        <w:t>session</w:t>
      </w:r>
      <w:r w:rsidR="00566B83" w:rsidRPr="005C556C">
        <w:rPr>
          <w:lang w:val="fr-FR"/>
        </w:rPr>
        <w:t xml:space="preserve"> prévue les 26 et 2</w:t>
      </w:r>
      <w:r w:rsidR="00817667" w:rsidRPr="005C556C">
        <w:rPr>
          <w:lang w:val="fr-FR"/>
        </w:rPr>
        <w:t>7 octobre 20</w:t>
      </w:r>
      <w:r w:rsidR="00566B83" w:rsidRPr="005C556C">
        <w:rPr>
          <w:lang w:val="fr-FR"/>
        </w:rPr>
        <w:t>15.</w:t>
      </w:r>
    </w:p>
    <w:p w:rsidR="0058402C" w:rsidRPr="005C556C" w:rsidRDefault="0058402C" w:rsidP="005C556C">
      <w:pPr>
        <w:rPr>
          <w:lang w:val="fr-FR"/>
        </w:rPr>
      </w:pPr>
    </w:p>
    <w:p w:rsidR="0058402C" w:rsidRPr="005C556C" w:rsidRDefault="0058402C" w:rsidP="005C556C">
      <w:pPr>
        <w:rPr>
          <w:lang w:val="fr-FR"/>
        </w:rPr>
      </w:pPr>
    </w:p>
    <w:p w:rsidR="0058402C" w:rsidRPr="005C556C" w:rsidRDefault="001B22AA" w:rsidP="005C556C">
      <w:pPr>
        <w:keepNext/>
        <w:jc w:val="left"/>
        <w:outlineLvl w:val="0"/>
        <w:rPr>
          <w:snapToGrid w:val="0"/>
          <w:u w:val="single"/>
          <w:lang w:val="fr-FR"/>
        </w:rPr>
      </w:pPr>
      <w:r w:rsidRPr="005C556C">
        <w:rPr>
          <w:snapToGrid w:val="0"/>
          <w:u w:val="single"/>
          <w:lang w:val="fr-FR"/>
        </w:rPr>
        <w:t>Informations et bases de données</w:t>
      </w:r>
    </w:p>
    <w:p w:rsidR="0058402C" w:rsidRPr="005C556C" w:rsidRDefault="0058402C" w:rsidP="005C556C">
      <w:pPr>
        <w:keepNext/>
        <w:jc w:val="left"/>
        <w:outlineLvl w:val="0"/>
        <w:rPr>
          <w:snapToGrid w:val="0"/>
          <w:u w:val="single"/>
          <w:lang w:val="fr-FR"/>
        </w:rPr>
      </w:pPr>
    </w:p>
    <w:p w:rsidR="0058402C" w:rsidRPr="005C556C" w:rsidRDefault="00993DC4" w:rsidP="005C556C">
      <w:pPr>
        <w:pStyle w:val="Heading3"/>
        <w:rPr>
          <w:lang w:val="fr-FR"/>
        </w:rPr>
      </w:pPr>
      <w:r w:rsidRPr="005C556C">
        <w:rPr>
          <w:lang w:val="fr-FR"/>
        </w:rPr>
        <w:t>a)</w:t>
      </w:r>
      <w:r w:rsidRPr="005C556C">
        <w:rPr>
          <w:lang w:val="fr-FR"/>
        </w:rPr>
        <w:tab/>
      </w:r>
      <w:r w:rsidR="000E3E11" w:rsidRPr="005C556C">
        <w:rPr>
          <w:lang w:val="fr-FR"/>
        </w:rPr>
        <w:t>Systèmes de dépôt électronique des demandes</w:t>
      </w:r>
    </w:p>
    <w:p w:rsidR="0058402C" w:rsidRPr="005C556C" w:rsidRDefault="0058402C" w:rsidP="005C556C">
      <w:pPr>
        <w:rPr>
          <w:lang w:val="fr-FR"/>
        </w:rPr>
      </w:pPr>
    </w:p>
    <w:p w:rsidR="0058402C" w:rsidRPr="005C556C" w:rsidRDefault="00993DC4"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C73CA" w:rsidRPr="005C556C">
        <w:rPr>
          <w:lang w:val="fr-FR"/>
        </w:rPr>
        <w:t>Le CAJ examine les documents CAJ/71/4 et CAJ/71/9 ainsi qu</w:t>
      </w:r>
      <w:r w:rsidR="00817667" w:rsidRPr="005C556C">
        <w:rPr>
          <w:lang w:val="fr-FR"/>
        </w:rPr>
        <w:t>’</w:t>
      </w:r>
      <w:r w:rsidR="000C73CA" w:rsidRPr="005C556C">
        <w:rPr>
          <w:lang w:val="fr-FR"/>
        </w:rPr>
        <w:t xml:space="preserve">un exposé </w:t>
      </w:r>
      <w:r w:rsidR="00B73C94" w:rsidRPr="005C556C">
        <w:rPr>
          <w:lang w:val="fr-FR"/>
        </w:rPr>
        <w:t>du</w:t>
      </w:r>
      <w:r w:rsidR="000C73CA" w:rsidRPr="005C556C">
        <w:rPr>
          <w:lang w:val="fr-FR"/>
        </w:rPr>
        <w:t xml:space="preserve"> Bureau de l</w:t>
      </w:r>
      <w:r w:rsidR="00817667" w:rsidRPr="005C556C">
        <w:rPr>
          <w:lang w:val="fr-FR"/>
        </w:rPr>
        <w:t>’</w:t>
      </w:r>
      <w:r w:rsidR="000C73CA" w:rsidRPr="005C556C">
        <w:rPr>
          <w:lang w:val="fr-FR"/>
        </w:rPr>
        <w:t xml:space="preserve">Union qui </w:t>
      </w:r>
      <w:r w:rsidR="00B73C94" w:rsidRPr="005C556C">
        <w:rPr>
          <w:lang w:val="fr-FR"/>
        </w:rPr>
        <w:t>fera l</w:t>
      </w:r>
      <w:r w:rsidR="00817667" w:rsidRPr="005C556C">
        <w:rPr>
          <w:lang w:val="fr-FR"/>
        </w:rPr>
        <w:t>’</w:t>
      </w:r>
      <w:r w:rsidR="00B73C94" w:rsidRPr="005C556C">
        <w:rPr>
          <w:lang w:val="fr-FR"/>
        </w:rPr>
        <w:t>objet d</w:t>
      </w:r>
      <w:r w:rsidR="00817667" w:rsidRPr="005C556C">
        <w:rPr>
          <w:lang w:val="fr-FR"/>
        </w:rPr>
        <w:t>’</w:t>
      </w:r>
      <w:r w:rsidR="000C73CA" w:rsidRPr="005C556C">
        <w:rPr>
          <w:lang w:val="fr-FR"/>
        </w:rPr>
        <w:t>un additif au document CAJ/71/4.</w:t>
      </w:r>
    </w:p>
    <w:p w:rsidR="0058402C" w:rsidRPr="005C556C" w:rsidRDefault="0058402C" w:rsidP="005C556C">
      <w:pPr>
        <w:rPr>
          <w:lang w:val="fr-FR"/>
        </w:rPr>
      </w:pPr>
    </w:p>
    <w:p w:rsidR="0058402C" w:rsidRPr="005C556C" w:rsidRDefault="00993DC4"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4205B" w:rsidRPr="005C556C">
        <w:rPr>
          <w:lang w:val="fr-FR"/>
        </w:rPr>
        <w:t>Le CAJ prend note des faits nouveaux concernant l</w:t>
      </w:r>
      <w:r w:rsidR="00817667" w:rsidRPr="005C556C">
        <w:rPr>
          <w:lang w:val="fr-FR"/>
        </w:rPr>
        <w:t>’</w:t>
      </w:r>
      <w:r w:rsidR="0074205B" w:rsidRPr="005C556C">
        <w:rPr>
          <w:lang w:val="fr-FR"/>
        </w:rPr>
        <w:t>élaboration d</w:t>
      </w:r>
      <w:r w:rsidR="00817667" w:rsidRPr="005C556C">
        <w:rPr>
          <w:lang w:val="fr-FR"/>
        </w:rPr>
        <w:t>’</w:t>
      </w:r>
      <w:r w:rsidR="0074205B" w:rsidRPr="005C556C">
        <w:rPr>
          <w:lang w:val="fr-FR"/>
        </w:rPr>
        <w:t>un proto</w:t>
      </w:r>
      <w:r w:rsidR="0078723E" w:rsidRPr="005C556C">
        <w:rPr>
          <w:lang w:val="fr-FR"/>
        </w:rPr>
        <w:t xml:space="preserve">type de formulaire électronique </w:t>
      </w:r>
      <w:r w:rsidR="00B73C94" w:rsidRPr="005C556C">
        <w:rPr>
          <w:lang w:val="fr-FR"/>
        </w:rPr>
        <w:t>dont il est rendu compte</w:t>
      </w:r>
      <w:r w:rsidR="0074205B" w:rsidRPr="005C556C">
        <w:rPr>
          <w:lang w:val="fr-FR"/>
        </w:rPr>
        <w:t xml:space="preserve"> dans le document CAJ/71/4.</w:t>
      </w:r>
    </w:p>
    <w:p w:rsidR="0058402C" w:rsidRPr="005C556C" w:rsidRDefault="0058402C" w:rsidP="005C556C">
      <w:pPr>
        <w:rPr>
          <w:lang w:val="fr-FR"/>
        </w:rPr>
      </w:pPr>
    </w:p>
    <w:p w:rsidR="0058402C" w:rsidRPr="005C556C" w:rsidRDefault="00993DC4"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F8624C" w:rsidRPr="005C556C">
        <w:rPr>
          <w:lang w:val="fr-FR"/>
        </w:rPr>
        <w:t>Le CAJ écoute un</w:t>
      </w:r>
      <w:r w:rsidR="00B73C94" w:rsidRPr="005C556C">
        <w:rPr>
          <w:lang w:val="fr-FR"/>
        </w:rPr>
        <w:t xml:space="preserve"> rapport verbal du</w:t>
      </w:r>
      <w:r w:rsidR="0078723E" w:rsidRPr="005C556C">
        <w:rPr>
          <w:lang w:val="fr-FR"/>
        </w:rPr>
        <w:t xml:space="preserve"> secrétaire général adjoint </w:t>
      </w:r>
      <w:r w:rsidR="005219A2" w:rsidRPr="005C556C">
        <w:rPr>
          <w:lang w:val="fr-FR"/>
        </w:rPr>
        <w:t>concernant</w:t>
      </w:r>
      <w:r w:rsidR="00F8624C" w:rsidRPr="005C556C">
        <w:rPr>
          <w:lang w:val="fr-FR"/>
        </w:rPr>
        <w:t xml:space="preserve"> la cinquième réunion sur l</w:t>
      </w:r>
      <w:r w:rsidR="00817667" w:rsidRPr="005C556C">
        <w:rPr>
          <w:lang w:val="fr-FR"/>
        </w:rPr>
        <w:t>’</w:t>
      </w:r>
      <w:r w:rsidR="00F8624C" w:rsidRPr="005C556C">
        <w:rPr>
          <w:lang w:val="fr-FR"/>
        </w:rPr>
        <w:t>élaboration d</w:t>
      </w:r>
      <w:r w:rsidR="00817667" w:rsidRPr="005C556C">
        <w:rPr>
          <w:lang w:val="fr-FR"/>
        </w:rPr>
        <w:t>’</w:t>
      </w:r>
      <w:r w:rsidR="00F8624C" w:rsidRPr="005C556C">
        <w:rPr>
          <w:lang w:val="fr-FR"/>
        </w:rPr>
        <w:t>un prototype de formulaire électronique, tenue à Genève le 2</w:t>
      </w:r>
      <w:r w:rsidR="00817667" w:rsidRPr="005C556C">
        <w:rPr>
          <w:lang w:val="fr-FR"/>
        </w:rPr>
        <w:t>5 mars 20</w:t>
      </w:r>
      <w:r w:rsidR="00F8624C" w:rsidRPr="005C556C">
        <w:rPr>
          <w:lang w:val="fr-FR"/>
        </w:rPr>
        <w:t xml:space="preserve">15, </w:t>
      </w:r>
      <w:r w:rsidR="00B73C94" w:rsidRPr="005C556C">
        <w:rPr>
          <w:lang w:val="fr-FR"/>
        </w:rPr>
        <w:t>dans lequel est présenté</w:t>
      </w:r>
      <w:r w:rsidR="00F8624C" w:rsidRPr="005C556C">
        <w:rPr>
          <w:lang w:val="fr-FR"/>
        </w:rPr>
        <w:t xml:space="preserve"> le calendrier pour l</w:t>
      </w:r>
      <w:r w:rsidR="00817667" w:rsidRPr="005C556C">
        <w:rPr>
          <w:lang w:val="fr-FR"/>
        </w:rPr>
        <w:t>’</w:t>
      </w:r>
      <w:r w:rsidR="00F8624C" w:rsidRPr="005C556C">
        <w:rPr>
          <w:lang w:val="fr-FR"/>
        </w:rPr>
        <w:t xml:space="preserve">élaboration de la </w:t>
      </w:r>
      <w:r w:rsidR="007E55FC" w:rsidRPr="005C556C">
        <w:rPr>
          <w:lang w:val="fr-FR"/>
        </w:rPr>
        <w:t>version </w:t>
      </w:r>
      <w:r w:rsidR="00F8624C" w:rsidRPr="005C556C">
        <w:rPr>
          <w:lang w:val="fr-FR"/>
        </w:rPr>
        <w:t>1 du prototype de formulaire de demande électronique (validation du concept).</w:t>
      </w:r>
      <w:r w:rsidR="00BE63B8" w:rsidRPr="005C556C">
        <w:rPr>
          <w:lang w:val="fr-FR"/>
        </w:rPr>
        <w:t xml:space="preserve">  </w:t>
      </w:r>
      <w:r w:rsidR="00F8624C" w:rsidRPr="005C556C">
        <w:rPr>
          <w:lang w:val="fr-FR"/>
        </w:rPr>
        <w:t xml:space="preserve">Le secrétaire général adjoint </w:t>
      </w:r>
      <w:r w:rsidR="005219A2" w:rsidRPr="005C556C">
        <w:rPr>
          <w:lang w:val="fr-FR"/>
        </w:rPr>
        <w:t>précise</w:t>
      </w:r>
      <w:r w:rsidR="00F8624C" w:rsidRPr="005C556C">
        <w:rPr>
          <w:lang w:val="fr-FR"/>
        </w:rPr>
        <w:t xml:space="preserve"> que la sixième réunion sur l</w:t>
      </w:r>
      <w:r w:rsidR="00817667" w:rsidRPr="005C556C">
        <w:rPr>
          <w:lang w:val="fr-FR"/>
        </w:rPr>
        <w:t>’</w:t>
      </w:r>
      <w:r w:rsidR="00F8624C" w:rsidRPr="005C556C">
        <w:rPr>
          <w:lang w:val="fr-FR"/>
        </w:rPr>
        <w:t>élaboration d</w:t>
      </w:r>
      <w:r w:rsidR="00817667" w:rsidRPr="005C556C">
        <w:rPr>
          <w:lang w:val="fr-FR"/>
        </w:rPr>
        <w:t>’</w:t>
      </w:r>
      <w:r w:rsidR="00F8624C" w:rsidRPr="005C556C">
        <w:rPr>
          <w:lang w:val="fr-FR"/>
        </w:rPr>
        <w:t>un prototype de formulaire électronique se tiendra dans la soirée du 2</w:t>
      </w:r>
      <w:r w:rsidR="00817667" w:rsidRPr="005C556C">
        <w:rPr>
          <w:lang w:val="fr-FR"/>
        </w:rPr>
        <w:t>6 octobre 20</w:t>
      </w:r>
      <w:r w:rsidR="00F8624C" w:rsidRPr="005C556C">
        <w:rPr>
          <w:lang w:val="fr-FR"/>
        </w:rPr>
        <w:t>15.</w:t>
      </w:r>
      <w:r w:rsidR="00BE63B8" w:rsidRPr="005C556C">
        <w:rPr>
          <w:lang w:val="fr-FR"/>
        </w:rPr>
        <w:t xml:space="preserve"> </w:t>
      </w:r>
      <w:r w:rsidR="00B73C94" w:rsidRPr="005C556C">
        <w:rPr>
          <w:lang w:val="fr-FR"/>
        </w:rPr>
        <w:t xml:space="preserve"> </w:t>
      </w:r>
      <w:r w:rsidR="005219A2" w:rsidRPr="005C556C">
        <w:rPr>
          <w:lang w:val="fr-FR"/>
        </w:rPr>
        <w:t>I</w:t>
      </w:r>
      <w:r w:rsidR="0078723E" w:rsidRPr="005C556C">
        <w:rPr>
          <w:lang w:val="fr-FR"/>
        </w:rPr>
        <w:t>l est prévu</w:t>
      </w:r>
      <w:r w:rsidR="00890C10" w:rsidRPr="005C556C">
        <w:rPr>
          <w:lang w:val="fr-FR"/>
        </w:rPr>
        <w:t>,</w:t>
      </w:r>
      <w:r w:rsidR="005219A2" w:rsidRPr="005C556C">
        <w:rPr>
          <w:lang w:val="fr-FR"/>
        </w:rPr>
        <w:t xml:space="preserve"> à cette occasion,</w:t>
      </w:r>
      <w:r w:rsidR="0078723E" w:rsidRPr="005C556C">
        <w:rPr>
          <w:lang w:val="fr-FR"/>
        </w:rPr>
        <w:t xml:space="preserve"> de rée</w:t>
      </w:r>
      <w:r w:rsidR="00891925" w:rsidRPr="005C556C">
        <w:rPr>
          <w:lang w:val="fr-FR"/>
        </w:rPr>
        <w:t xml:space="preserve">xaminer la </w:t>
      </w:r>
      <w:r w:rsidR="007E55FC" w:rsidRPr="005C556C">
        <w:rPr>
          <w:lang w:val="fr-FR"/>
        </w:rPr>
        <w:t>version </w:t>
      </w:r>
      <w:r w:rsidR="00891925" w:rsidRPr="005C556C">
        <w:rPr>
          <w:lang w:val="fr-FR"/>
        </w:rPr>
        <w:t>1 du prototype de formulaire élect</w:t>
      </w:r>
      <w:r w:rsidR="0078723E" w:rsidRPr="005C556C">
        <w:rPr>
          <w:lang w:val="fr-FR"/>
        </w:rPr>
        <w:t>ronique (validation du concept),</w:t>
      </w:r>
      <w:r w:rsidR="00891925" w:rsidRPr="005C556C">
        <w:rPr>
          <w:lang w:val="fr-FR"/>
        </w:rPr>
        <w:t xml:space="preserve"> d</w:t>
      </w:r>
      <w:r w:rsidR="00817667" w:rsidRPr="005C556C">
        <w:rPr>
          <w:lang w:val="fr-FR"/>
        </w:rPr>
        <w:t>’</w:t>
      </w:r>
      <w:r w:rsidR="00891925" w:rsidRPr="005C556C">
        <w:rPr>
          <w:lang w:val="fr-FR"/>
        </w:rPr>
        <w:t>étudier les questions juridiques, notamment les modalités de paiement et les autorisations, la date de dépôt ou de priorité et</w:t>
      </w:r>
      <w:r w:rsidR="0078723E" w:rsidRPr="005C556C">
        <w:rPr>
          <w:lang w:val="fr-FR"/>
        </w:rPr>
        <w:t xml:space="preserve"> la confidentialité des données,</w:t>
      </w:r>
      <w:r w:rsidR="00891925" w:rsidRPr="005C556C">
        <w:rPr>
          <w:lang w:val="fr-FR"/>
        </w:rPr>
        <w:t xml:space="preserve"> d</w:t>
      </w:r>
      <w:r w:rsidR="00817667" w:rsidRPr="005C556C">
        <w:rPr>
          <w:lang w:val="fr-FR"/>
        </w:rPr>
        <w:t>’</w:t>
      </w:r>
      <w:r w:rsidR="00891925" w:rsidRPr="005C556C">
        <w:rPr>
          <w:lang w:val="fr-FR"/>
        </w:rPr>
        <w:t>examiner les aspects techniques, notamment l</w:t>
      </w:r>
      <w:r w:rsidR="00817667" w:rsidRPr="005C556C">
        <w:rPr>
          <w:lang w:val="fr-FR"/>
        </w:rPr>
        <w:t>’</w:t>
      </w:r>
      <w:r w:rsidR="00891925" w:rsidRPr="005C556C">
        <w:rPr>
          <w:lang w:val="fr-FR"/>
        </w:rPr>
        <w:t>autorisation de paiement et l</w:t>
      </w:r>
      <w:r w:rsidR="00817667" w:rsidRPr="005C556C">
        <w:rPr>
          <w:lang w:val="fr-FR"/>
        </w:rPr>
        <w:t>’</w:t>
      </w:r>
      <w:r w:rsidR="00891925" w:rsidRPr="005C556C">
        <w:rPr>
          <w:lang w:val="fr-FR"/>
        </w:rPr>
        <w:t>identification des utilisateurs, les signatures électroniques, la forte disponibilité et l</w:t>
      </w:r>
      <w:r w:rsidR="00817667" w:rsidRPr="005C556C">
        <w:rPr>
          <w:lang w:val="fr-FR"/>
        </w:rPr>
        <w:t>’</w:t>
      </w:r>
      <w:r w:rsidR="00891925" w:rsidRPr="005C556C">
        <w:rPr>
          <w:lang w:val="fr-FR"/>
        </w:rPr>
        <w:t>interaction avec des systèmes extérieurs (par exemple, les comptes GENIE ou OMPI), ainsi que l</w:t>
      </w:r>
      <w:r w:rsidR="00817667" w:rsidRPr="005C556C">
        <w:rPr>
          <w:lang w:val="fr-FR"/>
        </w:rPr>
        <w:t>’</w:t>
      </w:r>
      <w:r w:rsidR="00891925" w:rsidRPr="005C556C">
        <w:rPr>
          <w:lang w:val="fr-FR"/>
        </w:rPr>
        <w:t>assistance et la maintenance.</w:t>
      </w:r>
      <w:r w:rsidRPr="005C556C">
        <w:rPr>
          <w:lang w:val="fr-FR"/>
        </w:rPr>
        <w:t xml:space="preserve">  </w:t>
      </w:r>
      <w:r w:rsidR="00891925" w:rsidRPr="005C556C">
        <w:rPr>
          <w:lang w:val="fr-FR"/>
        </w:rPr>
        <w:t xml:space="preserve">Par ailleurs, les moyens de faire avancer les travaux relatifs au projet seront examinés, notamment des plans éventuels de mise en </w:t>
      </w:r>
      <w:r w:rsidR="00B73C94" w:rsidRPr="005C556C">
        <w:rPr>
          <w:lang w:val="fr-FR"/>
        </w:rPr>
        <w:t>œuvre</w:t>
      </w:r>
      <w:r w:rsidR="00891925" w:rsidRPr="005C556C">
        <w:rPr>
          <w:lang w:val="fr-FR"/>
        </w:rPr>
        <w:t>.</w:t>
      </w:r>
      <w:r w:rsidRPr="005C556C">
        <w:rPr>
          <w:lang w:val="fr-FR"/>
        </w:rPr>
        <w:t xml:space="preserve">  </w:t>
      </w:r>
      <w:r w:rsidR="00C951F1" w:rsidRPr="005C556C">
        <w:rPr>
          <w:lang w:val="fr-FR"/>
        </w:rPr>
        <w:t xml:space="preserve">Le secrétaire général adjoint </w:t>
      </w:r>
      <w:r w:rsidR="00B73C94" w:rsidRPr="005C556C">
        <w:rPr>
          <w:lang w:val="fr-FR"/>
        </w:rPr>
        <w:t>indique</w:t>
      </w:r>
      <w:r w:rsidR="00C951F1" w:rsidRPr="005C556C">
        <w:rPr>
          <w:lang w:val="fr-FR"/>
        </w:rPr>
        <w:t xml:space="preserve"> également qu</w:t>
      </w:r>
      <w:r w:rsidR="00817667" w:rsidRPr="005C556C">
        <w:rPr>
          <w:lang w:val="fr-FR"/>
        </w:rPr>
        <w:t>’</w:t>
      </w:r>
      <w:r w:rsidR="00C951F1" w:rsidRPr="005C556C">
        <w:rPr>
          <w:lang w:val="fr-FR"/>
        </w:rPr>
        <w:t xml:space="preserve">il </w:t>
      </w:r>
      <w:r w:rsidR="00B73C94" w:rsidRPr="005C556C">
        <w:rPr>
          <w:lang w:val="fr-FR"/>
        </w:rPr>
        <w:t>est</w:t>
      </w:r>
      <w:r w:rsidR="00C951F1" w:rsidRPr="005C556C">
        <w:rPr>
          <w:lang w:val="fr-FR"/>
        </w:rPr>
        <w:t xml:space="preserve"> proposé de présenter un exposé sur la </w:t>
      </w:r>
      <w:r w:rsidR="007E55FC" w:rsidRPr="005C556C">
        <w:rPr>
          <w:lang w:val="fr-FR"/>
        </w:rPr>
        <w:t>version </w:t>
      </w:r>
      <w:r w:rsidR="00C951F1" w:rsidRPr="005C556C">
        <w:rPr>
          <w:lang w:val="fr-FR"/>
        </w:rPr>
        <w:t>1 du prototype de formulaire électronique (validation du concept)</w:t>
      </w:r>
      <w:r w:rsidR="00817667" w:rsidRPr="005C556C">
        <w:rPr>
          <w:lang w:val="fr-FR"/>
        </w:rPr>
        <w:t xml:space="preserve"> au CAJ</w:t>
      </w:r>
      <w:r w:rsidR="00C951F1" w:rsidRPr="005C556C">
        <w:rPr>
          <w:lang w:val="fr-FR"/>
        </w:rPr>
        <w:t xml:space="preserve"> et au Comité consultatif à leu</w:t>
      </w:r>
      <w:r w:rsidR="00B73C94" w:rsidRPr="005C556C">
        <w:rPr>
          <w:lang w:val="fr-FR"/>
        </w:rPr>
        <w:t>rs sessions d</w:t>
      </w:r>
      <w:r w:rsidR="00817667" w:rsidRPr="005C556C">
        <w:rPr>
          <w:lang w:val="fr-FR"/>
        </w:rPr>
        <w:t>’octobre 20</w:t>
      </w:r>
      <w:r w:rsidR="00B73C94" w:rsidRPr="005C556C">
        <w:rPr>
          <w:lang w:val="fr-FR"/>
        </w:rPr>
        <w:t xml:space="preserve">15 et de les </w:t>
      </w:r>
      <w:r w:rsidR="00C951F1" w:rsidRPr="005C556C">
        <w:rPr>
          <w:lang w:val="fr-FR"/>
        </w:rPr>
        <w:t xml:space="preserve">inviter à examiner les moyens de faire avancer les travaux </w:t>
      </w:r>
      <w:r w:rsidR="0078723E" w:rsidRPr="005C556C">
        <w:rPr>
          <w:lang w:val="fr-FR"/>
        </w:rPr>
        <w:t xml:space="preserve">relatifs au </w:t>
      </w:r>
      <w:r w:rsidR="00C951F1" w:rsidRPr="005C556C">
        <w:rPr>
          <w:lang w:val="fr-FR"/>
        </w:rPr>
        <w:t>projet.</w:t>
      </w:r>
      <w:r w:rsidRPr="005C556C">
        <w:rPr>
          <w:lang w:val="fr-FR"/>
        </w:rPr>
        <w:t xml:space="preserve">  </w:t>
      </w:r>
      <w:r w:rsidR="00DD4B90" w:rsidRPr="005C556C">
        <w:rPr>
          <w:lang w:val="fr-FR"/>
        </w:rPr>
        <w:t xml:space="preserve">En ce qui concerne les travaux après </w:t>
      </w:r>
      <w:r w:rsidR="00817667" w:rsidRPr="005C556C">
        <w:rPr>
          <w:lang w:val="fr-FR"/>
        </w:rPr>
        <w:t>octobre 20</w:t>
      </w:r>
      <w:r w:rsidR="00DD4B90" w:rsidRPr="005C556C">
        <w:rPr>
          <w:lang w:val="fr-FR"/>
        </w:rPr>
        <w:t>15, il est prévu, sous réserve des discussions qui auront lieu au sein</w:t>
      </w:r>
      <w:r w:rsidR="00817667" w:rsidRPr="005C556C">
        <w:rPr>
          <w:lang w:val="fr-FR"/>
        </w:rPr>
        <w:t xml:space="preserve"> du CAJ</w:t>
      </w:r>
      <w:r w:rsidR="00DD4B90" w:rsidRPr="005C556C">
        <w:rPr>
          <w:lang w:val="fr-FR"/>
        </w:rPr>
        <w:t xml:space="preserve"> et du Comité consultatif, d</w:t>
      </w:r>
      <w:r w:rsidR="00817667" w:rsidRPr="005C556C">
        <w:rPr>
          <w:lang w:val="fr-FR"/>
        </w:rPr>
        <w:t>’</w:t>
      </w:r>
      <w:r w:rsidR="00DD4B90" w:rsidRPr="005C556C">
        <w:rPr>
          <w:lang w:val="fr-FR"/>
        </w:rPr>
        <w:t>étendre le prototype à la pomme de terre, au rosier et au pommier en vue d</w:t>
      </w:r>
      <w:r w:rsidR="00817667" w:rsidRPr="005C556C">
        <w:rPr>
          <w:lang w:val="fr-FR"/>
        </w:rPr>
        <w:t>’</w:t>
      </w:r>
      <w:r w:rsidR="0078723E" w:rsidRPr="005C556C">
        <w:rPr>
          <w:lang w:val="fr-FR"/>
        </w:rPr>
        <w:t xml:space="preserve">examiner </w:t>
      </w:r>
      <w:r w:rsidR="00DD4B90" w:rsidRPr="005C556C">
        <w:rPr>
          <w:lang w:val="fr-FR"/>
        </w:rPr>
        <w:t>les possibilités d</w:t>
      </w:r>
      <w:r w:rsidR="0078723E" w:rsidRPr="005C556C">
        <w:rPr>
          <w:lang w:val="fr-FR"/>
        </w:rPr>
        <w:t>e renforcement de l</w:t>
      </w:r>
      <w:r w:rsidR="00817667" w:rsidRPr="005C556C">
        <w:rPr>
          <w:lang w:val="fr-FR"/>
        </w:rPr>
        <w:t>’</w:t>
      </w:r>
      <w:r w:rsidR="00DD4B90" w:rsidRPr="005C556C">
        <w:rPr>
          <w:lang w:val="fr-FR"/>
        </w:rPr>
        <w:t xml:space="preserve">harmonisation et les propositions </w:t>
      </w:r>
      <w:r w:rsidR="0078723E" w:rsidRPr="005C556C">
        <w:rPr>
          <w:lang w:val="fr-FR"/>
        </w:rPr>
        <w:t xml:space="preserve">concernant le </w:t>
      </w:r>
      <w:r w:rsidR="00DD4B90" w:rsidRPr="005C556C">
        <w:rPr>
          <w:lang w:val="fr-FR"/>
        </w:rPr>
        <w:t>lancement du formulaire électronique.</w:t>
      </w:r>
    </w:p>
    <w:p w:rsidR="0058402C" w:rsidRPr="005C556C" w:rsidRDefault="0058402C" w:rsidP="005C556C">
      <w:pPr>
        <w:rPr>
          <w:lang w:val="fr-FR"/>
        </w:rPr>
      </w:pPr>
    </w:p>
    <w:p w:rsidR="0058402C" w:rsidRPr="005C556C" w:rsidRDefault="001E5862" w:rsidP="005C556C">
      <w:pPr>
        <w:rPr>
          <w:lang w:val="fr-FR"/>
        </w:rPr>
      </w:pPr>
      <w:r w:rsidRPr="005C556C">
        <w:rPr>
          <w:lang w:val="fr-FR"/>
        </w:rPr>
        <w:lastRenderedPageBreak/>
        <w:fldChar w:fldCharType="begin"/>
      </w:r>
      <w:r w:rsidRPr="005C556C">
        <w:rPr>
          <w:lang w:val="fr-FR"/>
        </w:rPr>
        <w:instrText xml:space="preserve"> AUTONUM  </w:instrText>
      </w:r>
      <w:r w:rsidRPr="005C556C">
        <w:rPr>
          <w:lang w:val="fr-FR"/>
        </w:rPr>
        <w:fldChar w:fldCharType="end"/>
      </w:r>
      <w:r w:rsidRPr="005C556C">
        <w:rPr>
          <w:lang w:val="fr-FR"/>
        </w:rPr>
        <w:tab/>
      </w:r>
      <w:r w:rsidR="00DD4B90" w:rsidRPr="005C556C">
        <w:rPr>
          <w:lang w:val="fr-FR"/>
        </w:rPr>
        <w:t>Le CAJ note que la d</w:t>
      </w:r>
      <w:r w:rsidR="000E3E11" w:rsidRPr="005C556C">
        <w:rPr>
          <w:lang w:val="fr-FR"/>
        </w:rPr>
        <w:t>emande adressée à l</w:t>
      </w:r>
      <w:r w:rsidR="00817667" w:rsidRPr="005C556C">
        <w:rPr>
          <w:lang w:val="fr-FR"/>
        </w:rPr>
        <w:t>’</w:t>
      </w:r>
      <w:r w:rsidR="000E3E11" w:rsidRPr="005C556C">
        <w:rPr>
          <w:lang w:val="fr-FR"/>
        </w:rPr>
        <w:t>OMPI</w:t>
      </w:r>
      <w:r w:rsidR="00DD4B90" w:rsidRPr="005C556C">
        <w:rPr>
          <w:lang w:val="fr-FR"/>
        </w:rPr>
        <w:t xml:space="preserve"> concernant un code à deux</w:t>
      </w:r>
      <w:r w:rsidR="00824A4B" w:rsidRPr="005C556C">
        <w:rPr>
          <w:lang w:val="fr-FR"/>
        </w:rPr>
        <w:t> </w:t>
      </w:r>
      <w:r w:rsidR="00DD4B90" w:rsidRPr="005C556C">
        <w:rPr>
          <w:lang w:val="fr-FR"/>
        </w:rPr>
        <w:t>let</w:t>
      </w:r>
      <w:r w:rsidR="00B73C94" w:rsidRPr="005C556C">
        <w:rPr>
          <w:lang w:val="fr-FR"/>
        </w:rPr>
        <w:t xml:space="preserve">tres </w:t>
      </w:r>
      <w:r w:rsidR="00824A4B" w:rsidRPr="005C556C">
        <w:rPr>
          <w:lang w:val="fr-FR"/>
        </w:rPr>
        <w:t>“</w:t>
      </w:r>
      <w:r w:rsidR="00DD4B90" w:rsidRPr="005C556C">
        <w:rPr>
          <w:lang w:val="fr-FR"/>
        </w:rPr>
        <w:t>XU</w:t>
      </w:r>
      <w:r w:rsidR="00824A4B" w:rsidRPr="005C556C">
        <w:rPr>
          <w:lang w:val="fr-FR"/>
        </w:rPr>
        <w:t>”</w:t>
      </w:r>
      <w:r w:rsidR="00DD4B90" w:rsidRPr="005C556C">
        <w:rPr>
          <w:lang w:val="fr-FR"/>
        </w:rPr>
        <w:t xml:space="preserve"> représentant le nom de l</w:t>
      </w:r>
      <w:r w:rsidR="00817667" w:rsidRPr="005C556C">
        <w:rPr>
          <w:lang w:val="fr-FR"/>
        </w:rPr>
        <w:t>’</w:t>
      </w:r>
      <w:r w:rsidR="00DD4B90" w:rsidRPr="005C556C">
        <w:rPr>
          <w:lang w:val="fr-FR"/>
        </w:rPr>
        <w:t>UPOV a été acceptée et incluse dans la version révisée de la norme</w:t>
      </w:r>
      <w:r w:rsidR="00824A4B" w:rsidRPr="005C556C">
        <w:rPr>
          <w:lang w:val="fr-FR"/>
        </w:rPr>
        <w:t> </w:t>
      </w:r>
      <w:r w:rsidR="00DD4B90" w:rsidRPr="005C556C">
        <w:rPr>
          <w:lang w:val="fr-FR"/>
        </w:rPr>
        <w:t>ST.3 de l</w:t>
      </w:r>
      <w:r w:rsidR="00817667" w:rsidRPr="005C556C">
        <w:rPr>
          <w:lang w:val="fr-FR"/>
        </w:rPr>
        <w:t>’</w:t>
      </w:r>
      <w:r w:rsidR="00DD4B90" w:rsidRPr="005C556C">
        <w:rPr>
          <w:lang w:val="fr-FR"/>
        </w:rPr>
        <w:t xml:space="preserve">OMPI </w:t>
      </w:r>
      <w:r w:rsidR="00824A4B" w:rsidRPr="005C556C">
        <w:rPr>
          <w:lang w:val="fr-FR"/>
        </w:rPr>
        <w:t>“</w:t>
      </w:r>
      <w:r w:rsidR="00DD4B90" w:rsidRPr="005C556C">
        <w:rPr>
          <w:lang w:val="fr-FR"/>
        </w:rPr>
        <w:t>Norme recommandée concernant les codes à deux</w:t>
      </w:r>
      <w:r w:rsidR="00824A4B" w:rsidRPr="005C556C">
        <w:rPr>
          <w:lang w:val="fr-FR"/>
        </w:rPr>
        <w:t> </w:t>
      </w:r>
      <w:r w:rsidR="00DD4B90" w:rsidRPr="005C556C">
        <w:rPr>
          <w:lang w:val="fr-FR"/>
        </w:rPr>
        <w:t>lettres pour la représentation des États, autres entités et organisations intergouvernementales</w:t>
      </w:r>
      <w:r w:rsidR="00824A4B" w:rsidRPr="005C556C">
        <w:rPr>
          <w:lang w:val="fr-FR"/>
        </w:rPr>
        <w:t>”</w:t>
      </w:r>
      <w:r w:rsidR="00DD4B90" w:rsidRPr="005C556C">
        <w:rPr>
          <w:lang w:val="fr-FR"/>
        </w:rPr>
        <w:t>.</w:t>
      </w:r>
    </w:p>
    <w:p w:rsidR="0058402C" w:rsidRPr="005C556C" w:rsidRDefault="0058402C" w:rsidP="00893041">
      <w:pPr>
        <w:spacing w:line="360" w:lineRule="auto"/>
        <w:rPr>
          <w:lang w:val="fr-FR"/>
        </w:rPr>
      </w:pPr>
    </w:p>
    <w:p w:rsidR="0058402C" w:rsidRPr="005C556C" w:rsidRDefault="001B22AA" w:rsidP="005C556C">
      <w:pPr>
        <w:keepNext/>
        <w:outlineLvl w:val="1"/>
        <w:rPr>
          <w:i/>
          <w:snapToGrid w:val="0"/>
          <w:lang w:val="fr-FR"/>
        </w:rPr>
      </w:pPr>
      <w:r w:rsidRPr="005C556C">
        <w:rPr>
          <w:i/>
          <w:snapToGrid w:val="0"/>
          <w:lang w:val="fr-FR"/>
        </w:rPr>
        <w:t>b)</w:t>
      </w:r>
      <w:r w:rsidRPr="005C556C">
        <w:rPr>
          <w:snapToGrid w:val="0"/>
          <w:lang w:val="fr-FR"/>
        </w:rPr>
        <w:tab/>
      </w:r>
      <w:r w:rsidRPr="005C556C">
        <w:rPr>
          <w:i/>
          <w:snapToGrid w:val="0"/>
          <w:lang w:val="fr-FR"/>
        </w:rPr>
        <w:t>Bases de données d</w:t>
      </w:r>
      <w:r w:rsidR="00817667" w:rsidRPr="005C556C">
        <w:rPr>
          <w:i/>
          <w:snapToGrid w:val="0"/>
          <w:lang w:val="fr-FR"/>
        </w:rPr>
        <w:t>’</w:t>
      </w:r>
      <w:r w:rsidRPr="005C556C">
        <w:rPr>
          <w:i/>
          <w:snapToGrid w:val="0"/>
          <w:lang w:val="fr-FR"/>
        </w:rPr>
        <w:t>information de l</w:t>
      </w:r>
      <w:r w:rsidR="00817667" w:rsidRPr="005C556C">
        <w:rPr>
          <w:i/>
          <w:snapToGrid w:val="0"/>
          <w:lang w:val="fr-FR"/>
        </w:rPr>
        <w:t>’</w:t>
      </w:r>
      <w:r w:rsidRPr="005C556C">
        <w:rPr>
          <w:i/>
          <w:snapToGrid w:val="0"/>
          <w:lang w:val="fr-FR"/>
        </w:rPr>
        <w:t>UPOV</w:t>
      </w:r>
    </w:p>
    <w:p w:rsidR="0058402C" w:rsidRPr="005C556C" w:rsidRDefault="0058402C" w:rsidP="005C556C">
      <w:pPr>
        <w:keepLines/>
        <w:rPr>
          <w:lang w:val="fr-FR"/>
        </w:rPr>
      </w:pPr>
    </w:p>
    <w:p w:rsidR="0058402C" w:rsidRPr="005C556C" w:rsidRDefault="00962E4C"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1B22AA" w:rsidRPr="005C556C">
        <w:rPr>
          <w:lang w:val="fr-FR"/>
        </w:rPr>
        <w:t xml:space="preserve">Le CAJ examine les </w:t>
      </w:r>
      <w:r w:rsidR="00817667" w:rsidRPr="005C556C">
        <w:rPr>
          <w:lang w:val="fr-FR"/>
        </w:rPr>
        <w:t>documents CA</w:t>
      </w:r>
      <w:r w:rsidR="001B22AA" w:rsidRPr="005C556C">
        <w:rPr>
          <w:lang w:val="fr-FR"/>
        </w:rPr>
        <w:t>J/71/5 et CAJ/71/9.</w:t>
      </w:r>
    </w:p>
    <w:p w:rsidR="0058402C" w:rsidRPr="005C556C" w:rsidRDefault="0058402C" w:rsidP="005C556C">
      <w:pPr>
        <w:rPr>
          <w:lang w:val="fr-FR"/>
        </w:rPr>
      </w:pPr>
    </w:p>
    <w:p w:rsidR="0058402C" w:rsidRPr="005C556C" w:rsidRDefault="00175FFD" w:rsidP="005C556C">
      <w:pPr>
        <w:rPr>
          <w:rFonts w:eastAsia="SimSun"/>
          <w:snapToGrid w:val="0"/>
          <w:lang w:val="fr-FR" w:eastAsia="ja-JP"/>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DD4B90" w:rsidRPr="005C556C">
        <w:rPr>
          <w:lang w:val="fr-FR"/>
        </w:rPr>
        <w:t>Le CAJ prend note des informations sur l</w:t>
      </w:r>
      <w:r w:rsidR="00817667" w:rsidRPr="005C556C">
        <w:rPr>
          <w:lang w:val="fr-FR"/>
        </w:rPr>
        <w:t>’</w:t>
      </w:r>
      <w:r w:rsidR="00DD4B90" w:rsidRPr="005C556C">
        <w:rPr>
          <w:lang w:val="fr-FR"/>
        </w:rPr>
        <w:t>attribution de type(s) de plante aux codes UPOV actuellement utilisés dans la base de données PLUTO, comme indiqué aux paragraphes</w:t>
      </w:r>
      <w:r w:rsidR="00824A4B" w:rsidRPr="005C556C">
        <w:rPr>
          <w:lang w:val="fr-FR"/>
        </w:rPr>
        <w:t> </w:t>
      </w:r>
      <w:r w:rsidR="00DD4B90" w:rsidRPr="005C556C">
        <w:rPr>
          <w:lang w:val="fr-FR"/>
        </w:rPr>
        <w:t>10 et 11 du document CAJ/71/5.</w:t>
      </w:r>
    </w:p>
    <w:p w:rsidR="0058402C" w:rsidRPr="005C556C" w:rsidRDefault="0058402C" w:rsidP="005C556C">
      <w:pPr>
        <w:rPr>
          <w:rFonts w:eastAsia="SimSun"/>
          <w:snapToGrid w:val="0"/>
          <w:lang w:val="fr-FR" w:eastAsia="ja-JP"/>
        </w:rPr>
      </w:pPr>
    </w:p>
    <w:p w:rsidR="0058402C" w:rsidRPr="005C556C" w:rsidRDefault="0088417E" w:rsidP="005C556C">
      <w:pPr>
        <w:rPr>
          <w:lang w:val="fr-FR"/>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DD4B90" w:rsidRPr="005C556C">
        <w:rPr>
          <w:rFonts w:eastAsia="SimSun"/>
          <w:snapToGrid w:val="0"/>
          <w:lang w:val="fr-FR" w:eastAsia="ja-JP"/>
        </w:rPr>
        <w:t xml:space="preserve">Le CAJ note que les informations relatives aux types de plante seront introduites dans la base de données GENIE, qui sera modifiée pour indiquer le(s) type(s) de plante pour chaque code UPOV avant la fin du mois de </w:t>
      </w:r>
      <w:r w:rsidR="00817667" w:rsidRPr="005C556C">
        <w:rPr>
          <w:rFonts w:eastAsia="SimSun"/>
          <w:snapToGrid w:val="0"/>
          <w:lang w:val="fr-FR" w:eastAsia="ja-JP"/>
        </w:rPr>
        <w:t>mars 20</w:t>
      </w:r>
      <w:r w:rsidR="00DD4B90" w:rsidRPr="005C556C">
        <w:rPr>
          <w:rFonts w:eastAsia="SimSun"/>
          <w:snapToGrid w:val="0"/>
          <w:lang w:val="fr-FR" w:eastAsia="ja-JP"/>
        </w:rPr>
        <w:t>15.</w:t>
      </w:r>
    </w:p>
    <w:p w:rsidR="0058402C" w:rsidRPr="005C556C" w:rsidRDefault="0058402C" w:rsidP="005C556C">
      <w:pPr>
        <w:rPr>
          <w:rFonts w:eastAsia="SimSun"/>
          <w:lang w:val="fr-FR"/>
        </w:rPr>
      </w:pPr>
    </w:p>
    <w:p w:rsidR="0058402C" w:rsidRDefault="0088417E" w:rsidP="00504E54">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DD4B90" w:rsidRPr="005C556C">
        <w:rPr>
          <w:rFonts w:eastAsia="SimSun"/>
          <w:snapToGrid w:val="0"/>
          <w:lang w:val="fr-FR" w:eastAsia="ja-JP"/>
        </w:rPr>
        <w:t>Le CAJ note qu</w:t>
      </w:r>
      <w:r w:rsidR="00817667" w:rsidRPr="005C556C">
        <w:rPr>
          <w:rFonts w:eastAsia="SimSun"/>
          <w:snapToGrid w:val="0"/>
          <w:lang w:val="fr-FR" w:eastAsia="ja-JP"/>
        </w:rPr>
        <w:t>’</w:t>
      </w:r>
      <w:r w:rsidR="00DD4B90" w:rsidRPr="005C556C">
        <w:rPr>
          <w:rFonts w:eastAsia="SimSun"/>
          <w:snapToGrid w:val="0"/>
          <w:lang w:val="fr-FR" w:eastAsia="ja-JP"/>
        </w:rPr>
        <w:t xml:space="preserve">un rapport standard sur les attributions des </w:t>
      </w:r>
      <w:r w:rsidR="00B73C94" w:rsidRPr="005C556C">
        <w:rPr>
          <w:lang w:val="fr-FR"/>
        </w:rPr>
        <w:t>groupes de travail techniques</w:t>
      </w:r>
      <w:r w:rsidR="00B73C94" w:rsidRPr="005C556C">
        <w:rPr>
          <w:rFonts w:eastAsia="SimSun"/>
          <w:snapToGrid w:val="0"/>
          <w:lang w:val="fr-FR" w:eastAsia="ja-JP"/>
        </w:rPr>
        <w:t xml:space="preserve"> </w:t>
      </w:r>
      <w:r w:rsidR="00DD4B90" w:rsidRPr="005C556C">
        <w:rPr>
          <w:rFonts w:eastAsia="SimSun"/>
          <w:snapToGrid w:val="0"/>
          <w:lang w:val="fr-FR" w:eastAsia="ja-JP"/>
        </w:rPr>
        <w:t>pour les codes UPOV sera aussi publié sur la page</w:t>
      </w:r>
      <w:r w:rsidR="00824A4B" w:rsidRPr="005C556C">
        <w:rPr>
          <w:rFonts w:eastAsia="SimSun"/>
          <w:snapToGrid w:val="0"/>
          <w:lang w:val="fr-FR" w:eastAsia="ja-JP"/>
        </w:rPr>
        <w:t> </w:t>
      </w:r>
      <w:r w:rsidR="00DD4B90" w:rsidRPr="005C556C">
        <w:rPr>
          <w:rFonts w:eastAsia="SimSun"/>
          <w:snapToGrid w:val="0"/>
          <w:lang w:val="fr-FR" w:eastAsia="ja-JP"/>
        </w:rPr>
        <w:t xml:space="preserve">Web consacrée à la base de données GENIE avant la fin du mois de </w:t>
      </w:r>
      <w:r w:rsidR="00817667" w:rsidRPr="005C556C">
        <w:rPr>
          <w:rFonts w:eastAsia="SimSun"/>
          <w:snapToGrid w:val="0"/>
          <w:lang w:val="fr-FR" w:eastAsia="ja-JP"/>
        </w:rPr>
        <w:t>mars 20</w:t>
      </w:r>
      <w:r w:rsidR="00DD4B90" w:rsidRPr="005C556C">
        <w:rPr>
          <w:rFonts w:eastAsia="SimSun"/>
          <w:snapToGrid w:val="0"/>
          <w:lang w:val="fr-FR" w:eastAsia="ja-JP"/>
        </w:rPr>
        <w:t>15.</w:t>
      </w:r>
    </w:p>
    <w:p w:rsidR="00504E54" w:rsidRPr="005C556C" w:rsidRDefault="00504E54" w:rsidP="00504E54">
      <w:pPr>
        <w:rPr>
          <w:rFonts w:eastAsia="SimSun"/>
          <w:snapToGrid w:val="0"/>
          <w:lang w:val="fr-FR" w:eastAsia="ja-JP"/>
        </w:rPr>
      </w:pPr>
    </w:p>
    <w:p w:rsidR="0058402C" w:rsidRPr="005C556C" w:rsidRDefault="0088417E"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DD4B90" w:rsidRPr="005C556C">
        <w:rPr>
          <w:rFonts w:eastAsia="SimSun"/>
          <w:snapToGrid w:val="0"/>
          <w:lang w:val="fr-FR" w:eastAsia="ja-JP"/>
        </w:rPr>
        <w:t>Le CAJ note que l</w:t>
      </w:r>
      <w:r w:rsidR="00817667" w:rsidRPr="005C556C">
        <w:rPr>
          <w:rFonts w:eastAsia="SimSun"/>
          <w:snapToGrid w:val="0"/>
          <w:lang w:val="fr-FR" w:eastAsia="ja-JP"/>
        </w:rPr>
        <w:t>’</w:t>
      </w:r>
      <w:r w:rsidR="00DD4B90" w:rsidRPr="005C556C">
        <w:rPr>
          <w:rFonts w:eastAsia="SimSun"/>
          <w:snapToGrid w:val="0"/>
          <w:lang w:val="fr-FR" w:eastAsia="ja-JP"/>
        </w:rPr>
        <w:t>attribution de type(s) de plante à d</w:t>
      </w:r>
      <w:r w:rsidR="00817667" w:rsidRPr="005C556C">
        <w:rPr>
          <w:rFonts w:eastAsia="SimSun"/>
          <w:snapToGrid w:val="0"/>
          <w:lang w:val="fr-FR" w:eastAsia="ja-JP"/>
        </w:rPr>
        <w:t>’</w:t>
      </w:r>
      <w:r w:rsidR="00DD4B90" w:rsidRPr="005C556C">
        <w:rPr>
          <w:rFonts w:eastAsia="SimSun"/>
          <w:snapToGrid w:val="0"/>
          <w:lang w:val="fr-FR" w:eastAsia="ja-JP"/>
        </w:rPr>
        <w:t>autres codes UPOV aura lieu lorsque ceux</w:t>
      </w:r>
      <w:r w:rsidR="002C6DE0" w:rsidRPr="005C556C">
        <w:rPr>
          <w:rFonts w:eastAsia="SimSun"/>
          <w:snapToGrid w:val="0"/>
          <w:lang w:val="fr-FR" w:eastAsia="ja-JP"/>
        </w:rPr>
        <w:noBreakHyphen/>
      </w:r>
      <w:r w:rsidR="00DD4B90" w:rsidRPr="005C556C">
        <w:rPr>
          <w:rFonts w:eastAsia="SimSun"/>
          <w:snapToGrid w:val="0"/>
          <w:lang w:val="fr-FR" w:eastAsia="ja-JP"/>
        </w:rPr>
        <w:t>ci seront utilisés dans la base de données PLUTO pour la première fois.</w:t>
      </w:r>
    </w:p>
    <w:p w:rsidR="0058402C" w:rsidRPr="005C556C" w:rsidRDefault="0058402C" w:rsidP="005C556C">
      <w:pPr>
        <w:rPr>
          <w:rFonts w:eastAsia="SimSun"/>
          <w:snapToGrid w:val="0"/>
          <w:lang w:val="fr-FR" w:eastAsia="ja-JP"/>
        </w:rPr>
      </w:pPr>
    </w:p>
    <w:p w:rsidR="0058402C" w:rsidRPr="005C556C" w:rsidRDefault="0088417E"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3D1844" w:rsidRPr="005C556C">
        <w:rPr>
          <w:rFonts w:eastAsia="SimSun"/>
          <w:snapToGrid w:val="0"/>
          <w:lang w:val="fr-FR" w:eastAsia="ja-JP"/>
        </w:rPr>
        <w:t>Le CAJ note que le Bureau de l</w:t>
      </w:r>
      <w:r w:rsidR="00817667" w:rsidRPr="005C556C">
        <w:rPr>
          <w:rFonts w:eastAsia="SimSun"/>
          <w:snapToGrid w:val="0"/>
          <w:lang w:val="fr-FR" w:eastAsia="ja-JP"/>
        </w:rPr>
        <w:t>’</w:t>
      </w:r>
      <w:r w:rsidR="003D1844" w:rsidRPr="005C556C">
        <w:rPr>
          <w:rFonts w:eastAsia="SimSun"/>
          <w:snapToGrid w:val="0"/>
          <w:lang w:val="fr-FR" w:eastAsia="ja-JP"/>
        </w:rPr>
        <w:t>Union établira des tableaux d</w:t>
      </w:r>
      <w:r w:rsidR="00817667" w:rsidRPr="005C556C">
        <w:rPr>
          <w:rFonts w:eastAsia="SimSun"/>
          <w:snapToGrid w:val="0"/>
          <w:lang w:val="fr-FR" w:eastAsia="ja-JP"/>
        </w:rPr>
        <w:t>’</w:t>
      </w:r>
      <w:r w:rsidR="003D1844" w:rsidRPr="005C556C">
        <w:rPr>
          <w:rFonts w:eastAsia="SimSun"/>
          <w:snapToGrid w:val="0"/>
          <w:lang w:val="fr-FR" w:eastAsia="ja-JP"/>
        </w:rPr>
        <w:t xml:space="preserve">attribution de type(s) de plante aux codes UPOV utilisés dans la base de données PLUTO pour la première fois, aux fins de leur vérification par les services compétents, pour chacune des sessions des </w:t>
      </w:r>
      <w:r w:rsidR="00B73C94" w:rsidRPr="005C556C">
        <w:rPr>
          <w:lang w:val="fr-FR"/>
        </w:rPr>
        <w:t>groupes de travail techniques</w:t>
      </w:r>
      <w:r w:rsidR="00B73C94" w:rsidRPr="005C556C">
        <w:rPr>
          <w:rFonts w:eastAsia="SimSun"/>
          <w:snapToGrid w:val="0"/>
          <w:lang w:val="fr-FR" w:eastAsia="ja-JP"/>
        </w:rPr>
        <w:t xml:space="preserve"> </w:t>
      </w:r>
      <w:r w:rsidR="003D1844" w:rsidRPr="005C556C">
        <w:rPr>
          <w:rFonts w:eastAsia="SimSun"/>
          <w:snapToGrid w:val="0"/>
          <w:lang w:val="fr-FR" w:eastAsia="ja-JP"/>
        </w:rPr>
        <w:t>en</w:t>
      </w:r>
      <w:r w:rsidR="00824A4B" w:rsidRPr="005C556C">
        <w:rPr>
          <w:rFonts w:eastAsia="SimSun"/>
          <w:snapToGrid w:val="0"/>
          <w:lang w:val="fr-FR" w:eastAsia="ja-JP"/>
        </w:rPr>
        <w:t> </w:t>
      </w:r>
      <w:r w:rsidR="003D1844" w:rsidRPr="005C556C">
        <w:rPr>
          <w:rFonts w:eastAsia="SimSun"/>
          <w:snapToGrid w:val="0"/>
          <w:lang w:val="fr-FR" w:eastAsia="ja-JP"/>
        </w:rPr>
        <w:t>2015.</w:t>
      </w:r>
    </w:p>
    <w:p w:rsidR="0058402C" w:rsidRPr="005C556C" w:rsidRDefault="0058402C" w:rsidP="005C556C">
      <w:pPr>
        <w:rPr>
          <w:rFonts w:eastAsia="MS Mincho" w:cs="Arial"/>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3D1844" w:rsidRPr="005C556C">
        <w:rPr>
          <w:rFonts w:eastAsia="SimSun"/>
          <w:snapToGrid w:val="0"/>
          <w:lang w:val="fr-FR" w:eastAsia="ja-JP"/>
        </w:rPr>
        <w:t>Le CAJ prend note des faits nouveaux concernant les codes UPOV, tels qu</w:t>
      </w:r>
      <w:r w:rsidR="00817667" w:rsidRPr="005C556C">
        <w:rPr>
          <w:rFonts w:eastAsia="SimSun"/>
          <w:snapToGrid w:val="0"/>
          <w:lang w:val="fr-FR" w:eastAsia="ja-JP"/>
        </w:rPr>
        <w:t>’</w:t>
      </w:r>
      <w:r w:rsidR="003D1844" w:rsidRPr="005C556C">
        <w:rPr>
          <w:rFonts w:eastAsia="SimSun"/>
          <w:snapToGrid w:val="0"/>
          <w:lang w:val="fr-FR" w:eastAsia="ja-JP"/>
        </w:rPr>
        <w:t xml:space="preserve">ils </w:t>
      </w:r>
      <w:r w:rsidR="0078723E" w:rsidRPr="005C556C">
        <w:rPr>
          <w:rFonts w:eastAsia="SimSun"/>
          <w:snapToGrid w:val="0"/>
          <w:lang w:val="fr-FR" w:eastAsia="ja-JP"/>
        </w:rPr>
        <w:t>sont présentés au</w:t>
      </w:r>
      <w:r w:rsidR="003D1844" w:rsidRPr="005C556C">
        <w:rPr>
          <w:rFonts w:eastAsia="SimSun"/>
          <w:snapToGrid w:val="0"/>
          <w:lang w:val="fr-FR" w:eastAsia="ja-JP"/>
        </w:rPr>
        <w:t xml:space="preserve"> paragraphe</w:t>
      </w:r>
      <w:r w:rsidR="00824A4B" w:rsidRPr="005C556C">
        <w:rPr>
          <w:rFonts w:eastAsia="SimSun"/>
          <w:snapToGrid w:val="0"/>
          <w:lang w:val="fr-FR" w:eastAsia="ja-JP"/>
        </w:rPr>
        <w:t> </w:t>
      </w:r>
      <w:r w:rsidR="003D1844" w:rsidRPr="005C556C">
        <w:rPr>
          <w:rFonts w:eastAsia="SimSun"/>
          <w:snapToGrid w:val="0"/>
          <w:lang w:val="fr-FR" w:eastAsia="ja-JP"/>
        </w:rPr>
        <w:t>14 du document CAJ/71/5.</w:t>
      </w:r>
    </w:p>
    <w:p w:rsidR="0058402C" w:rsidRPr="005C556C" w:rsidRDefault="0058402C" w:rsidP="005C556C">
      <w:pPr>
        <w:rPr>
          <w:lang w:val="fr-FR"/>
        </w:rPr>
      </w:pPr>
    </w:p>
    <w:p w:rsidR="00817667" w:rsidRPr="005C556C" w:rsidRDefault="00E26276" w:rsidP="005C556C">
      <w:pPr>
        <w:rPr>
          <w:lang w:val="fr-FR"/>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3D1844" w:rsidRPr="005C556C">
        <w:rPr>
          <w:rFonts w:eastAsia="SimSun"/>
          <w:snapToGrid w:val="0"/>
          <w:lang w:val="fr-FR" w:eastAsia="ja-JP"/>
        </w:rPr>
        <w:t>Le CAJ prend note de la synthèse des contributions à la base de données PLUTO de</w:t>
      </w:r>
      <w:r w:rsidR="00824A4B" w:rsidRPr="005C556C">
        <w:rPr>
          <w:rFonts w:eastAsia="SimSun"/>
          <w:snapToGrid w:val="0"/>
          <w:lang w:val="fr-FR" w:eastAsia="ja-JP"/>
        </w:rPr>
        <w:t> </w:t>
      </w:r>
      <w:r w:rsidR="003D1844" w:rsidRPr="005C556C">
        <w:rPr>
          <w:rFonts w:eastAsia="SimSun"/>
          <w:snapToGrid w:val="0"/>
          <w:lang w:val="fr-FR" w:eastAsia="ja-JP"/>
        </w:rPr>
        <w:t>2012 à 2014 et de l</w:t>
      </w:r>
      <w:r w:rsidR="00817667" w:rsidRPr="005C556C">
        <w:rPr>
          <w:rFonts w:eastAsia="SimSun"/>
          <w:snapToGrid w:val="0"/>
          <w:lang w:val="fr-FR" w:eastAsia="ja-JP"/>
        </w:rPr>
        <w:t>’</w:t>
      </w:r>
      <w:r w:rsidR="003D1844" w:rsidRPr="005C556C">
        <w:rPr>
          <w:rFonts w:eastAsia="SimSun"/>
          <w:snapToGrid w:val="0"/>
          <w:lang w:val="fr-FR" w:eastAsia="ja-JP"/>
        </w:rPr>
        <w:t>état actuel des apports de données par les membres de l</w:t>
      </w:r>
      <w:r w:rsidR="00817667" w:rsidRPr="005C556C">
        <w:rPr>
          <w:rFonts w:eastAsia="SimSun"/>
          <w:snapToGrid w:val="0"/>
          <w:lang w:val="fr-FR" w:eastAsia="ja-JP"/>
        </w:rPr>
        <w:t>’</w:t>
      </w:r>
      <w:r w:rsidR="003D1844" w:rsidRPr="005C556C">
        <w:rPr>
          <w:rFonts w:eastAsia="SimSun"/>
          <w:snapToGrid w:val="0"/>
          <w:lang w:val="fr-FR" w:eastAsia="ja-JP"/>
        </w:rPr>
        <w:t xml:space="preserve">Union </w:t>
      </w:r>
      <w:r w:rsidR="00B73C94" w:rsidRPr="005C556C">
        <w:rPr>
          <w:rFonts w:eastAsia="SimSun"/>
          <w:snapToGrid w:val="0"/>
          <w:lang w:val="fr-FR" w:eastAsia="ja-JP"/>
        </w:rPr>
        <w:t>figurant</w:t>
      </w:r>
      <w:r w:rsidR="003D1844" w:rsidRPr="005C556C">
        <w:rPr>
          <w:rFonts w:eastAsia="SimSun"/>
          <w:snapToGrid w:val="0"/>
          <w:lang w:val="fr-FR" w:eastAsia="ja-JP"/>
        </w:rPr>
        <w:t xml:space="preserve"> à l</w:t>
      </w:r>
      <w:r w:rsidR="00817667" w:rsidRPr="005C556C">
        <w:rPr>
          <w:rFonts w:eastAsia="SimSun"/>
          <w:snapToGrid w:val="0"/>
          <w:lang w:val="fr-FR" w:eastAsia="ja-JP"/>
        </w:rPr>
        <w:t>’</w:t>
      </w:r>
      <w:r w:rsidR="003D1844" w:rsidRPr="005C556C">
        <w:rPr>
          <w:rFonts w:eastAsia="SimSun"/>
          <w:snapToGrid w:val="0"/>
          <w:lang w:val="fr-FR" w:eastAsia="ja-JP"/>
        </w:rPr>
        <w:t>annexe</w:t>
      </w:r>
      <w:r w:rsidR="00824A4B" w:rsidRPr="005C556C">
        <w:rPr>
          <w:rFonts w:eastAsia="SimSun"/>
          <w:snapToGrid w:val="0"/>
          <w:lang w:val="fr-FR" w:eastAsia="ja-JP"/>
        </w:rPr>
        <w:t> </w:t>
      </w:r>
      <w:r w:rsidR="003D1844" w:rsidRPr="005C556C">
        <w:rPr>
          <w:rFonts w:eastAsia="SimSun"/>
          <w:snapToGrid w:val="0"/>
          <w:lang w:val="fr-FR" w:eastAsia="ja-JP"/>
        </w:rPr>
        <w:t>II du document CAJ/71/5.</w:t>
      </w:r>
    </w:p>
    <w:p w:rsidR="0058402C" w:rsidRPr="005C556C" w:rsidRDefault="0058402C" w:rsidP="005C556C">
      <w:pPr>
        <w:rPr>
          <w:lang w:val="fr-FR"/>
        </w:rPr>
      </w:pPr>
    </w:p>
    <w:p w:rsidR="0058402C" w:rsidRPr="005C556C" w:rsidRDefault="00D86825"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8723E" w:rsidRPr="005C556C">
        <w:rPr>
          <w:lang w:val="fr-FR"/>
        </w:rPr>
        <w:t>Le CAJ note que le nombre de</w:t>
      </w:r>
      <w:r w:rsidR="00D06B11" w:rsidRPr="005C556C">
        <w:rPr>
          <w:lang w:val="fr-FR"/>
        </w:rPr>
        <w:t xml:space="preserve"> contributions à la base de données PLUTO </w:t>
      </w:r>
      <w:r w:rsidR="0078723E" w:rsidRPr="005C556C">
        <w:rPr>
          <w:lang w:val="fr-FR"/>
        </w:rPr>
        <w:t>indiqué</w:t>
      </w:r>
      <w:r w:rsidR="00D06B11" w:rsidRPr="005C556C">
        <w:rPr>
          <w:lang w:val="fr-FR"/>
        </w:rPr>
        <w:t xml:space="preserve"> à l</w:t>
      </w:r>
      <w:r w:rsidR="00817667" w:rsidRPr="005C556C">
        <w:rPr>
          <w:lang w:val="fr-FR"/>
        </w:rPr>
        <w:t>’</w:t>
      </w:r>
      <w:r w:rsidR="00D06B11" w:rsidRPr="005C556C">
        <w:rPr>
          <w:lang w:val="fr-FR"/>
        </w:rPr>
        <w:t>annexe</w:t>
      </w:r>
      <w:r w:rsidR="00824A4B" w:rsidRPr="005C556C">
        <w:rPr>
          <w:lang w:val="fr-FR"/>
        </w:rPr>
        <w:t> </w:t>
      </w:r>
      <w:r w:rsidR="00D06B11" w:rsidRPr="005C556C">
        <w:rPr>
          <w:lang w:val="fr-FR"/>
        </w:rPr>
        <w:t>II du document CAJ/71/5 ne prend pas en considéra</w:t>
      </w:r>
      <w:r w:rsidR="0078723E" w:rsidRPr="005C556C">
        <w:rPr>
          <w:lang w:val="fr-FR"/>
        </w:rPr>
        <w:t>tion</w:t>
      </w:r>
      <w:r w:rsidR="00D06B11" w:rsidRPr="005C556C">
        <w:rPr>
          <w:lang w:val="fr-FR"/>
        </w:rPr>
        <w:t xml:space="preserve"> l</w:t>
      </w:r>
      <w:r w:rsidR="00817667" w:rsidRPr="005C556C">
        <w:rPr>
          <w:lang w:val="fr-FR"/>
        </w:rPr>
        <w:t>’</w:t>
      </w:r>
      <w:r w:rsidR="00D06B11" w:rsidRPr="005C556C">
        <w:rPr>
          <w:lang w:val="fr-FR"/>
        </w:rPr>
        <w:t>ensemble des données fournies par l</w:t>
      </w:r>
      <w:r w:rsidR="00817667" w:rsidRPr="005C556C">
        <w:rPr>
          <w:lang w:val="fr-FR"/>
        </w:rPr>
        <w:t>’</w:t>
      </w:r>
      <w:r w:rsidR="00D06B11" w:rsidRPr="005C556C">
        <w:rPr>
          <w:lang w:val="fr-FR"/>
        </w:rPr>
        <w:t xml:space="preserve">OCVV durant la période de mise en </w:t>
      </w:r>
      <w:r w:rsidR="000E3E11" w:rsidRPr="005C556C">
        <w:rPr>
          <w:lang w:val="fr-FR"/>
        </w:rPr>
        <w:t xml:space="preserve">œuvre </w:t>
      </w:r>
      <w:r w:rsidR="00D06B11" w:rsidRPr="005C556C">
        <w:rPr>
          <w:lang w:val="fr-FR"/>
        </w:rPr>
        <w:t>des dispositions transitoires pour le téléchargement de données</w:t>
      </w:r>
      <w:r w:rsidR="00B73C94" w:rsidRPr="005C556C">
        <w:rPr>
          <w:lang w:val="fr-FR"/>
        </w:rPr>
        <w:t xml:space="preserve"> en ligne</w:t>
      </w:r>
      <w:r w:rsidR="0078723E" w:rsidRPr="005C556C">
        <w:rPr>
          <w:lang w:val="fr-FR"/>
        </w:rPr>
        <w:t>,</w:t>
      </w:r>
      <w:r w:rsidR="00D06B11" w:rsidRPr="005C556C">
        <w:rPr>
          <w:lang w:val="fr-FR"/>
        </w:rPr>
        <w:t xml:space="preserve"> et que le Bureau four</w:t>
      </w:r>
      <w:r w:rsidR="0078723E" w:rsidRPr="005C556C">
        <w:rPr>
          <w:lang w:val="fr-FR"/>
        </w:rPr>
        <w:t>nira une version corrigée de l</w:t>
      </w:r>
      <w:r w:rsidR="00817667" w:rsidRPr="005C556C">
        <w:rPr>
          <w:lang w:val="fr-FR"/>
        </w:rPr>
        <w:t>’</w:t>
      </w:r>
      <w:r w:rsidR="0078723E" w:rsidRPr="005C556C">
        <w:rPr>
          <w:lang w:val="fr-FR"/>
        </w:rPr>
        <w:t>a</w:t>
      </w:r>
      <w:r w:rsidR="00D06B11" w:rsidRPr="005C556C">
        <w:rPr>
          <w:lang w:val="fr-FR"/>
        </w:rPr>
        <w:t>nnexe</w:t>
      </w:r>
      <w:r w:rsidR="00824A4B" w:rsidRPr="005C556C">
        <w:rPr>
          <w:lang w:val="fr-FR"/>
        </w:rPr>
        <w:t> </w:t>
      </w:r>
      <w:r w:rsidR="00D06B11" w:rsidRPr="005C556C">
        <w:rPr>
          <w:lang w:val="fr-FR"/>
        </w:rPr>
        <w:t>II.</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D06B11" w:rsidRPr="005C556C">
        <w:rPr>
          <w:rFonts w:eastAsia="SimSun"/>
          <w:snapToGrid w:val="0"/>
          <w:lang w:val="fr-FR" w:eastAsia="ja-JP"/>
        </w:rPr>
        <w:t>Le CAJ note qu</w:t>
      </w:r>
      <w:r w:rsidR="00817667" w:rsidRPr="005C556C">
        <w:rPr>
          <w:rFonts w:eastAsia="SimSun"/>
          <w:snapToGrid w:val="0"/>
          <w:lang w:val="fr-FR" w:eastAsia="ja-JP"/>
        </w:rPr>
        <w:t>’</w:t>
      </w:r>
      <w:r w:rsidR="00D06B11" w:rsidRPr="005C556C">
        <w:rPr>
          <w:rFonts w:eastAsia="SimSun"/>
          <w:snapToGrid w:val="0"/>
          <w:lang w:val="fr-FR" w:eastAsia="ja-JP"/>
        </w:rPr>
        <w:t>une colonne additionnelle sera introduite dans l</w:t>
      </w:r>
      <w:r w:rsidR="00817667" w:rsidRPr="005C556C">
        <w:rPr>
          <w:rFonts w:eastAsia="SimSun"/>
          <w:snapToGrid w:val="0"/>
          <w:lang w:val="fr-FR" w:eastAsia="ja-JP"/>
        </w:rPr>
        <w:t>’</w:t>
      </w:r>
      <w:r w:rsidR="00D06B11" w:rsidRPr="005C556C">
        <w:rPr>
          <w:rFonts w:eastAsia="SimSun"/>
          <w:snapToGrid w:val="0"/>
          <w:lang w:val="fr-FR" w:eastAsia="ja-JP"/>
        </w:rPr>
        <w:t xml:space="preserve">écran de recherche PLUTO </w:t>
      </w:r>
      <w:r w:rsidR="0078723E" w:rsidRPr="005C556C">
        <w:rPr>
          <w:rFonts w:eastAsia="SimSun"/>
          <w:snapToGrid w:val="0"/>
          <w:lang w:val="fr-FR" w:eastAsia="ja-JP"/>
        </w:rPr>
        <w:t xml:space="preserve">avant la fin du mois de </w:t>
      </w:r>
      <w:r w:rsidR="00817667" w:rsidRPr="005C556C">
        <w:rPr>
          <w:rFonts w:eastAsia="SimSun"/>
          <w:snapToGrid w:val="0"/>
          <w:lang w:val="fr-FR" w:eastAsia="ja-JP"/>
        </w:rPr>
        <w:t>mars 20</w:t>
      </w:r>
      <w:r w:rsidR="0078723E" w:rsidRPr="005C556C">
        <w:rPr>
          <w:rFonts w:eastAsia="SimSun"/>
          <w:snapToGrid w:val="0"/>
          <w:lang w:val="fr-FR" w:eastAsia="ja-JP"/>
        </w:rPr>
        <w:t xml:space="preserve">15 </w:t>
      </w:r>
      <w:r w:rsidR="00D06B11" w:rsidRPr="005C556C">
        <w:rPr>
          <w:rFonts w:eastAsia="SimSun"/>
          <w:snapToGrid w:val="0"/>
          <w:lang w:val="fr-FR" w:eastAsia="ja-JP"/>
        </w:rPr>
        <w:t>pour indiquer la date à laquelle l</w:t>
      </w:r>
      <w:r w:rsidR="00817667" w:rsidRPr="005C556C">
        <w:rPr>
          <w:rFonts w:eastAsia="SimSun"/>
          <w:snapToGrid w:val="0"/>
          <w:lang w:val="fr-FR" w:eastAsia="ja-JP"/>
        </w:rPr>
        <w:t>’</w:t>
      </w:r>
      <w:r w:rsidR="00D06B11" w:rsidRPr="005C556C">
        <w:rPr>
          <w:rFonts w:eastAsia="SimSun"/>
          <w:snapToGrid w:val="0"/>
          <w:lang w:val="fr-FR" w:eastAsia="ja-JP"/>
        </w:rPr>
        <w:t>information a été fournie.</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00D06B11"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1B183F" w:rsidRPr="005C556C">
        <w:rPr>
          <w:rFonts w:eastAsia="SimSun"/>
          <w:snapToGrid w:val="0"/>
          <w:lang w:val="fr-FR" w:eastAsia="ja-JP"/>
        </w:rPr>
        <w:t xml:space="preserve">Le CAJ </w:t>
      </w:r>
      <w:r w:rsidR="000E3E11" w:rsidRPr="005C556C">
        <w:rPr>
          <w:rFonts w:eastAsia="SimSun"/>
          <w:snapToGrid w:val="0"/>
          <w:lang w:val="fr-FR" w:eastAsia="ja-JP"/>
        </w:rPr>
        <w:t>accepte</w:t>
      </w:r>
      <w:r w:rsidR="001B183F" w:rsidRPr="005C556C">
        <w:rPr>
          <w:rFonts w:eastAsia="SimSun"/>
          <w:snapToGrid w:val="0"/>
          <w:lang w:val="fr-FR" w:eastAsia="ja-JP"/>
        </w:rPr>
        <w:t xml:space="preserve"> que les champs “Dénomination” et “Référence de l</w:t>
      </w:r>
      <w:r w:rsidR="00817667" w:rsidRPr="005C556C">
        <w:rPr>
          <w:rFonts w:eastAsia="SimSun"/>
          <w:snapToGrid w:val="0"/>
          <w:lang w:val="fr-FR" w:eastAsia="ja-JP"/>
        </w:rPr>
        <w:t>’</w:t>
      </w:r>
      <w:r w:rsidR="001B183F" w:rsidRPr="005C556C">
        <w:rPr>
          <w:rFonts w:eastAsia="SimSun"/>
          <w:snapToGrid w:val="0"/>
          <w:lang w:val="fr-FR" w:eastAsia="ja-JP"/>
        </w:rPr>
        <w:t xml:space="preserve">obtenteur” </w:t>
      </w:r>
      <w:r w:rsidR="000E3E11" w:rsidRPr="005C556C">
        <w:rPr>
          <w:rFonts w:eastAsia="SimSun"/>
          <w:snapToGrid w:val="0"/>
          <w:lang w:val="fr-FR" w:eastAsia="ja-JP"/>
        </w:rPr>
        <w:t>puissent</w:t>
      </w:r>
      <w:r w:rsidR="001B183F" w:rsidRPr="005C556C">
        <w:rPr>
          <w:rFonts w:eastAsia="SimSun"/>
          <w:snapToGrid w:val="0"/>
          <w:lang w:val="fr-FR" w:eastAsia="ja-JP"/>
        </w:rPr>
        <w:t xml:space="preserve"> être consultés, de manière individuelle ou combinée, au moyen des outils de recherche de dénomination sur la page “Recherche de dénomination” de la base de données PLUTO, comme indiqué aux paragraphes</w:t>
      </w:r>
      <w:r w:rsidR="00824A4B" w:rsidRPr="005C556C">
        <w:rPr>
          <w:rFonts w:eastAsia="SimSun"/>
          <w:snapToGrid w:val="0"/>
          <w:lang w:val="fr-FR" w:eastAsia="ja-JP"/>
        </w:rPr>
        <w:t> </w:t>
      </w:r>
      <w:r w:rsidR="001B183F" w:rsidRPr="005C556C">
        <w:rPr>
          <w:rFonts w:eastAsia="SimSun"/>
          <w:snapToGrid w:val="0"/>
          <w:lang w:val="fr-FR" w:eastAsia="ja-JP"/>
        </w:rPr>
        <w:t>25 et 26 du document CAJ/71/5.</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1B183F" w:rsidRPr="005C556C">
        <w:rPr>
          <w:rFonts w:eastAsia="SimSun"/>
          <w:snapToGrid w:val="0"/>
          <w:lang w:val="fr-FR" w:eastAsia="ja-JP"/>
        </w:rPr>
        <w:t>Le CAJ prend note des informations concernant le cours de formation sur les apports de données à la base de données PLUTO qui s</w:t>
      </w:r>
      <w:r w:rsidR="00817667" w:rsidRPr="005C556C">
        <w:rPr>
          <w:rFonts w:eastAsia="SimSun"/>
          <w:snapToGrid w:val="0"/>
          <w:lang w:val="fr-FR" w:eastAsia="ja-JP"/>
        </w:rPr>
        <w:t>’</w:t>
      </w:r>
      <w:r w:rsidR="001B183F" w:rsidRPr="005C556C">
        <w:rPr>
          <w:rFonts w:eastAsia="SimSun"/>
          <w:snapToGrid w:val="0"/>
          <w:lang w:val="fr-FR" w:eastAsia="ja-JP"/>
        </w:rPr>
        <w:t xml:space="preserve">est tenu à Genève en </w:t>
      </w:r>
      <w:r w:rsidR="00817667" w:rsidRPr="005C556C">
        <w:rPr>
          <w:rFonts w:eastAsia="SimSun"/>
          <w:snapToGrid w:val="0"/>
          <w:lang w:val="fr-FR" w:eastAsia="ja-JP"/>
        </w:rPr>
        <w:t>décembre 20</w:t>
      </w:r>
      <w:r w:rsidR="001B183F" w:rsidRPr="005C556C">
        <w:rPr>
          <w:rFonts w:eastAsia="SimSun"/>
          <w:snapToGrid w:val="0"/>
          <w:lang w:val="fr-FR" w:eastAsia="ja-JP"/>
        </w:rPr>
        <w:t>14, comme indiqué aux paragraphes</w:t>
      </w:r>
      <w:r w:rsidR="00824A4B" w:rsidRPr="005C556C">
        <w:rPr>
          <w:rFonts w:eastAsia="SimSun"/>
          <w:snapToGrid w:val="0"/>
          <w:lang w:val="fr-FR" w:eastAsia="ja-JP"/>
        </w:rPr>
        <w:t> </w:t>
      </w:r>
      <w:r w:rsidR="001B183F" w:rsidRPr="005C556C">
        <w:rPr>
          <w:rFonts w:eastAsia="SimSun"/>
          <w:snapToGrid w:val="0"/>
          <w:lang w:val="fr-FR" w:eastAsia="ja-JP"/>
        </w:rPr>
        <w:t>28 à 30 du document CAJ/71/5, ainsi que des projets d</w:t>
      </w:r>
      <w:r w:rsidR="00817667" w:rsidRPr="005C556C">
        <w:rPr>
          <w:rFonts w:eastAsia="SimSun"/>
          <w:snapToGrid w:val="0"/>
          <w:lang w:val="fr-FR" w:eastAsia="ja-JP"/>
        </w:rPr>
        <w:t>’</w:t>
      </w:r>
      <w:r w:rsidR="001B183F" w:rsidRPr="005C556C">
        <w:rPr>
          <w:rFonts w:eastAsia="SimSun"/>
          <w:snapToGrid w:val="0"/>
          <w:lang w:val="fr-FR" w:eastAsia="ja-JP"/>
        </w:rPr>
        <w:t>organisation de trois</w:t>
      </w:r>
      <w:r w:rsidR="00824A4B" w:rsidRPr="005C556C">
        <w:rPr>
          <w:rFonts w:eastAsia="SimSun"/>
          <w:snapToGrid w:val="0"/>
          <w:lang w:val="fr-FR" w:eastAsia="ja-JP"/>
        </w:rPr>
        <w:t> </w:t>
      </w:r>
      <w:r w:rsidR="001B183F" w:rsidRPr="005C556C">
        <w:rPr>
          <w:rFonts w:eastAsia="SimSun"/>
          <w:snapToGrid w:val="0"/>
          <w:lang w:val="fr-FR" w:eastAsia="ja-JP"/>
        </w:rPr>
        <w:t>autres cours, en anglais, français et espagnol, en</w:t>
      </w:r>
      <w:r w:rsidR="00824A4B" w:rsidRPr="005C556C">
        <w:rPr>
          <w:rFonts w:eastAsia="SimSun"/>
          <w:snapToGrid w:val="0"/>
          <w:lang w:val="fr-FR" w:eastAsia="ja-JP"/>
        </w:rPr>
        <w:t> </w:t>
      </w:r>
      <w:r w:rsidR="001B183F" w:rsidRPr="005C556C">
        <w:rPr>
          <w:rFonts w:eastAsia="SimSun"/>
          <w:snapToGrid w:val="0"/>
          <w:lang w:val="fr-FR" w:eastAsia="ja-JP"/>
        </w:rPr>
        <w:t>2015.</w:t>
      </w:r>
    </w:p>
    <w:p w:rsidR="0058402C" w:rsidRPr="005C556C" w:rsidRDefault="0058402C" w:rsidP="00893041">
      <w:pPr>
        <w:spacing w:line="360" w:lineRule="auto"/>
        <w:rPr>
          <w:rFonts w:eastAsia="SimSun"/>
          <w:snapToGrid w:val="0"/>
          <w:lang w:val="fr-FR" w:eastAsia="ja-JP"/>
        </w:rPr>
      </w:pPr>
    </w:p>
    <w:p w:rsidR="0058402C" w:rsidRPr="005C556C" w:rsidRDefault="001B183F" w:rsidP="005C556C">
      <w:pPr>
        <w:pStyle w:val="Heading3"/>
        <w:rPr>
          <w:snapToGrid w:val="0"/>
          <w:lang w:val="fr-FR"/>
        </w:rPr>
      </w:pPr>
      <w:r w:rsidRPr="005C556C">
        <w:rPr>
          <w:snapToGrid w:val="0"/>
          <w:lang w:val="fr-FR"/>
        </w:rPr>
        <w:t>c)</w:t>
      </w:r>
      <w:r w:rsidRPr="005C556C">
        <w:rPr>
          <w:snapToGrid w:val="0"/>
          <w:lang w:val="fr-FR"/>
        </w:rPr>
        <w:tab/>
        <w:t>Échange et utilisation de logiciels et d</w:t>
      </w:r>
      <w:r w:rsidR="00817667" w:rsidRPr="005C556C">
        <w:rPr>
          <w:snapToGrid w:val="0"/>
          <w:lang w:val="fr-FR"/>
        </w:rPr>
        <w:t>’</w:t>
      </w:r>
      <w:r w:rsidRPr="005C556C">
        <w:rPr>
          <w:snapToGrid w:val="0"/>
          <w:lang w:val="fr-FR"/>
        </w:rPr>
        <w:t>équipements</w:t>
      </w:r>
    </w:p>
    <w:p w:rsidR="0058402C" w:rsidRPr="005C556C" w:rsidRDefault="0058402C" w:rsidP="005C556C">
      <w:pPr>
        <w:keepLines/>
        <w:rPr>
          <w:rFonts w:eastAsia="SimSun"/>
          <w:snapToGrid w:val="0"/>
          <w:lang w:val="fr-FR" w:eastAsia="ja-JP"/>
        </w:rPr>
      </w:pPr>
    </w:p>
    <w:p w:rsidR="0058402C" w:rsidRPr="005C556C" w:rsidRDefault="00E26276"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1B22AA" w:rsidRPr="005C556C">
        <w:rPr>
          <w:lang w:val="fr-FR"/>
        </w:rPr>
        <w:t xml:space="preserve">Le CAJ examine les </w:t>
      </w:r>
      <w:r w:rsidR="00817667" w:rsidRPr="005C556C">
        <w:rPr>
          <w:lang w:val="fr-FR"/>
        </w:rPr>
        <w:t>documents CA</w:t>
      </w:r>
      <w:r w:rsidR="001B22AA" w:rsidRPr="005C556C">
        <w:rPr>
          <w:lang w:val="fr-FR"/>
        </w:rPr>
        <w:t>J/71/6 et CAJ/71/9.</w:t>
      </w:r>
    </w:p>
    <w:p w:rsidR="0058402C" w:rsidRPr="005C556C" w:rsidRDefault="0058402C" w:rsidP="005C556C">
      <w:pPr>
        <w:rPr>
          <w:lang w:val="fr-FR"/>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1B183F" w:rsidRPr="005C556C">
        <w:rPr>
          <w:rFonts w:eastAsia="SimSun"/>
          <w:snapToGrid w:val="0"/>
          <w:lang w:val="fr-FR" w:eastAsia="ja-JP"/>
        </w:rPr>
        <w:t>Le CAJ note que le Conseil, à sa quarante</w:t>
      </w:r>
      <w:r w:rsidR="002C6DE0" w:rsidRPr="005C556C">
        <w:rPr>
          <w:rFonts w:eastAsia="SimSun"/>
          <w:snapToGrid w:val="0"/>
          <w:lang w:val="fr-FR" w:eastAsia="ja-JP"/>
        </w:rPr>
        <w:noBreakHyphen/>
      </w:r>
      <w:r w:rsidR="001B183F" w:rsidRPr="005C556C">
        <w:rPr>
          <w:rFonts w:eastAsia="SimSun"/>
          <w:snapToGrid w:val="0"/>
          <w:lang w:val="fr-FR" w:eastAsia="ja-JP"/>
        </w:rPr>
        <w:t>huitième</w:t>
      </w:r>
      <w:r w:rsidR="00824A4B" w:rsidRPr="005C556C">
        <w:rPr>
          <w:rFonts w:eastAsia="SimSun"/>
          <w:snapToGrid w:val="0"/>
          <w:lang w:val="fr-FR" w:eastAsia="ja-JP"/>
        </w:rPr>
        <w:t> </w:t>
      </w:r>
      <w:r w:rsidR="001B183F" w:rsidRPr="005C556C">
        <w:rPr>
          <w:rFonts w:eastAsia="SimSun"/>
          <w:snapToGrid w:val="0"/>
          <w:lang w:val="fr-FR" w:eastAsia="ja-JP"/>
        </w:rPr>
        <w:t>session ordinaire, a adopté la révision du document UPOV/INF/16 “Logiciels échangeables” (document UPOV/INF/16/4).</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AD0112" w:rsidRPr="005C556C">
        <w:rPr>
          <w:rFonts w:eastAsia="SimSun"/>
          <w:snapToGrid w:val="0"/>
          <w:lang w:val="fr-FR" w:eastAsia="ja-JP"/>
        </w:rPr>
        <w:t>Le CAJ note que les débats sur l</w:t>
      </w:r>
      <w:r w:rsidR="00817667" w:rsidRPr="005C556C">
        <w:rPr>
          <w:rFonts w:eastAsia="SimSun"/>
          <w:snapToGrid w:val="0"/>
          <w:lang w:val="fr-FR" w:eastAsia="ja-JP"/>
        </w:rPr>
        <w:t>’</w:t>
      </w:r>
      <w:r w:rsidR="00AD0112" w:rsidRPr="005C556C">
        <w:rPr>
          <w:rFonts w:eastAsia="SimSun"/>
          <w:snapToGrid w:val="0"/>
          <w:lang w:val="fr-FR" w:eastAsia="ja-JP"/>
        </w:rPr>
        <w:t xml:space="preserve">inclusion du logiciel SISNAVA </w:t>
      </w:r>
      <w:r w:rsidR="007C1561" w:rsidRPr="005C556C">
        <w:rPr>
          <w:rFonts w:eastAsia="SimSun"/>
          <w:snapToGrid w:val="0"/>
          <w:lang w:val="fr-FR" w:eastAsia="ja-JP"/>
        </w:rPr>
        <w:t xml:space="preserve">dans le document UPOV/INF/16 </w:t>
      </w:r>
      <w:r w:rsidR="00AD0112" w:rsidRPr="005C556C">
        <w:rPr>
          <w:rFonts w:eastAsia="SimSun"/>
          <w:snapToGrid w:val="0"/>
          <w:lang w:val="fr-FR" w:eastAsia="ja-JP"/>
        </w:rPr>
        <w:t>se poursuivront au sein du Groupe de travail technique sur l</w:t>
      </w:r>
      <w:r w:rsidR="00817667" w:rsidRPr="005C556C">
        <w:rPr>
          <w:rFonts w:eastAsia="SimSun"/>
          <w:snapToGrid w:val="0"/>
          <w:lang w:val="fr-FR" w:eastAsia="ja-JP"/>
        </w:rPr>
        <w:t>’</w:t>
      </w:r>
      <w:r w:rsidR="00AD0112" w:rsidRPr="005C556C">
        <w:rPr>
          <w:rFonts w:eastAsia="SimSun"/>
          <w:snapToGrid w:val="0"/>
          <w:lang w:val="fr-FR" w:eastAsia="ja-JP"/>
        </w:rPr>
        <w:t>automatisation et les programmes d</w:t>
      </w:r>
      <w:r w:rsidR="00817667" w:rsidRPr="005C556C">
        <w:rPr>
          <w:rFonts w:eastAsia="SimSun"/>
          <w:snapToGrid w:val="0"/>
          <w:lang w:val="fr-FR" w:eastAsia="ja-JP"/>
        </w:rPr>
        <w:t>’</w:t>
      </w:r>
      <w:r w:rsidR="00AD0112" w:rsidRPr="005C556C">
        <w:rPr>
          <w:rFonts w:eastAsia="SimSun"/>
          <w:snapToGrid w:val="0"/>
          <w:lang w:val="fr-FR" w:eastAsia="ja-JP"/>
        </w:rPr>
        <w:t xml:space="preserve">ordinateur </w:t>
      </w:r>
      <w:r w:rsidR="00AD0112" w:rsidRPr="005C556C">
        <w:rPr>
          <w:rFonts w:eastAsia="SimSun"/>
          <w:snapToGrid w:val="0"/>
          <w:lang w:val="fr-FR" w:eastAsia="ja-JP"/>
        </w:rPr>
        <w:lastRenderedPageBreak/>
        <w:t>(TWC), sous réserve de la conclusion des débats sur la variation des descriptions variétales au fil des ans en différents endroits.</w:t>
      </w:r>
    </w:p>
    <w:p w:rsidR="0058402C" w:rsidRPr="005C556C" w:rsidRDefault="0058402C" w:rsidP="005C556C">
      <w:pPr>
        <w:rPr>
          <w:rFonts w:eastAsia="SimSun"/>
          <w:snapToGrid w:val="0"/>
          <w:lang w:val="fr-FR" w:eastAsia="ja-JP"/>
        </w:rPr>
      </w:pPr>
    </w:p>
    <w:p w:rsidR="00817667"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007B5877" w:rsidRPr="005C556C">
        <w:rPr>
          <w:rFonts w:eastAsia="SimSun"/>
          <w:snapToGrid w:val="0"/>
          <w:lang w:val="fr-FR" w:eastAsia="ja-JP"/>
        </w:rPr>
        <w:tab/>
      </w:r>
      <w:r w:rsidR="00AD0112" w:rsidRPr="005C556C">
        <w:rPr>
          <w:rFonts w:eastAsia="SimSun"/>
          <w:snapToGrid w:val="0"/>
          <w:lang w:val="fr-FR" w:eastAsia="ja-JP"/>
        </w:rPr>
        <w:t>Le CAJ approuve la révision proposée du document UPOV/INF/16/4 concernant l</w:t>
      </w:r>
      <w:r w:rsidR="00817667" w:rsidRPr="005C556C">
        <w:rPr>
          <w:rFonts w:eastAsia="SimSun"/>
          <w:snapToGrid w:val="0"/>
          <w:lang w:val="fr-FR" w:eastAsia="ja-JP"/>
        </w:rPr>
        <w:t>’</w:t>
      </w:r>
      <w:r w:rsidR="00AD0112" w:rsidRPr="005C556C">
        <w:rPr>
          <w:rFonts w:eastAsia="SimSun"/>
          <w:snapToGrid w:val="0"/>
          <w:lang w:val="fr-FR" w:eastAsia="ja-JP"/>
        </w:rPr>
        <w:t>inclusion d</w:t>
      </w:r>
      <w:r w:rsidR="00817667" w:rsidRPr="005C556C">
        <w:rPr>
          <w:rFonts w:eastAsia="SimSun"/>
          <w:snapToGrid w:val="0"/>
          <w:lang w:val="fr-FR" w:eastAsia="ja-JP"/>
        </w:rPr>
        <w:t>’</w:t>
      </w:r>
      <w:r w:rsidR="00AD0112" w:rsidRPr="005C556C">
        <w:rPr>
          <w:rFonts w:eastAsia="SimSun"/>
          <w:snapToGrid w:val="0"/>
          <w:lang w:val="fr-FR" w:eastAsia="ja-JP"/>
        </w:rPr>
        <w:t>informations sur l</w:t>
      </w:r>
      <w:r w:rsidR="00817667" w:rsidRPr="005C556C">
        <w:rPr>
          <w:rFonts w:eastAsia="SimSun"/>
          <w:snapToGrid w:val="0"/>
          <w:lang w:val="fr-FR" w:eastAsia="ja-JP"/>
        </w:rPr>
        <w:t>’</w:t>
      </w:r>
      <w:r w:rsidR="00AD0112" w:rsidRPr="005C556C">
        <w:rPr>
          <w:rFonts w:eastAsia="SimSun"/>
          <w:snapToGrid w:val="0"/>
          <w:lang w:val="fr-FR" w:eastAsia="ja-JP"/>
        </w:rPr>
        <w:t>utilisation de logiciels par les membres de l</w:t>
      </w:r>
      <w:r w:rsidR="00817667" w:rsidRPr="005C556C">
        <w:rPr>
          <w:rFonts w:eastAsia="SimSun"/>
          <w:snapToGrid w:val="0"/>
          <w:lang w:val="fr-FR" w:eastAsia="ja-JP"/>
        </w:rPr>
        <w:t>’</w:t>
      </w:r>
      <w:r w:rsidR="00AD0112" w:rsidRPr="005C556C">
        <w:rPr>
          <w:rFonts w:eastAsia="SimSun"/>
          <w:snapToGrid w:val="0"/>
          <w:lang w:val="fr-FR" w:eastAsia="ja-JP"/>
        </w:rPr>
        <w:t xml:space="preserve">Union, comme indiqué </w:t>
      </w:r>
      <w:r w:rsidR="0078723E" w:rsidRPr="005C556C">
        <w:rPr>
          <w:rFonts w:eastAsia="SimSun"/>
          <w:snapToGrid w:val="0"/>
          <w:lang w:val="fr-FR" w:eastAsia="ja-JP"/>
        </w:rPr>
        <w:t>à</w:t>
      </w:r>
      <w:r w:rsidR="00AD0112" w:rsidRPr="005C556C">
        <w:rPr>
          <w:rFonts w:eastAsia="SimSun"/>
          <w:snapToGrid w:val="0"/>
          <w:lang w:val="fr-FR" w:eastAsia="ja-JP"/>
        </w:rPr>
        <w:t xml:space="preserve"> l</w:t>
      </w:r>
      <w:r w:rsidR="00817667" w:rsidRPr="005C556C">
        <w:rPr>
          <w:rFonts w:eastAsia="SimSun"/>
          <w:snapToGrid w:val="0"/>
          <w:lang w:val="fr-FR" w:eastAsia="ja-JP"/>
        </w:rPr>
        <w:t>’</w:t>
      </w:r>
      <w:r w:rsidR="00AD0112" w:rsidRPr="005C556C">
        <w:rPr>
          <w:rFonts w:eastAsia="SimSun"/>
          <w:snapToGrid w:val="0"/>
          <w:lang w:val="fr-FR" w:eastAsia="ja-JP"/>
        </w:rPr>
        <w:t>annexe</w:t>
      </w:r>
      <w:r w:rsidR="00824A4B" w:rsidRPr="005C556C">
        <w:rPr>
          <w:rFonts w:eastAsia="SimSun"/>
          <w:snapToGrid w:val="0"/>
          <w:lang w:val="fr-FR" w:eastAsia="ja-JP"/>
        </w:rPr>
        <w:t> </w:t>
      </w:r>
      <w:r w:rsidR="00AD0112" w:rsidRPr="005C556C">
        <w:rPr>
          <w:rFonts w:eastAsia="SimSun"/>
          <w:snapToGrid w:val="0"/>
          <w:lang w:val="fr-FR" w:eastAsia="ja-JP"/>
        </w:rPr>
        <w:t>I du document CAJ/71/6.</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AD0112" w:rsidRPr="005C556C">
        <w:rPr>
          <w:rFonts w:eastAsia="SimSun"/>
          <w:snapToGrid w:val="0"/>
          <w:lang w:val="fr-FR" w:eastAsia="ja-JP"/>
        </w:rPr>
        <w:t>Le CAJ accepte qu</w:t>
      </w:r>
      <w:r w:rsidR="00817667" w:rsidRPr="005C556C">
        <w:rPr>
          <w:rFonts w:eastAsia="SimSun"/>
          <w:snapToGrid w:val="0"/>
          <w:lang w:val="fr-FR" w:eastAsia="ja-JP"/>
        </w:rPr>
        <w:t>’</w:t>
      </w:r>
      <w:r w:rsidR="007C1561" w:rsidRPr="005C556C">
        <w:rPr>
          <w:rFonts w:eastAsia="SimSun"/>
          <w:snapToGrid w:val="0"/>
          <w:lang w:val="fr-FR" w:eastAsia="ja-JP"/>
        </w:rPr>
        <w:t xml:space="preserve">un projet du </w:t>
      </w:r>
      <w:r w:rsidR="00AD0112" w:rsidRPr="005C556C">
        <w:rPr>
          <w:rFonts w:eastAsia="SimSun"/>
          <w:snapToGrid w:val="0"/>
          <w:lang w:val="fr-FR" w:eastAsia="ja-JP"/>
        </w:rPr>
        <w:t xml:space="preserve">document UPOV/INF/16 </w:t>
      </w:r>
      <w:r w:rsidR="00824A4B" w:rsidRPr="005C556C">
        <w:rPr>
          <w:rFonts w:eastAsia="SimSun"/>
          <w:snapToGrid w:val="0"/>
          <w:lang w:val="fr-FR" w:eastAsia="ja-JP"/>
        </w:rPr>
        <w:t>“</w:t>
      </w:r>
      <w:r w:rsidR="00AD0112" w:rsidRPr="005C556C">
        <w:rPr>
          <w:rFonts w:eastAsia="SimSun"/>
          <w:snapToGrid w:val="0"/>
          <w:lang w:val="fr-FR" w:eastAsia="ja-JP"/>
        </w:rPr>
        <w:t>Logiciels échangeables</w:t>
      </w:r>
      <w:r w:rsidR="00824A4B" w:rsidRPr="005C556C">
        <w:rPr>
          <w:rFonts w:eastAsia="SimSun"/>
          <w:snapToGrid w:val="0"/>
          <w:lang w:val="fr-FR" w:eastAsia="ja-JP"/>
        </w:rPr>
        <w:t>”</w:t>
      </w:r>
      <w:r w:rsidR="00AD0112" w:rsidRPr="005C556C">
        <w:rPr>
          <w:rFonts w:eastAsia="SimSun"/>
          <w:snapToGrid w:val="0"/>
          <w:lang w:val="fr-FR" w:eastAsia="ja-JP"/>
        </w:rPr>
        <w:t xml:space="preserve"> soit </w:t>
      </w:r>
      <w:r w:rsidR="007C1561" w:rsidRPr="005C556C">
        <w:rPr>
          <w:rFonts w:eastAsia="SimSun"/>
          <w:snapToGrid w:val="0"/>
          <w:lang w:val="fr-FR" w:eastAsia="ja-JP"/>
        </w:rPr>
        <w:t>soumis</w:t>
      </w:r>
      <w:r w:rsidR="00AD0112" w:rsidRPr="005C556C">
        <w:rPr>
          <w:rFonts w:eastAsia="SimSun"/>
          <w:snapToGrid w:val="0"/>
          <w:lang w:val="fr-FR" w:eastAsia="ja-JP"/>
        </w:rPr>
        <w:t xml:space="preserve"> </w:t>
      </w:r>
      <w:r w:rsidR="007C1561" w:rsidRPr="005C556C">
        <w:rPr>
          <w:rFonts w:eastAsia="SimSun"/>
          <w:snapToGrid w:val="0"/>
          <w:lang w:val="fr-FR" w:eastAsia="ja-JP"/>
        </w:rPr>
        <w:t xml:space="preserve">au </w:t>
      </w:r>
      <w:r w:rsidR="00AD0112" w:rsidRPr="005C556C">
        <w:rPr>
          <w:rFonts w:eastAsia="SimSun"/>
          <w:snapToGrid w:val="0"/>
          <w:lang w:val="fr-FR" w:eastAsia="ja-JP"/>
        </w:rPr>
        <w:t xml:space="preserve">Conseil </w:t>
      </w:r>
      <w:r w:rsidR="007C1561" w:rsidRPr="005C556C">
        <w:rPr>
          <w:rFonts w:eastAsia="SimSun"/>
          <w:snapToGrid w:val="0"/>
          <w:lang w:val="fr-FR" w:eastAsia="ja-JP"/>
        </w:rPr>
        <w:t xml:space="preserve">pour adoption </w:t>
      </w:r>
      <w:r w:rsidR="00AD0112" w:rsidRPr="005C556C">
        <w:rPr>
          <w:rFonts w:eastAsia="SimSun"/>
          <w:snapToGrid w:val="0"/>
          <w:lang w:val="fr-FR" w:eastAsia="ja-JP"/>
        </w:rPr>
        <w:t>à sa quarante</w:t>
      </w:r>
      <w:r w:rsidR="002C6DE0" w:rsidRPr="005C556C">
        <w:rPr>
          <w:rFonts w:eastAsia="SimSun"/>
          <w:snapToGrid w:val="0"/>
          <w:lang w:val="fr-FR" w:eastAsia="ja-JP"/>
        </w:rPr>
        <w:noBreakHyphen/>
      </w:r>
      <w:r w:rsidR="00AD0112" w:rsidRPr="005C556C">
        <w:rPr>
          <w:rFonts w:eastAsia="SimSun"/>
          <w:snapToGrid w:val="0"/>
          <w:lang w:val="fr-FR" w:eastAsia="ja-JP"/>
        </w:rPr>
        <w:t>neuvième</w:t>
      </w:r>
      <w:r w:rsidR="00824A4B" w:rsidRPr="005C556C">
        <w:rPr>
          <w:rFonts w:eastAsia="SimSun"/>
          <w:snapToGrid w:val="0"/>
          <w:lang w:val="fr-FR" w:eastAsia="ja-JP"/>
        </w:rPr>
        <w:t> </w:t>
      </w:r>
      <w:r w:rsidR="00AD0112" w:rsidRPr="005C556C">
        <w:rPr>
          <w:rFonts w:eastAsia="SimSun"/>
          <w:snapToGrid w:val="0"/>
          <w:lang w:val="fr-FR" w:eastAsia="ja-JP"/>
        </w:rPr>
        <w:t>session ordinaire, qui se tiendra le 2</w:t>
      </w:r>
      <w:r w:rsidR="00817667" w:rsidRPr="005C556C">
        <w:rPr>
          <w:rFonts w:eastAsia="SimSun"/>
          <w:snapToGrid w:val="0"/>
          <w:lang w:val="fr-FR" w:eastAsia="ja-JP"/>
        </w:rPr>
        <w:t>9 octobre 20</w:t>
      </w:r>
      <w:r w:rsidR="00AD0112" w:rsidRPr="005C556C">
        <w:rPr>
          <w:rFonts w:eastAsia="SimSun"/>
          <w:snapToGrid w:val="0"/>
          <w:lang w:val="fr-FR" w:eastAsia="ja-JP"/>
        </w:rPr>
        <w:t>15.</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AD0112" w:rsidRPr="005C556C">
        <w:rPr>
          <w:rFonts w:eastAsia="SimSun"/>
          <w:snapToGrid w:val="0"/>
          <w:lang w:val="fr-FR" w:eastAsia="ja-JP"/>
        </w:rPr>
        <w:t>Le CAJ note que le Conseil, à sa quar</w:t>
      </w:r>
      <w:r w:rsidR="007C1561" w:rsidRPr="005C556C">
        <w:rPr>
          <w:rFonts w:eastAsia="SimSun"/>
          <w:snapToGrid w:val="0"/>
          <w:lang w:val="fr-FR" w:eastAsia="ja-JP"/>
        </w:rPr>
        <w:t>ante</w:t>
      </w:r>
      <w:r w:rsidR="002C6DE0" w:rsidRPr="005C556C">
        <w:rPr>
          <w:rFonts w:eastAsia="SimSun"/>
          <w:snapToGrid w:val="0"/>
          <w:lang w:val="fr-FR" w:eastAsia="ja-JP"/>
        </w:rPr>
        <w:noBreakHyphen/>
      </w:r>
      <w:r w:rsidR="007C1561" w:rsidRPr="005C556C">
        <w:rPr>
          <w:rFonts w:eastAsia="SimSun"/>
          <w:snapToGrid w:val="0"/>
          <w:lang w:val="fr-FR" w:eastAsia="ja-JP"/>
        </w:rPr>
        <w:t>huitième</w:t>
      </w:r>
      <w:r w:rsidR="00824A4B" w:rsidRPr="005C556C">
        <w:rPr>
          <w:rFonts w:eastAsia="SimSun"/>
          <w:snapToGrid w:val="0"/>
          <w:lang w:val="fr-FR" w:eastAsia="ja-JP"/>
        </w:rPr>
        <w:t> </w:t>
      </w:r>
      <w:r w:rsidR="007C1561" w:rsidRPr="005C556C">
        <w:rPr>
          <w:rFonts w:eastAsia="SimSun"/>
          <w:snapToGrid w:val="0"/>
          <w:lang w:val="fr-FR" w:eastAsia="ja-JP"/>
        </w:rPr>
        <w:t>session ordinaire</w:t>
      </w:r>
      <w:r w:rsidR="00AD0112" w:rsidRPr="005C556C">
        <w:rPr>
          <w:rFonts w:eastAsia="SimSun"/>
          <w:snapToGrid w:val="0"/>
          <w:lang w:val="fr-FR" w:eastAsia="ja-JP"/>
        </w:rPr>
        <w:t xml:space="preserve"> tenue à Genève le 1</w:t>
      </w:r>
      <w:r w:rsidR="00817667" w:rsidRPr="005C556C">
        <w:rPr>
          <w:rFonts w:eastAsia="SimSun"/>
          <w:snapToGrid w:val="0"/>
          <w:lang w:val="fr-FR" w:eastAsia="ja-JP"/>
        </w:rPr>
        <w:t>6 octobre 20</w:t>
      </w:r>
      <w:r w:rsidR="00AD0112" w:rsidRPr="005C556C">
        <w:rPr>
          <w:rFonts w:eastAsia="SimSun"/>
          <w:snapToGrid w:val="0"/>
          <w:lang w:val="fr-FR" w:eastAsia="ja-JP"/>
        </w:rPr>
        <w:t>14, a adopté le document UPOV/INF/22/1 “Logiciels et équipements utilisés par les membres de l</w:t>
      </w:r>
      <w:r w:rsidR="00817667" w:rsidRPr="005C556C">
        <w:rPr>
          <w:rFonts w:eastAsia="SimSun"/>
          <w:snapToGrid w:val="0"/>
          <w:lang w:val="fr-FR" w:eastAsia="ja-JP"/>
        </w:rPr>
        <w:t>’</w:t>
      </w:r>
      <w:r w:rsidR="00AD0112" w:rsidRPr="005C556C">
        <w:rPr>
          <w:rFonts w:eastAsia="SimSun"/>
          <w:snapToGrid w:val="0"/>
          <w:lang w:val="fr-FR" w:eastAsia="ja-JP"/>
        </w:rPr>
        <w:t>Union”.</w:t>
      </w:r>
    </w:p>
    <w:p w:rsidR="0058402C" w:rsidRPr="005C556C" w:rsidRDefault="0058402C" w:rsidP="005C556C">
      <w:pPr>
        <w:rPr>
          <w:rFonts w:eastAsia="SimSun"/>
          <w:snapToGrid w:val="0"/>
          <w:lang w:val="fr-FR" w:eastAsia="ja-JP"/>
        </w:rPr>
      </w:pPr>
    </w:p>
    <w:p w:rsidR="0058402C" w:rsidRPr="005C556C" w:rsidRDefault="00D86825"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844748" w:rsidRPr="005C556C">
        <w:rPr>
          <w:lang w:val="fr-FR"/>
        </w:rPr>
        <w:t xml:space="preserve">Le CAJ </w:t>
      </w:r>
      <w:r w:rsidR="000E3E11" w:rsidRPr="005C556C">
        <w:rPr>
          <w:lang w:val="fr-FR"/>
        </w:rPr>
        <w:t>accepte que les informations fi</w:t>
      </w:r>
      <w:r w:rsidR="00844748" w:rsidRPr="005C556C">
        <w:rPr>
          <w:lang w:val="fr-FR"/>
        </w:rPr>
        <w:t>gurant à l</w:t>
      </w:r>
      <w:r w:rsidR="00817667" w:rsidRPr="005C556C">
        <w:rPr>
          <w:lang w:val="fr-FR"/>
        </w:rPr>
        <w:t>’</w:t>
      </w:r>
      <w:r w:rsidR="00844748" w:rsidRPr="005C556C">
        <w:rPr>
          <w:lang w:val="fr-FR"/>
        </w:rPr>
        <w:t>annexe</w:t>
      </w:r>
      <w:r w:rsidR="00824A4B" w:rsidRPr="005C556C">
        <w:rPr>
          <w:lang w:val="fr-FR"/>
        </w:rPr>
        <w:t> </w:t>
      </w:r>
      <w:r w:rsidR="00844748" w:rsidRPr="005C556C">
        <w:rPr>
          <w:lang w:val="fr-FR"/>
        </w:rPr>
        <w:t>II du document CAJ/71/6 soient incluses dans le document UPOV/INF/22, sous réserve des corrections qui seront indiquées par l</w:t>
      </w:r>
      <w:r w:rsidR="00817667" w:rsidRPr="005C556C">
        <w:rPr>
          <w:lang w:val="fr-FR"/>
        </w:rPr>
        <w:t>’</w:t>
      </w:r>
      <w:r w:rsidR="00844748" w:rsidRPr="005C556C">
        <w:rPr>
          <w:lang w:val="fr-FR"/>
        </w:rPr>
        <w:t>Allemagne et de la vérification des données par l</w:t>
      </w:r>
      <w:r w:rsidR="00817667" w:rsidRPr="005C556C">
        <w:rPr>
          <w:lang w:val="fr-FR"/>
        </w:rPr>
        <w:t>’</w:t>
      </w:r>
      <w:r w:rsidR="00844748" w:rsidRPr="005C556C">
        <w:rPr>
          <w:lang w:val="fr-FR"/>
        </w:rPr>
        <w:t>Uruguay.</w:t>
      </w:r>
    </w:p>
    <w:p w:rsidR="0058402C" w:rsidRPr="005C556C" w:rsidRDefault="0058402C" w:rsidP="005C556C">
      <w:pPr>
        <w:rPr>
          <w:rFonts w:eastAsia="SimSun"/>
          <w:snapToGrid w:val="0"/>
          <w:lang w:val="fr-FR" w:eastAsia="ja-JP"/>
        </w:rPr>
      </w:pPr>
    </w:p>
    <w:p w:rsidR="0058402C" w:rsidRPr="005C556C" w:rsidRDefault="00E26276" w:rsidP="005C556C">
      <w:pPr>
        <w:rPr>
          <w:rFonts w:eastAsia="SimSun"/>
          <w:snapToGrid w:val="0"/>
          <w:lang w:val="fr-FR" w:eastAsia="ja-JP"/>
        </w:rPr>
      </w:pPr>
      <w:r w:rsidRPr="005C556C">
        <w:rPr>
          <w:rFonts w:eastAsia="SimSun"/>
          <w:snapToGrid w:val="0"/>
          <w:lang w:val="fr-FR" w:eastAsia="ja-JP"/>
        </w:rPr>
        <w:fldChar w:fldCharType="begin"/>
      </w:r>
      <w:r w:rsidRPr="005C556C">
        <w:rPr>
          <w:rFonts w:eastAsia="SimSun"/>
          <w:snapToGrid w:val="0"/>
          <w:lang w:val="fr-FR" w:eastAsia="ja-JP"/>
        </w:rPr>
        <w:instrText xml:space="preserve"> AUTONUM  </w:instrText>
      </w:r>
      <w:r w:rsidRPr="005C556C">
        <w:rPr>
          <w:rFonts w:eastAsia="SimSun"/>
          <w:snapToGrid w:val="0"/>
          <w:lang w:val="fr-FR" w:eastAsia="ja-JP"/>
        </w:rPr>
        <w:fldChar w:fldCharType="end"/>
      </w:r>
      <w:r w:rsidRPr="005C556C">
        <w:rPr>
          <w:rFonts w:eastAsia="SimSun"/>
          <w:snapToGrid w:val="0"/>
          <w:lang w:val="fr-FR" w:eastAsia="ja-JP"/>
        </w:rPr>
        <w:tab/>
      </w:r>
      <w:r w:rsidR="00844748" w:rsidRPr="005C556C">
        <w:rPr>
          <w:rFonts w:eastAsia="SimSun"/>
          <w:snapToGrid w:val="0"/>
          <w:lang w:val="fr-FR" w:eastAsia="ja-JP"/>
        </w:rPr>
        <w:t>Compte tenu de ce qui précède,</w:t>
      </w:r>
      <w:r w:rsidR="00817667" w:rsidRPr="005C556C">
        <w:rPr>
          <w:rFonts w:eastAsia="SimSun"/>
          <w:snapToGrid w:val="0"/>
          <w:lang w:val="fr-FR" w:eastAsia="ja-JP"/>
        </w:rPr>
        <w:t xml:space="preserve"> le CAJ</w:t>
      </w:r>
      <w:r w:rsidR="00844748" w:rsidRPr="005C556C">
        <w:rPr>
          <w:rFonts w:eastAsia="SimSun"/>
          <w:snapToGrid w:val="0"/>
          <w:lang w:val="fr-FR" w:eastAsia="ja-JP"/>
        </w:rPr>
        <w:t xml:space="preserve"> convient qu</w:t>
      </w:r>
      <w:r w:rsidR="00817667" w:rsidRPr="005C556C">
        <w:rPr>
          <w:rFonts w:eastAsia="SimSun"/>
          <w:snapToGrid w:val="0"/>
          <w:lang w:val="fr-FR" w:eastAsia="ja-JP"/>
        </w:rPr>
        <w:t>’</w:t>
      </w:r>
      <w:r w:rsidR="00844748" w:rsidRPr="005C556C">
        <w:rPr>
          <w:rFonts w:eastAsia="SimSun"/>
          <w:snapToGrid w:val="0"/>
          <w:lang w:val="fr-FR" w:eastAsia="ja-JP"/>
        </w:rPr>
        <w:t xml:space="preserve">un projet du document UPOV/INF/22 </w:t>
      </w:r>
      <w:r w:rsidR="00824A4B" w:rsidRPr="005C556C">
        <w:rPr>
          <w:rFonts w:eastAsia="SimSun"/>
          <w:snapToGrid w:val="0"/>
          <w:lang w:val="fr-FR" w:eastAsia="ja-JP"/>
        </w:rPr>
        <w:t>“</w:t>
      </w:r>
      <w:r w:rsidR="00844748" w:rsidRPr="005C556C">
        <w:rPr>
          <w:rFonts w:eastAsia="SimSun"/>
          <w:snapToGrid w:val="0"/>
          <w:lang w:val="fr-FR" w:eastAsia="ja-JP"/>
        </w:rPr>
        <w:t>Logiciels et équipements utilisés par les membres de l</w:t>
      </w:r>
      <w:r w:rsidR="00817667" w:rsidRPr="005C556C">
        <w:rPr>
          <w:rFonts w:eastAsia="SimSun"/>
          <w:snapToGrid w:val="0"/>
          <w:lang w:val="fr-FR" w:eastAsia="ja-JP"/>
        </w:rPr>
        <w:t>’</w:t>
      </w:r>
      <w:r w:rsidR="00844748" w:rsidRPr="005C556C">
        <w:rPr>
          <w:rFonts w:eastAsia="SimSun"/>
          <w:snapToGrid w:val="0"/>
          <w:lang w:val="fr-FR" w:eastAsia="ja-JP"/>
        </w:rPr>
        <w:t xml:space="preserve">Union” soit </w:t>
      </w:r>
      <w:r w:rsidR="007C1561" w:rsidRPr="005C556C">
        <w:rPr>
          <w:rFonts w:eastAsia="SimSun"/>
          <w:snapToGrid w:val="0"/>
          <w:lang w:val="fr-FR" w:eastAsia="ja-JP"/>
        </w:rPr>
        <w:t>soumis au Conseil pour adoption</w:t>
      </w:r>
      <w:r w:rsidR="00844748" w:rsidRPr="005C556C">
        <w:rPr>
          <w:rFonts w:eastAsia="SimSun"/>
          <w:snapToGrid w:val="0"/>
          <w:lang w:val="fr-FR" w:eastAsia="ja-JP"/>
        </w:rPr>
        <w:t xml:space="preserve"> à sa quarante</w:t>
      </w:r>
      <w:r w:rsidR="002C6DE0" w:rsidRPr="005C556C">
        <w:rPr>
          <w:rFonts w:eastAsia="SimSun"/>
          <w:snapToGrid w:val="0"/>
          <w:lang w:val="fr-FR" w:eastAsia="ja-JP"/>
        </w:rPr>
        <w:noBreakHyphen/>
      </w:r>
      <w:r w:rsidR="00844748" w:rsidRPr="005C556C">
        <w:rPr>
          <w:rFonts w:eastAsia="SimSun"/>
          <w:snapToGrid w:val="0"/>
          <w:lang w:val="fr-FR" w:eastAsia="ja-JP"/>
        </w:rPr>
        <w:t>neuvième</w:t>
      </w:r>
      <w:r w:rsidR="00824A4B" w:rsidRPr="005C556C">
        <w:rPr>
          <w:rFonts w:eastAsia="SimSun"/>
          <w:snapToGrid w:val="0"/>
          <w:lang w:val="fr-FR" w:eastAsia="ja-JP"/>
        </w:rPr>
        <w:t> </w:t>
      </w:r>
      <w:r w:rsidR="00844748" w:rsidRPr="005C556C">
        <w:rPr>
          <w:rFonts w:eastAsia="SimSun"/>
          <w:snapToGrid w:val="0"/>
          <w:lang w:val="fr-FR" w:eastAsia="ja-JP"/>
        </w:rPr>
        <w:t>session ordinaire, qui se tiendra le 2</w:t>
      </w:r>
      <w:r w:rsidR="00817667" w:rsidRPr="005C556C">
        <w:rPr>
          <w:rFonts w:eastAsia="SimSun"/>
          <w:snapToGrid w:val="0"/>
          <w:lang w:val="fr-FR" w:eastAsia="ja-JP"/>
        </w:rPr>
        <w:t>9 octobre 20</w:t>
      </w:r>
      <w:r w:rsidR="00844748" w:rsidRPr="005C556C">
        <w:rPr>
          <w:rFonts w:eastAsia="SimSun"/>
          <w:snapToGrid w:val="0"/>
          <w:lang w:val="fr-FR" w:eastAsia="ja-JP"/>
        </w:rPr>
        <w:t>15.</w:t>
      </w:r>
    </w:p>
    <w:p w:rsidR="0058402C" w:rsidRDefault="0058402C" w:rsidP="005C556C">
      <w:pPr>
        <w:rPr>
          <w:lang w:val="fr-FR"/>
        </w:rPr>
      </w:pPr>
    </w:p>
    <w:p w:rsidR="00504E54" w:rsidRPr="005C556C" w:rsidRDefault="00504E54" w:rsidP="005C556C">
      <w:pPr>
        <w:rPr>
          <w:lang w:val="fr-FR"/>
        </w:rPr>
      </w:pPr>
    </w:p>
    <w:p w:rsidR="0058402C" w:rsidRPr="005C556C" w:rsidRDefault="001B22AA" w:rsidP="005C556C">
      <w:pPr>
        <w:keepNext/>
        <w:jc w:val="left"/>
        <w:outlineLvl w:val="0"/>
        <w:rPr>
          <w:snapToGrid w:val="0"/>
          <w:u w:val="single"/>
          <w:lang w:val="fr-FR"/>
        </w:rPr>
      </w:pPr>
      <w:r w:rsidRPr="005C556C">
        <w:rPr>
          <w:snapToGrid w:val="0"/>
          <w:u w:val="single"/>
          <w:lang w:val="fr-FR"/>
        </w:rPr>
        <w:t>Documents TGP</w:t>
      </w:r>
    </w:p>
    <w:p w:rsidR="0058402C" w:rsidRPr="005C556C" w:rsidRDefault="0058402C" w:rsidP="005C556C">
      <w:pPr>
        <w:keepLines/>
        <w:rPr>
          <w:rFonts w:eastAsia="SimSun"/>
          <w:snapToGrid w:val="0"/>
          <w:lang w:val="fr-FR" w:eastAsia="ja-JP"/>
        </w:rPr>
      </w:pPr>
    </w:p>
    <w:p w:rsidR="0058402C" w:rsidRPr="005C556C" w:rsidRDefault="00E26276"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1B22AA" w:rsidRPr="005C556C">
        <w:rPr>
          <w:lang w:val="fr-FR"/>
        </w:rPr>
        <w:t xml:space="preserve">Le CAJ examine les </w:t>
      </w:r>
      <w:r w:rsidR="00817667" w:rsidRPr="005C556C">
        <w:rPr>
          <w:lang w:val="fr-FR"/>
        </w:rPr>
        <w:t>documents CA</w:t>
      </w:r>
      <w:r w:rsidR="001B22AA" w:rsidRPr="005C556C">
        <w:rPr>
          <w:lang w:val="fr-FR"/>
        </w:rPr>
        <w:t>J/71/7 et CAJ/71/9.</w:t>
      </w:r>
    </w:p>
    <w:bookmarkEnd w:id="2"/>
    <w:p w:rsidR="0058402C" w:rsidRPr="005C556C" w:rsidRDefault="0058402C" w:rsidP="005C556C">
      <w:pPr>
        <w:rPr>
          <w:lang w:val="fr-FR"/>
        </w:rPr>
      </w:pPr>
    </w:p>
    <w:p w:rsidR="0058402C" w:rsidRPr="005C556C" w:rsidRDefault="00844748" w:rsidP="005C556C">
      <w:pPr>
        <w:keepNext/>
        <w:rPr>
          <w:i/>
          <w:lang w:val="fr-FR"/>
        </w:rPr>
      </w:pPr>
      <w:r w:rsidRPr="005C556C">
        <w:rPr>
          <w:i/>
          <w:lang w:val="fr-FR"/>
        </w:rPr>
        <w:t>TGP/9</w:t>
      </w:r>
      <w:r w:rsidR="00824A4B" w:rsidRPr="005C556C">
        <w:rPr>
          <w:i/>
          <w:lang w:val="fr-FR"/>
        </w:rPr>
        <w:t> </w:t>
      </w:r>
      <w:r w:rsidRPr="005C556C">
        <w:rPr>
          <w:i/>
          <w:lang w:val="fr-FR"/>
        </w:rPr>
        <w:t>: “Examen de la distinction”</w:t>
      </w:r>
    </w:p>
    <w:p w:rsidR="0058402C" w:rsidRPr="005C556C" w:rsidRDefault="0058402C" w:rsidP="005C556C">
      <w:pPr>
        <w:keepNext/>
        <w:rPr>
          <w:lang w:val="fr-FR"/>
        </w:rPr>
      </w:pPr>
    </w:p>
    <w:p w:rsidR="00817667" w:rsidRPr="005C556C" w:rsidRDefault="009804B0"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844748" w:rsidRPr="005C556C">
        <w:rPr>
          <w:lang w:val="fr-FR"/>
        </w:rPr>
        <w:t>Le CAJ approuve la révision du document TGP/9 approuvée antérieurement par le</w:t>
      </w:r>
      <w:r w:rsidR="00817667" w:rsidRPr="005C556C">
        <w:rPr>
          <w:lang w:val="fr-FR"/>
        </w:rPr>
        <w:t> TC</w:t>
      </w:r>
      <w:r w:rsidR="00844748" w:rsidRPr="005C556C">
        <w:rPr>
          <w:lang w:val="fr-FR"/>
        </w:rPr>
        <w:t>, telle qu</w:t>
      </w:r>
      <w:r w:rsidR="00817667" w:rsidRPr="005C556C">
        <w:rPr>
          <w:lang w:val="fr-FR"/>
        </w:rPr>
        <w:t>’</w:t>
      </w:r>
      <w:r w:rsidR="00844748" w:rsidRPr="005C556C">
        <w:rPr>
          <w:lang w:val="fr-FR"/>
        </w:rPr>
        <w:t>elle figure dans l</w:t>
      </w:r>
      <w:r w:rsidR="00817667" w:rsidRPr="005C556C">
        <w:rPr>
          <w:lang w:val="fr-FR"/>
        </w:rPr>
        <w:t>’</w:t>
      </w:r>
      <w:r w:rsidR="00844748" w:rsidRPr="005C556C">
        <w:rPr>
          <w:lang w:val="fr-FR"/>
        </w:rPr>
        <w:t>annexe</w:t>
      </w:r>
      <w:r w:rsidR="00824A4B" w:rsidRPr="005C556C">
        <w:rPr>
          <w:lang w:val="fr-FR"/>
        </w:rPr>
        <w:t> </w:t>
      </w:r>
      <w:r w:rsidR="00844748" w:rsidRPr="005C556C">
        <w:rPr>
          <w:lang w:val="fr-FR"/>
        </w:rPr>
        <w:t>I du document CAJ/71/7.</w:t>
      </w:r>
    </w:p>
    <w:p w:rsidR="0058402C" w:rsidRPr="005C556C" w:rsidRDefault="0058402C" w:rsidP="005C556C">
      <w:pPr>
        <w:rPr>
          <w:lang w:val="fr-FR"/>
        </w:rPr>
      </w:pPr>
    </w:p>
    <w:p w:rsidR="00817667" w:rsidRPr="005C556C" w:rsidRDefault="009804B0"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844748" w:rsidRPr="005C556C">
        <w:rPr>
          <w:lang w:val="fr-FR"/>
        </w:rPr>
        <w:t xml:space="preserve">Le CAJ approuve les propositions de révision du diagramme </w:t>
      </w:r>
      <w:r w:rsidR="007C1561" w:rsidRPr="005C556C">
        <w:rPr>
          <w:lang w:val="fr-FR"/>
        </w:rPr>
        <w:t>de la section</w:t>
      </w:r>
      <w:r w:rsidR="00824A4B" w:rsidRPr="005C556C">
        <w:rPr>
          <w:lang w:val="fr-FR"/>
        </w:rPr>
        <w:t> </w:t>
      </w:r>
      <w:r w:rsidR="007C1561" w:rsidRPr="005C556C">
        <w:rPr>
          <w:lang w:val="fr-FR"/>
        </w:rPr>
        <w:t xml:space="preserve">1.6 “Élaboration du contenu des documents TGP sur la distinction” du </w:t>
      </w:r>
      <w:r w:rsidR="00844748" w:rsidRPr="005C556C">
        <w:rPr>
          <w:lang w:val="fr-FR"/>
        </w:rPr>
        <w:t>document TGP/9, pour adoption en</w:t>
      </w:r>
      <w:r w:rsidR="00824A4B" w:rsidRPr="005C556C">
        <w:rPr>
          <w:lang w:val="fr-FR"/>
        </w:rPr>
        <w:t> </w:t>
      </w:r>
      <w:r w:rsidR="00844748" w:rsidRPr="005C556C">
        <w:rPr>
          <w:lang w:val="fr-FR"/>
        </w:rPr>
        <w:t>2015, telles qu</w:t>
      </w:r>
      <w:r w:rsidR="00817667" w:rsidRPr="005C556C">
        <w:rPr>
          <w:lang w:val="fr-FR"/>
        </w:rPr>
        <w:t>’</w:t>
      </w:r>
      <w:r w:rsidR="00844748" w:rsidRPr="005C556C">
        <w:rPr>
          <w:lang w:val="fr-FR"/>
        </w:rPr>
        <w:t>elles figurent dans les annexes</w:t>
      </w:r>
      <w:r w:rsidR="00824A4B" w:rsidRPr="005C556C">
        <w:rPr>
          <w:lang w:val="fr-FR"/>
        </w:rPr>
        <w:t> </w:t>
      </w:r>
      <w:r w:rsidR="00844748" w:rsidRPr="005C556C">
        <w:rPr>
          <w:lang w:val="fr-FR"/>
        </w:rPr>
        <w:t>II et</w:t>
      </w:r>
      <w:r w:rsidR="003800B6" w:rsidRPr="005C556C">
        <w:rPr>
          <w:lang w:val="fr-FR"/>
        </w:rPr>
        <w:t> </w:t>
      </w:r>
      <w:r w:rsidR="00844748" w:rsidRPr="005C556C">
        <w:rPr>
          <w:lang w:val="fr-FR"/>
        </w:rPr>
        <w:t>III du document CAJ/71/7.</w:t>
      </w:r>
    </w:p>
    <w:p w:rsidR="0058402C" w:rsidRPr="005C556C" w:rsidRDefault="0058402C" w:rsidP="005C556C">
      <w:pPr>
        <w:rPr>
          <w:lang w:val="fr-FR"/>
        </w:rPr>
      </w:pPr>
    </w:p>
    <w:p w:rsidR="0058402C" w:rsidRPr="005C556C" w:rsidRDefault="00B21841"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844748" w:rsidRPr="005C556C">
        <w:rPr>
          <w:lang w:val="fr-FR"/>
        </w:rPr>
        <w:t xml:space="preserve">Le CAJ examine </w:t>
      </w:r>
      <w:r w:rsidR="007C1561" w:rsidRPr="005C556C">
        <w:rPr>
          <w:lang w:val="fr-FR"/>
        </w:rPr>
        <w:t>l</w:t>
      </w:r>
      <w:r w:rsidR="00844748" w:rsidRPr="005C556C">
        <w:rPr>
          <w:lang w:val="fr-FR"/>
        </w:rPr>
        <w:t>es propositions de conseils concernant les photographies, pour inclusion dans la section</w:t>
      </w:r>
      <w:r w:rsidR="00824A4B" w:rsidRPr="005C556C">
        <w:rPr>
          <w:lang w:val="fr-FR"/>
        </w:rPr>
        <w:t> </w:t>
      </w:r>
      <w:r w:rsidR="00844748" w:rsidRPr="005C556C">
        <w:rPr>
          <w:lang w:val="fr-FR"/>
        </w:rPr>
        <w:t>2.5 “Photographies” du document TGP/9</w:t>
      </w:r>
      <w:r w:rsidR="0078723E" w:rsidRPr="005C556C">
        <w:rPr>
          <w:lang w:val="fr-FR"/>
        </w:rPr>
        <w:t>,</w:t>
      </w:r>
      <w:r w:rsidR="00844748" w:rsidRPr="005C556C">
        <w:rPr>
          <w:lang w:val="fr-FR"/>
        </w:rPr>
        <w:t xml:space="preserve"> et accepte que ces conseils soient rédigés de la manière suivante</w:t>
      </w:r>
      <w:r w:rsidR="00824A4B" w:rsidRPr="005C556C">
        <w:rPr>
          <w:lang w:val="fr-FR"/>
        </w:rPr>
        <w:t> </w:t>
      </w:r>
      <w:r w:rsidR="00844748" w:rsidRPr="005C556C">
        <w:rPr>
          <w:lang w:val="fr-FR"/>
        </w:rPr>
        <w:t>:</w:t>
      </w:r>
    </w:p>
    <w:p w:rsidR="0058402C" w:rsidRPr="005C556C" w:rsidRDefault="0058402C" w:rsidP="005C556C">
      <w:pPr>
        <w:rPr>
          <w:lang w:val="fr-FR"/>
        </w:rPr>
      </w:pPr>
    </w:p>
    <w:p w:rsidR="0058402C" w:rsidRPr="00504E54" w:rsidRDefault="001B22AA" w:rsidP="005C556C">
      <w:pPr>
        <w:autoSpaceDE w:val="0"/>
        <w:autoSpaceDN w:val="0"/>
        <w:adjustRightInd w:val="0"/>
        <w:ind w:left="567" w:right="567"/>
        <w:rPr>
          <w:sz w:val="18"/>
          <w:lang w:val="fr-FR"/>
        </w:rPr>
      </w:pPr>
      <w:r w:rsidRPr="005C556C">
        <w:rPr>
          <w:rFonts w:cs="Arial"/>
          <w:sz w:val="18"/>
          <w:lang w:val="fr-FR"/>
        </w:rPr>
        <w:t>“2.5.3</w:t>
      </w:r>
      <w:r w:rsidRPr="005C556C">
        <w:rPr>
          <w:rFonts w:cs="Arial"/>
          <w:sz w:val="18"/>
          <w:lang w:val="fr-FR"/>
        </w:rPr>
        <w:tab/>
      </w:r>
      <w:r w:rsidR="00844748" w:rsidRPr="005C556C">
        <w:rPr>
          <w:rFonts w:cs="Arial"/>
          <w:sz w:val="18"/>
          <w:lang w:val="fr-FR"/>
        </w:rPr>
        <w:t>La pertinence des photographies pour l</w:t>
      </w:r>
      <w:r w:rsidR="00817667" w:rsidRPr="005C556C">
        <w:rPr>
          <w:rFonts w:cs="Arial"/>
          <w:sz w:val="18"/>
          <w:lang w:val="fr-FR"/>
        </w:rPr>
        <w:t>’</w:t>
      </w:r>
      <w:r w:rsidR="00844748" w:rsidRPr="005C556C">
        <w:rPr>
          <w:rFonts w:cs="Arial"/>
          <w:sz w:val="18"/>
          <w:lang w:val="fr-FR"/>
        </w:rPr>
        <w:t>identification de variétés voisines dépend fortement de la qualité des photographies des variétés figurant dans la collection de référence qui ont été prises par l</w:t>
      </w:r>
      <w:r w:rsidR="00817667" w:rsidRPr="005C556C">
        <w:rPr>
          <w:rFonts w:cs="Arial"/>
          <w:sz w:val="18"/>
          <w:lang w:val="fr-FR"/>
        </w:rPr>
        <w:t>’</w:t>
      </w:r>
      <w:r w:rsidR="00844748" w:rsidRPr="005C556C">
        <w:rPr>
          <w:rFonts w:cs="Arial"/>
          <w:sz w:val="18"/>
          <w:lang w:val="fr-FR"/>
        </w:rPr>
        <w:t xml:space="preserve">autorité compétente et de la photographie de la variété candidate remise par le demandeur avec le questionnaire technique. </w:t>
      </w:r>
      <w:r w:rsidR="00824A4B" w:rsidRPr="005C556C">
        <w:rPr>
          <w:rFonts w:cs="Arial"/>
          <w:sz w:val="18"/>
          <w:lang w:val="fr-FR"/>
        </w:rPr>
        <w:t xml:space="preserve"> </w:t>
      </w:r>
      <w:r w:rsidR="00844748" w:rsidRPr="005C556C">
        <w:rPr>
          <w:rFonts w:cs="Arial"/>
          <w:sz w:val="18"/>
          <w:lang w:val="fr-FR"/>
        </w:rPr>
        <w:t xml:space="preserve">Des conseils détaillés pour la prise de photographies pertinentes sont fournis dans la note indicative </w:t>
      </w:r>
      <w:r w:rsidR="007E55FC" w:rsidRPr="005C556C">
        <w:rPr>
          <w:rFonts w:cs="Arial"/>
          <w:sz w:val="18"/>
          <w:lang w:val="fr-FR"/>
        </w:rPr>
        <w:t>GN </w:t>
      </w:r>
      <w:r w:rsidR="00844748" w:rsidRPr="005C556C">
        <w:rPr>
          <w:rFonts w:cs="Arial"/>
          <w:sz w:val="18"/>
          <w:lang w:val="fr-FR"/>
        </w:rPr>
        <w:t xml:space="preserve">35 du document TGP/7. </w:t>
      </w:r>
      <w:r w:rsidR="00824A4B" w:rsidRPr="005C556C">
        <w:rPr>
          <w:rFonts w:cs="Arial"/>
          <w:sz w:val="18"/>
          <w:lang w:val="fr-FR"/>
        </w:rPr>
        <w:t xml:space="preserve"> </w:t>
      </w:r>
      <w:r w:rsidR="00844748" w:rsidRPr="005C556C">
        <w:rPr>
          <w:rFonts w:cs="Arial"/>
          <w:sz w:val="18"/>
          <w:lang w:val="fr-FR"/>
        </w:rPr>
        <w:t xml:space="preserve">Ces conseils ont été établis notamment pour permettre aux demandeurs de remettre des photographies pertinentes de la variété candidate. </w:t>
      </w:r>
      <w:r w:rsidR="00824A4B" w:rsidRPr="005C556C">
        <w:rPr>
          <w:rFonts w:cs="Arial"/>
          <w:sz w:val="18"/>
          <w:lang w:val="fr-FR"/>
        </w:rPr>
        <w:t xml:space="preserve"> </w:t>
      </w:r>
      <w:r w:rsidR="00844748" w:rsidRPr="005C556C">
        <w:rPr>
          <w:rFonts w:cs="Arial"/>
          <w:sz w:val="18"/>
          <w:lang w:val="fr-FR"/>
        </w:rPr>
        <w:t>Ces instructions sont importantes et utiles afin de permettre aux autorités de prendre des photographies des variétés figurant dans la collection de variétés dans des conditions normalisées.</w:t>
      </w:r>
      <w:r w:rsidRPr="005C556C">
        <w:rPr>
          <w:rFonts w:cs="Arial"/>
          <w:sz w:val="18"/>
          <w:lang w:val="fr-FR"/>
        </w:rPr>
        <w:t>”</w:t>
      </w:r>
    </w:p>
    <w:p w:rsidR="0058402C" w:rsidRPr="005C556C" w:rsidRDefault="0058402C" w:rsidP="005C556C">
      <w:pPr>
        <w:ind w:left="1418" w:hanging="851"/>
        <w:rPr>
          <w:lang w:val="fr-FR"/>
        </w:rPr>
      </w:pPr>
    </w:p>
    <w:p w:rsidR="0058402C" w:rsidRPr="005C556C" w:rsidRDefault="00B21841"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D54D2" w:rsidRPr="005C556C">
        <w:rPr>
          <w:lang w:val="fr-FR"/>
        </w:rPr>
        <w:t>Le CAJ note que des modifications r</w:t>
      </w:r>
      <w:r w:rsidR="000E3E11" w:rsidRPr="005C556C">
        <w:rPr>
          <w:lang w:val="fr-FR"/>
        </w:rPr>
        <w:t>édactionnelles doivent être app</w:t>
      </w:r>
      <w:r w:rsidR="002D54D2" w:rsidRPr="005C556C">
        <w:rPr>
          <w:lang w:val="fr-FR"/>
        </w:rPr>
        <w:t>o</w:t>
      </w:r>
      <w:r w:rsidR="000E3E11" w:rsidRPr="005C556C">
        <w:rPr>
          <w:lang w:val="fr-FR"/>
        </w:rPr>
        <w:t>r</w:t>
      </w:r>
      <w:r w:rsidR="002D54D2" w:rsidRPr="005C556C">
        <w:rPr>
          <w:lang w:val="fr-FR"/>
        </w:rPr>
        <w:t>tées au projet de texte en allemand et rappelle que les experts linguistiques du Comité de rédaction seront invités à vérifier les traductions française, allemande et espagnole de tous les documents techniques avant leur établissement pour adoption par le Conseil.</w:t>
      </w:r>
    </w:p>
    <w:p w:rsidR="0058402C" w:rsidRPr="005C556C" w:rsidRDefault="0058402C" w:rsidP="005C556C">
      <w:pPr>
        <w:rPr>
          <w:lang w:val="fr-FR"/>
        </w:rPr>
      </w:pPr>
    </w:p>
    <w:p w:rsidR="0058402C" w:rsidRPr="005C556C" w:rsidRDefault="002530DA" w:rsidP="00504E54">
      <w:pPr>
        <w:pStyle w:val="Heading4"/>
      </w:pPr>
      <w:r w:rsidRPr="005C556C">
        <w:t>iii)</w:t>
      </w:r>
      <w:r w:rsidRPr="005C556C">
        <w:tab/>
        <w:t>Révision du document TGP/9</w:t>
      </w:r>
      <w:r w:rsidR="00824A4B" w:rsidRPr="005C556C">
        <w:t> </w:t>
      </w:r>
      <w:r w:rsidRPr="005C556C">
        <w:t>: sections</w:t>
      </w:r>
      <w:r w:rsidR="00824A4B" w:rsidRPr="005C556C">
        <w:t> </w:t>
      </w:r>
      <w:r w:rsidRPr="005C556C">
        <w:t>4.3.2 et 4.3.4</w:t>
      </w:r>
      <w:r w:rsidR="00824A4B" w:rsidRPr="005C556C">
        <w:t> </w:t>
      </w:r>
      <w:r w:rsidRPr="005C556C">
        <w:t>: Méthode d</w:t>
      </w:r>
      <w:r w:rsidR="00817667" w:rsidRPr="005C556C">
        <w:t>’</w:t>
      </w:r>
      <w:r w:rsidRPr="005C556C">
        <w:t>observation (mesure unique</w:t>
      </w:r>
      <w:r w:rsidR="00504E54">
        <w:t> </w:t>
      </w:r>
      <w:r w:rsidRPr="005C556C">
        <w:t>– MG)</w:t>
      </w:r>
    </w:p>
    <w:p w:rsidR="0058402C" w:rsidRPr="005C556C" w:rsidRDefault="0058402C" w:rsidP="005C556C">
      <w:pPr>
        <w:keepNext/>
        <w:rPr>
          <w:lang w:val="fr-FR"/>
        </w:rPr>
      </w:pPr>
    </w:p>
    <w:p w:rsidR="0058402C" w:rsidRPr="005C556C" w:rsidRDefault="00B21841"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530DA" w:rsidRPr="005C556C">
        <w:rPr>
          <w:lang w:val="fr-FR"/>
        </w:rPr>
        <w:t>Le CAJ examine la proposition d</w:t>
      </w:r>
      <w:r w:rsidR="00817667" w:rsidRPr="005C556C">
        <w:rPr>
          <w:lang w:val="fr-FR"/>
        </w:rPr>
        <w:t>’</w:t>
      </w:r>
      <w:r w:rsidR="002530DA" w:rsidRPr="005C556C">
        <w:rPr>
          <w:lang w:val="fr-FR"/>
        </w:rPr>
        <w:t>exemple de notation globale pour un groupe de plantes (MG) effectuée sur des parties de plantes, pour inclusion dans les sections</w:t>
      </w:r>
      <w:r w:rsidR="00824A4B" w:rsidRPr="005C556C">
        <w:rPr>
          <w:lang w:val="fr-FR"/>
        </w:rPr>
        <w:t> </w:t>
      </w:r>
      <w:r w:rsidR="002530DA" w:rsidRPr="005C556C">
        <w:rPr>
          <w:lang w:val="fr-FR"/>
        </w:rPr>
        <w:t>4.3.2 “Notation globale pour un groupe de plantes ou parties de plantes (G)” et 4.3.4 “Résumé analytique” du document TGP/9, et approuve les conseils libellés de la manière suivante</w:t>
      </w:r>
      <w:r w:rsidR="00824A4B" w:rsidRPr="005C556C">
        <w:rPr>
          <w:lang w:val="fr-FR"/>
        </w:rPr>
        <w:t> </w:t>
      </w:r>
      <w:r w:rsidR="002530DA" w:rsidRPr="005C556C">
        <w:rPr>
          <w:lang w:val="fr-FR"/>
        </w:rPr>
        <w:t>:</w:t>
      </w:r>
    </w:p>
    <w:p w:rsidR="0058402C" w:rsidRPr="005C556C" w:rsidRDefault="0058402C" w:rsidP="005C556C">
      <w:pPr>
        <w:rPr>
          <w:lang w:val="fr-FR"/>
        </w:rPr>
      </w:pPr>
    </w:p>
    <w:p w:rsidR="0058402C" w:rsidRPr="005C556C" w:rsidRDefault="001B22AA" w:rsidP="00504E54">
      <w:pPr>
        <w:keepNext/>
        <w:keepLines/>
        <w:autoSpaceDE w:val="0"/>
        <w:autoSpaceDN w:val="0"/>
        <w:adjustRightInd w:val="0"/>
        <w:ind w:left="567" w:right="567"/>
        <w:rPr>
          <w:rFonts w:cs="Arial"/>
          <w:sz w:val="18"/>
          <w:lang w:val="fr-FR"/>
        </w:rPr>
      </w:pPr>
      <w:r w:rsidRPr="005C556C">
        <w:rPr>
          <w:rFonts w:cs="Arial"/>
          <w:sz w:val="18"/>
          <w:lang w:val="fr-FR"/>
        </w:rPr>
        <w:lastRenderedPageBreak/>
        <w:t>“</w:t>
      </w:r>
      <w:r w:rsidRPr="005C556C">
        <w:rPr>
          <w:rFonts w:cs="Arial"/>
          <w:i/>
          <w:sz w:val="18"/>
          <w:lang w:val="fr-FR"/>
        </w:rPr>
        <w:t>Exemple (MG)</w:t>
      </w:r>
    </w:p>
    <w:p w:rsidR="0058402C" w:rsidRPr="005C556C" w:rsidRDefault="0058402C" w:rsidP="00504E54">
      <w:pPr>
        <w:keepNext/>
        <w:keepLines/>
        <w:autoSpaceDE w:val="0"/>
        <w:autoSpaceDN w:val="0"/>
        <w:adjustRightInd w:val="0"/>
        <w:ind w:left="567" w:right="567"/>
        <w:rPr>
          <w:rFonts w:cs="Arial"/>
          <w:sz w:val="18"/>
          <w:lang w:val="fr-FR"/>
        </w:rPr>
      </w:pPr>
    </w:p>
    <w:p w:rsidR="0058402C" w:rsidRPr="005C556C" w:rsidRDefault="001B22AA" w:rsidP="00504E54">
      <w:pPr>
        <w:keepNext/>
        <w:keepLines/>
        <w:autoSpaceDE w:val="0"/>
        <w:autoSpaceDN w:val="0"/>
        <w:adjustRightInd w:val="0"/>
        <w:ind w:left="567" w:right="567"/>
        <w:rPr>
          <w:rFonts w:cs="Arial"/>
          <w:sz w:val="18"/>
          <w:lang w:val="fr-FR"/>
        </w:rPr>
      </w:pPr>
      <w:r w:rsidRPr="005C556C">
        <w:rPr>
          <w:rFonts w:cs="Arial"/>
          <w:sz w:val="18"/>
          <w:lang w:val="fr-FR"/>
        </w:rPr>
        <w:t>“Mesure (MG)</w:t>
      </w:r>
      <w:r w:rsidR="00824A4B" w:rsidRPr="005C556C">
        <w:rPr>
          <w:rFonts w:cs="Arial"/>
          <w:sz w:val="18"/>
          <w:lang w:val="fr-FR"/>
        </w:rPr>
        <w:t> </w:t>
      </w:r>
      <w:r w:rsidRPr="005C556C">
        <w:rPr>
          <w:rFonts w:cs="Arial"/>
          <w:sz w:val="18"/>
          <w:lang w:val="fr-FR"/>
        </w:rPr>
        <w:t xml:space="preserve">: </w:t>
      </w:r>
      <w:r w:rsidR="00817667" w:rsidRPr="005C556C">
        <w:rPr>
          <w:rFonts w:cs="Arial"/>
          <w:sz w:val="18"/>
          <w:lang w:val="fr-FR"/>
        </w:rPr>
        <w:t>‘</w:t>
      </w:r>
      <w:r w:rsidRPr="005C556C">
        <w:rPr>
          <w:rFonts w:cs="Arial"/>
          <w:sz w:val="18"/>
          <w:lang w:val="fr-FR"/>
        </w:rPr>
        <w:t>Limbe</w:t>
      </w:r>
      <w:r w:rsidR="00824A4B" w:rsidRPr="005C556C">
        <w:rPr>
          <w:rFonts w:cs="Arial"/>
          <w:sz w:val="18"/>
          <w:lang w:val="fr-FR"/>
        </w:rPr>
        <w:t> </w:t>
      </w:r>
      <w:r w:rsidRPr="005C556C">
        <w:rPr>
          <w:rFonts w:cs="Arial"/>
          <w:sz w:val="18"/>
          <w:lang w:val="fr-FR"/>
        </w:rPr>
        <w:t>: largeur</w:t>
      </w:r>
      <w:r w:rsidR="00817667" w:rsidRPr="005C556C">
        <w:rPr>
          <w:rFonts w:cs="Arial"/>
          <w:sz w:val="18"/>
          <w:lang w:val="fr-FR"/>
        </w:rPr>
        <w:t>’</w:t>
      </w:r>
      <w:r w:rsidRPr="005C556C">
        <w:rPr>
          <w:rFonts w:cs="Arial"/>
          <w:sz w:val="18"/>
          <w:lang w:val="fr-FR"/>
        </w:rPr>
        <w:t xml:space="preserve"> chez le funkia (multiplication végétative)</w:t>
      </w:r>
      <w:r w:rsidR="00824A4B" w:rsidRPr="005C556C">
        <w:rPr>
          <w:rFonts w:cs="Arial"/>
          <w:sz w:val="18"/>
          <w:lang w:val="fr-FR"/>
        </w:rPr>
        <w:t> </w:t>
      </w:r>
      <w:r w:rsidRPr="005C556C">
        <w:rPr>
          <w:rFonts w:cs="Arial"/>
          <w:sz w:val="18"/>
          <w:lang w:val="fr-FR"/>
        </w:rPr>
        <w:t>: mesure représentative de la parcelle”.</w:t>
      </w:r>
    </w:p>
    <w:p w:rsidR="0058402C" w:rsidRPr="005C556C" w:rsidRDefault="0058402C" w:rsidP="005C556C">
      <w:pPr>
        <w:rPr>
          <w:rFonts w:cs="Arial"/>
          <w:lang w:val="fr-FR"/>
        </w:rPr>
      </w:pPr>
    </w:p>
    <w:p w:rsidR="0058402C" w:rsidRPr="005C556C" w:rsidRDefault="00B21841"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5035E" w:rsidRPr="005C556C">
        <w:rPr>
          <w:lang w:val="fr-FR"/>
        </w:rPr>
        <w:t>Le CAJ convient que l</w:t>
      </w:r>
      <w:r w:rsidR="00817667" w:rsidRPr="005C556C">
        <w:rPr>
          <w:lang w:val="fr-FR"/>
        </w:rPr>
        <w:t>’</w:t>
      </w:r>
      <w:r w:rsidR="00C5035E" w:rsidRPr="005C556C">
        <w:rPr>
          <w:lang w:val="fr-FR"/>
        </w:rPr>
        <w:t>illustration à inclure dans la section</w:t>
      </w:r>
      <w:r w:rsidR="00824A4B" w:rsidRPr="005C556C">
        <w:rPr>
          <w:lang w:val="fr-FR"/>
        </w:rPr>
        <w:t> </w:t>
      </w:r>
      <w:r w:rsidR="00C5035E" w:rsidRPr="005C556C">
        <w:rPr>
          <w:lang w:val="fr-FR"/>
        </w:rPr>
        <w:t xml:space="preserve">4.3.4 devrait être remaniée </w:t>
      </w:r>
      <w:r w:rsidR="007C1561" w:rsidRPr="005C556C">
        <w:rPr>
          <w:lang w:val="fr-FR"/>
        </w:rPr>
        <w:t>comme suit</w:t>
      </w:r>
      <w:r w:rsidR="00824A4B" w:rsidRPr="005C556C">
        <w:rPr>
          <w:lang w:val="fr-FR"/>
        </w:rPr>
        <w:t> </w:t>
      </w:r>
      <w:r w:rsidR="00C5035E" w:rsidRPr="005C556C">
        <w:rPr>
          <w:lang w:val="fr-FR"/>
        </w:rPr>
        <w:t>:</w:t>
      </w:r>
    </w:p>
    <w:p w:rsidR="0058402C" w:rsidRPr="005C556C" w:rsidRDefault="0058402C" w:rsidP="005C556C">
      <w:pPr>
        <w:rPr>
          <w:sz w:val="14"/>
          <w:lang w:val="fr-FR"/>
        </w:rPr>
      </w:pPr>
    </w:p>
    <w:p w:rsidR="0058402C" w:rsidRPr="005C556C" w:rsidRDefault="00624EFC" w:rsidP="005C556C">
      <w:pPr>
        <w:ind w:left="567"/>
        <w:rPr>
          <w:lang w:val="fr-FR"/>
        </w:rPr>
      </w:pPr>
      <w:r w:rsidRPr="005C556C">
        <w:rPr>
          <w:noProof/>
        </w:rPr>
        <w:drawing>
          <wp:inline distT="0" distB="0" distL="0" distR="0" wp14:anchorId="7FA88ACD" wp14:editId="7FE1CAC9">
            <wp:extent cx="1453052" cy="250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052" cy="2502000"/>
                    </a:xfrm>
                    <a:prstGeom prst="rect">
                      <a:avLst/>
                    </a:prstGeom>
                    <a:noFill/>
                    <a:ln>
                      <a:noFill/>
                    </a:ln>
                  </pic:spPr>
                </pic:pic>
              </a:graphicData>
            </a:graphic>
          </wp:inline>
        </w:drawing>
      </w:r>
    </w:p>
    <w:p w:rsidR="0058402C" w:rsidRPr="005C556C" w:rsidRDefault="0058402C" w:rsidP="005C556C">
      <w:pPr>
        <w:rPr>
          <w:lang w:val="fr-FR"/>
        </w:rPr>
      </w:pPr>
    </w:p>
    <w:p w:rsidR="00624EFC" w:rsidRPr="005C556C" w:rsidRDefault="00624EFC" w:rsidP="005C556C">
      <w:pPr>
        <w:rPr>
          <w:lang w:val="fr-FR"/>
        </w:rPr>
      </w:pPr>
    </w:p>
    <w:p w:rsidR="0058402C" w:rsidRPr="005C556C" w:rsidRDefault="00C5035E" w:rsidP="005C556C">
      <w:pPr>
        <w:pStyle w:val="Heading5"/>
        <w:rPr>
          <w:lang w:val="fr-FR"/>
        </w:rPr>
      </w:pPr>
      <w:r w:rsidRPr="005C556C">
        <w:rPr>
          <w:lang w:val="fr-FR"/>
        </w:rPr>
        <w:t>TGP/14</w:t>
      </w:r>
      <w:r w:rsidR="00824A4B" w:rsidRPr="005C556C">
        <w:rPr>
          <w:lang w:val="fr-FR"/>
        </w:rPr>
        <w:t> </w:t>
      </w:r>
      <w:r w:rsidRPr="005C556C">
        <w:rPr>
          <w:lang w:val="fr-FR"/>
        </w:rPr>
        <w:t>: Glossaire de termes utilisés dans les documents de l</w:t>
      </w:r>
      <w:r w:rsidR="00817667" w:rsidRPr="005C556C">
        <w:rPr>
          <w:lang w:val="fr-FR"/>
        </w:rPr>
        <w:t>’</w:t>
      </w:r>
      <w:r w:rsidRPr="005C556C">
        <w:rPr>
          <w:lang w:val="fr-FR"/>
        </w:rPr>
        <w:t>UPOV</w:t>
      </w:r>
    </w:p>
    <w:p w:rsidR="0058402C" w:rsidRPr="005C556C" w:rsidRDefault="0058402C" w:rsidP="005C556C">
      <w:pPr>
        <w:rPr>
          <w:lang w:val="fr-FR"/>
        </w:rPr>
      </w:pPr>
    </w:p>
    <w:p w:rsidR="0058402C" w:rsidRPr="005C556C" w:rsidRDefault="00C5035E" w:rsidP="00504E54">
      <w:pPr>
        <w:pStyle w:val="Heading4"/>
      </w:pPr>
      <w:r w:rsidRPr="005C556C">
        <w:t>i)</w:t>
      </w:r>
      <w:r w:rsidR="007C1561" w:rsidRPr="005C556C">
        <w:tab/>
        <w:t>Révision du document TGP/14</w:t>
      </w:r>
      <w:r w:rsidR="00824A4B" w:rsidRPr="005C556C">
        <w:t> </w:t>
      </w:r>
      <w:r w:rsidR="007C1561" w:rsidRPr="005C556C">
        <w:t>: s</w:t>
      </w:r>
      <w:r w:rsidRPr="005C556C">
        <w:t>ection</w:t>
      </w:r>
      <w:r w:rsidR="00824A4B" w:rsidRPr="005C556C">
        <w:t> </w:t>
      </w:r>
      <w:r w:rsidRPr="005C556C">
        <w:t>2.4</w:t>
      </w:r>
      <w:r w:rsidR="00824A4B" w:rsidRPr="005C556C">
        <w:t> </w:t>
      </w:r>
      <w:r w:rsidRPr="005C556C">
        <w:t>: Caractères liés à la forme de l</w:t>
      </w:r>
      <w:r w:rsidR="00817667" w:rsidRPr="005C556C">
        <w:t>’</w:t>
      </w:r>
      <w:r w:rsidRPr="005C556C">
        <w:t>apex ou de l</w:t>
      </w:r>
      <w:r w:rsidR="00817667" w:rsidRPr="005C556C">
        <w:t>’</w:t>
      </w:r>
      <w:r w:rsidRPr="005C556C">
        <w:t>extrémité</w:t>
      </w:r>
    </w:p>
    <w:p w:rsidR="0058402C" w:rsidRPr="005C556C" w:rsidRDefault="0058402C" w:rsidP="005C556C">
      <w:pPr>
        <w:rPr>
          <w:lang w:val="fr-FR"/>
        </w:rPr>
      </w:pPr>
    </w:p>
    <w:p w:rsidR="0058402C" w:rsidRPr="005C556C" w:rsidRDefault="00B21841" w:rsidP="005C556C">
      <w:pPr>
        <w:keepNext/>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C5035E" w:rsidRPr="005C556C">
        <w:rPr>
          <w:lang w:val="fr-FR"/>
        </w:rPr>
        <w:t xml:space="preserve">Le CAJ examine </w:t>
      </w:r>
      <w:r w:rsidR="00E00D02" w:rsidRPr="005C556C">
        <w:rPr>
          <w:lang w:val="fr-FR"/>
        </w:rPr>
        <w:t xml:space="preserve">la révision </w:t>
      </w:r>
      <w:r w:rsidR="006E7BA5" w:rsidRPr="005C556C">
        <w:rPr>
          <w:lang w:val="fr-FR"/>
        </w:rPr>
        <w:t>de la section</w:t>
      </w:r>
      <w:r w:rsidR="00824A4B" w:rsidRPr="005C556C">
        <w:rPr>
          <w:lang w:val="fr-FR"/>
        </w:rPr>
        <w:t> </w:t>
      </w:r>
      <w:r w:rsidR="006E7BA5" w:rsidRPr="005C556C">
        <w:rPr>
          <w:lang w:val="fr-FR"/>
        </w:rPr>
        <w:t xml:space="preserve">2.4 </w:t>
      </w:r>
      <w:r w:rsidR="00E00D02" w:rsidRPr="005C556C">
        <w:rPr>
          <w:lang w:val="fr-FR"/>
        </w:rPr>
        <w:t xml:space="preserve">du document TGP/14 </w:t>
      </w:r>
      <w:r w:rsidR="00C5035E" w:rsidRPr="005C556C">
        <w:rPr>
          <w:lang w:val="fr-FR"/>
        </w:rPr>
        <w:t xml:space="preserve">figurant dans le </w:t>
      </w:r>
      <w:r w:rsidR="00817667" w:rsidRPr="005C556C">
        <w:rPr>
          <w:lang w:val="fr-FR"/>
        </w:rPr>
        <w:t>document TC</w:t>
      </w:r>
      <w:r w:rsidR="00C5035E" w:rsidRPr="005C556C">
        <w:rPr>
          <w:lang w:val="fr-FR"/>
        </w:rPr>
        <w:t>/51/25 et approuve le libellé suivant</w:t>
      </w:r>
      <w:r w:rsidR="00824A4B" w:rsidRPr="005C556C">
        <w:rPr>
          <w:lang w:val="fr-FR"/>
        </w:rPr>
        <w:t> </w:t>
      </w:r>
      <w:r w:rsidR="00C5035E" w:rsidRPr="005C556C">
        <w:rPr>
          <w:lang w:val="fr-FR"/>
        </w:rPr>
        <w:t>:</w:t>
      </w:r>
    </w:p>
    <w:p w:rsidR="0058402C" w:rsidRPr="005C556C" w:rsidRDefault="0058402C" w:rsidP="005C556C">
      <w:pPr>
        <w:rPr>
          <w:lang w:val="fr-FR"/>
        </w:rPr>
      </w:pPr>
    </w:p>
    <w:p w:rsidR="0058402C" w:rsidRPr="005C556C" w:rsidRDefault="004A0CA9" w:rsidP="005C556C">
      <w:pPr>
        <w:keepNext/>
        <w:ind w:left="567"/>
        <w:outlineLvl w:val="3"/>
        <w:rPr>
          <w:i/>
          <w:sz w:val="18"/>
          <w:lang w:val="fr-FR"/>
        </w:rPr>
      </w:pPr>
      <w:r w:rsidRPr="005C556C">
        <w:rPr>
          <w:i/>
          <w:sz w:val="18"/>
          <w:lang w:val="fr-FR"/>
        </w:rPr>
        <w:t>“</w:t>
      </w:r>
      <w:r w:rsidR="001B22AA" w:rsidRPr="005C556C">
        <w:rPr>
          <w:i/>
          <w:sz w:val="18"/>
          <w:lang w:val="fr-FR"/>
        </w:rPr>
        <w:t>2.4</w:t>
      </w:r>
      <w:r w:rsidR="001B22AA" w:rsidRPr="005C556C">
        <w:rPr>
          <w:sz w:val="18"/>
          <w:lang w:val="fr-FR"/>
        </w:rPr>
        <w:t xml:space="preserve"> </w:t>
      </w:r>
      <w:r w:rsidRPr="005C556C">
        <w:rPr>
          <w:i/>
          <w:sz w:val="18"/>
          <w:lang w:val="fr-FR"/>
        </w:rPr>
        <w:tab/>
      </w:r>
      <w:r w:rsidR="001B22AA" w:rsidRPr="005C556C">
        <w:rPr>
          <w:i/>
          <w:sz w:val="18"/>
          <w:lang w:val="fr-FR"/>
        </w:rPr>
        <w:t>Caractères liés à la forme de l</w:t>
      </w:r>
      <w:r w:rsidR="00817667" w:rsidRPr="005C556C">
        <w:rPr>
          <w:i/>
          <w:sz w:val="18"/>
          <w:lang w:val="fr-FR"/>
        </w:rPr>
        <w:t>’</w:t>
      </w:r>
      <w:r w:rsidR="001B22AA" w:rsidRPr="005C556C">
        <w:rPr>
          <w:i/>
          <w:sz w:val="18"/>
          <w:lang w:val="fr-FR"/>
        </w:rPr>
        <w:t>apex ou de l</w:t>
      </w:r>
      <w:r w:rsidR="00817667" w:rsidRPr="005C556C">
        <w:rPr>
          <w:i/>
          <w:sz w:val="18"/>
          <w:lang w:val="fr-FR"/>
        </w:rPr>
        <w:t>’</w:t>
      </w:r>
      <w:r w:rsidR="001B22AA" w:rsidRPr="005C556C">
        <w:rPr>
          <w:i/>
          <w:sz w:val="18"/>
          <w:lang w:val="fr-FR"/>
        </w:rPr>
        <w:t>extrémité</w:t>
      </w:r>
    </w:p>
    <w:p w:rsidR="0058402C" w:rsidRPr="005C556C" w:rsidRDefault="0058402C" w:rsidP="005C556C">
      <w:pPr>
        <w:keepNext/>
        <w:ind w:left="567" w:right="567"/>
        <w:rPr>
          <w:rFonts w:cs="Arial"/>
          <w:sz w:val="18"/>
          <w:lang w:val="fr-FR"/>
        </w:rPr>
      </w:pPr>
    </w:p>
    <w:p w:rsidR="0058402C" w:rsidRPr="005C556C" w:rsidRDefault="001B22AA" w:rsidP="005C556C">
      <w:pPr>
        <w:keepNext/>
        <w:ind w:left="567" w:right="567"/>
        <w:rPr>
          <w:sz w:val="18"/>
          <w:lang w:val="fr-FR"/>
        </w:rPr>
      </w:pPr>
      <w:r w:rsidRPr="005C556C">
        <w:rPr>
          <w:sz w:val="18"/>
          <w:lang w:val="fr-FR"/>
        </w:rPr>
        <w:t>“2.4.1</w:t>
      </w:r>
      <w:r w:rsidRPr="005C556C">
        <w:rPr>
          <w:sz w:val="18"/>
          <w:lang w:val="fr-FR"/>
        </w:rPr>
        <w:tab/>
      </w:r>
      <w:r w:rsidR="00413FA1" w:rsidRPr="005C556C">
        <w:rPr>
          <w:sz w:val="18"/>
          <w:lang w:val="fr-FR"/>
        </w:rPr>
        <w:t>L</w:t>
      </w:r>
      <w:r w:rsidR="00817667" w:rsidRPr="005C556C">
        <w:rPr>
          <w:sz w:val="18"/>
          <w:lang w:val="fr-FR"/>
        </w:rPr>
        <w:t>’</w:t>
      </w:r>
      <w:r w:rsidR="00413FA1" w:rsidRPr="005C556C">
        <w:rPr>
          <w:sz w:val="18"/>
          <w:lang w:val="fr-FR"/>
        </w:rPr>
        <w:t>APEX (partie sommitale ou distale) d</w:t>
      </w:r>
      <w:r w:rsidR="00817667" w:rsidRPr="005C556C">
        <w:rPr>
          <w:sz w:val="18"/>
          <w:lang w:val="fr-FR"/>
        </w:rPr>
        <w:t>’</w:t>
      </w:r>
      <w:r w:rsidR="00413FA1" w:rsidRPr="005C556C">
        <w:rPr>
          <w:sz w:val="18"/>
          <w:lang w:val="fr-FR"/>
        </w:rPr>
        <w:t>un organe ou d</w:t>
      </w:r>
      <w:r w:rsidR="00817667" w:rsidRPr="005C556C">
        <w:rPr>
          <w:sz w:val="18"/>
          <w:lang w:val="fr-FR"/>
        </w:rPr>
        <w:t>’</w:t>
      </w:r>
      <w:r w:rsidR="00413FA1" w:rsidRPr="005C556C">
        <w:rPr>
          <w:sz w:val="18"/>
          <w:lang w:val="fr-FR"/>
        </w:rPr>
        <w:t>une partie de plante est l</w:t>
      </w:r>
      <w:r w:rsidR="00817667" w:rsidRPr="005C556C">
        <w:rPr>
          <w:sz w:val="18"/>
          <w:lang w:val="fr-FR"/>
        </w:rPr>
        <w:t>’</w:t>
      </w:r>
      <w:r w:rsidR="00413FA1" w:rsidRPr="005C556C">
        <w:rPr>
          <w:sz w:val="18"/>
          <w:lang w:val="fr-FR"/>
        </w:rPr>
        <w:t>extrémité la plus éloignée de son point d</w:t>
      </w:r>
      <w:r w:rsidR="00817667" w:rsidRPr="005C556C">
        <w:rPr>
          <w:sz w:val="18"/>
          <w:lang w:val="fr-FR"/>
        </w:rPr>
        <w:t>’</w:t>
      </w:r>
      <w:r w:rsidR="00413FA1" w:rsidRPr="005C556C">
        <w:rPr>
          <w:sz w:val="18"/>
          <w:lang w:val="fr-FR"/>
        </w:rPr>
        <w:t xml:space="preserve">attache. </w:t>
      </w:r>
      <w:r w:rsidR="00824A4B" w:rsidRPr="005C556C">
        <w:rPr>
          <w:sz w:val="18"/>
          <w:lang w:val="fr-FR"/>
        </w:rPr>
        <w:t xml:space="preserve"> </w:t>
      </w:r>
      <w:r w:rsidR="00413FA1" w:rsidRPr="005C556C">
        <w:rPr>
          <w:sz w:val="18"/>
          <w:lang w:val="fr-FR"/>
        </w:rPr>
        <w:t>Dans certains cas, l</w:t>
      </w:r>
      <w:r w:rsidR="00817667" w:rsidRPr="005C556C">
        <w:rPr>
          <w:sz w:val="18"/>
          <w:lang w:val="fr-FR"/>
        </w:rPr>
        <w:t>’</w:t>
      </w:r>
      <w:r w:rsidR="00413FA1" w:rsidRPr="005C556C">
        <w:rPr>
          <w:sz w:val="18"/>
          <w:lang w:val="fr-FR"/>
        </w:rPr>
        <w:t>extrémité distale de l</w:t>
      </w:r>
      <w:r w:rsidR="00817667" w:rsidRPr="005C556C">
        <w:rPr>
          <w:sz w:val="18"/>
          <w:lang w:val="fr-FR"/>
        </w:rPr>
        <w:t>’</w:t>
      </w:r>
      <w:r w:rsidR="00413FA1" w:rsidRPr="005C556C">
        <w:rPr>
          <w:sz w:val="18"/>
          <w:lang w:val="fr-FR"/>
        </w:rPr>
        <w:t xml:space="preserve">apex peut être différenciée en une </w:t>
      </w:r>
      <w:r w:rsidR="00817667" w:rsidRPr="005C556C">
        <w:rPr>
          <w:sz w:val="18"/>
          <w:lang w:val="fr-FR"/>
        </w:rPr>
        <w:t>‘</w:t>
      </w:r>
      <w:r w:rsidR="00413FA1" w:rsidRPr="005C556C">
        <w:rPr>
          <w:sz w:val="18"/>
          <w:lang w:val="fr-FR"/>
        </w:rPr>
        <w:t>EXTRÉMITÉ</w:t>
      </w:r>
      <w:r w:rsidR="00817667" w:rsidRPr="005C556C">
        <w:rPr>
          <w:sz w:val="18"/>
          <w:lang w:val="fr-FR"/>
        </w:rPr>
        <w:t>’</w:t>
      </w:r>
      <w:r w:rsidR="00B21841" w:rsidRPr="005C556C">
        <w:rPr>
          <w:sz w:val="18"/>
          <w:lang w:val="fr-FR"/>
        </w:rPr>
        <w:t>.</w:t>
      </w:r>
    </w:p>
    <w:p w:rsidR="0058402C" w:rsidRPr="005C556C" w:rsidRDefault="0058402C" w:rsidP="005C556C">
      <w:pPr>
        <w:keepNext/>
        <w:ind w:left="567" w:right="567"/>
        <w:rPr>
          <w:sz w:val="18"/>
          <w:lang w:val="fr-FR"/>
        </w:rPr>
      </w:pPr>
    </w:p>
    <w:p w:rsidR="00817667" w:rsidRPr="005C556C" w:rsidRDefault="00504E54" w:rsidP="005C556C">
      <w:pPr>
        <w:ind w:left="567" w:right="567"/>
        <w:rPr>
          <w:sz w:val="18"/>
          <w:lang w:val="fr-FR"/>
        </w:rPr>
      </w:pPr>
      <w:r>
        <w:rPr>
          <w:sz w:val="18"/>
          <w:shd w:val="clear" w:color="auto" w:fill="FFFFFF"/>
          <w:lang w:val="fr-FR"/>
        </w:rPr>
        <w:t>“2.4.2</w:t>
      </w:r>
      <w:r>
        <w:rPr>
          <w:sz w:val="18"/>
          <w:shd w:val="clear" w:color="auto" w:fill="FFFFFF"/>
          <w:lang w:val="fr-FR"/>
        </w:rPr>
        <w:tab/>
      </w:r>
      <w:r w:rsidR="00413FA1" w:rsidRPr="005C556C">
        <w:rPr>
          <w:sz w:val="18"/>
          <w:shd w:val="clear" w:color="auto" w:fill="FFFFFF"/>
          <w:lang w:val="fr-FR"/>
        </w:rPr>
        <w:t>Afin de décrire l</w:t>
      </w:r>
      <w:r w:rsidR="00817667" w:rsidRPr="005C556C">
        <w:rPr>
          <w:sz w:val="18"/>
          <w:shd w:val="clear" w:color="auto" w:fill="FFFFFF"/>
          <w:lang w:val="fr-FR"/>
        </w:rPr>
        <w:t>’</w:t>
      </w:r>
      <w:r w:rsidR="00413FA1" w:rsidRPr="005C556C">
        <w:rPr>
          <w:sz w:val="18"/>
          <w:shd w:val="clear" w:color="auto" w:fill="FFFFFF"/>
          <w:lang w:val="fr-FR"/>
        </w:rPr>
        <w:t>apex, la taille de l</w:t>
      </w:r>
      <w:r w:rsidR="00817667" w:rsidRPr="005C556C">
        <w:rPr>
          <w:sz w:val="18"/>
          <w:shd w:val="clear" w:color="auto" w:fill="FFFFFF"/>
          <w:lang w:val="fr-FR"/>
        </w:rPr>
        <w:t>’</w:t>
      </w:r>
      <w:r w:rsidR="00413FA1" w:rsidRPr="005C556C">
        <w:rPr>
          <w:sz w:val="18"/>
          <w:shd w:val="clear" w:color="auto" w:fill="FFFFFF"/>
          <w:lang w:val="fr-FR"/>
        </w:rPr>
        <w:t>organe et les différentes formes de l</w:t>
      </w:r>
      <w:r w:rsidR="00817667" w:rsidRPr="005C556C">
        <w:rPr>
          <w:sz w:val="18"/>
          <w:shd w:val="clear" w:color="auto" w:fill="FFFFFF"/>
          <w:lang w:val="fr-FR"/>
        </w:rPr>
        <w:t>’</w:t>
      </w:r>
      <w:r w:rsidR="00413FA1" w:rsidRPr="005C556C">
        <w:rPr>
          <w:sz w:val="18"/>
          <w:shd w:val="clear" w:color="auto" w:fill="FFFFFF"/>
          <w:lang w:val="fr-FR"/>
        </w:rPr>
        <w:t xml:space="preserve">apex doivent prises en considération. </w:t>
      </w:r>
      <w:r w:rsidR="00824A4B" w:rsidRPr="005C556C">
        <w:rPr>
          <w:sz w:val="18"/>
          <w:shd w:val="clear" w:color="auto" w:fill="FFFFFF"/>
          <w:lang w:val="fr-FR"/>
        </w:rPr>
        <w:t xml:space="preserve"> </w:t>
      </w:r>
      <w:r w:rsidR="00413FA1" w:rsidRPr="005C556C">
        <w:rPr>
          <w:sz w:val="18"/>
          <w:shd w:val="clear" w:color="auto" w:fill="FFFFFF"/>
          <w:lang w:val="fr-FR"/>
        </w:rPr>
        <w:t>Les caractères liés à l</w:t>
      </w:r>
      <w:r w:rsidR="00817667" w:rsidRPr="005C556C">
        <w:rPr>
          <w:sz w:val="18"/>
          <w:shd w:val="clear" w:color="auto" w:fill="FFFFFF"/>
          <w:lang w:val="fr-FR"/>
        </w:rPr>
        <w:t>’</w:t>
      </w:r>
      <w:r w:rsidR="00413FA1" w:rsidRPr="005C556C">
        <w:rPr>
          <w:sz w:val="18"/>
          <w:shd w:val="clear" w:color="auto" w:fill="FFFFFF"/>
          <w:lang w:val="fr-FR"/>
        </w:rPr>
        <w:t>apex peuvent être décrits en utilisant des termes simples et lorsque l</w:t>
      </w:r>
      <w:r w:rsidR="00817667" w:rsidRPr="005C556C">
        <w:rPr>
          <w:sz w:val="18"/>
          <w:shd w:val="clear" w:color="auto" w:fill="FFFFFF"/>
          <w:lang w:val="fr-FR"/>
        </w:rPr>
        <w:t>’</w:t>
      </w:r>
      <w:r w:rsidR="00413FA1" w:rsidRPr="005C556C">
        <w:rPr>
          <w:sz w:val="18"/>
          <w:shd w:val="clear" w:color="auto" w:fill="FFFFFF"/>
          <w:lang w:val="fr-FR"/>
        </w:rPr>
        <w:t xml:space="preserve">extrémité est différenciée, il est possible de recourir à un caractère indépendant pour la décrire. </w:t>
      </w:r>
      <w:r w:rsidR="00824A4B" w:rsidRPr="005C556C">
        <w:rPr>
          <w:sz w:val="18"/>
          <w:shd w:val="clear" w:color="auto" w:fill="FFFFFF"/>
          <w:lang w:val="fr-FR"/>
        </w:rPr>
        <w:t xml:space="preserve"> </w:t>
      </w:r>
      <w:r w:rsidR="00413FA1" w:rsidRPr="005C556C">
        <w:rPr>
          <w:sz w:val="18"/>
          <w:shd w:val="clear" w:color="auto" w:fill="FFFFFF"/>
          <w:lang w:val="fr-FR"/>
        </w:rPr>
        <w:t>Il n</w:t>
      </w:r>
      <w:r w:rsidR="00817667" w:rsidRPr="005C556C">
        <w:rPr>
          <w:sz w:val="18"/>
          <w:shd w:val="clear" w:color="auto" w:fill="FFFFFF"/>
          <w:lang w:val="fr-FR"/>
        </w:rPr>
        <w:t>’</w:t>
      </w:r>
      <w:r w:rsidR="00413FA1" w:rsidRPr="005C556C">
        <w:rPr>
          <w:sz w:val="18"/>
          <w:shd w:val="clear" w:color="auto" w:fill="FFFFFF"/>
          <w:lang w:val="fr-FR"/>
        </w:rPr>
        <w:t>est généralement pas nécessaire d</w:t>
      </w:r>
      <w:r w:rsidR="00817667" w:rsidRPr="005C556C">
        <w:rPr>
          <w:sz w:val="18"/>
          <w:shd w:val="clear" w:color="auto" w:fill="FFFFFF"/>
          <w:lang w:val="fr-FR"/>
        </w:rPr>
        <w:t>’</w:t>
      </w:r>
      <w:r w:rsidR="00413FA1" w:rsidRPr="005C556C">
        <w:rPr>
          <w:sz w:val="18"/>
          <w:shd w:val="clear" w:color="auto" w:fill="FFFFFF"/>
          <w:lang w:val="fr-FR"/>
        </w:rPr>
        <w:t>élaborer un caractère indépendant lié à la forme de l</w:t>
      </w:r>
      <w:r w:rsidR="00817667" w:rsidRPr="005C556C">
        <w:rPr>
          <w:sz w:val="18"/>
          <w:shd w:val="clear" w:color="auto" w:fill="FFFFFF"/>
          <w:lang w:val="fr-FR"/>
        </w:rPr>
        <w:t>’</w:t>
      </w:r>
      <w:r w:rsidR="00413FA1" w:rsidRPr="005C556C">
        <w:rPr>
          <w:sz w:val="18"/>
          <w:shd w:val="clear" w:color="auto" w:fill="FFFFFF"/>
          <w:lang w:val="fr-FR"/>
        </w:rPr>
        <w:t>apex</w:t>
      </w:r>
      <w:r w:rsidR="00B21841" w:rsidRPr="005C556C">
        <w:rPr>
          <w:sz w:val="18"/>
          <w:shd w:val="clear" w:color="auto" w:fill="FFFFFF"/>
          <w:lang w:val="fr-FR"/>
        </w:rPr>
        <w:t>.</w:t>
      </w:r>
    </w:p>
    <w:p w:rsidR="0058402C" w:rsidRPr="005C556C" w:rsidRDefault="0058402C" w:rsidP="005C556C">
      <w:pPr>
        <w:ind w:left="567" w:right="567"/>
        <w:rPr>
          <w:sz w:val="18"/>
          <w:lang w:val="fr-FR"/>
        </w:rPr>
      </w:pPr>
    </w:p>
    <w:p w:rsidR="0058402C" w:rsidRPr="005C556C" w:rsidRDefault="001B22AA" w:rsidP="005C556C">
      <w:pPr>
        <w:ind w:left="567" w:right="567"/>
        <w:rPr>
          <w:sz w:val="18"/>
          <w:lang w:val="fr-FR"/>
        </w:rPr>
      </w:pPr>
      <w:r w:rsidRPr="005C556C">
        <w:rPr>
          <w:sz w:val="18"/>
          <w:lang w:val="fr-FR"/>
        </w:rPr>
        <w:t>“2.4.3</w:t>
      </w:r>
      <w:r w:rsidRPr="005C556C">
        <w:rPr>
          <w:sz w:val="18"/>
          <w:lang w:val="fr-FR"/>
        </w:rPr>
        <w:tab/>
      </w:r>
      <w:r w:rsidR="00413FA1" w:rsidRPr="005C556C">
        <w:rPr>
          <w:sz w:val="18"/>
          <w:lang w:val="fr-FR"/>
        </w:rPr>
        <w:t>Dans les cas où il y a lieu de différencier les caractères liés à l</w:t>
      </w:r>
      <w:r w:rsidR="00817667" w:rsidRPr="005C556C">
        <w:rPr>
          <w:sz w:val="18"/>
          <w:lang w:val="fr-FR"/>
        </w:rPr>
        <w:t>’</w:t>
      </w:r>
      <w:r w:rsidR="00413FA1" w:rsidRPr="005C556C">
        <w:rPr>
          <w:sz w:val="18"/>
          <w:lang w:val="fr-FR"/>
        </w:rPr>
        <w:t>extrémité de ceux liés à l</w:t>
      </w:r>
      <w:r w:rsidR="00817667" w:rsidRPr="005C556C">
        <w:rPr>
          <w:sz w:val="18"/>
          <w:lang w:val="fr-FR"/>
        </w:rPr>
        <w:t>’</w:t>
      </w:r>
      <w:r w:rsidR="00413FA1" w:rsidRPr="005C556C">
        <w:rPr>
          <w:sz w:val="18"/>
          <w:lang w:val="fr-FR"/>
        </w:rPr>
        <w:t>apex, la forme de l</w:t>
      </w:r>
      <w:r w:rsidR="00817667" w:rsidRPr="005C556C">
        <w:rPr>
          <w:sz w:val="18"/>
          <w:lang w:val="fr-FR"/>
        </w:rPr>
        <w:t>’</w:t>
      </w:r>
      <w:r w:rsidR="00413FA1" w:rsidRPr="005C556C">
        <w:rPr>
          <w:sz w:val="18"/>
          <w:lang w:val="fr-FR"/>
        </w:rPr>
        <w:t>apex est alors considérée comme la forme générale, à l</w:t>
      </w:r>
      <w:r w:rsidR="00817667" w:rsidRPr="005C556C">
        <w:rPr>
          <w:sz w:val="18"/>
          <w:lang w:val="fr-FR"/>
        </w:rPr>
        <w:t>’</w:t>
      </w:r>
      <w:r w:rsidR="00413FA1" w:rsidRPr="005C556C">
        <w:rPr>
          <w:sz w:val="18"/>
          <w:lang w:val="fr-FR"/>
        </w:rPr>
        <w:t>exclusion d</w:t>
      </w:r>
      <w:r w:rsidR="00817667" w:rsidRPr="005C556C">
        <w:rPr>
          <w:sz w:val="18"/>
          <w:lang w:val="fr-FR"/>
        </w:rPr>
        <w:t>’</w:t>
      </w:r>
      <w:r w:rsidR="00413FA1" w:rsidRPr="005C556C">
        <w:rPr>
          <w:sz w:val="18"/>
          <w:lang w:val="fr-FR"/>
        </w:rPr>
        <w:t>une extrémité différenciée (si elle est présente) et la différenciation entre l</w:t>
      </w:r>
      <w:r w:rsidR="00817667" w:rsidRPr="005C556C">
        <w:rPr>
          <w:sz w:val="18"/>
          <w:lang w:val="fr-FR"/>
        </w:rPr>
        <w:t>’</w:t>
      </w:r>
      <w:r w:rsidR="00413FA1" w:rsidRPr="005C556C">
        <w:rPr>
          <w:sz w:val="18"/>
          <w:lang w:val="fr-FR"/>
        </w:rPr>
        <w:t>extrémité et l</w:t>
      </w:r>
      <w:r w:rsidR="00817667" w:rsidRPr="005C556C">
        <w:rPr>
          <w:sz w:val="18"/>
          <w:lang w:val="fr-FR"/>
        </w:rPr>
        <w:t>’</w:t>
      </w:r>
      <w:r w:rsidR="00413FA1" w:rsidRPr="005C556C">
        <w:rPr>
          <w:sz w:val="18"/>
          <w:lang w:val="fr-FR"/>
        </w:rPr>
        <w:t>apex doit être indiquée dans l</w:t>
      </w:r>
      <w:r w:rsidR="00817667" w:rsidRPr="005C556C">
        <w:rPr>
          <w:sz w:val="18"/>
          <w:lang w:val="fr-FR"/>
        </w:rPr>
        <w:t>’</w:t>
      </w:r>
      <w:r w:rsidR="00413FA1" w:rsidRPr="005C556C">
        <w:rPr>
          <w:sz w:val="18"/>
          <w:lang w:val="fr-FR"/>
        </w:rPr>
        <w:t xml:space="preserve">explication du caractère. </w:t>
      </w:r>
      <w:r w:rsidR="00824A4B" w:rsidRPr="005C556C">
        <w:rPr>
          <w:sz w:val="18"/>
          <w:lang w:val="fr-FR"/>
        </w:rPr>
        <w:t xml:space="preserve"> </w:t>
      </w:r>
      <w:r w:rsidR="00413FA1" w:rsidRPr="005C556C">
        <w:rPr>
          <w:sz w:val="18"/>
          <w:lang w:val="fr-FR"/>
        </w:rPr>
        <w:t>Par exemple</w:t>
      </w:r>
      <w:r w:rsidR="00824A4B" w:rsidRPr="005C556C">
        <w:rPr>
          <w:sz w:val="18"/>
          <w:lang w:val="fr-FR"/>
        </w:rPr>
        <w:t> </w:t>
      </w:r>
      <w:r w:rsidR="00703661" w:rsidRPr="005C556C">
        <w:rPr>
          <w:sz w:val="18"/>
          <w:lang w:val="fr-FR"/>
        </w:rPr>
        <w:t>: […]”</w:t>
      </w:r>
    </w:p>
    <w:p w:rsidR="0058402C" w:rsidRPr="005C556C" w:rsidRDefault="0058402C" w:rsidP="005C556C">
      <w:pPr>
        <w:ind w:left="567" w:right="567"/>
        <w:rPr>
          <w:sz w:val="18"/>
          <w:lang w:val="fr-FR"/>
        </w:rPr>
      </w:pPr>
    </w:p>
    <w:p w:rsidR="0058402C" w:rsidRPr="005C556C" w:rsidRDefault="00B21841"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03661" w:rsidRPr="005C556C">
        <w:rPr>
          <w:lang w:val="fr-FR"/>
        </w:rPr>
        <w:t xml:space="preserve">Le CAJ note que des modifications rédactionnelles doivent être apportées au projet de </w:t>
      </w:r>
      <w:r w:rsidR="00B764A5" w:rsidRPr="005C556C">
        <w:rPr>
          <w:lang w:val="fr-FR"/>
        </w:rPr>
        <w:t>texte en</w:t>
      </w:r>
      <w:r w:rsidR="00703661" w:rsidRPr="005C556C">
        <w:rPr>
          <w:lang w:val="fr-FR"/>
        </w:rPr>
        <w:t xml:space="preserve"> allemand et rappelle que les experts linguistiques du Comité de rédaction seront invités à vérifier les traductions française, allemande et espagnole de tous les documents techniques avant leur établissement pour adoption par le Conseil</w:t>
      </w:r>
      <w:r w:rsidRPr="005C556C">
        <w:rPr>
          <w:lang w:val="fr-FR"/>
        </w:rPr>
        <w:t>.</w:t>
      </w:r>
    </w:p>
    <w:p w:rsidR="0058402C" w:rsidRPr="005C556C" w:rsidRDefault="0058402C" w:rsidP="00893041">
      <w:pPr>
        <w:spacing w:line="360" w:lineRule="auto"/>
        <w:rPr>
          <w:lang w:val="fr-FR"/>
        </w:rPr>
      </w:pPr>
    </w:p>
    <w:p w:rsidR="0058402C" w:rsidRPr="005C556C" w:rsidRDefault="001B22AA" w:rsidP="005C556C">
      <w:pPr>
        <w:keepNext/>
        <w:rPr>
          <w:i/>
          <w:lang w:val="fr-FR"/>
        </w:rPr>
      </w:pPr>
      <w:r w:rsidRPr="005C556C">
        <w:rPr>
          <w:i/>
          <w:lang w:val="fr-FR"/>
        </w:rPr>
        <w:t>TGP/14 : Glossaire des termes utilisés dans les documents de l</w:t>
      </w:r>
      <w:r w:rsidR="00817667" w:rsidRPr="005C556C">
        <w:rPr>
          <w:i/>
          <w:lang w:val="fr-FR"/>
        </w:rPr>
        <w:t>’</w:t>
      </w:r>
      <w:r w:rsidRPr="005C556C">
        <w:rPr>
          <w:i/>
          <w:lang w:val="fr-FR"/>
        </w:rPr>
        <w:t>UPOV</w:t>
      </w:r>
    </w:p>
    <w:p w:rsidR="0058402C" w:rsidRPr="005C556C" w:rsidRDefault="0058402C" w:rsidP="005C556C">
      <w:pPr>
        <w:keepNext/>
        <w:rPr>
          <w:lang w:val="fr-FR"/>
        </w:rPr>
      </w:pPr>
    </w:p>
    <w:p w:rsidR="00817667" w:rsidRPr="005C556C" w:rsidRDefault="009804B0"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03661" w:rsidRPr="005C556C">
        <w:rPr>
          <w:lang w:val="fr-FR"/>
        </w:rPr>
        <w:t>Le</w:t>
      </w:r>
      <w:r w:rsidRPr="005C556C">
        <w:rPr>
          <w:lang w:val="fr-FR"/>
        </w:rPr>
        <w:t xml:space="preserve"> CAJ </w:t>
      </w:r>
      <w:r w:rsidR="00703661" w:rsidRPr="005C556C">
        <w:rPr>
          <w:lang w:val="fr-FR"/>
        </w:rPr>
        <w:t xml:space="preserve">prend </w:t>
      </w:r>
      <w:r w:rsidR="00D10FAE" w:rsidRPr="005C556C">
        <w:rPr>
          <w:lang w:val="fr-FR"/>
        </w:rPr>
        <w:t xml:space="preserve">note </w:t>
      </w:r>
      <w:r w:rsidR="00703661" w:rsidRPr="005C556C">
        <w:rPr>
          <w:lang w:val="fr-FR"/>
        </w:rPr>
        <w:t>de la</w:t>
      </w:r>
      <w:r w:rsidR="00D10FAE" w:rsidRPr="005C556C">
        <w:rPr>
          <w:lang w:val="fr-FR"/>
        </w:rPr>
        <w:t xml:space="preserve"> correction </w:t>
      </w:r>
      <w:r w:rsidR="00703661" w:rsidRPr="005C556C">
        <w:rPr>
          <w:lang w:val="fr-FR"/>
        </w:rPr>
        <w:t>apportée à la traduction française du terme anglais désignant le groupe de couleur “dark</w:t>
      </w:r>
      <w:r w:rsidR="00B764A5" w:rsidRPr="005C556C">
        <w:rPr>
          <w:lang w:val="fr-FR"/>
        </w:rPr>
        <w:t xml:space="preserve"> purple red” qui devient “rouge</w:t>
      </w:r>
      <w:r w:rsidR="002C6DE0" w:rsidRPr="005C556C">
        <w:rPr>
          <w:szCs w:val="22"/>
          <w:lang w:val="fr-FR"/>
        </w:rPr>
        <w:noBreakHyphen/>
      </w:r>
      <w:r w:rsidR="00703661" w:rsidRPr="005C556C">
        <w:rPr>
          <w:lang w:val="fr-FR"/>
        </w:rPr>
        <w:t xml:space="preserve">pourpre foncé” dans </w:t>
      </w:r>
      <w:r w:rsidR="007C1561" w:rsidRPr="005C556C">
        <w:rPr>
          <w:lang w:val="fr-FR"/>
        </w:rPr>
        <w:t>la sous</w:t>
      </w:r>
      <w:r w:rsidR="002C6DE0" w:rsidRPr="005C556C">
        <w:rPr>
          <w:szCs w:val="22"/>
          <w:lang w:val="fr-FR"/>
        </w:rPr>
        <w:noBreakHyphen/>
      </w:r>
      <w:r w:rsidR="007C1561" w:rsidRPr="005C556C">
        <w:rPr>
          <w:lang w:val="fr-FR"/>
        </w:rPr>
        <w:t>section</w:t>
      </w:r>
      <w:r w:rsidR="00824A4B" w:rsidRPr="005C556C">
        <w:rPr>
          <w:lang w:val="fr-FR"/>
        </w:rPr>
        <w:t> </w:t>
      </w:r>
      <w:r w:rsidR="007C1561" w:rsidRPr="005C556C">
        <w:rPr>
          <w:lang w:val="fr-FR"/>
        </w:rPr>
        <w:t>3 “Couleur” du</w:t>
      </w:r>
      <w:r w:rsidR="00703661" w:rsidRPr="005C556C">
        <w:rPr>
          <w:lang w:val="fr-FR"/>
        </w:rPr>
        <w:t xml:space="preserve"> document TGP/14, </w:t>
      </w:r>
      <w:r w:rsidR="007C1561" w:rsidRPr="005C556C">
        <w:rPr>
          <w:lang w:val="fr-FR"/>
        </w:rPr>
        <w:t xml:space="preserve">comme indiqué </w:t>
      </w:r>
      <w:r w:rsidR="00B764A5" w:rsidRPr="005C556C">
        <w:rPr>
          <w:lang w:val="fr-FR"/>
        </w:rPr>
        <w:t>au paragraphe</w:t>
      </w:r>
      <w:r w:rsidR="00824A4B" w:rsidRPr="005C556C">
        <w:rPr>
          <w:lang w:val="fr-FR"/>
        </w:rPr>
        <w:t> </w:t>
      </w:r>
      <w:r w:rsidR="00B764A5" w:rsidRPr="005C556C">
        <w:rPr>
          <w:lang w:val="fr-FR"/>
        </w:rPr>
        <w:t>14 du document CAJ/71/7</w:t>
      </w:r>
      <w:r w:rsidR="00D10FAE" w:rsidRPr="005C556C">
        <w:rPr>
          <w:lang w:val="fr-FR"/>
        </w:rPr>
        <w:t>.</w:t>
      </w:r>
    </w:p>
    <w:p w:rsidR="0058402C" w:rsidRPr="005C556C" w:rsidRDefault="0058402C" w:rsidP="00893041">
      <w:pPr>
        <w:spacing w:line="360" w:lineRule="auto"/>
        <w:rPr>
          <w:lang w:val="fr-FR"/>
        </w:rPr>
      </w:pPr>
    </w:p>
    <w:p w:rsidR="0058402C" w:rsidRPr="005C556C" w:rsidRDefault="008C63BE" w:rsidP="00504E54">
      <w:pPr>
        <w:keepNext/>
        <w:keepLines/>
        <w:rPr>
          <w:i/>
          <w:lang w:val="fr-FR"/>
        </w:rPr>
      </w:pPr>
      <w:r w:rsidRPr="005C556C">
        <w:rPr>
          <w:i/>
          <w:lang w:val="fr-FR"/>
        </w:rPr>
        <w:lastRenderedPageBreak/>
        <w:t xml:space="preserve">TGP/5 : </w:t>
      </w:r>
      <w:r w:rsidR="001B22AA" w:rsidRPr="005C556C">
        <w:rPr>
          <w:i/>
          <w:lang w:val="fr-FR"/>
        </w:rPr>
        <w:t>Expérience et coop</w:t>
      </w:r>
      <w:r w:rsidRPr="005C556C">
        <w:rPr>
          <w:i/>
          <w:lang w:val="fr-FR"/>
        </w:rPr>
        <w:t>ération en matière d</w:t>
      </w:r>
      <w:r w:rsidR="00817667" w:rsidRPr="005C556C">
        <w:rPr>
          <w:i/>
          <w:lang w:val="fr-FR"/>
        </w:rPr>
        <w:t>’</w:t>
      </w:r>
      <w:r w:rsidRPr="005C556C">
        <w:rPr>
          <w:i/>
          <w:lang w:val="fr-FR"/>
        </w:rPr>
        <w:t>examen DHS</w:t>
      </w:r>
    </w:p>
    <w:p w:rsidR="0058402C" w:rsidRPr="005C556C" w:rsidRDefault="0058402C" w:rsidP="00504E54">
      <w:pPr>
        <w:keepNext/>
        <w:keepLines/>
        <w:rPr>
          <w:lang w:val="fr-FR"/>
        </w:rPr>
      </w:pPr>
    </w:p>
    <w:p w:rsidR="0058402C" w:rsidRPr="005C556C" w:rsidRDefault="0080264F" w:rsidP="00C21E7B">
      <w:pPr>
        <w:keepNext/>
        <w:keepLines/>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703661" w:rsidRPr="005C556C">
        <w:rPr>
          <w:lang w:val="fr-FR"/>
        </w:rPr>
        <w:t>Le</w:t>
      </w:r>
      <w:r w:rsidRPr="005C556C">
        <w:rPr>
          <w:lang w:val="fr-FR"/>
        </w:rPr>
        <w:t xml:space="preserve"> CAJ </w:t>
      </w:r>
      <w:r w:rsidR="00703661" w:rsidRPr="005C556C">
        <w:rPr>
          <w:lang w:val="fr-FR"/>
        </w:rPr>
        <w:t>convient que la section</w:t>
      </w:r>
      <w:r w:rsidR="00824A4B" w:rsidRPr="005C556C">
        <w:rPr>
          <w:lang w:val="fr-FR"/>
        </w:rPr>
        <w:t> </w:t>
      </w:r>
      <w:r w:rsidR="00703661" w:rsidRPr="005C556C">
        <w:rPr>
          <w:lang w:val="fr-FR"/>
        </w:rPr>
        <w:t xml:space="preserve">3 du </w:t>
      </w:r>
      <w:r w:rsidRPr="005C556C">
        <w:rPr>
          <w:lang w:val="fr-FR"/>
        </w:rPr>
        <w:t>document TGP/5</w:t>
      </w:r>
      <w:r w:rsidR="00703661" w:rsidRPr="005C556C">
        <w:rPr>
          <w:lang w:val="fr-FR"/>
        </w:rPr>
        <w:t xml:space="preserve"> devrait être libellée comme suit</w:t>
      </w:r>
      <w:r w:rsidR="00824A4B" w:rsidRPr="005C556C">
        <w:rPr>
          <w:lang w:val="fr-FR"/>
        </w:rPr>
        <w:t> </w:t>
      </w:r>
      <w:r w:rsidRPr="005C556C">
        <w:rPr>
          <w:lang w:val="fr-FR"/>
        </w:rPr>
        <w:t>:</w:t>
      </w:r>
    </w:p>
    <w:p w:rsidR="0058402C" w:rsidRPr="005C556C" w:rsidRDefault="0058402C" w:rsidP="00504E54">
      <w:pPr>
        <w:keepLines/>
        <w:rPr>
          <w:lang w:val="fr-FR"/>
        </w:rPr>
      </w:pPr>
    </w:p>
    <w:p w:rsidR="0058402C" w:rsidRPr="005C556C" w:rsidRDefault="0080264F" w:rsidP="00504E54">
      <w:pPr>
        <w:keepLines/>
        <w:ind w:left="567" w:right="567" w:firstLine="567"/>
        <w:rPr>
          <w:sz w:val="18"/>
          <w:lang w:val="fr-FR"/>
        </w:rPr>
      </w:pPr>
      <w:r w:rsidRPr="005C556C">
        <w:rPr>
          <w:sz w:val="18"/>
          <w:lang w:val="fr-FR"/>
        </w:rPr>
        <w:t>“</w:t>
      </w:r>
      <w:r w:rsidR="00703661" w:rsidRPr="005C556C">
        <w:rPr>
          <w:sz w:val="18"/>
          <w:lang w:val="fr-FR"/>
        </w:rPr>
        <w:t>On trouvera un questionnaire technique type dans le document TGP/7, intitulé “Élaboration des principes directeurs d</w:t>
      </w:r>
      <w:r w:rsidR="00817667" w:rsidRPr="005C556C">
        <w:rPr>
          <w:sz w:val="18"/>
          <w:lang w:val="fr-FR"/>
        </w:rPr>
        <w:t>’</w:t>
      </w:r>
      <w:r w:rsidR="00703661" w:rsidRPr="005C556C">
        <w:rPr>
          <w:sz w:val="18"/>
          <w:lang w:val="fr-FR"/>
        </w:rPr>
        <w:t>examen”</w:t>
      </w:r>
      <w:r w:rsidR="00824A4B" w:rsidRPr="005C556C">
        <w:rPr>
          <w:sz w:val="18"/>
          <w:lang w:val="fr-FR"/>
        </w:rPr>
        <w:t> </w:t>
      </w:r>
      <w:r w:rsidR="00703661" w:rsidRPr="005C556C">
        <w:rPr>
          <w:sz w:val="18"/>
          <w:lang w:val="fr-FR"/>
        </w:rPr>
        <w:t>: annexe</w:t>
      </w:r>
      <w:r w:rsidR="00824A4B" w:rsidRPr="005C556C">
        <w:rPr>
          <w:sz w:val="18"/>
          <w:lang w:val="fr-FR"/>
        </w:rPr>
        <w:t> </w:t>
      </w:r>
      <w:r w:rsidR="00703661" w:rsidRPr="005C556C">
        <w:rPr>
          <w:sz w:val="18"/>
          <w:lang w:val="fr-FR"/>
        </w:rPr>
        <w:t>1</w:t>
      </w:r>
      <w:r w:rsidR="00824A4B" w:rsidRPr="005C556C">
        <w:rPr>
          <w:sz w:val="18"/>
          <w:lang w:val="fr-FR"/>
        </w:rPr>
        <w:t> </w:t>
      </w:r>
      <w:r w:rsidR="00703661" w:rsidRPr="005C556C">
        <w:rPr>
          <w:sz w:val="18"/>
          <w:lang w:val="fr-FR"/>
        </w:rPr>
        <w:t>: modèle de principes directeurs d</w:t>
      </w:r>
      <w:r w:rsidR="00817667" w:rsidRPr="005C556C">
        <w:rPr>
          <w:sz w:val="18"/>
          <w:lang w:val="fr-FR"/>
        </w:rPr>
        <w:t>’</w:t>
      </w:r>
      <w:r w:rsidR="00703661" w:rsidRPr="005C556C">
        <w:rPr>
          <w:sz w:val="18"/>
          <w:lang w:val="fr-FR"/>
        </w:rPr>
        <w:t>examen</w:t>
      </w:r>
      <w:r w:rsidR="00824A4B" w:rsidRPr="005C556C">
        <w:rPr>
          <w:sz w:val="18"/>
          <w:lang w:val="fr-FR"/>
        </w:rPr>
        <w:t> </w:t>
      </w:r>
      <w:r w:rsidR="00703661" w:rsidRPr="005C556C">
        <w:rPr>
          <w:sz w:val="18"/>
          <w:lang w:val="fr-FR"/>
        </w:rPr>
        <w:t>: chapitre</w:t>
      </w:r>
      <w:r w:rsidR="00824A4B" w:rsidRPr="005C556C">
        <w:rPr>
          <w:sz w:val="18"/>
          <w:lang w:val="fr-FR"/>
        </w:rPr>
        <w:t> </w:t>
      </w:r>
      <w:r w:rsidR="00703661" w:rsidRPr="005C556C">
        <w:rPr>
          <w:sz w:val="18"/>
          <w:lang w:val="fr-FR"/>
        </w:rPr>
        <w:t>10.  Les principes directeurs d</w:t>
      </w:r>
      <w:r w:rsidR="00817667" w:rsidRPr="005C556C">
        <w:rPr>
          <w:sz w:val="18"/>
          <w:lang w:val="fr-FR"/>
        </w:rPr>
        <w:t>’</w:t>
      </w:r>
      <w:r w:rsidR="00703661" w:rsidRPr="005C556C">
        <w:rPr>
          <w:sz w:val="18"/>
          <w:lang w:val="fr-FR"/>
        </w:rPr>
        <w:t>examen de l</w:t>
      </w:r>
      <w:r w:rsidR="00817667" w:rsidRPr="005C556C">
        <w:rPr>
          <w:sz w:val="18"/>
          <w:lang w:val="fr-FR"/>
        </w:rPr>
        <w:t>’</w:t>
      </w:r>
      <w:r w:rsidR="00703661" w:rsidRPr="005C556C">
        <w:rPr>
          <w:sz w:val="18"/>
          <w:lang w:val="fr-FR"/>
        </w:rPr>
        <w:t xml:space="preserve">UPOV </w:t>
      </w:r>
      <w:r w:rsidRPr="005C556C">
        <w:rPr>
          <w:sz w:val="18"/>
          <w:lang w:val="fr-FR"/>
        </w:rPr>
        <w:t>(</w:t>
      </w:r>
      <w:hyperlink r:id="rId12" w:history="1">
        <w:r w:rsidR="000C6298" w:rsidRPr="00504E54">
          <w:rPr>
            <w:rStyle w:val="Hyperlink"/>
            <w:sz w:val="18"/>
            <w:lang w:val="fr-FR"/>
          </w:rPr>
          <w:t>http://www.upov.int/edocs/tgpdocs/fr/tgp_7.pdf</w:t>
        </w:r>
      </w:hyperlink>
      <w:r w:rsidRPr="005C556C">
        <w:rPr>
          <w:sz w:val="18"/>
          <w:lang w:val="fr-FR"/>
        </w:rPr>
        <w:t xml:space="preserve">) </w:t>
      </w:r>
      <w:r w:rsidR="00703661" w:rsidRPr="005C556C">
        <w:rPr>
          <w:sz w:val="18"/>
          <w:lang w:val="fr-FR"/>
        </w:rPr>
        <w:t>contiennent, au chapitre</w:t>
      </w:r>
      <w:r w:rsidR="00824A4B" w:rsidRPr="005C556C">
        <w:rPr>
          <w:sz w:val="18"/>
          <w:lang w:val="fr-FR"/>
        </w:rPr>
        <w:t> </w:t>
      </w:r>
      <w:r w:rsidR="00703661" w:rsidRPr="005C556C">
        <w:rPr>
          <w:sz w:val="18"/>
          <w:lang w:val="fr-FR"/>
        </w:rPr>
        <w:t>10, un questionnaire technique particulier pour les variétés sur lesquelles ils portent</w:t>
      </w:r>
      <w:r w:rsidRPr="005C556C">
        <w:rPr>
          <w:sz w:val="18"/>
          <w:lang w:val="fr-FR"/>
        </w:rPr>
        <w:t>.”</w:t>
      </w:r>
    </w:p>
    <w:p w:rsidR="0058402C" w:rsidRPr="005C556C" w:rsidRDefault="0058402C" w:rsidP="005C556C">
      <w:pPr>
        <w:rPr>
          <w:lang w:val="fr-FR"/>
        </w:rPr>
      </w:pPr>
    </w:p>
    <w:p w:rsidR="0058402C" w:rsidRPr="005C556C" w:rsidRDefault="004A0CA9" w:rsidP="00504E54">
      <w:pPr>
        <w:pStyle w:val="Heading4"/>
      </w:pPr>
      <w:r w:rsidRPr="005C556C">
        <w:t>i)</w:t>
      </w:r>
      <w:r w:rsidRPr="005C556C">
        <w:tab/>
      </w:r>
      <w:r w:rsidR="001B22AA" w:rsidRPr="005C556C">
        <w:t>Révision du document TGP/5</w:t>
      </w:r>
      <w:r w:rsidR="00824A4B" w:rsidRPr="005C556C">
        <w:t> </w:t>
      </w:r>
      <w:r w:rsidR="001B22AA" w:rsidRPr="005C556C">
        <w:t>: section</w:t>
      </w:r>
      <w:r w:rsidR="00824A4B" w:rsidRPr="005C556C">
        <w:t> </w:t>
      </w:r>
      <w:r w:rsidR="001B22AA" w:rsidRPr="005C556C">
        <w:t>3</w:t>
      </w:r>
      <w:r w:rsidR="00824A4B" w:rsidRPr="005C556C">
        <w:t> </w:t>
      </w:r>
      <w:r w:rsidR="001B22AA" w:rsidRPr="005C556C">
        <w:t>: Questionnaire technique à remplir en relation avec une demande de certificat d</w:t>
      </w:r>
      <w:r w:rsidR="00817667" w:rsidRPr="005C556C">
        <w:t>’</w:t>
      </w:r>
      <w:r w:rsidR="001B22AA" w:rsidRPr="005C556C">
        <w:t>obtention végétale</w:t>
      </w:r>
    </w:p>
    <w:p w:rsidR="0058402C" w:rsidRPr="005C556C" w:rsidRDefault="0058402C" w:rsidP="005C556C">
      <w:pPr>
        <w:rPr>
          <w:lang w:val="fr-FR"/>
        </w:rPr>
      </w:pPr>
    </w:p>
    <w:p w:rsidR="0058402C" w:rsidRPr="005C556C" w:rsidRDefault="0080264F"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C6298" w:rsidRPr="005C556C">
        <w:rPr>
          <w:lang w:val="fr-FR"/>
        </w:rPr>
        <w:t>Le CAJ convient que la section</w:t>
      </w:r>
      <w:r w:rsidR="00824A4B" w:rsidRPr="005C556C">
        <w:rPr>
          <w:lang w:val="fr-FR"/>
        </w:rPr>
        <w:t> </w:t>
      </w:r>
      <w:r w:rsidR="000C6298" w:rsidRPr="005C556C">
        <w:rPr>
          <w:lang w:val="fr-FR"/>
        </w:rPr>
        <w:t>3 du document TGP/5 devrait être libellée comme suit</w:t>
      </w:r>
      <w:r w:rsidR="00824A4B" w:rsidRPr="005C556C">
        <w:rPr>
          <w:lang w:val="fr-FR"/>
        </w:rPr>
        <w:t> </w:t>
      </w:r>
      <w:r w:rsidRPr="005C556C">
        <w:rPr>
          <w:lang w:val="fr-FR"/>
        </w:rPr>
        <w:t>:</w:t>
      </w:r>
    </w:p>
    <w:p w:rsidR="0058402C" w:rsidRPr="005C556C" w:rsidRDefault="0058402C" w:rsidP="005C556C">
      <w:pPr>
        <w:rPr>
          <w:lang w:val="fr-FR"/>
        </w:rPr>
      </w:pPr>
    </w:p>
    <w:p w:rsidR="0058402C" w:rsidRPr="005C556C" w:rsidRDefault="000C6298" w:rsidP="005C556C">
      <w:pPr>
        <w:ind w:left="567" w:right="567" w:firstLine="567"/>
        <w:rPr>
          <w:sz w:val="18"/>
          <w:lang w:val="fr-FR"/>
        </w:rPr>
      </w:pPr>
      <w:r w:rsidRPr="005C556C">
        <w:rPr>
          <w:sz w:val="18"/>
          <w:lang w:val="fr-FR"/>
        </w:rPr>
        <w:t>“On trouvera un questionnaire technique type dans le document TGP/7, intitulé “Élaboration des principes directeurs d</w:t>
      </w:r>
      <w:r w:rsidR="00817667" w:rsidRPr="005C556C">
        <w:rPr>
          <w:sz w:val="18"/>
          <w:lang w:val="fr-FR"/>
        </w:rPr>
        <w:t>’</w:t>
      </w:r>
      <w:r w:rsidRPr="005C556C">
        <w:rPr>
          <w:sz w:val="18"/>
          <w:lang w:val="fr-FR"/>
        </w:rPr>
        <w:t>examen”</w:t>
      </w:r>
      <w:r w:rsidR="00824A4B" w:rsidRPr="005C556C">
        <w:rPr>
          <w:sz w:val="18"/>
          <w:lang w:val="fr-FR"/>
        </w:rPr>
        <w:t> </w:t>
      </w:r>
      <w:r w:rsidRPr="005C556C">
        <w:rPr>
          <w:sz w:val="18"/>
          <w:lang w:val="fr-FR"/>
        </w:rPr>
        <w:t>: annexe</w:t>
      </w:r>
      <w:r w:rsidR="00824A4B" w:rsidRPr="005C556C">
        <w:rPr>
          <w:sz w:val="18"/>
          <w:lang w:val="fr-FR"/>
        </w:rPr>
        <w:t> </w:t>
      </w:r>
      <w:r w:rsidRPr="005C556C">
        <w:rPr>
          <w:sz w:val="18"/>
          <w:lang w:val="fr-FR"/>
        </w:rPr>
        <w:t>1</w:t>
      </w:r>
      <w:r w:rsidR="00824A4B" w:rsidRPr="005C556C">
        <w:rPr>
          <w:sz w:val="18"/>
          <w:lang w:val="fr-FR"/>
        </w:rPr>
        <w:t> </w:t>
      </w:r>
      <w:r w:rsidRPr="005C556C">
        <w:rPr>
          <w:sz w:val="18"/>
          <w:lang w:val="fr-FR"/>
        </w:rPr>
        <w:t>: modèle de principes directeurs d</w:t>
      </w:r>
      <w:r w:rsidR="00817667" w:rsidRPr="005C556C">
        <w:rPr>
          <w:sz w:val="18"/>
          <w:lang w:val="fr-FR"/>
        </w:rPr>
        <w:t>’</w:t>
      </w:r>
      <w:r w:rsidRPr="005C556C">
        <w:rPr>
          <w:sz w:val="18"/>
          <w:lang w:val="fr-FR"/>
        </w:rPr>
        <w:t>examen</w:t>
      </w:r>
      <w:r w:rsidR="00824A4B" w:rsidRPr="005C556C">
        <w:rPr>
          <w:sz w:val="18"/>
          <w:lang w:val="fr-FR"/>
        </w:rPr>
        <w:t> </w:t>
      </w:r>
      <w:r w:rsidRPr="005C556C">
        <w:rPr>
          <w:sz w:val="18"/>
          <w:lang w:val="fr-FR"/>
        </w:rPr>
        <w:t>: chapitre</w:t>
      </w:r>
      <w:r w:rsidR="00824A4B" w:rsidRPr="005C556C">
        <w:rPr>
          <w:sz w:val="18"/>
          <w:lang w:val="fr-FR"/>
        </w:rPr>
        <w:t> </w:t>
      </w:r>
      <w:r w:rsidRPr="005C556C">
        <w:rPr>
          <w:sz w:val="18"/>
          <w:lang w:val="fr-FR"/>
        </w:rPr>
        <w:t>10.  Les principes directeurs d</w:t>
      </w:r>
      <w:r w:rsidR="00817667" w:rsidRPr="005C556C">
        <w:rPr>
          <w:sz w:val="18"/>
          <w:lang w:val="fr-FR"/>
        </w:rPr>
        <w:t>’</w:t>
      </w:r>
      <w:r w:rsidRPr="005C556C">
        <w:rPr>
          <w:sz w:val="18"/>
          <w:lang w:val="fr-FR"/>
        </w:rPr>
        <w:t>examen de l</w:t>
      </w:r>
      <w:r w:rsidR="00817667" w:rsidRPr="005C556C">
        <w:rPr>
          <w:sz w:val="18"/>
          <w:lang w:val="fr-FR"/>
        </w:rPr>
        <w:t>’</w:t>
      </w:r>
      <w:r w:rsidRPr="005C556C">
        <w:rPr>
          <w:sz w:val="18"/>
          <w:lang w:val="fr-FR"/>
        </w:rPr>
        <w:t>UPOV (</w:t>
      </w:r>
      <w:hyperlink r:id="rId13" w:history="1">
        <w:r w:rsidRPr="00504E54">
          <w:rPr>
            <w:rStyle w:val="Hyperlink"/>
            <w:sz w:val="18"/>
            <w:lang w:val="fr-FR"/>
          </w:rPr>
          <w:t>http://www.upov.int/edocs/tgpdocs/fr/tgp_7.pdf</w:t>
        </w:r>
      </w:hyperlink>
      <w:r w:rsidRPr="005C556C">
        <w:rPr>
          <w:sz w:val="18"/>
          <w:lang w:val="fr-FR"/>
        </w:rPr>
        <w:t>) contiennent, au chapitre</w:t>
      </w:r>
      <w:r w:rsidR="00824A4B" w:rsidRPr="005C556C">
        <w:rPr>
          <w:sz w:val="18"/>
          <w:lang w:val="fr-FR"/>
        </w:rPr>
        <w:t> </w:t>
      </w:r>
      <w:r w:rsidRPr="005C556C">
        <w:rPr>
          <w:sz w:val="18"/>
          <w:lang w:val="fr-FR"/>
        </w:rPr>
        <w:t>10, un questionnaire technique particulier pour les variétés sur lesquelles ils portent.”</w:t>
      </w:r>
    </w:p>
    <w:p w:rsidR="0058402C" w:rsidRPr="005C556C" w:rsidRDefault="0058402C" w:rsidP="005C556C">
      <w:pPr>
        <w:rPr>
          <w:lang w:val="fr-FR"/>
        </w:rPr>
      </w:pPr>
    </w:p>
    <w:p w:rsidR="0058402C" w:rsidRPr="005C556C" w:rsidRDefault="004A0CA9" w:rsidP="00504E54">
      <w:pPr>
        <w:pStyle w:val="Heading4"/>
      </w:pPr>
      <w:r w:rsidRPr="005C556C">
        <w:t>ii)</w:t>
      </w:r>
      <w:r w:rsidRPr="005C556C">
        <w:tab/>
      </w:r>
      <w:r w:rsidR="001B22AA" w:rsidRPr="005C556C">
        <w:t>Révision du document TGP/5</w:t>
      </w:r>
      <w:r w:rsidR="00824A4B" w:rsidRPr="005C556C">
        <w:t> </w:t>
      </w:r>
      <w:r w:rsidR="001B22AA" w:rsidRPr="005C556C">
        <w:t>: section</w:t>
      </w:r>
      <w:r w:rsidR="00824A4B" w:rsidRPr="005C556C">
        <w:t> </w:t>
      </w:r>
      <w:r w:rsidR="001B22AA" w:rsidRPr="005C556C">
        <w:t>8</w:t>
      </w:r>
      <w:r w:rsidR="00824A4B" w:rsidRPr="005C556C">
        <w:t> </w:t>
      </w:r>
      <w:r w:rsidR="001B22AA" w:rsidRPr="005C556C">
        <w:t>: Coopération en matière d</w:t>
      </w:r>
      <w:r w:rsidR="00817667" w:rsidRPr="005C556C">
        <w:t>’</w:t>
      </w:r>
      <w:r w:rsidR="001B22AA" w:rsidRPr="005C556C">
        <w:t>examen</w:t>
      </w:r>
    </w:p>
    <w:p w:rsidR="0058402C" w:rsidRPr="005C556C" w:rsidRDefault="0058402C" w:rsidP="005C556C">
      <w:pPr>
        <w:rPr>
          <w:lang w:val="fr-FR"/>
        </w:rPr>
      </w:pPr>
    </w:p>
    <w:p w:rsidR="0058402C" w:rsidRPr="005C556C" w:rsidRDefault="0080264F"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b/>
          <w:lang w:val="fr-FR"/>
        </w:rPr>
        <w:tab/>
      </w:r>
      <w:r w:rsidR="000C6298" w:rsidRPr="005C556C">
        <w:rPr>
          <w:lang w:val="fr-FR"/>
        </w:rPr>
        <w:t>Le</w:t>
      </w:r>
      <w:r w:rsidRPr="005C556C">
        <w:rPr>
          <w:lang w:val="fr-FR"/>
        </w:rPr>
        <w:t xml:space="preserve"> </w:t>
      </w:r>
      <w:r w:rsidR="00364752" w:rsidRPr="005C556C">
        <w:rPr>
          <w:lang w:val="fr-FR"/>
        </w:rPr>
        <w:t>CAJ</w:t>
      </w:r>
      <w:r w:rsidRPr="005C556C">
        <w:rPr>
          <w:lang w:val="fr-FR"/>
        </w:rPr>
        <w:t xml:space="preserve"> </w:t>
      </w:r>
      <w:r w:rsidR="000C6298" w:rsidRPr="005C556C">
        <w:rPr>
          <w:lang w:val="fr-FR"/>
        </w:rPr>
        <w:t>convient que la section</w:t>
      </w:r>
      <w:r w:rsidR="00824A4B" w:rsidRPr="005C556C">
        <w:rPr>
          <w:lang w:val="fr-FR"/>
        </w:rPr>
        <w:t> </w:t>
      </w:r>
      <w:r w:rsidR="000C6298" w:rsidRPr="005C556C">
        <w:rPr>
          <w:lang w:val="fr-FR"/>
        </w:rPr>
        <w:t xml:space="preserve">8 du </w:t>
      </w:r>
      <w:r w:rsidRPr="005C556C">
        <w:rPr>
          <w:lang w:val="fr-FR"/>
        </w:rPr>
        <w:t>document TGP/5</w:t>
      </w:r>
      <w:r w:rsidR="000C6298" w:rsidRPr="005C556C">
        <w:rPr>
          <w:lang w:val="fr-FR"/>
        </w:rPr>
        <w:t xml:space="preserve"> devrait être libellée comme suit</w:t>
      </w:r>
      <w:r w:rsidR="00824A4B" w:rsidRPr="005C556C">
        <w:rPr>
          <w:lang w:val="fr-FR"/>
        </w:rPr>
        <w:t> </w:t>
      </w:r>
      <w:r w:rsidRPr="005C556C">
        <w:rPr>
          <w:lang w:val="fr-FR"/>
        </w:rPr>
        <w:t>:</w:t>
      </w:r>
    </w:p>
    <w:p w:rsidR="0058402C" w:rsidRPr="005C556C" w:rsidRDefault="0058402C" w:rsidP="005C556C">
      <w:pPr>
        <w:rPr>
          <w:lang w:val="fr-FR"/>
        </w:rPr>
      </w:pPr>
    </w:p>
    <w:p w:rsidR="0058402C" w:rsidRPr="005C556C" w:rsidRDefault="0080264F" w:rsidP="005C556C">
      <w:pPr>
        <w:ind w:left="567" w:right="567"/>
        <w:rPr>
          <w:sz w:val="18"/>
          <w:lang w:val="fr-FR"/>
        </w:rPr>
      </w:pPr>
      <w:r w:rsidRPr="005C556C">
        <w:rPr>
          <w:sz w:val="18"/>
          <w:lang w:val="fr-FR"/>
        </w:rPr>
        <w:tab/>
      </w:r>
      <w:r w:rsidR="001B22AA" w:rsidRPr="005C556C">
        <w:rPr>
          <w:sz w:val="18"/>
          <w:lang w:val="fr-FR"/>
        </w:rPr>
        <w:t>“Une synthèse de la coopération en matière d</w:t>
      </w:r>
      <w:r w:rsidR="00817667" w:rsidRPr="005C556C">
        <w:rPr>
          <w:sz w:val="18"/>
          <w:lang w:val="fr-FR"/>
        </w:rPr>
        <w:t>’</w:t>
      </w:r>
      <w:r w:rsidR="001B22AA" w:rsidRPr="005C556C">
        <w:rPr>
          <w:sz w:val="18"/>
          <w:lang w:val="fr-FR"/>
        </w:rPr>
        <w:t>examen entre les différents services est publiée sous couvert d</w:t>
      </w:r>
      <w:r w:rsidR="00817667" w:rsidRPr="005C556C">
        <w:rPr>
          <w:sz w:val="18"/>
          <w:lang w:val="fr-FR"/>
        </w:rPr>
        <w:t>’</w:t>
      </w:r>
      <w:r w:rsidR="001B22AA" w:rsidRPr="005C556C">
        <w:rPr>
          <w:sz w:val="18"/>
          <w:lang w:val="fr-FR"/>
        </w:rPr>
        <w:t>un document du Conseil</w:t>
      </w:r>
      <w:r w:rsidR="00824A4B" w:rsidRPr="005C556C">
        <w:rPr>
          <w:sz w:val="18"/>
          <w:lang w:val="fr-FR"/>
        </w:rPr>
        <w:t> </w:t>
      </w:r>
      <w:r w:rsidR="001B22AA" w:rsidRPr="005C556C">
        <w:rPr>
          <w:sz w:val="18"/>
          <w:lang w:val="fr-FR"/>
        </w:rPr>
        <w:t>:</w:t>
      </w:r>
    </w:p>
    <w:p w:rsidR="0058402C" w:rsidRPr="005C556C" w:rsidRDefault="0058402C" w:rsidP="005C556C">
      <w:pPr>
        <w:ind w:left="567" w:right="567"/>
        <w:rPr>
          <w:sz w:val="18"/>
          <w:lang w:val="fr-FR"/>
        </w:rPr>
      </w:pPr>
    </w:p>
    <w:p w:rsidR="0058402C" w:rsidRPr="005C556C" w:rsidRDefault="001B22AA" w:rsidP="005C556C">
      <w:pPr>
        <w:ind w:left="567" w:right="567" w:firstLine="567"/>
        <w:rPr>
          <w:sz w:val="18"/>
          <w:lang w:val="fr-FR"/>
        </w:rPr>
      </w:pPr>
      <w:r w:rsidRPr="005C556C">
        <w:rPr>
          <w:sz w:val="18"/>
          <w:lang w:val="fr-FR"/>
        </w:rPr>
        <w:t>“C/[session]/5 (p.</w:t>
      </w:r>
      <w:r w:rsidR="00824A4B" w:rsidRPr="005C556C">
        <w:rPr>
          <w:sz w:val="18"/>
          <w:lang w:val="fr-FR"/>
        </w:rPr>
        <w:t> </w:t>
      </w:r>
      <w:r w:rsidRPr="005C556C">
        <w:rPr>
          <w:sz w:val="18"/>
          <w:lang w:val="fr-FR"/>
        </w:rPr>
        <w:t>ex.</w:t>
      </w:r>
      <w:r w:rsidR="0080264F" w:rsidRPr="005C556C">
        <w:rPr>
          <w:sz w:val="18"/>
          <w:lang w:val="fr-FR"/>
        </w:rPr>
        <w:t xml:space="preserve"> </w:t>
      </w:r>
      <w:r w:rsidRPr="005C556C">
        <w:rPr>
          <w:sz w:val="18"/>
          <w:lang w:val="fr-FR"/>
        </w:rPr>
        <w:t>C/</w:t>
      </w:r>
      <w:r w:rsidRPr="005C556C">
        <w:rPr>
          <w:sz w:val="18"/>
          <w:u w:val="single"/>
          <w:lang w:val="fr-FR"/>
        </w:rPr>
        <w:t>49</w:t>
      </w:r>
      <w:r w:rsidRPr="005C556C">
        <w:rPr>
          <w:sz w:val="18"/>
          <w:lang w:val="fr-FR"/>
        </w:rPr>
        <w:t>/5), (</w:t>
      </w:r>
      <w:hyperlink r:id="rId14" w:history="1">
        <w:r w:rsidRPr="00504E54">
          <w:rPr>
            <w:rStyle w:val="Hyperlink"/>
            <w:sz w:val="18"/>
            <w:lang w:val="fr-FR"/>
          </w:rPr>
          <w:t>http://www.upov.int/meetings/fr/topic.jsp?group_id=251</w:t>
        </w:r>
      </w:hyperlink>
      <w:r w:rsidRPr="005C556C">
        <w:rPr>
          <w:sz w:val="18"/>
          <w:lang w:val="fr-FR"/>
        </w:rPr>
        <w:t>).”</w:t>
      </w:r>
    </w:p>
    <w:p w:rsidR="0058402C" w:rsidRPr="005C556C" w:rsidRDefault="0058402C" w:rsidP="005C556C">
      <w:pPr>
        <w:rPr>
          <w:lang w:val="fr-FR"/>
        </w:rPr>
      </w:pPr>
    </w:p>
    <w:p w:rsidR="0058402C" w:rsidRPr="005C556C" w:rsidRDefault="004A0CA9" w:rsidP="00504E54">
      <w:pPr>
        <w:pStyle w:val="Heading4"/>
      </w:pPr>
      <w:r w:rsidRPr="005C556C">
        <w:t>iii)</w:t>
      </w:r>
      <w:r w:rsidRPr="005C556C">
        <w:tab/>
      </w:r>
      <w:r w:rsidR="00026EE0" w:rsidRPr="005C556C">
        <w:t>Révision du document TGP/5</w:t>
      </w:r>
      <w:r w:rsidR="00824A4B" w:rsidRPr="005C556C">
        <w:t> </w:t>
      </w:r>
      <w:r w:rsidR="00026EE0" w:rsidRPr="005C556C">
        <w:t>: section</w:t>
      </w:r>
      <w:r w:rsidR="00824A4B" w:rsidRPr="005C556C">
        <w:t> </w:t>
      </w:r>
      <w:r w:rsidR="00026EE0" w:rsidRPr="005C556C">
        <w:t>9</w:t>
      </w:r>
      <w:r w:rsidR="00824A4B" w:rsidRPr="005C556C">
        <w:t> </w:t>
      </w:r>
      <w:r w:rsidR="00026EE0" w:rsidRPr="005C556C">
        <w:t>: Liste des espèces sur lesquelles des connaissances pratiques ont été acquises ou pour lesquelles des principes directeurs d</w:t>
      </w:r>
      <w:r w:rsidR="00817667" w:rsidRPr="005C556C">
        <w:t>’</w:t>
      </w:r>
      <w:r w:rsidR="00026EE0" w:rsidRPr="005C556C">
        <w:t>examen nationaux ont été établis</w:t>
      </w:r>
    </w:p>
    <w:p w:rsidR="0058402C" w:rsidRPr="005C556C" w:rsidRDefault="0058402C" w:rsidP="005C556C">
      <w:pPr>
        <w:keepNext/>
        <w:rPr>
          <w:lang w:val="fr-FR"/>
        </w:rPr>
      </w:pPr>
    </w:p>
    <w:p w:rsidR="0058402C" w:rsidRPr="005C556C" w:rsidRDefault="0080264F"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C6298" w:rsidRPr="005C556C">
        <w:rPr>
          <w:lang w:val="fr-FR"/>
        </w:rPr>
        <w:t>Le CAJ convient que la section</w:t>
      </w:r>
      <w:r w:rsidR="00824A4B" w:rsidRPr="005C556C">
        <w:rPr>
          <w:lang w:val="fr-FR"/>
        </w:rPr>
        <w:t> </w:t>
      </w:r>
      <w:r w:rsidR="000C6298" w:rsidRPr="005C556C">
        <w:rPr>
          <w:lang w:val="fr-FR"/>
        </w:rPr>
        <w:t>9 du document TGP/5 devrait être libellée comme suit</w:t>
      </w:r>
      <w:r w:rsidR="00824A4B" w:rsidRPr="005C556C">
        <w:rPr>
          <w:lang w:val="fr-FR"/>
        </w:rPr>
        <w:t> </w:t>
      </w:r>
      <w:r w:rsidRPr="005C556C">
        <w:rPr>
          <w:lang w:val="fr-FR"/>
        </w:rPr>
        <w:t>:</w:t>
      </w:r>
    </w:p>
    <w:p w:rsidR="0058402C" w:rsidRPr="005C556C" w:rsidRDefault="0058402C" w:rsidP="005C556C">
      <w:pPr>
        <w:rPr>
          <w:lang w:val="fr-FR"/>
        </w:rPr>
      </w:pPr>
    </w:p>
    <w:p w:rsidR="0058402C" w:rsidRPr="005C556C" w:rsidRDefault="00026EE0" w:rsidP="005C556C">
      <w:pPr>
        <w:ind w:left="567" w:right="567" w:firstLine="567"/>
        <w:rPr>
          <w:sz w:val="18"/>
          <w:lang w:val="fr-FR"/>
        </w:rPr>
      </w:pPr>
      <w:r w:rsidRPr="005C556C">
        <w:rPr>
          <w:sz w:val="18"/>
          <w:lang w:val="fr-FR"/>
        </w:rPr>
        <w:t>“Une liste des genres et espèces sur lesquels des connaissances pratiques ont été acquises ou pour lesquels des principes directeurs nationaux ont été établis a été publiée sous couvert d</w:t>
      </w:r>
      <w:r w:rsidR="00817667" w:rsidRPr="005C556C">
        <w:rPr>
          <w:sz w:val="18"/>
          <w:lang w:val="fr-FR"/>
        </w:rPr>
        <w:t>’</w:t>
      </w:r>
      <w:r w:rsidRPr="005C556C">
        <w:rPr>
          <w:sz w:val="18"/>
          <w:lang w:val="fr-FR"/>
        </w:rPr>
        <w:t>un document du Comité technique</w:t>
      </w:r>
      <w:r w:rsidR="00824A4B" w:rsidRPr="005C556C">
        <w:rPr>
          <w:sz w:val="18"/>
          <w:lang w:val="fr-FR"/>
        </w:rPr>
        <w:t> </w:t>
      </w:r>
      <w:r w:rsidRPr="005C556C">
        <w:rPr>
          <w:sz w:val="18"/>
          <w:lang w:val="fr-FR"/>
        </w:rPr>
        <w:t>:</w:t>
      </w:r>
    </w:p>
    <w:p w:rsidR="0058402C" w:rsidRPr="005C556C" w:rsidRDefault="0058402C" w:rsidP="005C556C">
      <w:pPr>
        <w:ind w:left="567" w:right="567"/>
        <w:rPr>
          <w:sz w:val="18"/>
          <w:lang w:val="fr-FR"/>
        </w:rPr>
      </w:pPr>
    </w:p>
    <w:p w:rsidR="0058402C" w:rsidRPr="005C556C" w:rsidRDefault="00026EE0" w:rsidP="005C556C">
      <w:pPr>
        <w:ind w:left="567" w:right="567" w:firstLine="567"/>
        <w:rPr>
          <w:sz w:val="18"/>
          <w:lang w:val="fr-FR"/>
        </w:rPr>
      </w:pPr>
      <w:r w:rsidRPr="005C556C">
        <w:rPr>
          <w:sz w:val="18"/>
          <w:lang w:val="fr-FR"/>
        </w:rPr>
        <w:t>“TC/[session]/4 (p.</w:t>
      </w:r>
      <w:r w:rsidR="00824A4B" w:rsidRPr="005C556C">
        <w:rPr>
          <w:sz w:val="18"/>
          <w:lang w:val="fr-FR"/>
        </w:rPr>
        <w:t> </w:t>
      </w:r>
      <w:r w:rsidRPr="005C556C">
        <w:rPr>
          <w:sz w:val="18"/>
          <w:lang w:val="fr-FR"/>
        </w:rPr>
        <w:t>ex.</w:t>
      </w:r>
      <w:r w:rsidR="00824A4B" w:rsidRPr="005C556C">
        <w:rPr>
          <w:sz w:val="18"/>
          <w:lang w:val="fr-FR"/>
        </w:rPr>
        <w:t xml:space="preserve"> </w:t>
      </w:r>
      <w:r w:rsidR="00817667" w:rsidRPr="005C556C">
        <w:rPr>
          <w:sz w:val="18"/>
          <w:lang w:val="fr-FR"/>
        </w:rPr>
        <w:t>TC</w:t>
      </w:r>
      <w:r w:rsidRPr="005C556C">
        <w:rPr>
          <w:sz w:val="18"/>
          <w:lang w:val="fr-FR"/>
        </w:rPr>
        <w:t>/</w:t>
      </w:r>
      <w:r w:rsidRPr="005C556C">
        <w:rPr>
          <w:sz w:val="18"/>
          <w:u w:val="single"/>
          <w:lang w:val="fr-FR"/>
        </w:rPr>
        <w:t>51</w:t>
      </w:r>
      <w:r w:rsidRPr="005C556C">
        <w:rPr>
          <w:sz w:val="18"/>
          <w:lang w:val="fr-FR"/>
        </w:rPr>
        <w:t>/4), (</w:t>
      </w:r>
      <w:hyperlink r:id="rId15" w:history="1">
        <w:r w:rsidRPr="00504E54">
          <w:rPr>
            <w:rStyle w:val="Hyperlink"/>
            <w:sz w:val="18"/>
            <w:lang w:val="fr-FR"/>
          </w:rPr>
          <w:t>http://www.upov.int/meetings/fr/topic.jsp?group_id=254</w:t>
        </w:r>
      </w:hyperlink>
      <w:r w:rsidRPr="005C556C">
        <w:rPr>
          <w:sz w:val="18"/>
          <w:lang w:val="fr-FR"/>
        </w:rPr>
        <w:t>)</w:t>
      </w:r>
      <w:r w:rsidR="004A0CA9" w:rsidRPr="005C556C">
        <w:rPr>
          <w:sz w:val="18"/>
          <w:lang w:val="fr-FR"/>
        </w:rPr>
        <w:t>”</w:t>
      </w:r>
      <w:r w:rsidRPr="005C556C">
        <w:rPr>
          <w:sz w:val="18"/>
          <w:lang w:val="fr-FR"/>
        </w:rPr>
        <w:t>.</w:t>
      </w:r>
    </w:p>
    <w:p w:rsidR="0058402C" w:rsidRPr="005C556C" w:rsidRDefault="0058402C" w:rsidP="00893041">
      <w:pPr>
        <w:spacing w:line="360" w:lineRule="auto"/>
        <w:rPr>
          <w:lang w:val="fr-FR"/>
        </w:rPr>
      </w:pPr>
    </w:p>
    <w:p w:rsidR="0058402C" w:rsidRPr="005C556C" w:rsidRDefault="004A0CA9" w:rsidP="005C556C">
      <w:pPr>
        <w:keepNext/>
        <w:rPr>
          <w:i/>
          <w:lang w:val="fr-FR"/>
        </w:rPr>
      </w:pPr>
      <w:r w:rsidRPr="005C556C">
        <w:rPr>
          <w:i/>
          <w:lang w:val="fr-FR"/>
        </w:rPr>
        <w:t>TGP/0</w:t>
      </w:r>
      <w:r w:rsidR="00824A4B" w:rsidRPr="005C556C">
        <w:rPr>
          <w:i/>
          <w:lang w:val="fr-FR"/>
        </w:rPr>
        <w:t> </w:t>
      </w:r>
      <w:r w:rsidRPr="005C556C">
        <w:rPr>
          <w:i/>
          <w:lang w:val="fr-FR"/>
        </w:rPr>
        <w:t xml:space="preserve">: </w:t>
      </w:r>
      <w:r w:rsidR="00026EE0" w:rsidRPr="005C556C">
        <w:rPr>
          <w:i/>
          <w:lang w:val="fr-FR"/>
        </w:rPr>
        <w:t xml:space="preserve">Liste des </w:t>
      </w:r>
      <w:r w:rsidR="00817667" w:rsidRPr="005C556C">
        <w:rPr>
          <w:i/>
          <w:lang w:val="fr-FR"/>
        </w:rPr>
        <w:t>documents TG</w:t>
      </w:r>
      <w:r w:rsidR="00026EE0" w:rsidRPr="005C556C">
        <w:rPr>
          <w:i/>
          <w:lang w:val="fr-FR"/>
        </w:rPr>
        <w:t>P et date de la version la plus récente de ces documents</w:t>
      </w:r>
    </w:p>
    <w:p w:rsidR="0058402C" w:rsidRPr="005C556C" w:rsidRDefault="0058402C" w:rsidP="005C556C">
      <w:pPr>
        <w:keepNext/>
        <w:rPr>
          <w:lang w:val="fr-FR"/>
        </w:rPr>
      </w:pPr>
    </w:p>
    <w:p w:rsidR="00817667" w:rsidRPr="005C556C" w:rsidRDefault="00364752"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C6298" w:rsidRPr="005C556C">
        <w:rPr>
          <w:lang w:val="fr-FR"/>
        </w:rPr>
        <w:t>Le CAJ note que le Conseil sera invité à adopter le</w:t>
      </w:r>
      <w:r w:rsidR="00B764A5" w:rsidRPr="005C556C">
        <w:rPr>
          <w:lang w:val="fr-FR"/>
        </w:rPr>
        <w:t xml:space="preserve"> document TGP/0/8 </w:t>
      </w:r>
      <w:r w:rsidR="007C1561" w:rsidRPr="005C556C">
        <w:rPr>
          <w:lang w:val="fr-FR"/>
        </w:rPr>
        <w:t>pour</w:t>
      </w:r>
      <w:r w:rsidRPr="005C556C">
        <w:rPr>
          <w:lang w:val="fr-FR"/>
        </w:rPr>
        <w:t xml:space="preserve"> </w:t>
      </w:r>
      <w:r w:rsidR="00B764A5" w:rsidRPr="005C556C">
        <w:rPr>
          <w:lang w:val="fr-FR"/>
        </w:rPr>
        <w:t>rend</w:t>
      </w:r>
      <w:r w:rsidR="007C1561" w:rsidRPr="005C556C">
        <w:rPr>
          <w:lang w:val="fr-FR"/>
        </w:rPr>
        <w:t>re</w:t>
      </w:r>
      <w:r w:rsidR="000C6298" w:rsidRPr="005C556C">
        <w:rPr>
          <w:lang w:val="fr-FR"/>
        </w:rPr>
        <w:t xml:space="preserve"> compte des révisions des </w:t>
      </w:r>
      <w:r w:rsidRPr="005C556C">
        <w:rPr>
          <w:lang w:val="fr-FR"/>
        </w:rPr>
        <w:t>documents</w:t>
      </w:r>
      <w:r w:rsidR="000C6298" w:rsidRPr="005C556C">
        <w:rPr>
          <w:lang w:val="fr-FR"/>
        </w:rPr>
        <w:t xml:space="preserve"> TGP</w:t>
      </w:r>
      <w:r w:rsidRPr="005C556C">
        <w:rPr>
          <w:lang w:val="fr-FR"/>
        </w:rPr>
        <w:t>.</w:t>
      </w:r>
    </w:p>
    <w:p w:rsidR="0058402C" w:rsidRPr="005C556C" w:rsidRDefault="0058402C" w:rsidP="00893041">
      <w:pPr>
        <w:spacing w:line="360" w:lineRule="auto"/>
        <w:rPr>
          <w:lang w:val="fr-FR"/>
        </w:rPr>
      </w:pPr>
    </w:p>
    <w:p w:rsidR="0058402C" w:rsidRPr="005C556C" w:rsidRDefault="008B77DE" w:rsidP="005C556C">
      <w:pPr>
        <w:keepNext/>
        <w:rPr>
          <w:i/>
          <w:lang w:val="fr-FR"/>
        </w:rPr>
      </w:pPr>
      <w:r w:rsidRPr="005C556C">
        <w:rPr>
          <w:i/>
          <w:lang w:val="fr-FR"/>
        </w:rPr>
        <w:t xml:space="preserve">Programme </w:t>
      </w:r>
      <w:r w:rsidR="00026EE0" w:rsidRPr="005C556C">
        <w:rPr>
          <w:i/>
          <w:lang w:val="fr-FR"/>
        </w:rPr>
        <w:t>d</w:t>
      </w:r>
      <w:r w:rsidR="00817667" w:rsidRPr="005C556C">
        <w:rPr>
          <w:i/>
          <w:lang w:val="fr-FR"/>
        </w:rPr>
        <w:t>’</w:t>
      </w:r>
      <w:r w:rsidR="00026EE0" w:rsidRPr="005C556C">
        <w:rPr>
          <w:i/>
          <w:lang w:val="fr-FR"/>
        </w:rPr>
        <w:t>élaboration des documents TGP</w:t>
      </w:r>
    </w:p>
    <w:p w:rsidR="0058402C" w:rsidRPr="005C556C" w:rsidRDefault="0058402C" w:rsidP="005C556C">
      <w:pPr>
        <w:keepNext/>
        <w:rPr>
          <w:lang w:val="fr-FR"/>
        </w:rPr>
      </w:pPr>
    </w:p>
    <w:p w:rsidR="0058402C" w:rsidRPr="005C556C" w:rsidRDefault="009804B0"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8D093A" w:rsidRPr="005C556C">
        <w:rPr>
          <w:lang w:val="fr-FR"/>
        </w:rPr>
        <w:t>Le</w:t>
      </w:r>
      <w:r w:rsidR="00D10FAE" w:rsidRPr="005C556C">
        <w:rPr>
          <w:lang w:val="fr-FR"/>
        </w:rPr>
        <w:t xml:space="preserve"> CAJ </w:t>
      </w:r>
      <w:r w:rsidR="00856EE1" w:rsidRPr="005C556C">
        <w:rPr>
          <w:lang w:val="fr-FR"/>
        </w:rPr>
        <w:t>appro</w:t>
      </w:r>
      <w:r w:rsidR="008D093A" w:rsidRPr="005C556C">
        <w:rPr>
          <w:lang w:val="fr-FR"/>
        </w:rPr>
        <w:t>uve le programme d</w:t>
      </w:r>
      <w:r w:rsidR="00817667" w:rsidRPr="005C556C">
        <w:rPr>
          <w:lang w:val="fr-FR"/>
        </w:rPr>
        <w:t>’</w:t>
      </w:r>
      <w:r w:rsidR="008D093A" w:rsidRPr="005C556C">
        <w:rPr>
          <w:lang w:val="fr-FR"/>
        </w:rPr>
        <w:t xml:space="preserve">élaboration des </w:t>
      </w:r>
      <w:r w:rsidR="00D10FAE" w:rsidRPr="005C556C">
        <w:rPr>
          <w:lang w:val="fr-FR"/>
        </w:rPr>
        <w:t>documents</w:t>
      </w:r>
      <w:r w:rsidR="008D093A" w:rsidRPr="005C556C">
        <w:rPr>
          <w:lang w:val="fr-FR"/>
        </w:rPr>
        <w:t xml:space="preserve"> TGP </w:t>
      </w:r>
      <w:r w:rsidR="007C7EB4" w:rsidRPr="005C556C">
        <w:rPr>
          <w:lang w:val="fr-FR"/>
        </w:rPr>
        <w:t xml:space="preserve">qui </w:t>
      </w:r>
      <w:r w:rsidR="008D093A" w:rsidRPr="005C556C">
        <w:rPr>
          <w:lang w:val="fr-FR"/>
        </w:rPr>
        <w:t>fi</w:t>
      </w:r>
      <w:r w:rsidR="007C7EB4" w:rsidRPr="005C556C">
        <w:rPr>
          <w:lang w:val="fr-FR"/>
        </w:rPr>
        <w:t>gure</w:t>
      </w:r>
      <w:r w:rsidR="008D093A" w:rsidRPr="005C556C">
        <w:rPr>
          <w:lang w:val="fr-FR"/>
        </w:rPr>
        <w:t xml:space="preserve"> à l</w:t>
      </w:r>
      <w:r w:rsidR="00817667" w:rsidRPr="005C556C">
        <w:rPr>
          <w:lang w:val="fr-FR"/>
        </w:rPr>
        <w:t>’</w:t>
      </w:r>
      <w:r w:rsidR="008D093A" w:rsidRPr="005C556C">
        <w:rPr>
          <w:lang w:val="fr-FR"/>
        </w:rPr>
        <w:t>annexe</w:t>
      </w:r>
      <w:r w:rsidR="00824A4B" w:rsidRPr="005C556C">
        <w:rPr>
          <w:lang w:val="fr-FR"/>
        </w:rPr>
        <w:t> </w:t>
      </w:r>
      <w:r w:rsidR="00D10FAE" w:rsidRPr="005C556C">
        <w:rPr>
          <w:lang w:val="fr-FR"/>
        </w:rPr>
        <w:t xml:space="preserve">V </w:t>
      </w:r>
      <w:r w:rsidR="008D093A" w:rsidRPr="005C556C">
        <w:rPr>
          <w:lang w:val="fr-FR"/>
        </w:rPr>
        <w:t xml:space="preserve">du </w:t>
      </w:r>
      <w:r w:rsidR="00D10FAE" w:rsidRPr="005C556C">
        <w:rPr>
          <w:lang w:val="fr-FR"/>
        </w:rPr>
        <w:t>document</w:t>
      </w:r>
      <w:r w:rsidR="00CF50A2" w:rsidRPr="005C556C">
        <w:rPr>
          <w:lang w:val="fr-FR"/>
        </w:rPr>
        <w:t xml:space="preserve"> CAJ/71/7</w:t>
      </w:r>
      <w:r w:rsidR="00D10FAE" w:rsidRPr="005C556C">
        <w:rPr>
          <w:lang w:val="fr-FR"/>
        </w:rPr>
        <w:t>.</w:t>
      </w:r>
    </w:p>
    <w:p w:rsidR="0058402C" w:rsidRPr="005C556C" w:rsidRDefault="0058402C" w:rsidP="005C556C">
      <w:pPr>
        <w:rPr>
          <w:lang w:val="fr-FR"/>
        </w:rPr>
      </w:pPr>
    </w:p>
    <w:p w:rsidR="0058402C" w:rsidRPr="005C556C" w:rsidRDefault="0058402C" w:rsidP="005C556C">
      <w:pPr>
        <w:rPr>
          <w:lang w:val="fr-FR"/>
        </w:rPr>
      </w:pPr>
    </w:p>
    <w:p w:rsidR="0058402C" w:rsidRPr="005C556C" w:rsidRDefault="00026EE0" w:rsidP="005C556C">
      <w:pPr>
        <w:keepNext/>
        <w:jc w:val="left"/>
        <w:outlineLvl w:val="0"/>
        <w:rPr>
          <w:snapToGrid w:val="0"/>
          <w:u w:val="single"/>
          <w:lang w:val="fr-FR"/>
        </w:rPr>
      </w:pPr>
      <w:r w:rsidRPr="005C556C">
        <w:rPr>
          <w:snapToGrid w:val="0"/>
          <w:u w:val="single"/>
          <w:lang w:val="fr-FR"/>
        </w:rPr>
        <w:t>Techniques moléculaires</w:t>
      </w:r>
    </w:p>
    <w:p w:rsidR="0058402C" w:rsidRPr="005C556C" w:rsidRDefault="0058402C" w:rsidP="005C556C">
      <w:pPr>
        <w:keepNext/>
        <w:jc w:val="left"/>
        <w:outlineLvl w:val="0"/>
        <w:rPr>
          <w:snapToGrid w:val="0"/>
          <w:u w:val="single"/>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26EE0" w:rsidRPr="005C556C">
        <w:rPr>
          <w:lang w:val="fr-FR"/>
        </w:rPr>
        <w:t xml:space="preserve">Le CAJ examine les </w:t>
      </w:r>
      <w:r w:rsidR="00817667" w:rsidRPr="005C556C">
        <w:rPr>
          <w:lang w:val="fr-FR"/>
        </w:rPr>
        <w:t>documents CA</w:t>
      </w:r>
      <w:r w:rsidR="00026EE0" w:rsidRPr="005C556C">
        <w:rPr>
          <w:lang w:val="fr-FR"/>
        </w:rPr>
        <w:t>J/71/8 et CAJ/71/9.</w:t>
      </w:r>
    </w:p>
    <w:p w:rsidR="0058402C" w:rsidRPr="005C556C" w:rsidRDefault="0058402C" w:rsidP="005C556C">
      <w:pPr>
        <w:rPr>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B46487" w:rsidRPr="005C556C">
        <w:rPr>
          <w:lang w:val="fr-FR"/>
        </w:rPr>
        <w:t>Le</w:t>
      </w:r>
      <w:r w:rsidRPr="005C556C">
        <w:rPr>
          <w:lang w:val="fr-FR"/>
        </w:rPr>
        <w:t xml:space="preserve"> CAJ </w:t>
      </w:r>
      <w:r w:rsidR="00B46487" w:rsidRPr="005C556C">
        <w:rPr>
          <w:lang w:val="fr-FR"/>
        </w:rPr>
        <w:t xml:space="preserve">prend </w:t>
      </w:r>
      <w:r w:rsidR="00662112" w:rsidRPr="005C556C">
        <w:rPr>
          <w:lang w:val="fr-FR"/>
        </w:rPr>
        <w:t>note</w:t>
      </w:r>
      <w:r w:rsidRPr="005C556C">
        <w:rPr>
          <w:lang w:val="fr-FR"/>
        </w:rPr>
        <w:t xml:space="preserve"> </w:t>
      </w:r>
      <w:r w:rsidR="00B764A5" w:rsidRPr="005C556C">
        <w:rPr>
          <w:lang w:val="fr-FR"/>
        </w:rPr>
        <w:t>du compte rendu</w:t>
      </w:r>
      <w:r w:rsidR="00B46487" w:rsidRPr="005C556C">
        <w:rPr>
          <w:lang w:val="fr-FR"/>
        </w:rPr>
        <w:t xml:space="preserve"> des faits nouveaux survenus au sein </w:t>
      </w:r>
      <w:r w:rsidR="007C1561" w:rsidRPr="005C556C">
        <w:rPr>
          <w:lang w:val="fr-FR"/>
        </w:rPr>
        <w:t>du Groupe de travail sur les techniques biochimiques et moléculaires, notamment les profils d</w:t>
      </w:r>
      <w:r w:rsidR="00817667" w:rsidRPr="005C556C">
        <w:rPr>
          <w:lang w:val="fr-FR"/>
        </w:rPr>
        <w:t>’</w:t>
      </w:r>
      <w:r w:rsidR="007C1561" w:rsidRPr="005C556C">
        <w:rPr>
          <w:lang w:val="fr-FR"/>
        </w:rPr>
        <w:t>ADN (BMT)</w:t>
      </w:r>
      <w:r w:rsidR="00662112" w:rsidRPr="005C556C">
        <w:rPr>
          <w:lang w:val="fr-FR"/>
        </w:rPr>
        <w:t xml:space="preserve">, </w:t>
      </w:r>
      <w:r w:rsidR="00B764A5" w:rsidRPr="005C556C">
        <w:rPr>
          <w:lang w:val="fr-FR"/>
        </w:rPr>
        <w:t xml:space="preserve">indiqué </w:t>
      </w:r>
      <w:r w:rsidR="00B46487" w:rsidRPr="005C556C">
        <w:rPr>
          <w:lang w:val="fr-FR"/>
        </w:rPr>
        <w:t>aux paragraphes</w:t>
      </w:r>
      <w:r w:rsidR="00824A4B" w:rsidRPr="005C556C">
        <w:rPr>
          <w:lang w:val="fr-FR"/>
        </w:rPr>
        <w:t> </w:t>
      </w:r>
      <w:r w:rsidR="00B46487" w:rsidRPr="005C556C">
        <w:rPr>
          <w:lang w:val="fr-FR"/>
        </w:rPr>
        <w:t xml:space="preserve">6 à 9 du </w:t>
      </w:r>
      <w:r w:rsidR="00CF50A2" w:rsidRPr="005C556C">
        <w:rPr>
          <w:lang w:val="fr-FR"/>
        </w:rPr>
        <w:t>document CAJ/71/8.</w:t>
      </w:r>
    </w:p>
    <w:p w:rsidR="0058402C" w:rsidRPr="005C556C" w:rsidRDefault="0058402C" w:rsidP="005C556C">
      <w:pPr>
        <w:rPr>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B46487" w:rsidRPr="005C556C">
        <w:rPr>
          <w:lang w:val="fr-FR"/>
        </w:rPr>
        <w:t>Le CAJ note</w:t>
      </w:r>
      <w:r w:rsidRPr="005C556C">
        <w:rPr>
          <w:lang w:val="fr-FR"/>
        </w:rPr>
        <w:t xml:space="preserve"> </w:t>
      </w:r>
      <w:r w:rsidR="00B46487" w:rsidRPr="005C556C">
        <w:rPr>
          <w:lang w:val="fr-FR"/>
        </w:rPr>
        <w:t>qu</w:t>
      </w:r>
      <w:r w:rsidR="00817667" w:rsidRPr="005C556C">
        <w:rPr>
          <w:lang w:val="fr-FR"/>
        </w:rPr>
        <w:t>’</w:t>
      </w:r>
      <w:r w:rsidR="00B46487" w:rsidRPr="005C556C">
        <w:rPr>
          <w:lang w:val="fr-FR"/>
        </w:rPr>
        <w:t>il a été convenu</w:t>
      </w:r>
      <w:r w:rsidR="00890C10" w:rsidRPr="005C556C">
        <w:rPr>
          <w:lang w:val="fr-FR"/>
        </w:rPr>
        <w:t>, lors de</w:t>
      </w:r>
      <w:r w:rsidR="00B46487" w:rsidRPr="005C556C">
        <w:rPr>
          <w:lang w:val="fr-FR"/>
        </w:rPr>
        <w:t xml:space="preserve"> l</w:t>
      </w:r>
      <w:r w:rsidR="00817667" w:rsidRPr="005C556C">
        <w:rPr>
          <w:lang w:val="fr-FR"/>
        </w:rPr>
        <w:t>’</w:t>
      </w:r>
      <w:r w:rsidR="00B46487" w:rsidRPr="005C556C">
        <w:rPr>
          <w:lang w:val="fr-FR"/>
        </w:rPr>
        <w:t>atelier conjoint de l</w:t>
      </w:r>
      <w:r w:rsidR="00817667" w:rsidRPr="005C556C">
        <w:rPr>
          <w:lang w:val="fr-FR"/>
        </w:rPr>
        <w:t>’</w:t>
      </w:r>
      <w:r w:rsidR="00B46487" w:rsidRPr="005C556C">
        <w:rPr>
          <w:lang w:val="fr-FR"/>
        </w:rPr>
        <w:t>OCDE, de l</w:t>
      </w:r>
      <w:r w:rsidR="00817667" w:rsidRPr="005C556C">
        <w:rPr>
          <w:lang w:val="fr-FR"/>
        </w:rPr>
        <w:t>’</w:t>
      </w:r>
      <w:r w:rsidR="00B46487" w:rsidRPr="005C556C">
        <w:rPr>
          <w:lang w:val="fr-FR"/>
        </w:rPr>
        <w:t>UPOV et de l</w:t>
      </w:r>
      <w:r w:rsidR="00817667" w:rsidRPr="005C556C">
        <w:rPr>
          <w:lang w:val="fr-FR"/>
        </w:rPr>
        <w:t>’</w:t>
      </w:r>
      <w:r w:rsidR="00B46487" w:rsidRPr="005C556C">
        <w:rPr>
          <w:lang w:val="fr-FR"/>
        </w:rPr>
        <w:t>ISTA sur les techniques moléculaires tenu à Séoul (République de Corée) le 1</w:t>
      </w:r>
      <w:r w:rsidR="00817667" w:rsidRPr="005C556C">
        <w:rPr>
          <w:lang w:val="fr-FR"/>
        </w:rPr>
        <w:t>2 novembre 20</w:t>
      </w:r>
      <w:r w:rsidR="00B46487" w:rsidRPr="005C556C">
        <w:rPr>
          <w:lang w:val="fr-FR"/>
        </w:rPr>
        <w:t>14</w:t>
      </w:r>
      <w:r w:rsidR="00890C10" w:rsidRPr="005C556C">
        <w:rPr>
          <w:lang w:val="fr-FR"/>
        </w:rPr>
        <w:t>,</w:t>
      </w:r>
      <w:r w:rsidR="00B46487" w:rsidRPr="005C556C">
        <w:rPr>
          <w:lang w:val="fr-FR"/>
        </w:rPr>
        <w:t xml:space="preserve"> qu</w:t>
      </w:r>
      <w:r w:rsidR="00817667" w:rsidRPr="005C556C">
        <w:rPr>
          <w:lang w:val="fr-FR"/>
        </w:rPr>
        <w:t>’</w:t>
      </w:r>
      <w:r w:rsidR="00B46487" w:rsidRPr="005C556C">
        <w:rPr>
          <w:lang w:val="fr-FR"/>
        </w:rPr>
        <w:t>il serait utile d</w:t>
      </w:r>
      <w:r w:rsidR="00817667" w:rsidRPr="005C556C">
        <w:rPr>
          <w:lang w:val="fr-FR"/>
        </w:rPr>
        <w:t>’</w:t>
      </w:r>
      <w:r w:rsidR="00B46487" w:rsidRPr="005C556C">
        <w:rPr>
          <w:lang w:val="fr-FR"/>
        </w:rPr>
        <w:t xml:space="preserve">organiser </w:t>
      </w:r>
      <w:r w:rsidR="00890C10" w:rsidRPr="005C556C">
        <w:rPr>
          <w:lang w:val="fr-FR"/>
        </w:rPr>
        <w:t>un autre</w:t>
      </w:r>
      <w:r w:rsidR="00B46487" w:rsidRPr="005C556C">
        <w:rPr>
          <w:lang w:val="fr-FR"/>
        </w:rPr>
        <w:t xml:space="preserve"> atelier conjoint dans le cadre des réunions pertinentes de l</w:t>
      </w:r>
      <w:r w:rsidR="00817667" w:rsidRPr="005C556C">
        <w:rPr>
          <w:lang w:val="fr-FR"/>
        </w:rPr>
        <w:t>’</w:t>
      </w:r>
      <w:r w:rsidR="00B46487" w:rsidRPr="005C556C">
        <w:rPr>
          <w:lang w:val="fr-FR"/>
        </w:rPr>
        <w:t>OCDE et de l</w:t>
      </w:r>
      <w:r w:rsidR="00817667" w:rsidRPr="005C556C">
        <w:rPr>
          <w:lang w:val="fr-FR"/>
        </w:rPr>
        <w:t>’</w:t>
      </w:r>
      <w:r w:rsidR="00B46487" w:rsidRPr="005C556C">
        <w:rPr>
          <w:lang w:val="fr-FR"/>
        </w:rPr>
        <w:t>ISTA et qu</w:t>
      </w:r>
      <w:r w:rsidR="00890C10" w:rsidRPr="005C556C">
        <w:rPr>
          <w:lang w:val="fr-FR"/>
        </w:rPr>
        <w:t>’il a été convenu</w:t>
      </w:r>
      <w:r w:rsidR="00B46487" w:rsidRPr="005C556C">
        <w:rPr>
          <w:lang w:val="fr-FR"/>
        </w:rPr>
        <w:t xml:space="preserve"> à cet égard, </w:t>
      </w:r>
      <w:r w:rsidR="00890C10" w:rsidRPr="005C556C">
        <w:rPr>
          <w:lang w:val="fr-FR"/>
        </w:rPr>
        <w:t xml:space="preserve">lors de </w:t>
      </w:r>
      <w:r w:rsidR="007C1561" w:rsidRPr="005C556C">
        <w:rPr>
          <w:lang w:val="fr-FR"/>
        </w:rPr>
        <w:t xml:space="preserve">la </w:t>
      </w:r>
      <w:r w:rsidR="00890C10" w:rsidRPr="005C556C">
        <w:rPr>
          <w:lang w:val="fr-FR"/>
        </w:rPr>
        <w:t>r</w:t>
      </w:r>
      <w:r w:rsidR="007C1561" w:rsidRPr="005C556C">
        <w:rPr>
          <w:lang w:val="fr-FR"/>
        </w:rPr>
        <w:t xml:space="preserve">éunion </w:t>
      </w:r>
      <w:r w:rsidR="00B823A0" w:rsidRPr="005C556C">
        <w:rPr>
          <w:lang w:val="fr-FR"/>
        </w:rPr>
        <w:t>du Groupe de travail technique sur l</w:t>
      </w:r>
      <w:r w:rsidR="007C1561" w:rsidRPr="005C556C">
        <w:rPr>
          <w:lang w:val="fr-FR"/>
        </w:rPr>
        <w:t xml:space="preserve">es </w:t>
      </w:r>
      <w:r w:rsidR="00890C10" w:rsidRPr="005C556C">
        <w:rPr>
          <w:lang w:val="fr-FR"/>
        </w:rPr>
        <w:t>s</w:t>
      </w:r>
      <w:r w:rsidR="007C1561" w:rsidRPr="005C556C">
        <w:rPr>
          <w:lang w:val="fr-FR"/>
        </w:rPr>
        <w:t xml:space="preserve">ystèmes de semences </w:t>
      </w:r>
      <w:r w:rsidR="007C1561" w:rsidRPr="005C556C">
        <w:rPr>
          <w:lang w:val="fr-FR"/>
        </w:rPr>
        <w:lastRenderedPageBreak/>
        <w:t>de l</w:t>
      </w:r>
      <w:r w:rsidR="00817667" w:rsidRPr="005C556C">
        <w:rPr>
          <w:lang w:val="fr-FR"/>
        </w:rPr>
        <w:t>’</w:t>
      </w:r>
      <w:r w:rsidR="007C1561" w:rsidRPr="005C556C">
        <w:rPr>
          <w:lang w:val="fr-FR"/>
        </w:rPr>
        <w:t>OCDE</w:t>
      </w:r>
      <w:r w:rsidR="00890C10" w:rsidRPr="005C556C">
        <w:rPr>
          <w:lang w:val="fr-FR"/>
        </w:rPr>
        <w:t>,</w:t>
      </w:r>
      <w:r w:rsidR="00B764A5" w:rsidRPr="005C556C">
        <w:rPr>
          <w:lang w:val="fr-FR"/>
        </w:rPr>
        <w:t xml:space="preserve"> qu</w:t>
      </w:r>
      <w:r w:rsidR="00817667" w:rsidRPr="005C556C">
        <w:rPr>
          <w:lang w:val="fr-FR"/>
        </w:rPr>
        <w:t>’</w:t>
      </w:r>
      <w:r w:rsidR="00B764A5" w:rsidRPr="005C556C">
        <w:rPr>
          <w:lang w:val="fr-FR"/>
        </w:rPr>
        <w:t>un autre a</w:t>
      </w:r>
      <w:r w:rsidR="00B46487" w:rsidRPr="005C556C">
        <w:rPr>
          <w:lang w:val="fr-FR"/>
        </w:rPr>
        <w:t>telier conjoint de l</w:t>
      </w:r>
      <w:r w:rsidR="00817667" w:rsidRPr="005C556C">
        <w:rPr>
          <w:lang w:val="fr-FR"/>
        </w:rPr>
        <w:t>’</w:t>
      </w:r>
      <w:r w:rsidR="00B46487" w:rsidRPr="005C556C">
        <w:rPr>
          <w:lang w:val="fr-FR"/>
        </w:rPr>
        <w:t>OCDE, de l</w:t>
      </w:r>
      <w:r w:rsidR="00817667" w:rsidRPr="005C556C">
        <w:rPr>
          <w:lang w:val="fr-FR"/>
        </w:rPr>
        <w:t>’</w:t>
      </w:r>
      <w:r w:rsidR="00B46487" w:rsidRPr="005C556C">
        <w:rPr>
          <w:lang w:val="fr-FR"/>
        </w:rPr>
        <w:t>UPOV et de l</w:t>
      </w:r>
      <w:r w:rsidR="00817667" w:rsidRPr="005C556C">
        <w:rPr>
          <w:lang w:val="fr-FR"/>
        </w:rPr>
        <w:t>’</w:t>
      </w:r>
      <w:r w:rsidR="00B46487" w:rsidRPr="005C556C">
        <w:rPr>
          <w:lang w:val="fr-FR"/>
        </w:rPr>
        <w:t xml:space="preserve">ISTA sur les techniques moléculaires devrait être organisé soit immédiatement avant ou après la </w:t>
      </w:r>
      <w:r w:rsidR="00890C10" w:rsidRPr="005C556C">
        <w:rPr>
          <w:lang w:val="fr-FR"/>
        </w:rPr>
        <w:t>r</w:t>
      </w:r>
      <w:r w:rsidR="00B46487" w:rsidRPr="005C556C">
        <w:rPr>
          <w:lang w:val="fr-FR"/>
        </w:rPr>
        <w:t xml:space="preserve">éunion annuelle des </w:t>
      </w:r>
      <w:r w:rsidR="00890C10" w:rsidRPr="005C556C">
        <w:rPr>
          <w:lang w:val="fr-FR"/>
        </w:rPr>
        <w:t>s</w:t>
      </w:r>
      <w:r w:rsidR="00B46487" w:rsidRPr="005C556C">
        <w:rPr>
          <w:lang w:val="fr-FR"/>
        </w:rPr>
        <w:t>ystèmes de semences de l</w:t>
      </w:r>
      <w:r w:rsidR="00817667" w:rsidRPr="005C556C">
        <w:rPr>
          <w:lang w:val="fr-FR"/>
        </w:rPr>
        <w:t>’</w:t>
      </w:r>
      <w:r w:rsidR="00B46487" w:rsidRPr="005C556C">
        <w:rPr>
          <w:lang w:val="fr-FR"/>
        </w:rPr>
        <w:t xml:space="preserve">OCDE qui se tiendra à Paris en </w:t>
      </w:r>
      <w:r w:rsidR="00817667" w:rsidRPr="005C556C">
        <w:rPr>
          <w:lang w:val="fr-FR"/>
        </w:rPr>
        <w:t>juin 20</w:t>
      </w:r>
      <w:r w:rsidR="00B764A5" w:rsidRPr="005C556C">
        <w:rPr>
          <w:lang w:val="fr-FR"/>
        </w:rPr>
        <w:t>15, soit en même temps que la r</w:t>
      </w:r>
      <w:r w:rsidR="00B46487" w:rsidRPr="005C556C">
        <w:rPr>
          <w:lang w:val="fr-FR"/>
        </w:rPr>
        <w:t xml:space="preserve">éunion du </w:t>
      </w:r>
      <w:r w:rsidR="00E27BBD" w:rsidRPr="005C556C">
        <w:rPr>
          <w:lang w:val="fr-FR"/>
        </w:rPr>
        <w:t xml:space="preserve">groupe de travail technique </w:t>
      </w:r>
      <w:r w:rsidR="00890C10" w:rsidRPr="005C556C">
        <w:rPr>
          <w:lang w:val="fr-FR"/>
        </w:rPr>
        <w:t>qui se tiendra</w:t>
      </w:r>
      <w:r w:rsidR="007C1561" w:rsidRPr="005C556C">
        <w:rPr>
          <w:lang w:val="fr-FR"/>
        </w:rPr>
        <w:t xml:space="preserve"> </w:t>
      </w:r>
      <w:r w:rsidR="00B46487" w:rsidRPr="005C556C">
        <w:rPr>
          <w:lang w:val="fr-FR"/>
        </w:rPr>
        <w:t xml:space="preserve">en </w:t>
      </w:r>
      <w:r w:rsidR="00817667" w:rsidRPr="005C556C">
        <w:rPr>
          <w:lang w:val="fr-FR"/>
        </w:rPr>
        <w:t>janvier 20</w:t>
      </w:r>
      <w:r w:rsidR="00B46487" w:rsidRPr="005C556C">
        <w:rPr>
          <w:lang w:val="fr-FR"/>
        </w:rPr>
        <w:t>16</w:t>
      </w:r>
      <w:r w:rsidR="00CF50A2" w:rsidRPr="005C556C">
        <w:rPr>
          <w:lang w:val="fr-FR"/>
        </w:rPr>
        <w:t>.</w:t>
      </w:r>
    </w:p>
    <w:p w:rsidR="0058402C" w:rsidRPr="005C556C" w:rsidRDefault="0058402C" w:rsidP="005C556C">
      <w:pPr>
        <w:rPr>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B46487" w:rsidRPr="005C556C">
        <w:rPr>
          <w:lang w:val="fr-FR"/>
        </w:rPr>
        <w:t>Le</w:t>
      </w:r>
      <w:r w:rsidRPr="005C556C">
        <w:rPr>
          <w:lang w:val="fr-FR"/>
        </w:rPr>
        <w:t xml:space="preserve"> CAJ note</w:t>
      </w:r>
      <w:r w:rsidR="00B46487" w:rsidRPr="005C556C">
        <w:rPr>
          <w:lang w:val="fr-FR"/>
        </w:rPr>
        <w:t xml:space="preserve"> que</w:t>
      </w:r>
      <w:r w:rsidR="00817667" w:rsidRPr="005C556C">
        <w:rPr>
          <w:lang w:val="fr-FR"/>
        </w:rPr>
        <w:t> TC</w:t>
      </w:r>
      <w:r w:rsidR="00B764A5" w:rsidRPr="005C556C">
        <w:rPr>
          <w:lang w:val="fr-FR"/>
        </w:rPr>
        <w:t xml:space="preserve"> </w:t>
      </w:r>
      <w:r w:rsidR="00B46487" w:rsidRPr="005C556C">
        <w:rPr>
          <w:lang w:val="fr-FR"/>
        </w:rPr>
        <w:t>a approuvé</w:t>
      </w:r>
      <w:r w:rsidR="00B764A5" w:rsidRPr="005C556C">
        <w:rPr>
          <w:lang w:val="fr-FR"/>
        </w:rPr>
        <w:t>, à sa cinquante</w:t>
      </w:r>
      <w:r w:rsidR="00824A4B" w:rsidRPr="005C556C">
        <w:rPr>
          <w:lang w:val="fr-FR"/>
        </w:rPr>
        <w:t> </w:t>
      </w:r>
      <w:r w:rsidR="00B764A5" w:rsidRPr="005C556C">
        <w:rPr>
          <w:lang w:val="fr-FR"/>
        </w:rPr>
        <w:t>et</w:t>
      </w:r>
      <w:r w:rsidR="00824A4B" w:rsidRPr="005C556C">
        <w:rPr>
          <w:lang w:val="fr-FR"/>
        </w:rPr>
        <w:t> </w:t>
      </w:r>
      <w:r w:rsidR="00B764A5" w:rsidRPr="005C556C">
        <w:rPr>
          <w:lang w:val="fr-FR"/>
        </w:rPr>
        <w:t>unième</w:t>
      </w:r>
      <w:r w:rsidR="00824A4B" w:rsidRPr="005C556C">
        <w:rPr>
          <w:lang w:val="fr-FR"/>
        </w:rPr>
        <w:t> </w:t>
      </w:r>
      <w:r w:rsidR="00B764A5" w:rsidRPr="005C556C">
        <w:rPr>
          <w:lang w:val="fr-FR"/>
        </w:rPr>
        <w:t xml:space="preserve">session, </w:t>
      </w:r>
      <w:r w:rsidR="00B46487" w:rsidRPr="005C556C">
        <w:rPr>
          <w:lang w:val="fr-FR"/>
        </w:rPr>
        <w:t>le programme de la quinzième</w:t>
      </w:r>
      <w:r w:rsidR="00824A4B" w:rsidRPr="005C556C">
        <w:rPr>
          <w:lang w:val="fr-FR"/>
        </w:rPr>
        <w:t> </w:t>
      </w:r>
      <w:r w:rsidR="00B46487" w:rsidRPr="005C556C">
        <w:rPr>
          <w:lang w:val="fr-FR"/>
        </w:rPr>
        <w:t>session</w:t>
      </w:r>
      <w:r w:rsidR="00817667" w:rsidRPr="005C556C">
        <w:rPr>
          <w:lang w:val="fr-FR"/>
        </w:rPr>
        <w:t xml:space="preserve"> du BMT</w:t>
      </w:r>
      <w:r w:rsidR="00B46487" w:rsidRPr="005C556C">
        <w:rPr>
          <w:lang w:val="fr-FR"/>
        </w:rPr>
        <w:t xml:space="preserve"> prévue en</w:t>
      </w:r>
      <w:r w:rsidR="00824A4B" w:rsidRPr="005C556C">
        <w:rPr>
          <w:lang w:val="fr-FR"/>
        </w:rPr>
        <w:t> </w:t>
      </w:r>
      <w:r w:rsidR="00B46487" w:rsidRPr="005C556C">
        <w:rPr>
          <w:lang w:val="fr-FR"/>
        </w:rPr>
        <w:t xml:space="preserve">2016, </w:t>
      </w:r>
      <w:r w:rsidR="00817667" w:rsidRPr="005C556C">
        <w:rPr>
          <w:lang w:val="fr-FR"/>
        </w:rPr>
        <w:t>y compris</w:t>
      </w:r>
      <w:r w:rsidR="00B46487" w:rsidRPr="005C556C">
        <w:rPr>
          <w:lang w:val="fr-FR"/>
        </w:rPr>
        <w:t xml:space="preserve"> la tenue d</w:t>
      </w:r>
      <w:r w:rsidR="00817667" w:rsidRPr="005C556C">
        <w:rPr>
          <w:lang w:val="fr-FR"/>
        </w:rPr>
        <w:t>’</w:t>
      </w:r>
      <w:r w:rsidR="00B46487" w:rsidRPr="005C556C">
        <w:rPr>
          <w:lang w:val="fr-FR"/>
        </w:rPr>
        <w:t xml:space="preserve">une journée spéciale (“Journée des obtenteurs”), </w:t>
      </w:r>
      <w:r w:rsidR="00B764A5" w:rsidRPr="005C556C">
        <w:rPr>
          <w:lang w:val="fr-FR"/>
        </w:rPr>
        <w:t xml:space="preserve">consacrée aux </w:t>
      </w:r>
      <w:r w:rsidR="00B46487" w:rsidRPr="005C556C">
        <w:rPr>
          <w:lang w:val="fr-FR"/>
        </w:rPr>
        <w:t>points de l</w:t>
      </w:r>
      <w:r w:rsidR="00817667" w:rsidRPr="005C556C">
        <w:rPr>
          <w:lang w:val="fr-FR"/>
        </w:rPr>
        <w:t>’</w:t>
      </w:r>
      <w:r w:rsidR="00B46487" w:rsidRPr="005C556C">
        <w:rPr>
          <w:lang w:val="fr-FR"/>
        </w:rPr>
        <w:t>ordre du jour relatifs à l</w:t>
      </w:r>
      <w:r w:rsidR="00817667" w:rsidRPr="005C556C">
        <w:rPr>
          <w:lang w:val="fr-FR"/>
        </w:rPr>
        <w:t>’</w:t>
      </w:r>
      <w:r w:rsidR="00B46487" w:rsidRPr="005C556C">
        <w:rPr>
          <w:lang w:val="fr-FR"/>
        </w:rPr>
        <w:t>utilisation de techniques moléculaires pour l</w:t>
      </w:r>
      <w:r w:rsidR="00817667" w:rsidRPr="005C556C">
        <w:rPr>
          <w:lang w:val="fr-FR"/>
        </w:rPr>
        <w:t>’</w:t>
      </w:r>
      <w:r w:rsidR="00B46487" w:rsidRPr="005C556C">
        <w:rPr>
          <w:lang w:val="fr-FR"/>
        </w:rPr>
        <w:t>appréciation de la notion de variété essentiellement dérivée et l</w:t>
      </w:r>
      <w:r w:rsidR="00817667" w:rsidRPr="005C556C">
        <w:rPr>
          <w:lang w:val="fr-FR"/>
        </w:rPr>
        <w:t>’</w:t>
      </w:r>
      <w:r w:rsidR="00B46487" w:rsidRPr="005C556C">
        <w:rPr>
          <w:lang w:val="fr-FR"/>
        </w:rPr>
        <w:t>identification des variétés</w:t>
      </w:r>
      <w:r w:rsidR="00CF50A2" w:rsidRPr="005C556C">
        <w:rPr>
          <w:lang w:val="fr-FR"/>
        </w:rPr>
        <w:t>.</w:t>
      </w:r>
    </w:p>
    <w:p w:rsidR="0058402C" w:rsidRPr="005C556C" w:rsidRDefault="0058402C" w:rsidP="005C556C">
      <w:pPr>
        <w:rPr>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B46487" w:rsidRPr="005C556C">
        <w:rPr>
          <w:lang w:val="fr-FR"/>
        </w:rPr>
        <w:t>Le CAJ note</w:t>
      </w:r>
      <w:r w:rsidRPr="005C556C">
        <w:rPr>
          <w:lang w:val="fr-FR"/>
        </w:rPr>
        <w:t xml:space="preserve"> </w:t>
      </w:r>
      <w:r w:rsidR="00B46487" w:rsidRPr="005C556C">
        <w:rPr>
          <w:lang w:val="fr-FR"/>
        </w:rPr>
        <w:t>que le</w:t>
      </w:r>
      <w:r w:rsidR="00817667" w:rsidRPr="005C556C">
        <w:rPr>
          <w:lang w:val="fr-FR"/>
        </w:rPr>
        <w:t> TC</w:t>
      </w:r>
      <w:r w:rsidRPr="005C556C">
        <w:rPr>
          <w:lang w:val="fr-FR"/>
        </w:rPr>
        <w:t xml:space="preserve"> </w:t>
      </w:r>
      <w:r w:rsidR="00B46487" w:rsidRPr="005C556C">
        <w:rPr>
          <w:lang w:val="fr-FR"/>
        </w:rPr>
        <w:t>est convenu d</w:t>
      </w:r>
      <w:r w:rsidR="00817667" w:rsidRPr="005C556C">
        <w:rPr>
          <w:lang w:val="fr-FR"/>
        </w:rPr>
        <w:t>’</w:t>
      </w:r>
      <w:r w:rsidR="00B46487" w:rsidRPr="005C556C">
        <w:rPr>
          <w:lang w:val="fr-FR"/>
        </w:rPr>
        <w:t>élaborer un document commun présentant les particularités des systèmes de l</w:t>
      </w:r>
      <w:r w:rsidR="00817667" w:rsidRPr="005C556C">
        <w:rPr>
          <w:lang w:val="fr-FR"/>
        </w:rPr>
        <w:t>’</w:t>
      </w:r>
      <w:r w:rsidR="00B46487" w:rsidRPr="005C556C">
        <w:rPr>
          <w:lang w:val="fr-FR"/>
        </w:rPr>
        <w:t>OCDE, de l</w:t>
      </w:r>
      <w:r w:rsidR="00817667" w:rsidRPr="005C556C">
        <w:rPr>
          <w:lang w:val="fr-FR"/>
        </w:rPr>
        <w:t>’</w:t>
      </w:r>
      <w:r w:rsidR="00B46487" w:rsidRPr="005C556C">
        <w:rPr>
          <w:lang w:val="fr-FR"/>
        </w:rPr>
        <w:t>UPOV et de l</w:t>
      </w:r>
      <w:r w:rsidR="00817667" w:rsidRPr="005C556C">
        <w:rPr>
          <w:lang w:val="fr-FR"/>
        </w:rPr>
        <w:t>’</w:t>
      </w:r>
      <w:r w:rsidR="00B46487" w:rsidRPr="005C556C">
        <w:rPr>
          <w:lang w:val="fr-FR"/>
        </w:rPr>
        <w:t>ISTA</w:t>
      </w:r>
      <w:r w:rsidR="005D1718" w:rsidRPr="005C556C">
        <w:rPr>
          <w:lang w:val="fr-FR"/>
        </w:rPr>
        <w:t xml:space="preserve"> (</w:t>
      </w:r>
      <w:r w:rsidR="00B46487" w:rsidRPr="005C556C">
        <w:rPr>
          <w:rFonts w:cs="Arial"/>
          <w:lang w:val="fr-FR" w:eastAsia="ja-JP"/>
        </w:rPr>
        <w:t>p.</w:t>
      </w:r>
      <w:r w:rsidR="00824A4B" w:rsidRPr="005C556C">
        <w:rPr>
          <w:rFonts w:cs="Arial"/>
          <w:lang w:val="fr-FR" w:eastAsia="ja-JP"/>
        </w:rPr>
        <w:t> </w:t>
      </w:r>
      <w:r w:rsidR="00B46487" w:rsidRPr="005C556C">
        <w:rPr>
          <w:rFonts w:cs="Arial"/>
          <w:lang w:val="fr-FR" w:eastAsia="ja-JP"/>
        </w:rPr>
        <w:t>ex. en matière d</w:t>
      </w:r>
      <w:r w:rsidR="00817667" w:rsidRPr="005C556C">
        <w:rPr>
          <w:rFonts w:cs="Arial"/>
          <w:lang w:val="fr-FR" w:eastAsia="ja-JP"/>
        </w:rPr>
        <w:t>’</w:t>
      </w:r>
      <w:r w:rsidR="00B46487" w:rsidRPr="005C556C">
        <w:rPr>
          <w:rFonts w:cs="Arial"/>
          <w:lang w:val="fr-FR" w:eastAsia="ja-JP"/>
        </w:rPr>
        <w:t>examen</w:t>
      </w:r>
      <w:r w:rsidR="00824A4B" w:rsidRPr="005C556C">
        <w:rPr>
          <w:rFonts w:cs="Arial"/>
          <w:lang w:val="fr-FR" w:eastAsia="ja-JP"/>
        </w:rPr>
        <w:t> </w:t>
      </w:r>
      <w:r w:rsidR="00B46487" w:rsidRPr="005C556C">
        <w:rPr>
          <w:rFonts w:cs="Arial"/>
          <w:lang w:val="fr-FR" w:eastAsia="ja-JP"/>
        </w:rPr>
        <w:t>DHS, d</w:t>
      </w:r>
      <w:r w:rsidR="00817667" w:rsidRPr="005C556C">
        <w:rPr>
          <w:rFonts w:cs="Arial"/>
          <w:lang w:val="fr-FR" w:eastAsia="ja-JP"/>
        </w:rPr>
        <w:t>’</w:t>
      </w:r>
      <w:r w:rsidR="00B46487" w:rsidRPr="005C556C">
        <w:rPr>
          <w:rFonts w:cs="Arial"/>
          <w:lang w:val="fr-FR" w:eastAsia="ja-JP"/>
        </w:rPr>
        <w:t>identification des variétés, de pureté des variétés, etc</w:t>
      </w:r>
      <w:r w:rsidR="005D1718" w:rsidRPr="005C556C">
        <w:rPr>
          <w:rFonts w:cs="Arial"/>
          <w:lang w:val="fr-FR" w:eastAsia="ja-JP"/>
        </w:rPr>
        <w:t xml:space="preserve">.), </w:t>
      </w:r>
      <w:r w:rsidR="00B46487" w:rsidRPr="005C556C">
        <w:rPr>
          <w:rFonts w:cs="Arial"/>
          <w:lang w:val="fr-FR" w:eastAsia="ja-JP"/>
        </w:rPr>
        <w:t>sous réserve de l</w:t>
      </w:r>
      <w:r w:rsidR="00817667" w:rsidRPr="005C556C">
        <w:rPr>
          <w:rFonts w:cs="Arial"/>
          <w:lang w:val="fr-FR" w:eastAsia="ja-JP"/>
        </w:rPr>
        <w:t>’</w:t>
      </w:r>
      <w:r w:rsidR="00B46487" w:rsidRPr="005C556C">
        <w:rPr>
          <w:rFonts w:cs="Arial"/>
          <w:lang w:val="fr-FR" w:eastAsia="ja-JP"/>
        </w:rPr>
        <w:t xml:space="preserve">approbation du Conseil et en </w:t>
      </w:r>
      <w:r w:rsidR="005D1718" w:rsidRPr="005C556C">
        <w:rPr>
          <w:rFonts w:cs="Arial"/>
          <w:lang w:val="fr-FR" w:eastAsia="ja-JP"/>
        </w:rPr>
        <w:t xml:space="preserve">coordination </w:t>
      </w:r>
      <w:r w:rsidR="00B46487" w:rsidRPr="005C556C">
        <w:rPr>
          <w:rFonts w:cs="Arial"/>
          <w:lang w:val="fr-FR" w:eastAsia="ja-JP"/>
        </w:rPr>
        <w:t>avec l</w:t>
      </w:r>
      <w:r w:rsidR="00817667" w:rsidRPr="005C556C">
        <w:rPr>
          <w:rFonts w:cs="Arial"/>
          <w:lang w:val="fr-FR" w:eastAsia="ja-JP"/>
        </w:rPr>
        <w:t>’</w:t>
      </w:r>
      <w:r w:rsidR="00B46487" w:rsidRPr="005C556C">
        <w:rPr>
          <w:rFonts w:cs="Arial"/>
          <w:lang w:val="fr-FR" w:eastAsia="ja-JP"/>
        </w:rPr>
        <w:t>OCDE et l</w:t>
      </w:r>
      <w:r w:rsidR="00817667" w:rsidRPr="005C556C">
        <w:rPr>
          <w:rFonts w:cs="Arial"/>
          <w:lang w:val="fr-FR" w:eastAsia="ja-JP"/>
        </w:rPr>
        <w:t>’</w:t>
      </w:r>
      <w:r w:rsidR="005D1718" w:rsidRPr="005C556C">
        <w:rPr>
          <w:rFonts w:cs="Arial"/>
          <w:lang w:val="fr-FR" w:eastAsia="ja-JP"/>
        </w:rPr>
        <w:t>ISTA</w:t>
      </w:r>
      <w:r w:rsidR="00CF50A2" w:rsidRPr="005C556C">
        <w:rPr>
          <w:lang w:val="fr-FR"/>
        </w:rPr>
        <w:t>.</w:t>
      </w:r>
    </w:p>
    <w:p w:rsidR="0058402C" w:rsidRPr="005C556C" w:rsidRDefault="0058402C" w:rsidP="005C556C">
      <w:pPr>
        <w:rPr>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B46487" w:rsidRPr="005C556C">
        <w:rPr>
          <w:lang w:val="fr-FR"/>
        </w:rPr>
        <w:t>Le CAJ note que le</w:t>
      </w:r>
      <w:r w:rsidR="00817667" w:rsidRPr="005C556C">
        <w:rPr>
          <w:lang w:val="fr-FR"/>
        </w:rPr>
        <w:t> TC</w:t>
      </w:r>
      <w:r w:rsidR="005D1718" w:rsidRPr="005C556C">
        <w:rPr>
          <w:lang w:val="fr-FR"/>
        </w:rPr>
        <w:t xml:space="preserve"> </w:t>
      </w:r>
      <w:r w:rsidR="00141F8A" w:rsidRPr="005C556C">
        <w:rPr>
          <w:lang w:val="fr-FR"/>
        </w:rPr>
        <w:t>est convenu de dresser un inventaire, par plante, de l</w:t>
      </w:r>
      <w:r w:rsidR="00817667" w:rsidRPr="005C556C">
        <w:rPr>
          <w:lang w:val="fr-FR"/>
        </w:rPr>
        <w:t>’</w:t>
      </w:r>
      <w:r w:rsidR="00141F8A" w:rsidRPr="005C556C">
        <w:rPr>
          <w:lang w:val="fr-FR"/>
        </w:rPr>
        <w:t>utilisation qui est faite par l</w:t>
      </w:r>
      <w:r w:rsidR="00817667" w:rsidRPr="005C556C">
        <w:rPr>
          <w:lang w:val="fr-FR"/>
        </w:rPr>
        <w:t>’</w:t>
      </w:r>
      <w:r w:rsidR="00141F8A" w:rsidRPr="005C556C">
        <w:rPr>
          <w:lang w:val="fr-FR"/>
        </w:rPr>
        <w:t>UPOV des techniques faisant intervenir des marqueurs moléculaires, en vue de l</w:t>
      </w:r>
      <w:r w:rsidR="00817667" w:rsidRPr="005C556C">
        <w:rPr>
          <w:lang w:val="fr-FR"/>
        </w:rPr>
        <w:t>’</w:t>
      </w:r>
      <w:r w:rsidR="00141F8A" w:rsidRPr="005C556C">
        <w:rPr>
          <w:lang w:val="fr-FR"/>
        </w:rPr>
        <w:t>élaboration d</w:t>
      </w:r>
      <w:r w:rsidR="00817667" w:rsidRPr="005C556C">
        <w:rPr>
          <w:lang w:val="fr-FR"/>
        </w:rPr>
        <w:t>’</w:t>
      </w:r>
      <w:r w:rsidR="00141F8A" w:rsidRPr="005C556C">
        <w:rPr>
          <w:lang w:val="fr-FR"/>
        </w:rPr>
        <w:t>un document commun à l</w:t>
      </w:r>
      <w:r w:rsidR="00817667" w:rsidRPr="005C556C">
        <w:rPr>
          <w:lang w:val="fr-FR"/>
        </w:rPr>
        <w:t>’</w:t>
      </w:r>
      <w:r w:rsidR="00141F8A" w:rsidRPr="005C556C">
        <w:rPr>
          <w:lang w:val="fr-FR"/>
        </w:rPr>
        <w:t>OCDE, à l</w:t>
      </w:r>
      <w:r w:rsidR="00817667" w:rsidRPr="005C556C">
        <w:rPr>
          <w:lang w:val="fr-FR"/>
        </w:rPr>
        <w:t>’</w:t>
      </w:r>
      <w:r w:rsidR="00141F8A" w:rsidRPr="005C556C">
        <w:rPr>
          <w:lang w:val="fr-FR"/>
        </w:rPr>
        <w:t>UPOV et à l</w:t>
      </w:r>
      <w:r w:rsidR="00817667" w:rsidRPr="005C556C">
        <w:rPr>
          <w:lang w:val="fr-FR"/>
        </w:rPr>
        <w:t>’</w:t>
      </w:r>
      <w:r w:rsidR="00141F8A" w:rsidRPr="005C556C">
        <w:rPr>
          <w:lang w:val="fr-FR"/>
        </w:rPr>
        <w:t>ISTA contenant ces informations, dans un format semblable à celui du document UPOV/INF/16 “Logiciels échangeables”</w:t>
      </w:r>
      <w:r w:rsidR="005D1718" w:rsidRPr="005C556C">
        <w:rPr>
          <w:lang w:val="fr-FR"/>
        </w:rPr>
        <w:t xml:space="preserve">, </w:t>
      </w:r>
      <w:r w:rsidR="00141F8A" w:rsidRPr="005C556C">
        <w:rPr>
          <w:rFonts w:cs="Arial"/>
          <w:lang w:val="fr-FR" w:eastAsia="ja-JP"/>
        </w:rPr>
        <w:t>sous réserve de l</w:t>
      </w:r>
      <w:r w:rsidR="00817667" w:rsidRPr="005C556C">
        <w:rPr>
          <w:rFonts w:cs="Arial"/>
          <w:lang w:val="fr-FR" w:eastAsia="ja-JP"/>
        </w:rPr>
        <w:t>’</w:t>
      </w:r>
      <w:r w:rsidR="00141F8A" w:rsidRPr="005C556C">
        <w:rPr>
          <w:rFonts w:cs="Arial"/>
          <w:lang w:val="fr-FR" w:eastAsia="ja-JP"/>
        </w:rPr>
        <w:t>approbation du Conseil et en coordination avec l</w:t>
      </w:r>
      <w:r w:rsidR="00817667" w:rsidRPr="005C556C">
        <w:rPr>
          <w:rFonts w:cs="Arial"/>
          <w:lang w:val="fr-FR" w:eastAsia="ja-JP"/>
        </w:rPr>
        <w:t>’</w:t>
      </w:r>
      <w:r w:rsidR="00141F8A" w:rsidRPr="005C556C">
        <w:rPr>
          <w:rFonts w:cs="Arial"/>
          <w:lang w:val="fr-FR" w:eastAsia="ja-JP"/>
        </w:rPr>
        <w:t>OCDE et l</w:t>
      </w:r>
      <w:r w:rsidR="00817667" w:rsidRPr="005C556C">
        <w:rPr>
          <w:rFonts w:cs="Arial"/>
          <w:lang w:val="fr-FR" w:eastAsia="ja-JP"/>
        </w:rPr>
        <w:t>’</w:t>
      </w:r>
      <w:r w:rsidR="00141F8A" w:rsidRPr="005C556C">
        <w:rPr>
          <w:rFonts w:cs="Arial"/>
          <w:lang w:val="fr-FR" w:eastAsia="ja-JP"/>
        </w:rPr>
        <w:t>ISTA</w:t>
      </w:r>
      <w:r w:rsidR="00CF50A2" w:rsidRPr="005C556C">
        <w:rPr>
          <w:lang w:val="fr-FR"/>
        </w:rPr>
        <w:t>.</w:t>
      </w:r>
      <w:r w:rsidR="00673346" w:rsidRPr="005C556C">
        <w:rPr>
          <w:lang w:val="fr-FR"/>
        </w:rPr>
        <w:t xml:space="preserve">  </w:t>
      </w:r>
      <w:r w:rsidR="00141F8A" w:rsidRPr="005C556C">
        <w:rPr>
          <w:lang w:val="fr-FR"/>
        </w:rPr>
        <w:t>Il convient qu</w:t>
      </w:r>
      <w:r w:rsidR="00817667" w:rsidRPr="005C556C">
        <w:rPr>
          <w:lang w:val="fr-FR"/>
        </w:rPr>
        <w:t>’</w:t>
      </w:r>
      <w:r w:rsidR="00141F8A" w:rsidRPr="005C556C">
        <w:rPr>
          <w:lang w:val="fr-FR"/>
        </w:rPr>
        <w:t>il serait nécessaire d</w:t>
      </w:r>
      <w:r w:rsidR="00817667" w:rsidRPr="005C556C">
        <w:rPr>
          <w:lang w:val="fr-FR"/>
        </w:rPr>
        <w:t>’</w:t>
      </w:r>
      <w:r w:rsidR="00141F8A" w:rsidRPr="005C556C">
        <w:rPr>
          <w:lang w:val="fr-FR"/>
        </w:rPr>
        <w:t xml:space="preserve">établir des critères et une procédure </w:t>
      </w:r>
      <w:r w:rsidR="007C1561" w:rsidRPr="005C556C">
        <w:rPr>
          <w:lang w:val="fr-FR"/>
        </w:rPr>
        <w:t>permettant d</w:t>
      </w:r>
      <w:r w:rsidR="00817667" w:rsidRPr="005C556C">
        <w:rPr>
          <w:lang w:val="fr-FR"/>
        </w:rPr>
        <w:t>’</w:t>
      </w:r>
      <w:r w:rsidR="007C1561" w:rsidRPr="005C556C">
        <w:rPr>
          <w:lang w:val="fr-FR"/>
        </w:rPr>
        <w:t xml:space="preserve">ajouter des </w:t>
      </w:r>
      <w:r w:rsidR="00141F8A" w:rsidRPr="005C556C">
        <w:rPr>
          <w:lang w:val="fr-FR"/>
        </w:rPr>
        <w:t xml:space="preserve">informations au </w:t>
      </w:r>
      <w:r w:rsidR="00673346" w:rsidRPr="005C556C">
        <w:rPr>
          <w:lang w:val="fr-FR"/>
        </w:rPr>
        <w:t>document.</w:t>
      </w:r>
    </w:p>
    <w:p w:rsidR="0058402C" w:rsidRPr="005C556C" w:rsidRDefault="0058402C" w:rsidP="005C556C">
      <w:pPr>
        <w:rPr>
          <w:lang w:val="fr-FR"/>
        </w:rPr>
      </w:pPr>
    </w:p>
    <w:p w:rsidR="0058402C" w:rsidRPr="005C556C" w:rsidRDefault="000E3E0B"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141F8A" w:rsidRPr="005C556C">
        <w:rPr>
          <w:lang w:val="fr-FR"/>
        </w:rPr>
        <w:t>Le CAJ note que le</w:t>
      </w:r>
      <w:r w:rsidR="00817667" w:rsidRPr="005C556C">
        <w:rPr>
          <w:lang w:val="fr-FR"/>
        </w:rPr>
        <w:t> TC</w:t>
      </w:r>
      <w:r w:rsidR="005D1718" w:rsidRPr="005C556C">
        <w:rPr>
          <w:lang w:val="fr-FR"/>
        </w:rPr>
        <w:t xml:space="preserve"> </w:t>
      </w:r>
      <w:r w:rsidR="00141F8A" w:rsidRPr="005C556C">
        <w:rPr>
          <w:lang w:val="fr-FR"/>
        </w:rPr>
        <w:t>est convenu que</w:t>
      </w:r>
      <w:r w:rsidR="00817667" w:rsidRPr="005C556C">
        <w:rPr>
          <w:lang w:val="fr-FR"/>
        </w:rPr>
        <w:t xml:space="preserve"> le BMT</w:t>
      </w:r>
      <w:r w:rsidR="00141F8A" w:rsidRPr="005C556C">
        <w:rPr>
          <w:lang w:val="fr-FR"/>
        </w:rPr>
        <w:t>, à sa quinzième</w:t>
      </w:r>
      <w:r w:rsidR="00824A4B" w:rsidRPr="005C556C">
        <w:rPr>
          <w:lang w:val="fr-FR"/>
        </w:rPr>
        <w:t> </w:t>
      </w:r>
      <w:r w:rsidR="00141F8A" w:rsidRPr="005C556C">
        <w:rPr>
          <w:lang w:val="fr-FR"/>
        </w:rPr>
        <w:t>session, devrait dresser des listes d</w:t>
      </w:r>
      <w:r w:rsidR="00817667" w:rsidRPr="005C556C">
        <w:rPr>
          <w:lang w:val="fr-FR"/>
        </w:rPr>
        <w:t>’</w:t>
      </w:r>
      <w:r w:rsidR="00141F8A" w:rsidRPr="005C556C">
        <w:rPr>
          <w:lang w:val="fr-FR"/>
        </w:rPr>
        <w:t>initiatives conjointes possibles avec l</w:t>
      </w:r>
      <w:r w:rsidR="00817667" w:rsidRPr="005C556C">
        <w:rPr>
          <w:lang w:val="fr-FR"/>
        </w:rPr>
        <w:t>’</w:t>
      </w:r>
      <w:r w:rsidR="00141F8A" w:rsidRPr="005C556C">
        <w:rPr>
          <w:lang w:val="fr-FR"/>
        </w:rPr>
        <w:t>OCDE et l</w:t>
      </w:r>
      <w:r w:rsidR="00817667" w:rsidRPr="005C556C">
        <w:rPr>
          <w:lang w:val="fr-FR"/>
        </w:rPr>
        <w:t>’</w:t>
      </w:r>
      <w:r w:rsidR="00141F8A" w:rsidRPr="005C556C">
        <w:rPr>
          <w:lang w:val="fr-FR"/>
        </w:rPr>
        <w:t>ISTA dans le domaine des techniques moléculaires</w:t>
      </w:r>
      <w:r w:rsidR="00CF50A2" w:rsidRPr="005C556C">
        <w:rPr>
          <w:lang w:val="fr-FR"/>
        </w:rPr>
        <w:t>.</w:t>
      </w:r>
    </w:p>
    <w:p w:rsidR="0058402C" w:rsidRPr="005C556C" w:rsidRDefault="0058402C" w:rsidP="005C556C">
      <w:pPr>
        <w:rPr>
          <w:lang w:val="fr-FR"/>
        </w:rPr>
      </w:pPr>
    </w:p>
    <w:p w:rsidR="0058402C" w:rsidRPr="005C556C" w:rsidRDefault="0080264F" w:rsidP="00A35419">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4B1B14" w:rsidRPr="005C556C">
        <w:rPr>
          <w:lang w:val="fr-FR"/>
        </w:rPr>
        <w:t>Le CAJ note que le</w:t>
      </w:r>
      <w:r w:rsidR="00817667" w:rsidRPr="005C556C">
        <w:rPr>
          <w:lang w:val="fr-FR"/>
        </w:rPr>
        <w:t> TC</w:t>
      </w:r>
      <w:r w:rsidRPr="005C556C">
        <w:rPr>
          <w:lang w:val="fr-FR"/>
        </w:rPr>
        <w:t xml:space="preserve"> </w:t>
      </w:r>
      <w:r w:rsidR="004B1B14" w:rsidRPr="005C556C">
        <w:rPr>
          <w:lang w:val="fr-FR"/>
        </w:rPr>
        <w:t>a examiné la possibilité d</w:t>
      </w:r>
      <w:r w:rsidR="00817667" w:rsidRPr="005C556C">
        <w:rPr>
          <w:lang w:val="fr-FR"/>
        </w:rPr>
        <w:t>’</w:t>
      </w:r>
      <w:r w:rsidR="004B1B14" w:rsidRPr="005C556C">
        <w:rPr>
          <w:lang w:val="fr-FR"/>
        </w:rPr>
        <w:t>élaborer un projet de questions et réponses concernant la diffusion d</w:t>
      </w:r>
      <w:r w:rsidR="00817667" w:rsidRPr="005C556C">
        <w:rPr>
          <w:lang w:val="fr-FR"/>
        </w:rPr>
        <w:t>’</w:t>
      </w:r>
      <w:r w:rsidR="004B1B14" w:rsidRPr="005C556C">
        <w:rPr>
          <w:lang w:val="fr-FR"/>
        </w:rPr>
        <w:t xml:space="preserve">informations à un large public, </w:t>
      </w:r>
      <w:r w:rsidR="00817667" w:rsidRPr="005C556C">
        <w:rPr>
          <w:lang w:val="fr-FR"/>
        </w:rPr>
        <w:t>y compris</w:t>
      </w:r>
      <w:r w:rsidR="004B1B14" w:rsidRPr="005C556C">
        <w:rPr>
          <w:lang w:val="fr-FR"/>
        </w:rPr>
        <w:t xml:space="preserve"> le public en général, sur la situation à l</w:t>
      </w:r>
      <w:r w:rsidR="00817667" w:rsidRPr="005C556C">
        <w:rPr>
          <w:lang w:val="fr-FR"/>
        </w:rPr>
        <w:t>’</w:t>
      </w:r>
      <w:r w:rsidR="004B1B14" w:rsidRPr="005C556C">
        <w:rPr>
          <w:lang w:val="fr-FR"/>
        </w:rPr>
        <w:t>UPOV concernant l</w:t>
      </w:r>
      <w:r w:rsidR="00817667" w:rsidRPr="005C556C">
        <w:rPr>
          <w:lang w:val="fr-FR"/>
        </w:rPr>
        <w:t>’</w:t>
      </w:r>
      <w:r w:rsidR="004B1B14" w:rsidRPr="005C556C">
        <w:rPr>
          <w:lang w:val="fr-FR"/>
        </w:rPr>
        <w:t>utilisation de techniques moléculaires</w:t>
      </w:r>
      <w:r w:rsidRPr="005C556C">
        <w:rPr>
          <w:lang w:val="fr-FR"/>
        </w:rPr>
        <w:t xml:space="preserve">.  </w:t>
      </w:r>
      <w:r w:rsidR="004B1B14" w:rsidRPr="005C556C">
        <w:rPr>
          <w:lang w:val="fr-FR"/>
        </w:rPr>
        <w:t>Le</w:t>
      </w:r>
      <w:r w:rsidR="00817667" w:rsidRPr="005C556C">
        <w:rPr>
          <w:lang w:val="fr-FR"/>
        </w:rPr>
        <w:t> TC</w:t>
      </w:r>
      <w:r w:rsidRPr="005C556C">
        <w:rPr>
          <w:lang w:val="fr-FR"/>
        </w:rPr>
        <w:t xml:space="preserve"> </w:t>
      </w:r>
      <w:r w:rsidR="004B1B14" w:rsidRPr="005C556C">
        <w:rPr>
          <w:lang w:val="fr-FR"/>
        </w:rPr>
        <w:t xml:space="preserve">est convenu de demander aux groupes de travail techniques, à leurs </w:t>
      </w:r>
      <w:r w:rsidRPr="005C556C">
        <w:rPr>
          <w:lang w:val="fr-FR"/>
        </w:rPr>
        <w:t xml:space="preserve">sessions </w:t>
      </w:r>
      <w:r w:rsidR="004B1B14" w:rsidRPr="005C556C">
        <w:rPr>
          <w:lang w:val="fr-FR"/>
        </w:rPr>
        <w:t>de</w:t>
      </w:r>
      <w:r w:rsidR="00824A4B" w:rsidRPr="005C556C">
        <w:rPr>
          <w:lang w:val="fr-FR"/>
        </w:rPr>
        <w:t> </w:t>
      </w:r>
      <w:r w:rsidRPr="005C556C">
        <w:rPr>
          <w:lang w:val="fr-FR"/>
        </w:rPr>
        <w:t xml:space="preserve">2015, </w:t>
      </w:r>
      <w:r w:rsidR="007C1561" w:rsidRPr="005C556C">
        <w:rPr>
          <w:lang w:val="fr-FR"/>
        </w:rPr>
        <w:t>d</w:t>
      </w:r>
      <w:r w:rsidR="00817667" w:rsidRPr="005C556C">
        <w:rPr>
          <w:lang w:val="fr-FR"/>
        </w:rPr>
        <w:t>’</w:t>
      </w:r>
      <w:r w:rsidR="007C1561" w:rsidRPr="005C556C">
        <w:rPr>
          <w:lang w:val="fr-FR"/>
        </w:rPr>
        <w:t xml:space="preserve">examiner </w:t>
      </w:r>
      <w:r w:rsidR="004B1B14" w:rsidRPr="005C556C">
        <w:rPr>
          <w:lang w:val="fr-FR"/>
        </w:rPr>
        <w:t xml:space="preserve">le projet initial suivant qui a </w:t>
      </w:r>
      <w:r w:rsidR="00B764A5" w:rsidRPr="005C556C">
        <w:rPr>
          <w:lang w:val="fr-FR"/>
        </w:rPr>
        <w:t xml:space="preserve">été </w:t>
      </w:r>
      <w:r w:rsidR="004B1B14" w:rsidRPr="005C556C">
        <w:rPr>
          <w:lang w:val="fr-FR"/>
        </w:rPr>
        <w:t>discuté à la session du</w:t>
      </w:r>
      <w:r w:rsidR="00817667" w:rsidRPr="005C556C">
        <w:rPr>
          <w:lang w:val="fr-FR"/>
        </w:rPr>
        <w:t> TC</w:t>
      </w:r>
      <w:r w:rsidRPr="005C556C">
        <w:rPr>
          <w:lang w:val="fr-FR"/>
        </w:rPr>
        <w:t xml:space="preserve"> (</w:t>
      </w:r>
      <w:r w:rsidR="004B1B14" w:rsidRPr="005C556C">
        <w:rPr>
          <w:lang w:val="fr-FR"/>
        </w:rPr>
        <w:t>voir les paragraphes</w:t>
      </w:r>
      <w:r w:rsidR="00824A4B" w:rsidRPr="005C556C">
        <w:rPr>
          <w:lang w:val="fr-FR"/>
        </w:rPr>
        <w:t> </w:t>
      </w:r>
      <w:r w:rsidR="004B1B14" w:rsidRPr="005C556C">
        <w:rPr>
          <w:lang w:val="fr-FR"/>
        </w:rPr>
        <w:t xml:space="preserve">172 à 181 du </w:t>
      </w:r>
      <w:r w:rsidR="00817667" w:rsidRPr="005C556C">
        <w:rPr>
          <w:lang w:val="fr-FR"/>
        </w:rPr>
        <w:t>document TC</w:t>
      </w:r>
      <w:r w:rsidR="004B1B14" w:rsidRPr="005C556C">
        <w:rPr>
          <w:lang w:val="fr-FR"/>
        </w:rPr>
        <w:t>/51/39 “</w:t>
      </w:r>
      <w:r w:rsidR="005C556C" w:rsidRPr="005C556C">
        <w:rPr>
          <w:lang w:val="fr-FR"/>
        </w:rPr>
        <w:t>C</w:t>
      </w:r>
      <w:r w:rsidR="004B1B14" w:rsidRPr="005C556C">
        <w:rPr>
          <w:lang w:val="fr-FR"/>
        </w:rPr>
        <w:t>ompte rendu</w:t>
      </w:r>
      <w:r w:rsidR="005C556C" w:rsidRPr="005C556C">
        <w:rPr>
          <w:lang w:val="fr-FR"/>
        </w:rPr>
        <w:t>”</w:t>
      </w:r>
      <w:r w:rsidR="007E55FC" w:rsidRPr="005C556C">
        <w:rPr>
          <w:lang w:val="fr-FR"/>
        </w:rPr>
        <w:t>)</w:t>
      </w:r>
      <w:r w:rsidR="004B1B14" w:rsidRPr="005C556C">
        <w:rPr>
          <w:lang w:val="fr-FR"/>
        </w:rPr>
        <w:t> </w:t>
      </w:r>
      <w:r w:rsidRPr="005C556C">
        <w:rPr>
          <w:lang w:val="fr-FR"/>
        </w:rPr>
        <w:t>:</w:t>
      </w:r>
    </w:p>
    <w:p w:rsidR="0058402C" w:rsidRPr="005C556C" w:rsidRDefault="0058402C" w:rsidP="00A35419">
      <w:pPr>
        <w:rPr>
          <w:lang w:val="fr-FR"/>
        </w:rPr>
      </w:pPr>
    </w:p>
    <w:p w:rsidR="00A35419" w:rsidRDefault="00A35419" w:rsidP="00A35419">
      <w:pPr>
        <w:ind w:left="567" w:right="567"/>
        <w:rPr>
          <w:sz w:val="18"/>
          <w:lang w:val="fr-FR"/>
        </w:rPr>
      </w:pPr>
      <w:r w:rsidRPr="00DE563E">
        <w:rPr>
          <w:sz w:val="18"/>
          <w:lang w:val="fr-FR"/>
        </w:rPr>
        <w:t>“</w:t>
      </w:r>
      <w:r>
        <w:rPr>
          <w:sz w:val="18"/>
          <w:lang w:val="fr-FR"/>
        </w:rPr>
        <w:t>Est</w:t>
      </w:r>
      <w:r>
        <w:rPr>
          <w:sz w:val="18"/>
          <w:lang w:val="fr-FR"/>
        </w:rPr>
        <w:noBreakHyphen/>
        <w:t>il possible d’obtenir la protection d’une variété sur la base de son profil d’ADN?</w:t>
      </w:r>
    </w:p>
    <w:p w:rsidR="00A35419" w:rsidRDefault="00A35419" w:rsidP="00A35419">
      <w:pPr>
        <w:ind w:left="567" w:right="567"/>
        <w:rPr>
          <w:sz w:val="18"/>
          <w:lang w:val="fr-FR"/>
        </w:rPr>
      </w:pPr>
    </w:p>
    <w:p w:rsidR="00A35419" w:rsidRDefault="00A35419" w:rsidP="00A35419">
      <w:pPr>
        <w:ind w:left="567" w:right="567"/>
        <w:rPr>
          <w:sz w:val="18"/>
          <w:lang w:val="fr-FR"/>
        </w:rPr>
      </w:pPr>
      <w:r w:rsidRPr="00DE563E">
        <w:rPr>
          <w:sz w:val="18"/>
          <w:lang w:val="fr-FR"/>
        </w:rPr>
        <w:t>“</w:t>
      </w:r>
      <w:r w:rsidRPr="00082E9B">
        <w:rPr>
          <w:sz w:val="18"/>
          <w:lang w:val="fr-FR"/>
        </w:rPr>
        <w:t>Pour pouvoir bénéficier d</w:t>
      </w:r>
      <w:r>
        <w:rPr>
          <w:sz w:val="18"/>
          <w:lang w:val="fr-FR"/>
        </w:rPr>
        <w:t>’</w:t>
      </w:r>
      <w:r w:rsidRPr="00082E9B">
        <w:rPr>
          <w:sz w:val="18"/>
          <w:lang w:val="fr-FR"/>
        </w:rPr>
        <w:t xml:space="preserve">une protection, une variété doit </w:t>
      </w:r>
      <w:r>
        <w:rPr>
          <w:sz w:val="18"/>
          <w:lang w:val="fr-FR"/>
        </w:rPr>
        <w:t xml:space="preserve">pouvoir être nettement </w:t>
      </w:r>
      <w:r w:rsidRPr="00D669AE">
        <w:rPr>
          <w:sz w:val="18"/>
          <w:lang w:val="fr-FR"/>
        </w:rPr>
        <w:t xml:space="preserve">distinguée </w:t>
      </w:r>
      <w:r>
        <w:rPr>
          <w:sz w:val="18"/>
          <w:lang w:val="fr-FR"/>
        </w:rPr>
        <w:t xml:space="preserve">de toute autre variété existante par des caractères exprimés physiquement, par exemple, </w:t>
      </w:r>
      <w:r w:rsidRPr="007C3A7C">
        <w:rPr>
          <w:sz w:val="18"/>
          <w:lang w:val="fr-FR"/>
        </w:rPr>
        <w:t>la hauteur de la plante</w:t>
      </w:r>
      <w:r>
        <w:rPr>
          <w:sz w:val="18"/>
          <w:lang w:val="fr-FR"/>
        </w:rPr>
        <w:t xml:space="preserve">, l’époque de floraison, la couleur des fruits, la </w:t>
      </w:r>
      <w:r w:rsidRPr="007C3A7C">
        <w:rPr>
          <w:sz w:val="18"/>
          <w:lang w:val="fr-FR"/>
        </w:rPr>
        <w:t>résistance aux maladies</w:t>
      </w:r>
      <w:r>
        <w:rPr>
          <w:sz w:val="18"/>
          <w:lang w:val="fr-FR"/>
        </w:rPr>
        <w:t xml:space="preserve">, etc.  </w:t>
      </w:r>
      <w:r w:rsidRPr="00DE563E">
        <w:rPr>
          <w:sz w:val="18"/>
          <w:lang w:val="fr-FR"/>
        </w:rPr>
        <w:t>[</w:t>
      </w:r>
      <w:r>
        <w:rPr>
          <w:sz w:val="18"/>
          <w:lang w:val="fr-FR"/>
        </w:rPr>
        <w:t xml:space="preserve">Les </w:t>
      </w:r>
      <w:r w:rsidRPr="007C3A7C">
        <w:rPr>
          <w:sz w:val="18"/>
          <w:lang w:val="fr-FR"/>
        </w:rPr>
        <w:t>techniques moléculaires</w:t>
      </w:r>
      <w:r w:rsidRPr="00DE563E">
        <w:rPr>
          <w:sz w:val="18"/>
          <w:lang w:val="fr-FR"/>
        </w:rPr>
        <w:t xml:space="preserve"> (</w:t>
      </w:r>
      <w:r>
        <w:rPr>
          <w:sz w:val="18"/>
          <w:lang w:val="fr-FR"/>
        </w:rPr>
        <w:t xml:space="preserve">les </w:t>
      </w:r>
      <w:r w:rsidRPr="007C3A7C">
        <w:rPr>
          <w:sz w:val="18"/>
          <w:lang w:val="fr-FR"/>
        </w:rPr>
        <w:t>profils d</w:t>
      </w:r>
      <w:r>
        <w:rPr>
          <w:sz w:val="18"/>
          <w:lang w:val="fr-FR"/>
        </w:rPr>
        <w:t>’</w:t>
      </w:r>
      <w:r w:rsidRPr="007C3A7C">
        <w:rPr>
          <w:sz w:val="18"/>
          <w:lang w:val="fr-FR"/>
        </w:rPr>
        <w:t>ADN</w:t>
      </w:r>
      <w:r w:rsidRPr="00DE563E">
        <w:rPr>
          <w:sz w:val="18"/>
          <w:lang w:val="fr-FR"/>
        </w:rPr>
        <w:t xml:space="preserve">) </w:t>
      </w:r>
      <w:r>
        <w:rPr>
          <w:sz w:val="18"/>
          <w:lang w:val="fr-FR"/>
        </w:rPr>
        <w:t>peuvent être utilisées en tant qu’informations complémentaires</w:t>
      </w:r>
      <w:r w:rsidRPr="00DE563E">
        <w:rPr>
          <w:sz w:val="18"/>
          <w:lang w:val="fr-FR"/>
        </w:rPr>
        <w:t>].</w:t>
      </w:r>
    </w:p>
    <w:p w:rsidR="00A35419" w:rsidRDefault="00A35419" w:rsidP="00A35419">
      <w:pPr>
        <w:ind w:left="567" w:right="567"/>
        <w:rPr>
          <w:sz w:val="18"/>
          <w:lang w:val="fr-FR"/>
        </w:rPr>
      </w:pPr>
    </w:p>
    <w:p w:rsidR="00A35419" w:rsidRDefault="00A35419" w:rsidP="00A35419">
      <w:pPr>
        <w:ind w:left="567" w:right="567"/>
        <w:rPr>
          <w:sz w:val="18"/>
          <w:lang w:val="fr-FR"/>
        </w:rPr>
      </w:pPr>
      <w:r w:rsidRPr="00DE563E">
        <w:rPr>
          <w:sz w:val="18"/>
          <w:lang w:val="fr-FR"/>
        </w:rPr>
        <w:t>“</w:t>
      </w:r>
      <w:r>
        <w:rPr>
          <w:sz w:val="18"/>
          <w:lang w:val="fr-FR"/>
        </w:rPr>
        <w:t xml:space="preserve">Des explications plus détaillées sont fournies dans </w:t>
      </w:r>
      <w:r w:rsidRPr="00804F35">
        <w:rPr>
          <w:sz w:val="18"/>
          <w:lang w:val="fr-FR"/>
        </w:rPr>
        <w:t xml:space="preserve">les réponses aux questions fréquemment posées </w:t>
      </w:r>
      <w:r>
        <w:rPr>
          <w:sz w:val="18"/>
          <w:lang w:val="fr-FR"/>
        </w:rPr>
        <w:t>‘</w:t>
      </w:r>
      <w:r w:rsidRPr="00804F35">
        <w:rPr>
          <w:sz w:val="18"/>
          <w:lang w:val="fr-FR"/>
        </w:rPr>
        <w:t>L</w:t>
      </w:r>
      <w:r>
        <w:rPr>
          <w:sz w:val="18"/>
          <w:lang w:val="fr-FR"/>
        </w:rPr>
        <w:t>’</w:t>
      </w:r>
      <w:r w:rsidRPr="00804F35">
        <w:rPr>
          <w:sz w:val="18"/>
          <w:lang w:val="fr-FR"/>
        </w:rPr>
        <w:t>UPOV permet</w:t>
      </w:r>
      <w:r>
        <w:rPr>
          <w:sz w:val="18"/>
          <w:lang w:val="fr-FR"/>
        </w:rPr>
        <w:noBreakHyphen/>
      </w:r>
      <w:r w:rsidRPr="00804F35">
        <w:rPr>
          <w:sz w:val="18"/>
          <w:lang w:val="fr-FR"/>
        </w:rPr>
        <w:t>elle de recourir à des techniques moléculaires (profils d</w:t>
      </w:r>
      <w:r>
        <w:rPr>
          <w:sz w:val="18"/>
          <w:lang w:val="fr-FR"/>
        </w:rPr>
        <w:t>’</w:t>
      </w:r>
      <w:r w:rsidRPr="00804F35">
        <w:rPr>
          <w:sz w:val="18"/>
          <w:lang w:val="fr-FR"/>
        </w:rPr>
        <w:t>ADN) dans l</w:t>
      </w:r>
      <w:r>
        <w:rPr>
          <w:sz w:val="18"/>
          <w:lang w:val="fr-FR"/>
        </w:rPr>
        <w:t>’</w:t>
      </w:r>
      <w:r w:rsidRPr="00804F35">
        <w:rPr>
          <w:sz w:val="18"/>
          <w:lang w:val="fr-FR"/>
        </w:rPr>
        <w:t>examen de la distinction, de l</w:t>
      </w:r>
      <w:r>
        <w:rPr>
          <w:sz w:val="18"/>
          <w:lang w:val="fr-FR"/>
        </w:rPr>
        <w:t>’</w:t>
      </w:r>
      <w:r w:rsidRPr="00804F35">
        <w:rPr>
          <w:sz w:val="18"/>
          <w:lang w:val="fr-FR"/>
        </w:rPr>
        <w:t>homogénéité et de la stabilité (examen</w:t>
      </w:r>
      <w:r>
        <w:rPr>
          <w:sz w:val="18"/>
          <w:lang w:val="fr-FR"/>
        </w:rPr>
        <w:t> </w:t>
      </w:r>
      <w:r w:rsidRPr="00804F35">
        <w:rPr>
          <w:sz w:val="18"/>
          <w:lang w:val="fr-FR"/>
        </w:rPr>
        <w:t>DHS)</w:t>
      </w:r>
      <w:r>
        <w:rPr>
          <w:sz w:val="18"/>
          <w:lang w:val="fr-FR"/>
        </w:rPr>
        <w:t>?’</w:t>
      </w:r>
    </w:p>
    <w:p w:rsidR="00A35419" w:rsidRDefault="00A35419" w:rsidP="00A35419">
      <w:pPr>
        <w:ind w:left="567" w:right="567"/>
        <w:rPr>
          <w:sz w:val="18"/>
          <w:lang w:val="fr-FR"/>
        </w:rPr>
      </w:pPr>
    </w:p>
    <w:p w:rsidR="00A35419" w:rsidRDefault="00A35419" w:rsidP="00A35419">
      <w:pPr>
        <w:ind w:left="567" w:right="567"/>
        <w:rPr>
          <w:sz w:val="18"/>
          <w:lang w:val="fr-FR"/>
        </w:rPr>
      </w:pPr>
      <w:r w:rsidRPr="00DE563E">
        <w:rPr>
          <w:sz w:val="18"/>
          <w:lang w:val="fr-FR"/>
        </w:rPr>
        <w:t>“</w:t>
      </w:r>
      <w:r>
        <w:rPr>
          <w:sz w:val="18"/>
          <w:lang w:val="fr-FR"/>
        </w:rPr>
        <w:t>Voir également </w:t>
      </w:r>
      <w:r w:rsidRPr="00DE563E">
        <w:rPr>
          <w:sz w:val="18"/>
          <w:lang w:val="fr-FR"/>
        </w:rPr>
        <w:t>:</w:t>
      </w:r>
    </w:p>
    <w:p w:rsidR="0058402C" w:rsidRPr="005C556C" w:rsidRDefault="00490544" w:rsidP="00A35419">
      <w:pPr>
        <w:ind w:left="567" w:right="567"/>
        <w:rPr>
          <w:sz w:val="18"/>
          <w:lang w:val="fr-FR"/>
        </w:rPr>
      </w:pPr>
      <w:r w:rsidRPr="00A35419">
        <w:rPr>
          <w:sz w:val="18"/>
          <w:lang w:val="fr-FR"/>
        </w:rPr>
        <w:t>“</w:t>
      </w:r>
      <w:r w:rsidR="00026EE0" w:rsidRPr="00A35419">
        <w:rPr>
          <w:sz w:val="18"/>
          <w:lang w:val="fr-FR"/>
        </w:rPr>
        <w:t>Quelles sont les conditions à remplir pour pouvoir protéger une nouvelle variété végétale?</w:t>
      </w:r>
      <w:r w:rsidRPr="00A35419">
        <w:rPr>
          <w:sz w:val="18"/>
          <w:lang w:val="fr-FR"/>
        </w:rPr>
        <w:t>”</w:t>
      </w:r>
    </w:p>
    <w:p w:rsidR="0058402C" w:rsidRPr="005C556C" w:rsidRDefault="0058402C" w:rsidP="005C556C">
      <w:pPr>
        <w:rPr>
          <w:lang w:val="fr-FR"/>
        </w:rPr>
      </w:pPr>
    </w:p>
    <w:p w:rsidR="0058402C" w:rsidRPr="005C556C" w:rsidRDefault="008A74D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26EE0" w:rsidRPr="005C556C">
        <w:rPr>
          <w:lang w:val="fr-FR"/>
        </w:rPr>
        <w:t xml:space="preserve">Le </w:t>
      </w:r>
      <w:r w:rsidR="007C1561" w:rsidRPr="005C556C">
        <w:rPr>
          <w:lang w:val="fr-FR"/>
        </w:rPr>
        <w:t>CAJ</w:t>
      </w:r>
      <w:r w:rsidR="00026EE0" w:rsidRPr="005C556C">
        <w:rPr>
          <w:lang w:val="fr-FR"/>
        </w:rPr>
        <w:t xml:space="preserve"> prend note de l</w:t>
      </w:r>
      <w:r w:rsidR="00817667" w:rsidRPr="005C556C">
        <w:rPr>
          <w:lang w:val="fr-FR"/>
        </w:rPr>
        <w:t>’</w:t>
      </w:r>
      <w:r w:rsidR="00026EE0" w:rsidRPr="005C556C">
        <w:rPr>
          <w:lang w:val="fr-FR"/>
        </w:rPr>
        <w:t>intervention du représentant de l</w:t>
      </w:r>
      <w:r w:rsidR="00817667" w:rsidRPr="005C556C">
        <w:rPr>
          <w:lang w:val="fr-FR"/>
        </w:rPr>
        <w:t>’</w:t>
      </w:r>
      <w:r w:rsidR="00026EE0" w:rsidRPr="005C556C">
        <w:rPr>
          <w:lang w:val="fr-FR"/>
        </w:rPr>
        <w:t>Association for Plant Breeding for the Benefit of Society (APBREBES).</w:t>
      </w:r>
    </w:p>
    <w:p w:rsidR="0058402C" w:rsidRPr="005C556C" w:rsidRDefault="0058402C" w:rsidP="005C556C">
      <w:pPr>
        <w:rPr>
          <w:lang w:val="fr-FR"/>
        </w:rPr>
      </w:pPr>
    </w:p>
    <w:p w:rsidR="0058402C" w:rsidRPr="005C556C" w:rsidRDefault="0058402C" w:rsidP="005C556C">
      <w:pPr>
        <w:rPr>
          <w:lang w:val="fr-FR"/>
        </w:rPr>
      </w:pPr>
    </w:p>
    <w:p w:rsidR="0058402C" w:rsidRPr="005C556C" w:rsidRDefault="00026EE0" w:rsidP="005C556C">
      <w:pPr>
        <w:keepNext/>
        <w:jc w:val="left"/>
        <w:outlineLvl w:val="0"/>
        <w:rPr>
          <w:snapToGrid w:val="0"/>
          <w:u w:val="single"/>
          <w:lang w:val="fr-FR"/>
        </w:rPr>
      </w:pPr>
      <w:r w:rsidRPr="005C556C">
        <w:rPr>
          <w:snapToGrid w:val="0"/>
          <w:u w:val="single"/>
          <w:lang w:val="fr-FR"/>
        </w:rPr>
        <w:t>Programme de la soixante</w:t>
      </w:r>
      <w:r w:rsidR="002C6DE0" w:rsidRPr="005C556C">
        <w:rPr>
          <w:snapToGrid w:val="0"/>
          <w:u w:val="single"/>
          <w:lang w:val="fr-FR"/>
        </w:rPr>
        <w:noBreakHyphen/>
      </w:r>
      <w:r w:rsidRPr="005C556C">
        <w:rPr>
          <w:snapToGrid w:val="0"/>
          <w:u w:val="single"/>
          <w:lang w:val="fr-FR"/>
        </w:rPr>
        <w:t>douzième</w:t>
      </w:r>
      <w:r w:rsidR="00824A4B" w:rsidRPr="005C556C">
        <w:rPr>
          <w:snapToGrid w:val="0"/>
          <w:u w:val="single"/>
          <w:lang w:val="fr-FR"/>
        </w:rPr>
        <w:t> </w:t>
      </w:r>
      <w:r w:rsidRPr="005C556C">
        <w:rPr>
          <w:snapToGrid w:val="0"/>
          <w:u w:val="single"/>
          <w:lang w:val="fr-FR"/>
        </w:rPr>
        <w:t>session</w:t>
      </w:r>
    </w:p>
    <w:p w:rsidR="0058402C" w:rsidRPr="005C556C" w:rsidRDefault="0058402C" w:rsidP="005C556C">
      <w:pPr>
        <w:rPr>
          <w:lang w:val="fr-FR"/>
        </w:rPr>
      </w:pPr>
    </w:p>
    <w:p w:rsidR="0058402C" w:rsidRPr="005C556C" w:rsidRDefault="000E3E0B" w:rsidP="005C556C">
      <w:pPr>
        <w:keepNext/>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26EE0" w:rsidRPr="005C556C">
        <w:rPr>
          <w:lang w:val="fr-FR"/>
        </w:rPr>
        <w:t>Le programme ci</w:t>
      </w:r>
      <w:r w:rsidR="002C6DE0" w:rsidRPr="005C556C">
        <w:rPr>
          <w:lang w:val="fr-FR"/>
        </w:rPr>
        <w:noBreakHyphen/>
      </w:r>
      <w:r w:rsidR="00026EE0" w:rsidRPr="005C556C">
        <w:rPr>
          <w:lang w:val="fr-FR"/>
        </w:rPr>
        <w:t>aprè</w:t>
      </w:r>
      <w:r w:rsidR="00490544" w:rsidRPr="005C556C">
        <w:rPr>
          <w:lang w:val="fr-FR"/>
        </w:rPr>
        <w:t>s est approuvé</w:t>
      </w:r>
      <w:r w:rsidR="003B4EC0" w:rsidRPr="005C556C">
        <w:rPr>
          <w:lang w:val="fr-FR"/>
        </w:rPr>
        <w:t xml:space="preserve"> pour la soixante</w:t>
      </w:r>
      <w:r w:rsidR="002C6DE0" w:rsidRPr="005C556C">
        <w:rPr>
          <w:lang w:val="fr-FR"/>
        </w:rPr>
        <w:noBreakHyphen/>
      </w:r>
      <w:r w:rsidR="00490544" w:rsidRPr="005C556C">
        <w:rPr>
          <w:lang w:val="fr-FR"/>
        </w:rPr>
        <w:t>d</w:t>
      </w:r>
      <w:r w:rsidR="003B4EC0" w:rsidRPr="005C556C">
        <w:rPr>
          <w:lang w:val="fr-FR"/>
        </w:rPr>
        <w:t>ouz</w:t>
      </w:r>
      <w:r w:rsidR="00490544" w:rsidRPr="005C556C">
        <w:rPr>
          <w:lang w:val="fr-FR"/>
        </w:rPr>
        <w:t>ième </w:t>
      </w:r>
      <w:r w:rsidR="00026EE0" w:rsidRPr="005C556C">
        <w:rPr>
          <w:lang w:val="fr-FR"/>
        </w:rPr>
        <w:t>session</w:t>
      </w:r>
      <w:r w:rsidR="00817667" w:rsidRPr="005C556C">
        <w:rPr>
          <w:lang w:val="fr-FR"/>
        </w:rPr>
        <w:t xml:space="preserve"> du CAJ</w:t>
      </w:r>
      <w:r w:rsidR="00824A4B" w:rsidRPr="005C556C">
        <w:rPr>
          <w:lang w:val="fr-FR"/>
        </w:rPr>
        <w:t> </w:t>
      </w:r>
      <w:r w:rsidR="00026EE0" w:rsidRPr="005C556C">
        <w:rPr>
          <w:lang w:val="fr-FR"/>
        </w:rPr>
        <w:t>:</w:t>
      </w:r>
    </w:p>
    <w:p w:rsidR="0058402C" w:rsidRPr="005C556C" w:rsidRDefault="0058402C" w:rsidP="005C556C">
      <w:pPr>
        <w:keepNext/>
        <w:rPr>
          <w:lang w:val="fr-FR"/>
        </w:rPr>
      </w:pPr>
    </w:p>
    <w:p w:rsidR="0058402C" w:rsidRPr="005C556C" w:rsidRDefault="00490544" w:rsidP="005C556C">
      <w:pPr>
        <w:keepNext/>
        <w:ind w:left="1134" w:hanging="567"/>
        <w:rPr>
          <w:lang w:val="fr-FR"/>
        </w:rPr>
      </w:pPr>
      <w:r w:rsidRPr="005C556C">
        <w:rPr>
          <w:lang w:val="fr-FR"/>
        </w:rPr>
        <w:t>1.</w:t>
      </w:r>
      <w:r w:rsidRPr="005C556C">
        <w:rPr>
          <w:lang w:val="fr-FR"/>
        </w:rPr>
        <w:tab/>
      </w:r>
      <w:r w:rsidR="00026EE0" w:rsidRPr="005C556C">
        <w:rPr>
          <w:lang w:val="fr-FR"/>
        </w:rPr>
        <w:t>Ouverture de la session</w:t>
      </w:r>
    </w:p>
    <w:p w:rsidR="0058402C" w:rsidRPr="005C556C" w:rsidRDefault="0058402C" w:rsidP="005C556C">
      <w:pPr>
        <w:keepNext/>
        <w:ind w:left="1134" w:hanging="567"/>
        <w:rPr>
          <w:sz w:val="14"/>
          <w:lang w:val="fr-FR"/>
        </w:rPr>
      </w:pPr>
    </w:p>
    <w:p w:rsidR="0058402C" w:rsidRPr="005C556C" w:rsidRDefault="00490544" w:rsidP="005C556C">
      <w:pPr>
        <w:ind w:left="1134" w:hanging="567"/>
        <w:rPr>
          <w:lang w:val="fr-FR"/>
        </w:rPr>
      </w:pPr>
      <w:r w:rsidRPr="005C556C">
        <w:rPr>
          <w:lang w:val="fr-FR"/>
        </w:rPr>
        <w:t>2.</w:t>
      </w:r>
      <w:r w:rsidRPr="005C556C">
        <w:rPr>
          <w:lang w:val="fr-FR"/>
        </w:rPr>
        <w:tab/>
      </w:r>
      <w:r w:rsidR="00026EE0" w:rsidRPr="005C556C">
        <w:rPr>
          <w:lang w:val="fr-FR"/>
        </w:rPr>
        <w:t>Adoption de l</w:t>
      </w:r>
      <w:r w:rsidR="00817667" w:rsidRPr="005C556C">
        <w:rPr>
          <w:lang w:val="fr-FR"/>
        </w:rPr>
        <w:t>’</w:t>
      </w:r>
      <w:r w:rsidR="00026EE0" w:rsidRPr="005C556C">
        <w:rPr>
          <w:lang w:val="fr-FR"/>
        </w:rPr>
        <w:t>ordre du jour</w:t>
      </w:r>
    </w:p>
    <w:p w:rsidR="0058402C" w:rsidRPr="005C556C" w:rsidRDefault="0058402C" w:rsidP="005C556C">
      <w:pPr>
        <w:ind w:left="1134" w:hanging="567"/>
        <w:rPr>
          <w:sz w:val="14"/>
          <w:lang w:val="fr-FR"/>
        </w:rPr>
      </w:pPr>
    </w:p>
    <w:p w:rsidR="00817667" w:rsidRPr="005C556C" w:rsidRDefault="00026EE0" w:rsidP="005C556C">
      <w:pPr>
        <w:ind w:left="1134" w:hanging="567"/>
        <w:rPr>
          <w:lang w:val="fr-FR"/>
        </w:rPr>
      </w:pPr>
      <w:r w:rsidRPr="005C556C">
        <w:rPr>
          <w:lang w:val="fr-FR"/>
        </w:rPr>
        <w:t>3.</w:t>
      </w:r>
      <w:r w:rsidR="00490544" w:rsidRPr="005C556C">
        <w:rPr>
          <w:lang w:val="fr-FR"/>
        </w:rPr>
        <w:tab/>
      </w:r>
      <w:r w:rsidR="002965AA" w:rsidRPr="005C556C">
        <w:rPr>
          <w:lang w:val="fr-FR"/>
        </w:rPr>
        <w:t>Élaboration de matériel</w:t>
      </w:r>
      <w:r w:rsidRPr="005C556C">
        <w:rPr>
          <w:lang w:val="fr-FR"/>
        </w:rPr>
        <w:t xml:space="preserve"> d</w:t>
      </w:r>
      <w:r w:rsidR="00817667" w:rsidRPr="005C556C">
        <w:rPr>
          <w:lang w:val="fr-FR"/>
        </w:rPr>
        <w:t>’</w:t>
      </w:r>
      <w:r w:rsidRPr="005C556C">
        <w:rPr>
          <w:lang w:val="fr-FR"/>
        </w:rPr>
        <w:t xml:space="preserve">information concernant la </w:t>
      </w:r>
      <w:r w:rsidR="00817667" w:rsidRPr="005C556C">
        <w:rPr>
          <w:lang w:val="fr-FR"/>
        </w:rPr>
        <w:t>Convention UPOV</w:t>
      </w:r>
    </w:p>
    <w:p w:rsidR="0058402C" w:rsidRPr="005C556C" w:rsidRDefault="0058402C" w:rsidP="005C556C">
      <w:pPr>
        <w:ind w:left="1134" w:hanging="567"/>
        <w:rPr>
          <w:sz w:val="14"/>
          <w:lang w:val="fr-FR"/>
        </w:rPr>
      </w:pPr>
    </w:p>
    <w:p w:rsidR="0058402C" w:rsidRPr="005C556C" w:rsidRDefault="00490544" w:rsidP="005C556C">
      <w:pPr>
        <w:ind w:left="1701" w:hanging="567"/>
        <w:rPr>
          <w:lang w:val="fr-FR"/>
        </w:rPr>
      </w:pPr>
      <w:r w:rsidRPr="005C556C">
        <w:rPr>
          <w:lang w:val="fr-FR"/>
        </w:rPr>
        <w:t xml:space="preserve">a) </w:t>
      </w:r>
      <w:r w:rsidRPr="005C556C">
        <w:rPr>
          <w:lang w:val="fr-FR"/>
        </w:rPr>
        <w:tab/>
      </w:r>
      <w:r w:rsidR="00026EE0" w:rsidRPr="005C556C">
        <w:rPr>
          <w:lang w:val="fr-FR"/>
        </w:rPr>
        <w:t>Notes explicatives sur les variétés essentiellement déri</w:t>
      </w:r>
      <w:r w:rsidRPr="005C556C">
        <w:rPr>
          <w:lang w:val="fr-FR"/>
        </w:rPr>
        <w:t>vées selon l</w:t>
      </w:r>
      <w:r w:rsidR="00817667" w:rsidRPr="005C556C">
        <w:rPr>
          <w:lang w:val="fr-FR"/>
        </w:rPr>
        <w:t>’</w:t>
      </w:r>
      <w:r w:rsidRPr="005C556C">
        <w:rPr>
          <w:lang w:val="fr-FR"/>
        </w:rPr>
        <w:t xml:space="preserve">Acte de 1991 de la </w:t>
      </w:r>
      <w:r w:rsidR="00817667" w:rsidRPr="005C556C">
        <w:rPr>
          <w:lang w:val="fr-FR"/>
        </w:rPr>
        <w:t>Convention UPOV</w:t>
      </w:r>
      <w:r w:rsidR="00026EE0" w:rsidRPr="005C556C">
        <w:rPr>
          <w:lang w:val="fr-FR"/>
        </w:rPr>
        <w:t xml:space="preserve"> (révision) (document UPOV/EXN/E</w:t>
      </w:r>
      <w:r w:rsidR="003B4EC0" w:rsidRPr="005C556C">
        <w:rPr>
          <w:lang w:val="fr-FR"/>
        </w:rPr>
        <w:t>DV/2 Draft 6</w:t>
      </w:r>
      <w:r w:rsidR="002965AA" w:rsidRPr="005C556C">
        <w:rPr>
          <w:lang w:val="fr-FR"/>
        </w:rPr>
        <w:t>)</w:t>
      </w:r>
    </w:p>
    <w:p w:rsidR="0058402C" w:rsidRPr="005C556C" w:rsidRDefault="0058402C" w:rsidP="005C556C">
      <w:pPr>
        <w:ind w:left="1701" w:hanging="567"/>
        <w:rPr>
          <w:sz w:val="14"/>
          <w:lang w:val="fr-FR"/>
        </w:rPr>
      </w:pPr>
    </w:p>
    <w:p w:rsidR="0058402C" w:rsidRPr="005C556C" w:rsidRDefault="00026EE0" w:rsidP="005C556C">
      <w:pPr>
        <w:ind w:left="1701" w:hanging="567"/>
        <w:rPr>
          <w:lang w:val="fr-FR"/>
        </w:rPr>
      </w:pPr>
      <w:r w:rsidRPr="005C556C">
        <w:rPr>
          <w:lang w:val="fr-FR"/>
        </w:rPr>
        <w:t>b)</w:t>
      </w:r>
      <w:r w:rsidRPr="005C556C">
        <w:rPr>
          <w:lang w:val="fr-FR"/>
        </w:rPr>
        <w:tab/>
        <w:t xml:space="preserve">Notes explicatives sur le matériel de reproduction ou de multiplication selon la </w:t>
      </w:r>
      <w:r w:rsidR="00817667" w:rsidRPr="005C556C">
        <w:rPr>
          <w:lang w:val="fr-FR"/>
        </w:rPr>
        <w:t>Convention UPOV</w:t>
      </w:r>
      <w:r w:rsidR="003B4EC0" w:rsidRPr="005C556C">
        <w:rPr>
          <w:lang w:val="fr-FR"/>
        </w:rPr>
        <w:t xml:space="preserve"> (document UPOV/EXN/PPM/1 </w:t>
      </w:r>
      <w:r w:rsidRPr="005C556C">
        <w:rPr>
          <w:lang w:val="fr-FR"/>
        </w:rPr>
        <w:t>Draft</w:t>
      </w:r>
      <w:r w:rsidR="003B4EC0" w:rsidRPr="005C556C">
        <w:rPr>
          <w:lang w:val="fr-FR"/>
        </w:rPr>
        <w:t> 5</w:t>
      </w:r>
      <w:r w:rsidR="002965AA" w:rsidRPr="005C556C">
        <w:rPr>
          <w:lang w:val="fr-FR"/>
        </w:rPr>
        <w:t>)</w:t>
      </w:r>
    </w:p>
    <w:p w:rsidR="0058402C" w:rsidRPr="005C556C" w:rsidRDefault="0058402C" w:rsidP="005C556C">
      <w:pPr>
        <w:ind w:left="1134" w:hanging="567"/>
        <w:rPr>
          <w:sz w:val="14"/>
          <w:lang w:val="fr-FR"/>
        </w:rPr>
      </w:pPr>
    </w:p>
    <w:p w:rsidR="0058402C" w:rsidRPr="005C556C" w:rsidRDefault="00026EE0" w:rsidP="005C556C">
      <w:pPr>
        <w:ind w:left="1134" w:hanging="567"/>
        <w:rPr>
          <w:lang w:val="fr-FR"/>
        </w:rPr>
      </w:pPr>
      <w:r w:rsidRPr="005C556C">
        <w:rPr>
          <w:lang w:val="fr-FR"/>
        </w:rPr>
        <w:lastRenderedPageBreak/>
        <w:t>4.</w:t>
      </w:r>
      <w:r w:rsidR="00490544" w:rsidRPr="005C556C">
        <w:rPr>
          <w:lang w:val="fr-FR"/>
        </w:rPr>
        <w:tab/>
      </w:r>
      <w:r w:rsidRPr="005C556C">
        <w:rPr>
          <w:lang w:val="fr-FR"/>
        </w:rPr>
        <w:t>Dénominations variétales</w:t>
      </w:r>
    </w:p>
    <w:p w:rsidR="0058402C" w:rsidRPr="005C556C" w:rsidRDefault="0058402C" w:rsidP="005C556C">
      <w:pPr>
        <w:ind w:left="1134" w:hanging="567"/>
        <w:rPr>
          <w:sz w:val="14"/>
          <w:lang w:val="fr-FR"/>
        </w:rPr>
      </w:pPr>
    </w:p>
    <w:p w:rsidR="0058402C" w:rsidRPr="005C556C" w:rsidRDefault="00CB3136" w:rsidP="005C556C">
      <w:pPr>
        <w:ind w:left="567"/>
        <w:rPr>
          <w:lang w:val="fr-FR"/>
        </w:rPr>
      </w:pPr>
      <w:r w:rsidRPr="005C556C">
        <w:rPr>
          <w:lang w:val="fr-FR"/>
        </w:rPr>
        <w:t>5.</w:t>
      </w:r>
      <w:r w:rsidRPr="005C556C">
        <w:rPr>
          <w:lang w:val="fr-FR"/>
        </w:rPr>
        <w:tab/>
      </w:r>
      <w:r w:rsidR="002965AA" w:rsidRPr="005C556C">
        <w:rPr>
          <w:lang w:val="fr-FR"/>
        </w:rPr>
        <w:t>Produit de la récolte</w:t>
      </w:r>
    </w:p>
    <w:p w:rsidR="0058402C" w:rsidRPr="005C556C" w:rsidRDefault="0058402C" w:rsidP="005C556C">
      <w:pPr>
        <w:ind w:left="1134" w:hanging="567"/>
        <w:rPr>
          <w:sz w:val="14"/>
          <w:lang w:val="fr-FR"/>
        </w:rPr>
      </w:pPr>
    </w:p>
    <w:p w:rsidR="0058402C" w:rsidRPr="005C556C" w:rsidRDefault="00026EE0" w:rsidP="005C556C">
      <w:pPr>
        <w:keepNext/>
        <w:ind w:left="1134" w:hanging="567"/>
        <w:rPr>
          <w:lang w:val="fr-FR"/>
        </w:rPr>
      </w:pPr>
      <w:r w:rsidRPr="005C556C">
        <w:rPr>
          <w:lang w:val="fr-FR"/>
        </w:rPr>
        <w:t>6.</w:t>
      </w:r>
      <w:r w:rsidR="00490544" w:rsidRPr="005C556C">
        <w:rPr>
          <w:lang w:val="fr-FR"/>
        </w:rPr>
        <w:tab/>
      </w:r>
      <w:r w:rsidRPr="005C556C">
        <w:rPr>
          <w:lang w:val="fr-FR"/>
        </w:rPr>
        <w:t>Informations et bases de données</w:t>
      </w:r>
    </w:p>
    <w:p w:rsidR="0058402C" w:rsidRPr="005C556C" w:rsidRDefault="0058402C" w:rsidP="005C556C">
      <w:pPr>
        <w:keepNext/>
        <w:ind w:left="1134" w:hanging="567"/>
        <w:rPr>
          <w:sz w:val="14"/>
          <w:lang w:val="fr-FR"/>
        </w:rPr>
      </w:pPr>
    </w:p>
    <w:p w:rsidR="00817667" w:rsidRPr="005C556C" w:rsidRDefault="009B1B68" w:rsidP="005C556C">
      <w:pPr>
        <w:ind w:left="1134" w:hanging="567"/>
        <w:rPr>
          <w:lang w:val="fr-FR"/>
        </w:rPr>
      </w:pPr>
      <w:r w:rsidRPr="005C556C">
        <w:rPr>
          <w:lang w:val="fr-FR"/>
        </w:rPr>
        <w:tab/>
      </w:r>
      <w:r w:rsidR="000E3E0B" w:rsidRPr="005C556C">
        <w:rPr>
          <w:lang w:val="fr-FR"/>
        </w:rPr>
        <w:t>a)</w:t>
      </w:r>
      <w:r w:rsidR="00CF50A2" w:rsidRPr="005C556C">
        <w:rPr>
          <w:lang w:val="fr-FR"/>
        </w:rPr>
        <w:tab/>
      </w:r>
      <w:r w:rsidR="002965AA" w:rsidRPr="005C556C">
        <w:rPr>
          <w:lang w:val="fr-FR"/>
        </w:rPr>
        <w:t>Systèmes de dépôt électronique des demandes</w:t>
      </w:r>
    </w:p>
    <w:p w:rsidR="0058402C" w:rsidRPr="005C556C" w:rsidRDefault="0058402C" w:rsidP="005C556C">
      <w:pPr>
        <w:ind w:left="1134" w:hanging="567"/>
        <w:rPr>
          <w:sz w:val="14"/>
          <w:lang w:val="fr-FR"/>
        </w:rPr>
      </w:pPr>
    </w:p>
    <w:p w:rsidR="0058402C" w:rsidRPr="005C556C" w:rsidRDefault="009B1B68" w:rsidP="005C556C">
      <w:pPr>
        <w:ind w:left="1134" w:hanging="567"/>
        <w:rPr>
          <w:lang w:val="fr-FR"/>
        </w:rPr>
      </w:pPr>
      <w:r w:rsidRPr="005C556C">
        <w:rPr>
          <w:lang w:val="fr-FR"/>
        </w:rPr>
        <w:tab/>
      </w:r>
      <w:r w:rsidR="00026EE0" w:rsidRPr="005C556C">
        <w:rPr>
          <w:lang w:val="fr-FR"/>
        </w:rPr>
        <w:t>b)</w:t>
      </w:r>
      <w:r w:rsidR="00026EE0" w:rsidRPr="005C556C">
        <w:rPr>
          <w:lang w:val="fr-FR"/>
        </w:rPr>
        <w:tab/>
        <w:t>Bases de données d</w:t>
      </w:r>
      <w:r w:rsidR="00817667" w:rsidRPr="005C556C">
        <w:rPr>
          <w:lang w:val="fr-FR"/>
        </w:rPr>
        <w:t>’</w:t>
      </w:r>
      <w:r w:rsidR="00026EE0" w:rsidRPr="005C556C">
        <w:rPr>
          <w:lang w:val="fr-FR"/>
        </w:rPr>
        <w:t>information de l</w:t>
      </w:r>
      <w:r w:rsidR="00817667" w:rsidRPr="005C556C">
        <w:rPr>
          <w:lang w:val="fr-FR"/>
        </w:rPr>
        <w:t>’</w:t>
      </w:r>
      <w:r w:rsidR="00026EE0" w:rsidRPr="005C556C">
        <w:rPr>
          <w:lang w:val="fr-FR"/>
        </w:rPr>
        <w:t>UPOV</w:t>
      </w:r>
    </w:p>
    <w:p w:rsidR="0058402C" w:rsidRPr="005C556C" w:rsidRDefault="0058402C" w:rsidP="005C556C">
      <w:pPr>
        <w:ind w:left="1134" w:hanging="567"/>
        <w:rPr>
          <w:sz w:val="14"/>
          <w:lang w:val="fr-FR"/>
        </w:rPr>
      </w:pPr>
    </w:p>
    <w:p w:rsidR="00817667" w:rsidRPr="005C556C" w:rsidRDefault="009B1B68" w:rsidP="005C556C">
      <w:pPr>
        <w:ind w:left="1134" w:hanging="567"/>
        <w:rPr>
          <w:lang w:val="fr-FR"/>
        </w:rPr>
      </w:pPr>
      <w:r w:rsidRPr="005C556C">
        <w:rPr>
          <w:lang w:val="fr-FR"/>
        </w:rPr>
        <w:tab/>
      </w:r>
      <w:r w:rsidR="000E3E0B" w:rsidRPr="005C556C">
        <w:rPr>
          <w:lang w:val="fr-FR"/>
        </w:rPr>
        <w:t>c)</w:t>
      </w:r>
      <w:r w:rsidR="000E3E0B" w:rsidRPr="005C556C">
        <w:rPr>
          <w:lang w:val="fr-FR"/>
        </w:rPr>
        <w:tab/>
      </w:r>
      <w:r w:rsidR="002965AA" w:rsidRPr="005C556C">
        <w:rPr>
          <w:lang w:val="fr-FR"/>
        </w:rPr>
        <w:t>Échange et utilisation de logiciels et d</w:t>
      </w:r>
      <w:r w:rsidR="00817667" w:rsidRPr="005C556C">
        <w:rPr>
          <w:lang w:val="fr-FR"/>
        </w:rPr>
        <w:t>’</w:t>
      </w:r>
      <w:r w:rsidR="002965AA" w:rsidRPr="005C556C">
        <w:rPr>
          <w:lang w:val="fr-FR"/>
        </w:rPr>
        <w:t>équipements</w:t>
      </w:r>
    </w:p>
    <w:p w:rsidR="0058402C" w:rsidRPr="005C556C" w:rsidRDefault="0058402C" w:rsidP="005C556C">
      <w:pPr>
        <w:ind w:left="1134" w:hanging="567"/>
        <w:rPr>
          <w:sz w:val="14"/>
          <w:lang w:val="fr-FR"/>
        </w:rPr>
      </w:pPr>
    </w:p>
    <w:p w:rsidR="0058402C" w:rsidRPr="005C556C" w:rsidRDefault="00CB3136" w:rsidP="005C556C">
      <w:pPr>
        <w:ind w:left="1134" w:hanging="567"/>
        <w:rPr>
          <w:lang w:val="fr-FR"/>
        </w:rPr>
      </w:pPr>
      <w:r w:rsidRPr="005C556C">
        <w:rPr>
          <w:lang w:val="fr-FR"/>
        </w:rPr>
        <w:t>7</w:t>
      </w:r>
      <w:r w:rsidR="009B1B68" w:rsidRPr="005C556C">
        <w:rPr>
          <w:lang w:val="fr-FR"/>
        </w:rPr>
        <w:t>.</w:t>
      </w:r>
      <w:r w:rsidR="009B1B68" w:rsidRPr="005C556C">
        <w:rPr>
          <w:lang w:val="fr-FR"/>
        </w:rPr>
        <w:tab/>
      </w:r>
      <w:r w:rsidR="000E3E0B" w:rsidRPr="005C556C">
        <w:rPr>
          <w:lang w:val="fr-FR"/>
        </w:rPr>
        <w:t>Program</w:t>
      </w:r>
      <w:r w:rsidR="002965AA" w:rsidRPr="005C556C">
        <w:rPr>
          <w:lang w:val="fr-FR"/>
        </w:rPr>
        <w:t>me de la soixante</w:t>
      </w:r>
      <w:r w:rsidR="002C6DE0" w:rsidRPr="005C556C">
        <w:rPr>
          <w:szCs w:val="22"/>
          <w:lang w:val="fr-FR"/>
        </w:rPr>
        <w:noBreakHyphen/>
      </w:r>
      <w:r w:rsidR="002965AA" w:rsidRPr="005C556C">
        <w:rPr>
          <w:szCs w:val="22"/>
          <w:lang w:val="fr-FR"/>
        </w:rPr>
        <w:t>treizième</w:t>
      </w:r>
      <w:r w:rsidR="00824A4B" w:rsidRPr="005C556C">
        <w:rPr>
          <w:szCs w:val="22"/>
          <w:lang w:val="fr-FR"/>
        </w:rPr>
        <w:t> </w:t>
      </w:r>
      <w:r w:rsidR="00F6374A" w:rsidRPr="005C556C">
        <w:rPr>
          <w:lang w:val="fr-FR"/>
        </w:rPr>
        <w:t>session</w:t>
      </w:r>
    </w:p>
    <w:p w:rsidR="0058402C" w:rsidRPr="005C556C" w:rsidRDefault="0058402C" w:rsidP="005C556C">
      <w:pPr>
        <w:ind w:left="1134" w:hanging="567"/>
        <w:rPr>
          <w:sz w:val="14"/>
          <w:lang w:val="fr-FR"/>
        </w:rPr>
      </w:pPr>
    </w:p>
    <w:p w:rsidR="0058402C" w:rsidRPr="005C556C" w:rsidRDefault="00026EE0" w:rsidP="005C556C">
      <w:pPr>
        <w:ind w:left="1134" w:hanging="567"/>
        <w:rPr>
          <w:lang w:val="fr-FR"/>
        </w:rPr>
      </w:pPr>
      <w:r w:rsidRPr="005C556C">
        <w:rPr>
          <w:lang w:val="fr-FR"/>
        </w:rPr>
        <w:t>8.</w:t>
      </w:r>
      <w:r w:rsidR="00490544" w:rsidRPr="005C556C">
        <w:rPr>
          <w:lang w:val="fr-FR"/>
        </w:rPr>
        <w:tab/>
      </w:r>
      <w:r w:rsidRPr="005C556C">
        <w:rPr>
          <w:lang w:val="fr-FR"/>
        </w:rPr>
        <w:t>Adoption du compte rendu des conclusions (selon le temps disponible)</w:t>
      </w:r>
    </w:p>
    <w:p w:rsidR="0058402C" w:rsidRPr="005C556C" w:rsidRDefault="0058402C" w:rsidP="005C556C">
      <w:pPr>
        <w:ind w:left="1134" w:hanging="567"/>
        <w:rPr>
          <w:sz w:val="14"/>
          <w:lang w:val="fr-FR"/>
        </w:rPr>
      </w:pPr>
    </w:p>
    <w:p w:rsidR="0058402C" w:rsidRPr="005C556C" w:rsidRDefault="00026EE0" w:rsidP="005C556C">
      <w:pPr>
        <w:ind w:left="1134" w:hanging="567"/>
        <w:rPr>
          <w:lang w:val="fr-FR"/>
        </w:rPr>
      </w:pPr>
      <w:r w:rsidRPr="005C556C">
        <w:rPr>
          <w:lang w:val="fr-FR"/>
        </w:rPr>
        <w:t>9.</w:t>
      </w:r>
      <w:r w:rsidR="00490544" w:rsidRPr="005C556C">
        <w:rPr>
          <w:lang w:val="fr-FR"/>
        </w:rPr>
        <w:tab/>
      </w:r>
      <w:r w:rsidRPr="005C556C">
        <w:rPr>
          <w:lang w:val="fr-FR"/>
        </w:rPr>
        <w:t>Clôture de la session</w:t>
      </w:r>
    </w:p>
    <w:p w:rsidR="0058402C" w:rsidRPr="005C556C" w:rsidRDefault="0058402C" w:rsidP="005C556C">
      <w:pPr>
        <w:rPr>
          <w:highlight w:val="yellow"/>
          <w:lang w:val="fr-FR"/>
        </w:rPr>
      </w:pPr>
    </w:p>
    <w:p w:rsidR="0058402C" w:rsidRPr="005C556C" w:rsidRDefault="008A74D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965AA" w:rsidRPr="005C556C">
        <w:rPr>
          <w:lang w:val="fr-FR"/>
        </w:rPr>
        <w:t xml:space="preserve">Le </w:t>
      </w:r>
      <w:r w:rsidRPr="005C556C">
        <w:rPr>
          <w:lang w:val="fr-FR"/>
        </w:rPr>
        <w:t xml:space="preserve">CAJ </w:t>
      </w:r>
      <w:r w:rsidR="002965AA" w:rsidRPr="005C556C">
        <w:rPr>
          <w:lang w:val="fr-FR"/>
        </w:rPr>
        <w:t>décide d</w:t>
      </w:r>
      <w:r w:rsidR="00817667" w:rsidRPr="005C556C">
        <w:rPr>
          <w:lang w:val="fr-FR"/>
        </w:rPr>
        <w:t>’</w:t>
      </w:r>
      <w:r w:rsidR="002965AA" w:rsidRPr="005C556C">
        <w:rPr>
          <w:lang w:val="fr-FR"/>
        </w:rPr>
        <w:t>examiner</w:t>
      </w:r>
      <w:r w:rsidR="00B764A5" w:rsidRPr="005C556C">
        <w:rPr>
          <w:lang w:val="fr-FR"/>
        </w:rPr>
        <w:t xml:space="preserve"> le calendrier de ses sessions prévues en</w:t>
      </w:r>
      <w:r w:rsidR="00824A4B" w:rsidRPr="005C556C">
        <w:rPr>
          <w:lang w:val="fr-FR"/>
        </w:rPr>
        <w:t> </w:t>
      </w:r>
      <w:r w:rsidR="00B764A5" w:rsidRPr="005C556C">
        <w:rPr>
          <w:lang w:val="fr-FR"/>
        </w:rPr>
        <w:t>2016</w:t>
      </w:r>
      <w:r w:rsidR="002965AA" w:rsidRPr="005C556C">
        <w:rPr>
          <w:lang w:val="fr-FR"/>
        </w:rPr>
        <w:t>, au titre du point de l</w:t>
      </w:r>
      <w:r w:rsidR="00817667" w:rsidRPr="005C556C">
        <w:rPr>
          <w:lang w:val="fr-FR"/>
        </w:rPr>
        <w:t>’</w:t>
      </w:r>
      <w:r w:rsidR="002965AA" w:rsidRPr="005C556C">
        <w:rPr>
          <w:lang w:val="fr-FR"/>
        </w:rPr>
        <w:t xml:space="preserve">ordre du jour </w:t>
      </w:r>
      <w:r w:rsidR="00824A4B" w:rsidRPr="005C556C">
        <w:rPr>
          <w:lang w:val="fr-FR"/>
        </w:rPr>
        <w:t>“</w:t>
      </w:r>
      <w:r w:rsidR="002965AA" w:rsidRPr="005C556C">
        <w:rPr>
          <w:lang w:val="fr-FR"/>
        </w:rPr>
        <w:t>Programme de la soixante</w:t>
      </w:r>
      <w:r w:rsidR="002C6DE0" w:rsidRPr="005C556C">
        <w:rPr>
          <w:szCs w:val="22"/>
          <w:lang w:val="fr-FR"/>
        </w:rPr>
        <w:noBreakHyphen/>
      </w:r>
      <w:r w:rsidR="002965AA" w:rsidRPr="005C556C">
        <w:rPr>
          <w:szCs w:val="22"/>
          <w:lang w:val="fr-FR"/>
        </w:rPr>
        <w:t>treizième</w:t>
      </w:r>
      <w:r w:rsidR="00824A4B" w:rsidRPr="005C556C">
        <w:rPr>
          <w:szCs w:val="22"/>
          <w:lang w:val="fr-FR"/>
        </w:rPr>
        <w:t> </w:t>
      </w:r>
      <w:r w:rsidR="002965AA" w:rsidRPr="005C556C">
        <w:rPr>
          <w:szCs w:val="22"/>
          <w:lang w:val="fr-FR"/>
        </w:rPr>
        <w:t>session</w:t>
      </w:r>
      <w:r w:rsidR="00824A4B" w:rsidRPr="005C556C">
        <w:rPr>
          <w:szCs w:val="22"/>
          <w:lang w:val="fr-FR"/>
        </w:rPr>
        <w:t>”</w:t>
      </w:r>
      <w:r w:rsidR="002965AA" w:rsidRPr="005C556C">
        <w:rPr>
          <w:szCs w:val="22"/>
          <w:lang w:val="fr-FR"/>
        </w:rPr>
        <w:t xml:space="preserve"> de sa soixante</w:t>
      </w:r>
      <w:r w:rsidR="002C6DE0" w:rsidRPr="005C556C">
        <w:rPr>
          <w:szCs w:val="22"/>
          <w:lang w:val="fr-FR"/>
        </w:rPr>
        <w:noBreakHyphen/>
      </w:r>
      <w:r w:rsidR="00B764A5" w:rsidRPr="005C556C">
        <w:rPr>
          <w:szCs w:val="22"/>
          <w:lang w:val="fr-FR"/>
        </w:rPr>
        <w:t>douzième</w:t>
      </w:r>
      <w:r w:rsidR="00824A4B" w:rsidRPr="005C556C">
        <w:rPr>
          <w:szCs w:val="22"/>
          <w:lang w:val="fr-FR"/>
        </w:rPr>
        <w:t> </w:t>
      </w:r>
      <w:r w:rsidR="00B764A5" w:rsidRPr="005C556C">
        <w:rPr>
          <w:szCs w:val="22"/>
          <w:lang w:val="fr-FR"/>
        </w:rPr>
        <w:t>session</w:t>
      </w:r>
      <w:r w:rsidRPr="005C556C">
        <w:rPr>
          <w:snapToGrid w:val="0"/>
          <w:lang w:val="fr-FR"/>
        </w:rPr>
        <w:t>.</w:t>
      </w:r>
    </w:p>
    <w:p w:rsidR="0058402C" w:rsidRPr="005C556C" w:rsidRDefault="0058402C" w:rsidP="005C556C">
      <w:pPr>
        <w:rPr>
          <w:lang w:val="fr-FR"/>
        </w:rPr>
      </w:pPr>
    </w:p>
    <w:p w:rsidR="00817667" w:rsidRPr="005C556C" w:rsidRDefault="008A74DE" w:rsidP="005C556C">
      <w:pPr>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2965AA" w:rsidRPr="005C556C">
        <w:rPr>
          <w:lang w:val="fr-FR"/>
        </w:rPr>
        <w:t>Le</w:t>
      </w:r>
      <w:r w:rsidRPr="005C556C">
        <w:rPr>
          <w:lang w:val="fr-FR"/>
        </w:rPr>
        <w:t xml:space="preserve"> CAJ </w:t>
      </w:r>
      <w:r w:rsidR="002965AA" w:rsidRPr="005C556C">
        <w:rPr>
          <w:lang w:val="fr-FR"/>
        </w:rPr>
        <w:t xml:space="preserve">convient de tenir sa </w:t>
      </w:r>
      <w:r w:rsidR="002965AA" w:rsidRPr="005C556C">
        <w:rPr>
          <w:szCs w:val="22"/>
          <w:lang w:val="fr-FR"/>
        </w:rPr>
        <w:t>soixante</w:t>
      </w:r>
      <w:r w:rsidR="002C6DE0" w:rsidRPr="005C556C">
        <w:rPr>
          <w:szCs w:val="22"/>
          <w:lang w:val="fr-FR"/>
        </w:rPr>
        <w:noBreakHyphen/>
      </w:r>
      <w:r w:rsidR="002965AA" w:rsidRPr="005C556C">
        <w:rPr>
          <w:szCs w:val="22"/>
          <w:lang w:val="fr-FR"/>
        </w:rPr>
        <w:t>douzième</w:t>
      </w:r>
      <w:r w:rsidR="00824A4B" w:rsidRPr="005C556C">
        <w:rPr>
          <w:szCs w:val="22"/>
          <w:lang w:val="fr-FR"/>
        </w:rPr>
        <w:t> </w:t>
      </w:r>
      <w:r w:rsidR="002965AA" w:rsidRPr="005C556C">
        <w:rPr>
          <w:szCs w:val="22"/>
          <w:lang w:val="fr-FR"/>
        </w:rPr>
        <w:t>session les 26 et 2</w:t>
      </w:r>
      <w:r w:rsidR="00817667" w:rsidRPr="005C556C">
        <w:rPr>
          <w:szCs w:val="22"/>
          <w:lang w:val="fr-FR"/>
        </w:rPr>
        <w:t>7 octobre 20</w:t>
      </w:r>
      <w:r w:rsidR="002965AA" w:rsidRPr="005C556C">
        <w:rPr>
          <w:szCs w:val="22"/>
          <w:lang w:val="fr-FR"/>
        </w:rPr>
        <w:t>15 et décide de ne pas convoquer de session</w:t>
      </w:r>
      <w:r w:rsidR="00817667" w:rsidRPr="005C556C">
        <w:rPr>
          <w:szCs w:val="22"/>
          <w:lang w:val="fr-FR"/>
        </w:rPr>
        <w:t xml:space="preserve"> du </w:t>
      </w:r>
      <w:r w:rsidR="00817667" w:rsidRPr="005C556C">
        <w:rPr>
          <w:lang w:val="fr-FR"/>
        </w:rPr>
        <w:t>CAJ</w:t>
      </w:r>
      <w:r w:rsidR="002C6DE0" w:rsidRPr="005C556C">
        <w:rPr>
          <w:lang w:val="fr-FR"/>
        </w:rPr>
        <w:noBreakHyphen/>
      </w:r>
      <w:r w:rsidRPr="005C556C">
        <w:rPr>
          <w:lang w:val="fr-FR"/>
        </w:rPr>
        <w:t xml:space="preserve">AG </w:t>
      </w:r>
      <w:r w:rsidR="002965AA" w:rsidRPr="005C556C">
        <w:rPr>
          <w:lang w:val="fr-FR"/>
        </w:rPr>
        <w:t xml:space="preserve">le </w:t>
      </w:r>
      <w:r w:rsidRPr="005C556C">
        <w:rPr>
          <w:lang w:val="fr-FR"/>
        </w:rPr>
        <w:t>3</w:t>
      </w:r>
      <w:r w:rsidR="00817667" w:rsidRPr="005C556C">
        <w:rPr>
          <w:lang w:val="fr-FR"/>
        </w:rPr>
        <w:t>0 octobre 20</w:t>
      </w:r>
      <w:r w:rsidRPr="005C556C">
        <w:rPr>
          <w:lang w:val="fr-FR"/>
        </w:rPr>
        <w:t>15.</w:t>
      </w:r>
    </w:p>
    <w:p w:rsidR="0058402C" w:rsidRPr="005C556C" w:rsidRDefault="0058402C" w:rsidP="005C556C">
      <w:pPr>
        <w:rPr>
          <w:lang w:val="fr-FR"/>
        </w:rPr>
      </w:pPr>
    </w:p>
    <w:p w:rsidR="0058402C" w:rsidRPr="005C556C" w:rsidRDefault="005A6BAC" w:rsidP="005C556C">
      <w:pPr>
        <w:pStyle w:val="DecisionParagraphs"/>
        <w:rPr>
          <w:lang w:val="fr-FR"/>
        </w:rPr>
      </w:pPr>
      <w:r w:rsidRPr="005C556C">
        <w:rPr>
          <w:lang w:val="fr-FR"/>
        </w:rPr>
        <w:fldChar w:fldCharType="begin"/>
      </w:r>
      <w:r w:rsidRPr="005C556C">
        <w:rPr>
          <w:lang w:val="fr-FR"/>
        </w:rPr>
        <w:instrText xml:space="preserve"> AUTONUM  </w:instrText>
      </w:r>
      <w:r w:rsidRPr="005C556C">
        <w:rPr>
          <w:lang w:val="fr-FR"/>
        </w:rPr>
        <w:fldChar w:fldCharType="end"/>
      </w:r>
      <w:r w:rsidRPr="005C556C">
        <w:rPr>
          <w:lang w:val="fr-FR"/>
        </w:rPr>
        <w:tab/>
      </w:r>
      <w:r w:rsidR="00026EE0" w:rsidRPr="005C556C">
        <w:rPr>
          <w:lang w:val="fr-FR"/>
        </w:rPr>
        <w:t>Le</w:t>
      </w:r>
      <w:r w:rsidR="00026EE0" w:rsidRPr="005C556C">
        <w:rPr>
          <w:i w:val="0"/>
          <w:lang w:val="fr-FR"/>
        </w:rPr>
        <w:t xml:space="preserve"> </w:t>
      </w:r>
      <w:r w:rsidR="00026EE0" w:rsidRPr="005C556C">
        <w:rPr>
          <w:lang w:val="fr-FR"/>
        </w:rPr>
        <w:t>CAJ adopte le présent compte rendu à la clôture de sa session le 26</w:t>
      </w:r>
      <w:r w:rsidR="003B4EC0" w:rsidRPr="005C556C">
        <w:rPr>
          <w:i w:val="0"/>
          <w:lang w:val="fr-FR"/>
        </w:rPr>
        <w:t> </w:t>
      </w:r>
      <w:r w:rsidR="002965AA" w:rsidRPr="005C556C">
        <w:rPr>
          <w:lang w:val="fr-FR"/>
        </w:rPr>
        <w:t>mars</w:t>
      </w:r>
      <w:r w:rsidR="003B4EC0" w:rsidRPr="005C556C">
        <w:rPr>
          <w:i w:val="0"/>
          <w:lang w:val="fr-FR"/>
        </w:rPr>
        <w:t> </w:t>
      </w:r>
      <w:r w:rsidR="00026EE0" w:rsidRPr="005C556C">
        <w:rPr>
          <w:lang w:val="fr-FR"/>
        </w:rPr>
        <w:t>2015</w:t>
      </w:r>
      <w:r w:rsidR="00026EE0" w:rsidRPr="005C556C">
        <w:rPr>
          <w:i w:val="0"/>
          <w:lang w:val="fr-FR"/>
        </w:rPr>
        <w:t>.</w:t>
      </w:r>
    </w:p>
    <w:p w:rsidR="0058402C" w:rsidRPr="005C556C" w:rsidRDefault="0058402C" w:rsidP="005C556C">
      <w:pPr>
        <w:rPr>
          <w:lang w:val="fr-FR"/>
        </w:rPr>
      </w:pPr>
    </w:p>
    <w:p w:rsidR="0058402C" w:rsidRPr="005C556C" w:rsidRDefault="0058402C" w:rsidP="005C556C">
      <w:pPr>
        <w:rPr>
          <w:lang w:val="fr-FR"/>
        </w:rPr>
      </w:pPr>
    </w:p>
    <w:p w:rsidR="0058402C" w:rsidRPr="005C556C" w:rsidRDefault="0058402C" w:rsidP="005C556C">
      <w:pPr>
        <w:rPr>
          <w:lang w:val="fr-FR"/>
        </w:rPr>
      </w:pPr>
    </w:p>
    <w:p w:rsidR="0058402C" w:rsidRPr="005C556C" w:rsidRDefault="000E3E0B" w:rsidP="005C556C">
      <w:pPr>
        <w:jc w:val="right"/>
        <w:rPr>
          <w:lang w:val="fr-FR"/>
        </w:rPr>
      </w:pPr>
      <w:r w:rsidRPr="005C556C">
        <w:rPr>
          <w:lang w:val="fr-FR"/>
        </w:rPr>
        <w:t>[</w:t>
      </w:r>
      <w:r w:rsidR="00026EE0" w:rsidRPr="005C556C">
        <w:rPr>
          <w:lang w:val="fr-FR"/>
        </w:rPr>
        <w:t>L</w:t>
      </w:r>
      <w:r w:rsidR="00817667" w:rsidRPr="005C556C">
        <w:rPr>
          <w:lang w:val="fr-FR"/>
        </w:rPr>
        <w:t>’</w:t>
      </w:r>
      <w:r w:rsidR="00026EE0" w:rsidRPr="005C556C">
        <w:rPr>
          <w:lang w:val="fr-FR"/>
        </w:rPr>
        <w:t>annexe suit</w:t>
      </w:r>
      <w:r w:rsidRPr="005C556C">
        <w:rPr>
          <w:lang w:val="fr-FR"/>
        </w:rPr>
        <w:t>]</w:t>
      </w:r>
    </w:p>
    <w:p w:rsidR="0058402C" w:rsidRPr="005C556C" w:rsidRDefault="0058402C" w:rsidP="005C556C">
      <w:pPr>
        <w:jc w:val="right"/>
        <w:rPr>
          <w:lang w:val="fr-FR"/>
        </w:rPr>
      </w:pPr>
    </w:p>
    <w:p w:rsidR="00504E54" w:rsidRDefault="00504E54" w:rsidP="005C556C">
      <w:pPr>
        <w:jc w:val="right"/>
        <w:rPr>
          <w:lang w:val="fr-FR"/>
        </w:rPr>
        <w:sectPr w:rsidR="00504E54" w:rsidSect="005219A2">
          <w:headerReference w:type="default" r:id="rId16"/>
          <w:pgSz w:w="11907" w:h="16840" w:code="9"/>
          <w:pgMar w:top="510" w:right="1134" w:bottom="1134" w:left="1134" w:header="510" w:footer="680" w:gutter="0"/>
          <w:pgNumType w:start="1"/>
          <w:cols w:space="720"/>
          <w:titlePg/>
          <w:docGrid w:linePitch="272"/>
        </w:sectPr>
      </w:pPr>
    </w:p>
    <w:p w:rsidR="00504E54" w:rsidRDefault="00504E54" w:rsidP="00504E54">
      <w:pPr>
        <w:jc w:val="center"/>
        <w:rPr>
          <w:caps/>
        </w:rPr>
      </w:pPr>
      <w:r>
        <w:rPr>
          <w:caps/>
        </w:rPr>
        <w:lastRenderedPageBreak/>
        <w:t>CAJ/71/10</w:t>
      </w:r>
    </w:p>
    <w:p w:rsidR="00504E54" w:rsidRPr="00897451" w:rsidRDefault="00504E54" w:rsidP="00504E54">
      <w:pPr>
        <w:jc w:val="center"/>
        <w:rPr>
          <w:caps/>
        </w:rPr>
      </w:pPr>
    </w:p>
    <w:p w:rsidR="00504E54" w:rsidRPr="00897451" w:rsidRDefault="00504E54" w:rsidP="00504E54">
      <w:pPr>
        <w:jc w:val="center"/>
        <w:rPr>
          <w:caps/>
        </w:rPr>
      </w:pPr>
      <w:r w:rsidRPr="00897451">
        <w:rPr>
          <w:caps/>
        </w:rPr>
        <w:t xml:space="preserve">annexe / annex / anlage </w:t>
      </w:r>
      <w:r>
        <w:rPr>
          <w:caps/>
        </w:rPr>
        <w:t>/</w:t>
      </w:r>
      <w:r w:rsidRPr="00897451">
        <w:rPr>
          <w:caps/>
        </w:rPr>
        <w:t xml:space="preserve"> anexo</w:t>
      </w:r>
    </w:p>
    <w:p w:rsidR="00504E54" w:rsidRPr="00897451" w:rsidRDefault="00504E54" w:rsidP="00504E54">
      <w:pPr>
        <w:jc w:val="center"/>
        <w:rPr>
          <w:caps/>
        </w:rPr>
      </w:pPr>
    </w:p>
    <w:p w:rsidR="00504E54" w:rsidRPr="00897451" w:rsidRDefault="00504E54" w:rsidP="00504E54">
      <w:pPr>
        <w:jc w:val="center"/>
        <w:rPr>
          <w:caps/>
        </w:rPr>
      </w:pPr>
    </w:p>
    <w:p w:rsidR="00504E54" w:rsidRPr="00F01E39" w:rsidRDefault="00504E54" w:rsidP="00504E54">
      <w:pPr>
        <w:jc w:val="center"/>
        <w:rPr>
          <w:caps/>
        </w:rPr>
      </w:pPr>
    </w:p>
    <w:p w:rsidR="00504E54" w:rsidRPr="00F01E39" w:rsidRDefault="00504E54" w:rsidP="00504E54">
      <w:pPr>
        <w:jc w:val="center"/>
        <w:rPr>
          <w:caps/>
          <w:lang w:val="fr-CH"/>
        </w:rPr>
      </w:pPr>
      <w:r w:rsidRPr="00F01E39">
        <w:rPr>
          <w:caps/>
          <w:lang w:val="fr-CH"/>
        </w:rPr>
        <w:t>LISTE DES PARTICIPANTS / LIST OF PARTICIPANTS /</w:t>
      </w:r>
    </w:p>
    <w:p w:rsidR="00504E54" w:rsidRPr="00897451" w:rsidRDefault="00504E54" w:rsidP="00504E54">
      <w:pPr>
        <w:jc w:val="center"/>
        <w:rPr>
          <w:caps/>
        </w:rPr>
      </w:pPr>
      <w:r w:rsidRPr="00F01E39">
        <w:rPr>
          <w:caps/>
        </w:rPr>
        <w:t>TEILNEHMERLISTE / LISTA DE PARTICIPANTES</w:t>
      </w:r>
      <w:r w:rsidRPr="00897451">
        <w:rPr>
          <w:caps/>
        </w:rPr>
        <w:br/>
      </w:r>
      <w:r w:rsidRPr="00897451">
        <w:rPr>
          <w:caps/>
        </w:rPr>
        <w:br/>
        <w:t>(</w:t>
      </w:r>
      <w:r w:rsidRPr="00897451">
        <w:t xml:space="preserve">dans l’ordre alphabétique des noms français des membres / </w:t>
      </w:r>
      <w:r w:rsidRPr="00897451">
        <w:br/>
        <w:t xml:space="preserve">in the alphabetical order of the French names of the Members / </w:t>
      </w:r>
      <w:r w:rsidRPr="00897451">
        <w:br/>
        <w:t xml:space="preserve">in alphabetischer Reihenfolge der französischen Namen der Mitglieder / </w:t>
      </w:r>
      <w:r w:rsidRPr="00897451">
        <w:br/>
        <w:t>por orden alfabético de los nombres en francés de los miembros)</w:t>
      </w:r>
    </w:p>
    <w:p w:rsidR="00504E54" w:rsidRPr="00897451" w:rsidRDefault="00504E54" w:rsidP="00504E54"/>
    <w:p w:rsidR="00504E54" w:rsidRPr="00897451" w:rsidRDefault="00504E54" w:rsidP="00504E54"/>
    <w:p w:rsidR="00504E54" w:rsidRPr="00F01E39" w:rsidRDefault="00504E54" w:rsidP="00504E54">
      <w:pPr>
        <w:jc w:val="center"/>
        <w:rPr>
          <w:rFonts w:cs="Arial"/>
          <w:u w:val="single"/>
          <w:lang w:val="de-DE" w:eastAsia="zh-CN"/>
        </w:rPr>
      </w:pPr>
      <w:r w:rsidRPr="0027407A">
        <w:rPr>
          <w:rFonts w:cs="Arial"/>
          <w:lang w:val="de-DE" w:eastAsia="zh-CN"/>
        </w:rPr>
        <w:t xml:space="preserve">I. </w:t>
      </w:r>
      <w:r>
        <w:rPr>
          <w:rFonts w:cs="Arial"/>
          <w:lang w:val="de-DE" w:eastAsia="zh-CN"/>
        </w:rPr>
        <w:tab/>
      </w:r>
      <w:r w:rsidRPr="00F01E39">
        <w:rPr>
          <w:rFonts w:cs="Arial"/>
          <w:u w:val="single"/>
          <w:lang w:val="de-DE" w:eastAsia="zh-CN"/>
        </w:rPr>
        <w:t>MEMBRES / MEMBERS / VERBANDSMITGLIEDER / MIEMBROS</w:t>
      </w:r>
    </w:p>
    <w:p w:rsidR="00504E54" w:rsidRPr="0027407A" w:rsidRDefault="00504E54" w:rsidP="00504E54">
      <w:pPr>
        <w:rPr>
          <w:rFonts w:cs="Arial"/>
          <w:lang w:val="de-DE" w:eastAsia="zh-CN"/>
        </w:rPr>
      </w:pPr>
    </w:p>
    <w:p w:rsidR="00504E54" w:rsidRPr="0027407A" w:rsidRDefault="00504E54" w:rsidP="00504E54">
      <w:pPr>
        <w:rPr>
          <w:rFonts w:cs="Arial"/>
          <w:u w:val="single"/>
          <w:lang w:val="de-DE" w:eastAsia="zh-CN"/>
        </w:rPr>
      </w:pPr>
      <w:r w:rsidRPr="0027407A">
        <w:rPr>
          <w:rFonts w:cs="Arial"/>
          <w:u w:val="single"/>
          <w:lang w:val="de-DE" w:eastAsia="zh-CN"/>
        </w:rPr>
        <w:t>ALLEMAGNE / GERMANY / DEUTSCHLAND / ALEMANIA</w:t>
      </w:r>
    </w:p>
    <w:p w:rsidR="00504E54" w:rsidRDefault="00504E54" w:rsidP="00504E54">
      <w:pPr>
        <w:rPr>
          <w:rFonts w:cs="Arial"/>
          <w:lang w:val="de-DE" w:eastAsia="zh-CN"/>
        </w:rPr>
      </w:pPr>
    </w:p>
    <w:p w:rsidR="00504E54" w:rsidRPr="00B3251D" w:rsidRDefault="00504E54" w:rsidP="00504E54">
      <w:pPr>
        <w:rPr>
          <w:rFonts w:cs="Arial"/>
          <w:lang w:val="de-DE" w:eastAsia="zh-CN"/>
        </w:rPr>
      </w:pPr>
      <w:r w:rsidRPr="00B3251D">
        <w:rPr>
          <w:rFonts w:cs="Arial"/>
          <w:lang w:val="de-DE" w:eastAsia="zh-CN"/>
        </w:rPr>
        <w:t xml:space="preserve">Barbara SOHNEMANN (Frau), Justiziarin, Leiterin, Rechtsangelegenheiten, Sortenverwaltung, Gebühren, Bundessortenamt, Hannover (e-mail: barbara.sohnemann@bundessortenamt.de) </w:t>
      </w:r>
    </w:p>
    <w:p w:rsidR="00504E54" w:rsidRDefault="00504E54" w:rsidP="00504E54">
      <w:pPr>
        <w:rPr>
          <w:rFonts w:cs="Arial"/>
          <w:lang w:val="de-DE" w:eastAsia="zh-CN"/>
        </w:rPr>
      </w:pPr>
    </w:p>
    <w:p w:rsidR="00504E54" w:rsidRPr="00D36039" w:rsidRDefault="00504E54" w:rsidP="00504E54">
      <w:pPr>
        <w:rPr>
          <w:rFonts w:cs="Arial"/>
          <w:u w:val="single"/>
          <w:lang w:val="es-ES" w:eastAsia="zh-CN"/>
        </w:rPr>
      </w:pPr>
      <w:r w:rsidRPr="00D36039">
        <w:rPr>
          <w:rFonts w:cs="Arial"/>
          <w:u w:val="single"/>
          <w:lang w:val="es-ES" w:eastAsia="zh-CN"/>
        </w:rPr>
        <w:t>ARGENTINE / ARGENTINA / ARGENTINIEN / ARGENTINA</w:t>
      </w:r>
    </w:p>
    <w:p w:rsidR="00504E54" w:rsidRPr="00D36039" w:rsidRDefault="00504E54" w:rsidP="00504E54">
      <w:pPr>
        <w:rPr>
          <w:rFonts w:cs="Arial"/>
          <w:u w:val="single"/>
          <w:lang w:val="es-ES" w:eastAsia="zh-CN"/>
        </w:rPr>
      </w:pPr>
    </w:p>
    <w:p w:rsidR="00504E54" w:rsidRDefault="00504E54" w:rsidP="00504E54">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504E54" w:rsidRPr="00D36039" w:rsidRDefault="00504E54" w:rsidP="00504E54">
      <w:pPr>
        <w:rPr>
          <w:rFonts w:cs="Arial"/>
          <w:lang w:val="es-ES" w:eastAsia="zh-CN"/>
        </w:rPr>
      </w:pPr>
      <w:r>
        <w:rPr>
          <w:rFonts w:cs="Arial"/>
          <w:lang w:val="es-ES" w:eastAsia="zh-CN"/>
        </w:rPr>
        <w:t>(e-mail: rlavignolle@inase.gov.ar)</w:t>
      </w:r>
    </w:p>
    <w:p w:rsidR="00504E54" w:rsidRDefault="00504E54" w:rsidP="00504E54">
      <w:pPr>
        <w:rPr>
          <w:rFonts w:cs="Arial"/>
          <w:lang w:val="es-ES" w:eastAsia="zh-CN"/>
        </w:rPr>
      </w:pPr>
    </w:p>
    <w:p w:rsidR="00504E54" w:rsidRDefault="00504E54" w:rsidP="00504E54">
      <w:pPr>
        <w:rPr>
          <w:rFonts w:cs="Arial"/>
          <w:lang w:val="es-ES" w:eastAsia="zh-CN"/>
        </w:rPr>
      </w:pPr>
      <w:r>
        <w:rPr>
          <w:rFonts w:cs="Arial"/>
          <w:lang w:val="es-ES" w:eastAsia="zh-CN"/>
        </w:rPr>
        <w:t>Carmen Amelia M. GIANNI (Sra.), Coordinadora de Propiedad Intelectual / Recursos Fitogenéticos, Instituto Nacional de Semillas (INASE), Buenos Aires (e-mail: cgianni@inase.gov.ar)</w:t>
      </w:r>
    </w:p>
    <w:p w:rsidR="00504E54" w:rsidRPr="00276BC6" w:rsidRDefault="00504E54" w:rsidP="00504E54">
      <w:pPr>
        <w:rPr>
          <w:rFonts w:cs="Arial"/>
          <w:lang w:val="es-ES" w:eastAsia="zh-CN"/>
        </w:rPr>
      </w:pPr>
    </w:p>
    <w:p w:rsidR="00504E54" w:rsidRPr="0027407A" w:rsidRDefault="00504E54" w:rsidP="00504E54">
      <w:pPr>
        <w:rPr>
          <w:rFonts w:cs="Arial"/>
          <w:u w:val="single"/>
          <w:lang w:eastAsia="zh-CN"/>
        </w:rPr>
      </w:pPr>
      <w:r w:rsidRPr="0027407A">
        <w:rPr>
          <w:rFonts w:cs="Arial"/>
          <w:u w:val="single"/>
          <w:lang w:eastAsia="zh-CN"/>
        </w:rPr>
        <w:t>AUSTRALIE / AUSTRALIA / AUSTRALIEN / AUSTRALIA</w:t>
      </w:r>
    </w:p>
    <w:p w:rsidR="00504E54" w:rsidRDefault="00504E54" w:rsidP="00504E54">
      <w:pPr>
        <w:rPr>
          <w:rFonts w:cs="Arial"/>
          <w:lang w:eastAsia="zh-CN"/>
        </w:rPr>
      </w:pPr>
    </w:p>
    <w:p w:rsidR="00504E54" w:rsidRDefault="00504E54" w:rsidP="00504E54">
      <w:pPr>
        <w:rPr>
          <w:rFonts w:cs="Arial"/>
          <w:lang w:eastAsia="zh-CN"/>
        </w:rPr>
      </w:pPr>
      <w:r w:rsidRPr="00B3251D">
        <w:rPr>
          <w:rFonts w:cs="Arial"/>
          <w:lang w:eastAsia="zh-CN"/>
        </w:rPr>
        <w:t xml:space="preserve">Tanvir HOSSAIN, Senior Examiner, Plant Breeder's Rights Office, IP Australia, Woden </w:t>
      </w:r>
    </w:p>
    <w:p w:rsidR="00504E54" w:rsidRPr="00FE04A2" w:rsidRDefault="00504E54" w:rsidP="00504E54">
      <w:pPr>
        <w:rPr>
          <w:rFonts w:cs="Arial"/>
          <w:lang w:val="fr-CH" w:eastAsia="zh-CN"/>
        </w:rPr>
      </w:pPr>
      <w:r w:rsidRPr="00FE04A2">
        <w:rPr>
          <w:rFonts w:cs="Arial"/>
          <w:lang w:val="fr-CH" w:eastAsia="zh-CN"/>
        </w:rPr>
        <w:t xml:space="preserve">(e-mail: tanvir.hossain@ipaustralia.gov.au)  </w:t>
      </w:r>
    </w:p>
    <w:p w:rsidR="00504E54" w:rsidRPr="00FE04A2" w:rsidRDefault="00504E54" w:rsidP="00504E54">
      <w:pPr>
        <w:rPr>
          <w:rFonts w:cs="Arial"/>
          <w:lang w:val="fr-CH" w:eastAsia="zh-CN"/>
        </w:rPr>
      </w:pPr>
    </w:p>
    <w:p w:rsidR="00504E54" w:rsidRPr="0027407A" w:rsidRDefault="00504E54" w:rsidP="00504E54">
      <w:pPr>
        <w:rPr>
          <w:rFonts w:cs="Arial"/>
          <w:u w:val="single"/>
          <w:lang w:val="fr-CH" w:eastAsia="zh-CN"/>
        </w:rPr>
      </w:pPr>
      <w:r w:rsidRPr="0027407A">
        <w:rPr>
          <w:rFonts w:cs="Arial"/>
          <w:u w:val="single"/>
          <w:lang w:val="fr-CH" w:eastAsia="zh-CN"/>
        </w:rPr>
        <w:t>BELGIQUE / BELGIUM / BELGIEN / BÉLGICA</w:t>
      </w:r>
    </w:p>
    <w:p w:rsidR="00504E54" w:rsidRDefault="00504E54" w:rsidP="00504E54">
      <w:pPr>
        <w:rPr>
          <w:rFonts w:cs="Arial"/>
          <w:lang w:val="fr-CH" w:eastAsia="zh-CN"/>
        </w:rPr>
      </w:pPr>
    </w:p>
    <w:p w:rsidR="00504E54" w:rsidRDefault="00504E54" w:rsidP="00504E54">
      <w:pPr>
        <w:rPr>
          <w:rFonts w:cs="Arial"/>
          <w:lang w:val="fr-CH" w:eastAsia="zh-CN"/>
        </w:rPr>
      </w:pPr>
      <w:r w:rsidRPr="00B3251D">
        <w:rPr>
          <w:rFonts w:cs="Arial"/>
          <w:lang w:val="fr-CH" w:eastAsia="zh-CN"/>
        </w:rPr>
        <w:t xml:space="preserve">Françoise DE SCHUTTER (Mme), Attachée, Office belge de la Propriété intellectuelle (OPRI), Bruxelles </w:t>
      </w:r>
    </w:p>
    <w:p w:rsidR="00504E54" w:rsidRPr="00B3251D" w:rsidRDefault="00504E54" w:rsidP="00504E54">
      <w:pPr>
        <w:rPr>
          <w:rFonts w:cs="Arial"/>
          <w:lang w:val="fr-CH" w:eastAsia="zh-CN"/>
        </w:rPr>
      </w:pPr>
      <w:r w:rsidRPr="00B3251D">
        <w:rPr>
          <w:rFonts w:cs="Arial"/>
          <w:lang w:val="fr-CH" w:eastAsia="zh-CN"/>
        </w:rPr>
        <w:t xml:space="preserve">(e-mail: francoise.deschutter@economie.fgov.be)  </w:t>
      </w:r>
    </w:p>
    <w:p w:rsidR="00504E54" w:rsidRPr="00B3251D" w:rsidRDefault="00504E54" w:rsidP="00504E54">
      <w:pPr>
        <w:rPr>
          <w:rFonts w:cs="Arial"/>
          <w:lang w:val="fr-CH" w:eastAsia="zh-CN"/>
        </w:rPr>
      </w:pPr>
    </w:p>
    <w:p w:rsidR="00504E54" w:rsidRPr="00FE04A2" w:rsidRDefault="00504E54" w:rsidP="00504E54">
      <w:pPr>
        <w:rPr>
          <w:rFonts w:cs="Arial"/>
          <w:u w:val="single"/>
          <w:lang w:val="fr-CH" w:eastAsia="zh-CN"/>
        </w:rPr>
      </w:pPr>
      <w:r w:rsidRPr="00FE04A2">
        <w:rPr>
          <w:rFonts w:cs="Arial"/>
          <w:u w:val="single"/>
          <w:lang w:val="fr-CH" w:eastAsia="zh-CN"/>
        </w:rPr>
        <w:t>BRÉSIL / BRAZIL / BRASILIEN / BRASIL</w:t>
      </w:r>
    </w:p>
    <w:p w:rsidR="00504E54" w:rsidRPr="00FE04A2" w:rsidRDefault="00504E54" w:rsidP="00504E54">
      <w:pPr>
        <w:rPr>
          <w:rFonts w:cs="Arial"/>
          <w:lang w:val="fr-CH" w:eastAsia="zh-CN"/>
        </w:rPr>
      </w:pPr>
    </w:p>
    <w:p w:rsidR="00504E54" w:rsidRPr="00B3251D" w:rsidRDefault="00504E54" w:rsidP="00504E54">
      <w:pPr>
        <w:rPr>
          <w:rFonts w:cs="Arial"/>
          <w:lang w:eastAsia="zh-CN"/>
        </w:rPr>
      </w:pPr>
      <w:r w:rsidRPr="00B3251D">
        <w:rPr>
          <w:rFonts w:cs="Arial"/>
          <w:lang w:eastAsia="zh-CN"/>
        </w:rPr>
        <w:t xml:space="preserve">Fabrício SANTANA SANTOS, Coordinator, National Plant Variety Protection Office (SNPC), Ministry of Agriculture, Livestock and Food Supply, Brasilia (e-mail: fabricio.santos@agricultura.gov.br)  </w:t>
      </w:r>
    </w:p>
    <w:p w:rsidR="00504E54"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 xml:space="preserve">CANADA / </w:t>
      </w:r>
      <w:r>
        <w:rPr>
          <w:rFonts w:cs="Arial"/>
          <w:u w:val="single"/>
          <w:lang w:eastAsia="zh-CN"/>
        </w:rPr>
        <w:t xml:space="preserve">CANANDA / </w:t>
      </w:r>
      <w:r w:rsidRPr="0027407A">
        <w:rPr>
          <w:rFonts w:cs="Arial"/>
          <w:u w:val="single"/>
          <w:lang w:eastAsia="zh-CN"/>
        </w:rPr>
        <w:t>KANADA / CANADÁ</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Anthony PARKER, Commissioner, Plant Breeders' Rights Office, Canadian Food Inspection Agency (CFIA), Ottawa (e-mail: anthony.parker@inspection.gc.ca)  </w:t>
      </w:r>
    </w:p>
    <w:p w:rsidR="00504E54" w:rsidRPr="00FE04A2" w:rsidRDefault="00504E54" w:rsidP="00504E54">
      <w:pPr>
        <w:rPr>
          <w:rFonts w:cs="Arial"/>
          <w:u w:val="single"/>
          <w:lang w:eastAsia="zh-CN"/>
        </w:rPr>
      </w:pPr>
    </w:p>
    <w:p w:rsidR="00504E54" w:rsidRPr="0093340E" w:rsidRDefault="00504E54" w:rsidP="00504E54">
      <w:pPr>
        <w:rPr>
          <w:rFonts w:cs="Arial"/>
          <w:u w:val="single"/>
          <w:lang w:val="es-ES" w:eastAsia="zh-CN"/>
        </w:rPr>
      </w:pPr>
      <w:r w:rsidRPr="0093340E">
        <w:rPr>
          <w:rFonts w:cs="Arial"/>
          <w:u w:val="single"/>
          <w:lang w:val="es-ES" w:eastAsia="zh-CN"/>
        </w:rPr>
        <w:t>CHILI / CHILE / CHILE / CHILE</w:t>
      </w:r>
    </w:p>
    <w:p w:rsidR="00504E54" w:rsidRDefault="00504E54" w:rsidP="00504E54">
      <w:pPr>
        <w:rPr>
          <w:rFonts w:cs="Arial"/>
          <w:lang w:val="es-ES" w:eastAsia="zh-CN"/>
        </w:rPr>
      </w:pPr>
    </w:p>
    <w:p w:rsidR="00504E54" w:rsidRDefault="00504E54" w:rsidP="00504E54">
      <w:pPr>
        <w:rPr>
          <w:rFonts w:cs="Arial"/>
          <w:lang w:val="es-ES" w:eastAsia="zh-CN"/>
        </w:rPr>
      </w:pPr>
      <w:r w:rsidRPr="00B3251D">
        <w:rPr>
          <w:rFonts w:cs="Arial"/>
          <w:lang w:val="es-ES" w:eastAsia="zh-CN"/>
        </w:rPr>
        <w:t xml:space="preserve">Manuel TORO UGALDE, Jefe Subdepartamento, Registro de Variedades Protegidas, División Semillas, Servicio Agrícola y Ganadero (SAG), Santiago de Chile (e-mail: manuel.toro@sag.gob.cl) </w:t>
      </w:r>
    </w:p>
    <w:p w:rsidR="00504E54" w:rsidRPr="00B3251D" w:rsidRDefault="00504E54" w:rsidP="00504E54">
      <w:pPr>
        <w:rPr>
          <w:rFonts w:cs="Arial"/>
          <w:lang w:val="es-ES" w:eastAsia="zh-CN"/>
        </w:rPr>
      </w:pPr>
    </w:p>
    <w:p w:rsidR="00504E54" w:rsidRPr="009F6605" w:rsidRDefault="00504E54" w:rsidP="00504E54">
      <w:pPr>
        <w:rPr>
          <w:rFonts w:cs="Arial"/>
          <w:lang w:val="es-ES" w:eastAsia="zh-CN"/>
        </w:rPr>
      </w:pPr>
      <w:r w:rsidRPr="00B3251D">
        <w:rPr>
          <w:rFonts w:cs="Arial"/>
          <w:lang w:val="es-ES" w:eastAsia="zh-CN"/>
        </w:rPr>
        <w:t xml:space="preserve">Natalia SOTOMAYOR (Ms.), Legal Advisor, Oficina de Estudios y Politicas Agrarias (ODEPA), </w:t>
      </w:r>
      <w:r w:rsidRPr="009F6605">
        <w:rPr>
          <w:rFonts w:cs="Arial"/>
          <w:lang w:val="es-ES" w:eastAsia="zh-CN"/>
        </w:rPr>
        <w:t xml:space="preserve">Santiago de Chile (e-mail: nsotomayor@odepa.gob.cl)  </w:t>
      </w:r>
    </w:p>
    <w:p w:rsidR="00504E54" w:rsidRPr="009F6605" w:rsidRDefault="00504E54" w:rsidP="00504E54">
      <w:pPr>
        <w:rPr>
          <w:rFonts w:cs="Arial"/>
          <w:lang w:val="es-ES" w:eastAsia="zh-CN"/>
        </w:rPr>
      </w:pPr>
    </w:p>
    <w:p w:rsidR="00504E54" w:rsidRPr="0027407A" w:rsidRDefault="00504E54" w:rsidP="00504E54">
      <w:pPr>
        <w:keepNext/>
        <w:rPr>
          <w:rFonts w:cs="Arial"/>
          <w:u w:val="single"/>
          <w:lang w:eastAsia="zh-CN"/>
        </w:rPr>
      </w:pPr>
      <w:r w:rsidRPr="0027407A">
        <w:rPr>
          <w:rFonts w:cs="Arial"/>
          <w:u w:val="single"/>
          <w:lang w:eastAsia="zh-CN"/>
        </w:rPr>
        <w:t>CHINE / CHINA / CHINA / CHINA</w:t>
      </w:r>
    </w:p>
    <w:p w:rsidR="00504E54" w:rsidRDefault="00504E54" w:rsidP="00504E54">
      <w:pPr>
        <w:keepNext/>
        <w:rPr>
          <w:rFonts w:cs="Arial"/>
          <w:lang w:eastAsia="zh-CN"/>
        </w:rPr>
      </w:pPr>
    </w:p>
    <w:p w:rsidR="00504E54" w:rsidRPr="00E82DAF" w:rsidRDefault="00504E54" w:rsidP="00504E54">
      <w:pPr>
        <w:rPr>
          <w:rFonts w:cs="Arial"/>
          <w:lang w:eastAsia="zh-CN"/>
        </w:rPr>
      </w:pPr>
      <w:r w:rsidRPr="00E82DAF">
        <w:rPr>
          <w:rFonts w:cs="Arial"/>
          <w:lang w:eastAsia="zh-CN"/>
        </w:rPr>
        <w:t xml:space="preserve">Mingqi LI, Deputy Director General, </w:t>
      </w:r>
      <w:r>
        <w:rPr>
          <w:rFonts w:cs="Arial"/>
          <w:lang w:eastAsia="zh-CN"/>
        </w:rPr>
        <w:t xml:space="preserve">Office for the Protection of New Plant Varieties, </w:t>
      </w:r>
      <w:r w:rsidRPr="00E82DAF">
        <w:rPr>
          <w:rFonts w:cs="Arial"/>
          <w:lang w:eastAsia="zh-CN"/>
        </w:rPr>
        <w:t xml:space="preserve">State Forestry Administration, Beijing (e-mail: limingqi709@126.com)  </w:t>
      </w:r>
    </w:p>
    <w:p w:rsidR="00504E54" w:rsidRPr="00E82DAF" w:rsidRDefault="00504E54" w:rsidP="00504E54">
      <w:pPr>
        <w:rPr>
          <w:rFonts w:cs="Arial"/>
          <w:lang w:eastAsia="zh-CN"/>
        </w:rPr>
      </w:pPr>
    </w:p>
    <w:p w:rsidR="00504E54" w:rsidRPr="00E82DAF" w:rsidRDefault="00504E54" w:rsidP="00504E54">
      <w:pPr>
        <w:rPr>
          <w:rFonts w:cs="Arial"/>
          <w:lang w:eastAsia="zh-CN"/>
        </w:rPr>
      </w:pPr>
      <w:r w:rsidRPr="00E82DAF">
        <w:rPr>
          <w:rFonts w:cs="Arial"/>
          <w:lang w:eastAsia="zh-CN"/>
        </w:rPr>
        <w:t xml:space="preserve">Faji HUANG, Officer, Office for the Protection of New Plant Varieties, State Forestry Administration, Beijing (e-mail: huangfaji@cnpvp.net)  </w:t>
      </w:r>
    </w:p>
    <w:p w:rsidR="00504E54" w:rsidRPr="00E82DAF" w:rsidRDefault="00504E54" w:rsidP="00504E54">
      <w:pPr>
        <w:rPr>
          <w:rFonts w:cs="Arial"/>
          <w:lang w:eastAsia="zh-CN"/>
        </w:rPr>
      </w:pPr>
    </w:p>
    <w:p w:rsidR="00504E54" w:rsidRPr="00E82DAF" w:rsidRDefault="00504E54" w:rsidP="00504E54">
      <w:pPr>
        <w:rPr>
          <w:rFonts w:cs="Arial"/>
          <w:lang w:eastAsia="zh-CN"/>
        </w:rPr>
      </w:pPr>
      <w:r w:rsidRPr="00E82DAF">
        <w:rPr>
          <w:rFonts w:cs="Arial"/>
          <w:lang w:eastAsia="zh-CN"/>
        </w:rPr>
        <w:lastRenderedPageBreak/>
        <w:t>Juan LI (Ms.), Project Administrator, Beijing (e-mail: lijuan_8@sipo.gov.cn)</w:t>
      </w:r>
    </w:p>
    <w:p w:rsidR="00504E54" w:rsidRPr="00E82DAF" w:rsidRDefault="00504E54" w:rsidP="00504E54">
      <w:pPr>
        <w:rPr>
          <w:rFonts w:cs="Arial"/>
          <w:lang w:eastAsia="zh-CN"/>
        </w:rPr>
      </w:pPr>
    </w:p>
    <w:p w:rsidR="00504E54" w:rsidRDefault="00504E54" w:rsidP="00504E54">
      <w:pPr>
        <w:rPr>
          <w:rFonts w:cs="Arial"/>
          <w:lang w:eastAsia="zh-CN"/>
        </w:rPr>
      </w:pPr>
      <w:r w:rsidRPr="00E82DAF">
        <w:rPr>
          <w:rFonts w:cs="Arial"/>
          <w:lang w:eastAsia="zh-CN"/>
        </w:rPr>
        <w:t>Xin LU (Ms.), PVP Examiner, Plant Variety Protection Division, Development Center for Science and Technology, Ministry of Agriculture, Beijing (e-mail: luxin@agri.gov.cn)</w:t>
      </w:r>
    </w:p>
    <w:p w:rsidR="00504E54" w:rsidRPr="00B3251D" w:rsidRDefault="00504E54" w:rsidP="00504E54">
      <w:pPr>
        <w:rPr>
          <w:rFonts w:cs="Arial"/>
          <w:lang w:eastAsia="zh-CN"/>
        </w:rPr>
      </w:pPr>
    </w:p>
    <w:p w:rsidR="00504E54" w:rsidRPr="0093340E" w:rsidRDefault="00504E54" w:rsidP="00504E54">
      <w:pPr>
        <w:rPr>
          <w:rFonts w:cs="Arial"/>
          <w:u w:val="single"/>
          <w:lang w:val="es-ES" w:eastAsia="zh-CN"/>
        </w:rPr>
      </w:pPr>
      <w:r w:rsidRPr="0093340E">
        <w:rPr>
          <w:rFonts w:cs="Arial"/>
          <w:u w:val="single"/>
          <w:lang w:val="es-ES" w:eastAsia="zh-CN"/>
        </w:rPr>
        <w:t>COLOMBIE / COLOMBIA / KOLUMBIEN / COLOMBIA</w:t>
      </w:r>
    </w:p>
    <w:p w:rsidR="00504E54" w:rsidRDefault="00504E54" w:rsidP="00504E54">
      <w:pPr>
        <w:rPr>
          <w:rFonts w:cs="Arial"/>
          <w:lang w:val="es-ES" w:eastAsia="zh-CN"/>
        </w:rPr>
      </w:pPr>
    </w:p>
    <w:p w:rsidR="00504E54" w:rsidRPr="00B3251D" w:rsidRDefault="00504E54" w:rsidP="00504E54">
      <w:pPr>
        <w:rPr>
          <w:rFonts w:cs="Arial"/>
          <w:lang w:val="es-ES" w:eastAsia="zh-CN"/>
        </w:rPr>
      </w:pPr>
      <w:r w:rsidRPr="00B3251D">
        <w:rPr>
          <w:rFonts w:cs="Arial"/>
          <w:lang w:val="es-ES" w:eastAsia="zh-CN"/>
        </w:rPr>
        <w:t xml:space="preserve">Ana Luisa DÍAZ JIMÉNEZ (Sra.), Directora Técnica de Semillas, Dirección Técnica de Semillas, Instituto Colombiano Agropecuario (ICA), Bogotá (e-mail: ana.diaz@ica.gov.co)  </w:t>
      </w:r>
    </w:p>
    <w:p w:rsidR="00504E54" w:rsidRDefault="00504E54" w:rsidP="00504E54">
      <w:pPr>
        <w:rPr>
          <w:rFonts w:cs="Arial"/>
          <w:lang w:val="es-ES" w:eastAsia="zh-CN"/>
        </w:rPr>
      </w:pPr>
    </w:p>
    <w:p w:rsidR="00504E54" w:rsidRPr="0027407A" w:rsidRDefault="00504E54" w:rsidP="00504E54">
      <w:pPr>
        <w:rPr>
          <w:rFonts w:cs="Arial"/>
          <w:u w:val="single"/>
          <w:lang w:eastAsia="zh-CN"/>
        </w:rPr>
      </w:pPr>
      <w:r w:rsidRPr="0027407A">
        <w:rPr>
          <w:rFonts w:cs="Arial"/>
          <w:u w:val="single"/>
          <w:lang w:eastAsia="zh-CN"/>
        </w:rPr>
        <w:t>CROATIE / CROATIA / KROATIEN / CROACIA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Ivana BULAJIĆ (Ms.), Head of Plant Health Service, Directorate for Food Quality and Fitosanitary Policy, Ministry of Agriculture, Zagreb (e-mail: ivana.bulajic@mps.hr)  </w:t>
      </w:r>
    </w:p>
    <w:p w:rsidR="00504E54" w:rsidRPr="00B3251D"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DANEMARK / DENMARK / DÄNEMARK / DINAMARCA</w:t>
      </w:r>
    </w:p>
    <w:p w:rsidR="00504E54" w:rsidRDefault="00504E54" w:rsidP="00504E54">
      <w:pPr>
        <w:rPr>
          <w:rFonts w:cs="Arial"/>
          <w:lang w:eastAsia="zh-CN"/>
        </w:rPr>
      </w:pPr>
    </w:p>
    <w:p w:rsidR="00504E54" w:rsidRPr="009F6605" w:rsidRDefault="00504E54" w:rsidP="00504E54">
      <w:pPr>
        <w:rPr>
          <w:rFonts w:cs="Arial"/>
          <w:lang w:eastAsia="zh-CN"/>
        </w:rPr>
      </w:pPr>
      <w:r w:rsidRPr="00B3251D">
        <w:rPr>
          <w:rFonts w:cs="Arial"/>
          <w:lang w:eastAsia="zh-CN"/>
        </w:rPr>
        <w:t xml:space="preserve">Gerhard DENEKEN, Department of Variety Testing, The Danish AgriFish Agency </w:t>
      </w:r>
      <w:r w:rsidRPr="009F6605">
        <w:rPr>
          <w:rFonts w:cs="Arial"/>
          <w:lang w:eastAsia="zh-CN"/>
        </w:rPr>
        <w:t xml:space="preserve">(NaturErhvervestyrelsen), Skaelskoer (e-mail: gde@naturerhverv.dk)  </w:t>
      </w:r>
    </w:p>
    <w:p w:rsidR="00504E54" w:rsidRPr="009F6605" w:rsidRDefault="00504E54" w:rsidP="00504E54">
      <w:pPr>
        <w:rPr>
          <w:rFonts w:cs="Arial"/>
          <w:lang w:eastAsia="zh-CN"/>
        </w:rPr>
      </w:pPr>
    </w:p>
    <w:p w:rsidR="00504E54" w:rsidRDefault="00504E54" w:rsidP="00504E54">
      <w:pPr>
        <w:rPr>
          <w:rFonts w:cs="Arial"/>
          <w:lang w:eastAsia="zh-CN"/>
        </w:rPr>
      </w:pPr>
      <w:r>
        <w:rPr>
          <w:rFonts w:cs="Arial"/>
          <w:lang w:eastAsia="zh-CN"/>
        </w:rPr>
        <w:t>Maria LILLIE SONNE (M</w:t>
      </w:r>
      <w:r w:rsidRPr="00B3251D">
        <w:rPr>
          <w:rFonts w:cs="Arial"/>
          <w:lang w:eastAsia="zh-CN"/>
        </w:rPr>
        <w:t>s.), Head of Legal, Danish AgriFish Agency</w:t>
      </w:r>
      <w:r>
        <w:rPr>
          <w:rFonts w:cs="Arial"/>
          <w:lang w:eastAsia="zh-CN"/>
        </w:rPr>
        <w:t xml:space="preserve"> </w:t>
      </w:r>
      <w:r w:rsidRPr="009F6605">
        <w:rPr>
          <w:rFonts w:cs="Arial"/>
          <w:lang w:eastAsia="zh-CN"/>
        </w:rPr>
        <w:t>(NaturErhvervestyrelsen)</w:t>
      </w:r>
      <w:r w:rsidRPr="00B3251D">
        <w:rPr>
          <w:rFonts w:cs="Arial"/>
          <w:lang w:eastAsia="zh-CN"/>
        </w:rPr>
        <w:t>, Copenhagen</w:t>
      </w:r>
      <w:r>
        <w:rPr>
          <w:rFonts w:cs="Arial"/>
          <w:lang w:eastAsia="zh-CN"/>
        </w:rPr>
        <w:t xml:space="preserve"> (e-mail: maliso@naturerhverv.dk)</w:t>
      </w:r>
    </w:p>
    <w:p w:rsidR="00504E54" w:rsidRPr="00B3251D" w:rsidRDefault="00504E54" w:rsidP="00504E54">
      <w:pPr>
        <w:rPr>
          <w:rFonts w:cs="Arial"/>
          <w:lang w:eastAsia="zh-CN"/>
        </w:rPr>
      </w:pPr>
    </w:p>
    <w:p w:rsidR="00504E54" w:rsidRPr="0027407A" w:rsidRDefault="00504E54" w:rsidP="00504E54">
      <w:pPr>
        <w:rPr>
          <w:rFonts w:cs="Arial"/>
          <w:u w:val="single"/>
          <w:lang w:val="es-ES" w:eastAsia="zh-CN"/>
        </w:rPr>
      </w:pPr>
      <w:r w:rsidRPr="0027407A">
        <w:rPr>
          <w:rFonts w:cs="Arial"/>
          <w:u w:val="single"/>
          <w:lang w:val="es-ES" w:eastAsia="zh-CN"/>
        </w:rPr>
        <w:t>ÉQUATEUR / ECUADOR / ECUADOR / ECUADOR</w:t>
      </w:r>
    </w:p>
    <w:p w:rsidR="00504E54" w:rsidRDefault="00504E54" w:rsidP="00504E54">
      <w:pPr>
        <w:rPr>
          <w:rFonts w:cs="Arial"/>
          <w:lang w:val="es-ES" w:eastAsia="zh-CN"/>
        </w:rPr>
      </w:pPr>
    </w:p>
    <w:p w:rsidR="00504E54" w:rsidRPr="00B3251D" w:rsidRDefault="00504E54" w:rsidP="00504E54">
      <w:pPr>
        <w:rPr>
          <w:rFonts w:cs="Arial"/>
          <w:lang w:val="es-ES" w:eastAsia="zh-CN"/>
        </w:rPr>
      </w:pPr>
      <w:r w:rsidRPr="00B3251D">
        <w:rPr>
          <w:rFonts w:cs="Arial"/>
          <w:lang w:val="es-ES" w:eastAsia="zh-CN"/>
        </w:rPr>
        <w:t xml:space="preserve">Juan Carlos CASTRILLÓN J., Ministro, Misión Permanente, Ginebra (e-mail: jccastrillonj@gmail.com)  </w:t>
      </w:r>
    </w:p>
    <w:p w:rsidR="00504E54" w:rsidRDefault="00504E54" w:rsidP="00504E54">
      <w:pPr>
        <w:rPr>
          <w:rFonts w:cs="Arial"/>
          <w:lang w:val="es-ES" w:eastAsia="zh-CN"/>
        </w:rPr>
      </w:pPr>
    </w:p>
    <w:p w:rsidR="00504E54" w:rsidRPr="0027407A" w:rsidRDefault="00504E54" w:rsidP="00504E54">
      <w:pPr>
        <w:rPr>
          <w:rFonts w:cs="Arial"/>
          <w:u w:val="single"/>
          <w:lang w:val="es-ES" w:eastAsia="zh-CN"/>
        </w:rPr>
      </w:pPr>
      <w:r w:rsidRPr="0027407A">
        <w:rPr>
          <w:rFonts w:cs="Arial"/>
          <w:u w:val="single"/>
          <w:lang w:val="es-ES" w:eastAsia="zh-CN"/>
        </w:rPr>
        <w:t>ESPAGNE / SPAIN / SPANIEN / ESPAÑA</w:t>
      </w:r>
    </w:p>
    <w:p w:rsidR="00504E54" w:rsidRDefault="00504E54" w:rsidP="00504E54">
      <w:pPr>
        <w:rPr>
          <w:rFonts w:cs="Arial"/>
          <w:lang w:val="es-ES" w:eastAsia="zh-CN"/>
        </w:rPr>
      </w:pPr>
    </w:p>
    <w:p w:rsidR="00504E54" w:rsidRPr="00B3251D" w:rsidRDefault="00504E54" w:rsidP="00504E54">
      <w:pPr>
        <w:rPr>
          <w:rFonts w:cs="Arial"/>
          <w:lang w:val="es-ES" w:eastAsia="zh-CN"/>
        </w:rPr>
      </w:pPr>
      <w:r w:rsidRPr="00B3251D">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504E54" w:rsidRDefault="00504E54" w:rsidP="00504E54">
      <w:pPr>
        <w:rPr>
          <w:rFonts w:cs="Arial"/>
          <w:lang w:val="es-ES" w:eastAsia="zh-CN"/>
        </w:rPr>
      </w:pPr>
    </w:p>
    <w:p w:rsidR="00504E54" w:rsidRPr="0027407A" w:rsidRDefault="00504E54" w:rsidP="00504E54">
      <w:pPr>
        <w:rPr>
          <w:rFonts w:cs="Arial"/>
          <w:u w:val="single"/>
          <w:lang w:val="es-ES" w:eastAsia="zh-CN"/>
        </w:rPr>
      </w:pPr>
      <w:r w:rsidRPr="0027407A">
        <w:rPr>
          <w:rFonts w:cs="Arial"/>
          <w:u w:val="single"/>
          <w:lang w:val="es-ES" w:eastAsia="zh-CN"/>
        </w:rPr>
        <w:t>ESTONIE / ESTONIA / ESTLAND / ESTONIA</w:t>
      </w:r>
    </w:p>
    <w:p w:rsidR="00504E54" w:rsidRPr="0027407A" w:rsidRDefault="00504E54" w:rsidP="00504E54">
      <w:pPr>
        <w:rPr>
          <w:rFonts w:cs="Arial"/>
          <w:lang w:val="es-ES" w:eastAsia="zh-CN"/>
        </w:rPr>
      </w:pPr>
    </w:p>
    <w:p w:rsidR="00504E54" w:rsidRPr="009F6605" w:rsidRDefault="00504E54" w:rsidP="00504E54">
      <w:pPr>
        <w:rPr>
          <w:rFonts w:cs="Arial"/>
          <w:lang w:eastAsia="zh-CN"/>
        </w:rPr>
      </w:pPr>
      <w:r w:rsidRPr="00B3251D">
        <w:rPr>
          <w:rFonts w:cs="Arial"/>
          <w:lang w:eastAsia="zh-CN"/>
        </w:rPr>
        <w:t xml:space="preserve">Renata TSATURJAN (Ms.), Chief Specialist, Plant Production Bureau, Ministry of Agriculture, </w:t>
      </w:r>
      <w:r w:rsidRPr="009F6605">
        <w:rPr>
          <w:rFonts w:cs="Arial"/>
          <w:lang w:eastAsia="zh-CN"/>
        </w:rPr>
        <w:t>Tallinn</w:t>
      </w:r>
      <w:r w:rsidRPr="009F6605">
        <w:rPr>
          <w:rFonts w:cs="Arial"/>
          <w:lang w:eastAsia="zh-CN"/>
        </w:rPr>
        <w:br/>
        <w:t xml:space="preserve">(e-mail: renata.tsaturjan@agri.ee)  </w:t>
      </w:r>
    </w:p>
    <w:p w:rsidR="00504E54" w:rsidRPr="009F6605" w:rsidRDefault="00504E54" w:rsidP="00504E54">
      <w:pPr>
        <w:rPr>
          <w:rFonts w:cs="Arial"/>
          <w:lang w:eastAsia="zh-CN"/>
        </w:rPr>
      </w:pPr>
    </w:p>
    <w:p w:rsidR="00504E54" w:rsidRPr="0093340E" w:rsidRDefault="00504E54" w:rsidP="00504E54">
      <w:pPr>
        <w:rPr>
          <w:rFonts w:cs="Arial"/>
          <w:u w:val="single"/>
          <w:lang w:eastAsia="zh-CN"/>
        </w:rPr>
      </w:pPr>
      <w:r w:rsidRPr="0093340E">
        <w:rPr>
          <w:rFonts w:cs="Arial"/>
          <w:u w:val="single"/>
          <w:lang w:eastAsia="zh-CN"/>
        </w:rPr>
        <w:t>ÉTATS-UNIS D'AMÉRIQUE / UNITED STATES OF AMERICA / VEREINIGTE STAATEN VON AMERIKA / ESTADOS UNIDOS DE AMÉRICA</w:t>
      </w:r>
    </w:p>
    <w:p w:rsidR="00504E54" w:rsidRDefault="00504E54" w:rsidP="00504E54">
      <w:pPr>
        <w:rPr>
          <w:rFonts w:cs="Arial"/>
          <w:lang w:eastAsia="zh-CN"/>
        </w:rPr>
      </w:pPr>
    </w:p>
    <w:p w:rsidR="00504E54" w:rsidRPr="00E82DAF" w:rsidRDefault="00504E54" w:rsidP="00504E54">
      <w:pPr>
        <w:rPr>
          <w:rFonts w:cs="Arial"/>
          <w:lang w:eastAsia="zh-CN"/>
        </w:rPr>
      </w:pPr>
      <w:r w:rsidRPr="00E82DAF">
        <w:rPr>
          <w:rFonts w:cs="Arial"/>
          <w:lang w:eastAsia="zh-CN"/>
        </w:rPr>
        <w:t xml:space="preserve">Kitisri SUKHAPINDA (Ms.), Patent Attorney, Office of Policy and External Affairs, United States Patent and Trademark Office (USPTO), Alexandria (e-mail: kitisri.sukhapinda@uspto.gov) </w:t>
      </w:r>
    </w:p>
    <w:p w:rsidR="00504E54" w:rsidRPr="00E82DAF" w:rsidRDefault="00504E54" w:rsidP="00504E54">
      <w:pPr>
        <w:rPr>
          <w:rFonts w:cs="Arial"/>
          <w:lang w:eastAsia="zh-CN"/>
        </w:rPr>
      </w:pPr>
    </w:p>
    <w:p w:rsidR="00504E54" w:rsidRPr="00E82DAF" w:rsidRDefault="00504E54" w:rsidP="00504E54">
      <w:pPr>
        <w:rPr>
          <w:rFonts w:cs="Arial"/>
          <w:lang w:eastAsia="zh-CN"/>
        </w:rPr>
      </w:pPr>
      <w:r w:rsidRPr="00E82DAF">
        <w:rPr>
          <w:rFonts w:cs="Arial"/>
          <w:lang w:eastAsia="zh-CN"/>
        </w:rPr>
        <w:t xml:space="preserve">Jeffery HAYNES, Deputy Commissioner, U.S. Plant Variety Protection Office, USDA, AMS, S&amp;T, Plant Variety Protection Office, Washington D.C. (e-mail: Jeffery.Haynes@ams.usda.gov) </w:t>
      </w:r>
    </w:p>
    <w:p w:rsidR="00504E54" w:rsidRPr="00E82DAF" w:rsidRDefault="00504E54" w:rsidP="00504E54">
      <w:pPr>
        <w:rPr>
          <w:rFonts w:cs="Arial"/>
          <w:lang w:eastAsia="zh-CN"/>
        </w:rPr>
      </w:pPr>
    </w:p>
    <w:p w:rsidR="00504E54" w:rsidRPr="00E82DAF" w:rsidRDefault="00504E54" w:rsidP="00504E54">
      <w:pPr>
        <w:rPr>
          <w:rFonts w:cs="Arial"/>
          <w:lang w:eastAsia="zh-CN"/>
        </w:rPr>
      </w:pPr>
      <w:r w:rsidRPr="00E82DAF">
        <w:rPr>
          <w:rFonts w:cs="Arial"/>
          <w:lang w:eastAsia="zh-CN"/>
        </w:rPr>
        <w:t>Elaine WU (Ms.), Patent Attorney, United States Patent and Trademark Office (USPTO), Alexandria</w:t>
      </w:r>
    </w:p>
    <w:p w:rsidR="00504E54" w:rsidRPr="00B3251D" w:rsidRDefault="00504E54" w:rsidP="00504E54">
      <w:pPr>
        <w:rPr>
          <w:rFonts w:cs="Arial"/>
          <w:lang w:eastAsia="zh-CN"/>
        </w:rPr>
      </w:pPr>
    </w:p>
    <w:p w:rsidR="00504E54" w:rsidRPr="0027407A" w:rsidRDefault="00504E54" w:rsidP="00504E54">
      <w:pPr>
        <w:keepNext/>
        <w:rPr>
          <w:rFonts w:cs="Arial"/>
          <w:u w:val="single"/>
          <w:lang w:eastAsia="zh-CN"/>
        </w:rPr>
      </w:pPr>
      <w:r w:rsidRPr="0027407A">
        <w:rPr>
          <w:rFonts w:cs="Arial"/>
          <w:u w:val="single"/>
          <w:lang w:eastAsia="zh-CN"/>
        </w:rPr>
        <w:t>FÉDÉRATION DE RUSSIE / RUSSIAN FEDERATION / RUSSISCHE FÖDERATION / FEDERACIÓN DE RUSIA</w:t>
      </w:r>
    </w:p>
    <w:p w:rsidR="00504E54" w:rsidRDefault="00504E54" w:rsidP="00504E54">
      <w:pPr>
        <w:keepNext/>
        <w:rPr>
          <w:rFonts w:cs="Arial"/>
          <w:lang w:eastAsia="zh-CN"/>
        </w:rPr>
      </w:pPr>
    </w:p>
    <w:p w:rsidR="00504E54" w:rsidRPr="00B3251D" w:rsidRDefault="00504E54" w:rsidP="00504E54">
      <w:pPr>
        <w:rPr>
          <w:rFonts w:cs="Arial"/>
          <w:lang w:eastAsia="zh-CN"/>
        </w:rPr>
      </w:pPr>
      <w:r w:rsidRPr="00B3251D">
        <w:rPr>
          <w:rFonts w:cs="Arial"/>
          <w:lang w:eastAsia="zh-CN"/>
        </w:rPr>
        <w:t xml:space="preserve">Viktor I. STARTCEV, Deputy Chairman, State Commission of the Russian Federation for Selection Achievements Test and Protection, Moscow (e-mail: gossort@gossort.com)  </w:t>
      </w:r>
    </w:p>
    <w:p w:rsidR="00504E54" w:rsidRPr="00B3251D"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Yury A. ROGOVSKIY, Deputy Chairman, Head of Methodology and International Cooperation, State Commission of the Russian Federation for Selection Achievements Test and Protection, </w:t>
      </w:r>
      <w:r>
        <w:rPr>
          <w:rFonts w:cs="Arial"/>
          <w:lang w:eastAsia="zh-CN"/>
        </w:rPr>
        <w:t>Moscow</w:t>
      </w:r>
      <w:r>
        <w:rPr>
          <w:rFonts w:cs="Arial"/>
          <w:lang w:eastAsia="zh-CN"/>
        </w:rPr>
        <w:br/>
      </w:r>
      <w:r w:rsidRPr="00B3251D">
        <w:rPr>
          <w:rFonts w:cs="Arial"/>
          <w:lang w:eastAsia="zh-CN"/>
        </w:rPr>
        <w:t xml:space="preserve">(e-mail: yrogovskij@yandex.ru)  </w:t>
      </w:r>
    </w:p>
    <w:p w:rsidR="00504E54" w:rsidRDefault="00504E54" w:rsidP="00504E54">
      <w:pPr>
        <w:rPr>
          <w:rFonts w:cs="Arial"/>
          <w:lang w:eastAsia="zh-CN"/>
        </w:rPr>
      </w:pPr>
    </w:p>
    <w:p w:rsidR="00504E54" w:rsidRPr="00B3251D" w:rsidRDefault="00504E54" w:rsidP="00504E54">
      <w:pPr>
        <w:spacing w:after="240"/>
        <w:rPr>
          <w:rFonts w:cs="Arial"/>
          <w:lang w:eastAsia="zh-CN"/>
        </w:rPr>
      </w:pPr>
      <w:r w:rsidRPr="00B3251D">
        <w:rPr>
          <w:rFonts w:cs="Arial"/>
          <w:lang w:eastAsia="zh-CN"/>
        </w:rPr>
        <w:t xml:space="preserve">Antonina TRETINNIKOVA (Ms.), Deputy Head, Methodology and International Cooperation Department, State Commission of the Russian Federation for Selection Achievements Test and </w:t>
      </w:r>
      <w:r>
        <w:rPr>
          <w:rFonts w:cs="Arial"/>
          <w:lang w:eastAsia="zh-CN"/>
        </w:rPr>
        <w:t>Protection, Moscow</w:t>
      </w:r>
      <w:r>
        <w:rPr>
          <w:rFonts w:cs="Arial"/>
          <w:lang w:eastAsia="zh-CN"/>
        </w:rPr>
        <w:br/>
      </w:r>
      <w:r w:rsidRPr="00B3251D">
        <w:rPr>
          <w:rFonts w:cs="Arial"/>
          <w:lang w:eastAsia="zh-CN"/>
        </w:rPr>
        <w:t xml:space="preserve">(e-mail: tretinnikova@mail.ru)  </w:t>
      </w:r>
    </w:p>
    <w:p w:rsidR="00504E54" w:rsidRPr="0027407A" w:rsidRDefault="00504E54" w:rsidP="00504E54">
      <w:pPr>
        <w:rPr>
          <w:rFonts w:cs="Arial"/>
          <w:u w:val="single"/>
          <w:lang w:eastAsia="zh-CN"/>
        </w:rPr>
      </w:pPr>
      <w:r w:rsidRPr="0027407A">
        <w:rPr>
          <w:rFonts w:cs="Arial"/>
          <w:u w:val="single"/>
          <w:lang w:eastAsia="zh-CN"/>
        </w:rPr>
        <w:lastRenderedPageBreak/>
        <w:t>FINLANDE / FINLAND / FINNLAND / FINLANDIA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Tarja Päivikki HIETARANTA (Ms.), Senior Officer, Seed Certification Unit, Finnish Food and Safety Authority (EVIRA), Loimaa (e-mail: tarja.hietaranta@evira.fi)  </w:t>
      </w:r>
    </w:p>
    <w:p w:rsidR="00504E54" w:rsidRPr="00B3251D" w:rsidRDefault="00504E54" w:rsidP="00504E54">
      <w:pPr>
        <w:rPr>
          <w:rFonts w:cs="Arial"/>
          <w:lang w:eastAsia="zh-CN"/>
        </w:rPr>
      </w:pPr>
    </w:p>
    <w:p w:rsidR="00504E54" w:rsidRPr="0027407A" w:rsidRDefault="00504E54" w:rsidP="00504E54">
      <w:pPr>
        <w:rPr>
          <w:rFonts w:cs="Arial"/>
          <w:u w:val="single"/>
          <w:lang w:val="fr-CH" w:eastAsia="zh-CN"/>
        </w:rPr>
      </w:pPr>
      <w:r w:rsidRPr="0027407A">
        <w:rPr>
          <w:rFonts w:cs="Arial"/>
          <w:u w:val="single"/>
          <w:lang w:val="fr-CH" w:eastAsia="zh-CN"/>
        </w:rPr>
        <w:t xml:space="preserve">FRANCE / </w:t>
      </w:r>
      <w:r>
        <w:rPr>
          <w:rFonts w:cs="Arial"/>
          <w:u w:val="single"/>
          <w:lang w:val="fr-CH" w:eastAsia="zh-CN"/>
        </w:rPr>
        <w:t xml:space="preserve">FRANCE / </w:t>
      </w:r>
      <w:r w:rsidRPr="0027407A">
        <w:rPr>
          <w:rFonts w:cs="Arial"/>
          <w:u w:val="single"/>
          <w:lang w:val="fr-CH" w:eastAsia="zh-CN"/>
        </w:rPr>
        <w:t>FRANKREICH / FRANCIA</w:t>
      </w:r>
    </w:p>
    <w:p w:rsidR="00504E54" w:rsidRDefault="00504E54" w:rsidP="00504E54">
      <w:pPr>
        <w:rPr>
          <w:rFonts w:cs="Arial"/>
          <w:lang w:val="fr-CH" w:eastAsia="zh-CN"/>
        </w:rPr>
      </w:pPr>
    </w:p>
    <w:p w:rsidR="00504E54" w:rsidRPr="00B3251D" w:rsidRDefault="00504E54" w:rsidP="00504E54">
      <w:pPr>
        <w:rPr>
          <w:rFonts w:cs="Arial"/>
          <w:lang w:val="fr-CH" w:eastAsia="zh-CN"/>
        </w:rPr>
      </w:pPr>
      <w:r w:rsidRPr="00B3251D">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B3251D">
        <w:rPr>
          <w:rFonts w:cs="Arial"/>
          <w:lang w:val="fr-CH" w:eastAsia="zh-CN"/>
        </w:rPr>
        <w:t>Service de la Prévention des Risques Sanitaires de la Production Primaire</w:t>
      </w:r>
      <w:r>
        <w:rPr>
          <w:rFonts w:cs="Arial"/>
          <w:lang w:val="fr-CH" w:eastAsia="zh-CN"/>
        </w:rPr>
        <w:t xml:space="preserve">, </w:t>
      </w:r>
      <w:r w:rsidRPr="00B3251D">
        <w:rPr>
          <w:rFonts w:cs="Arial"/>
          <w:lang w:val="fr-CH" w:eastAsia="zh-CN"/>
        </w:rPr>
        <w:t xml:space="preserve">Sous-direction de la Qualité et de la Protection des Végétaux, Ministère de l'Agriculture, de l'Agroalimentaire et de la Forêt, Paris (e-mail: anne.chan-hon-tong@agriculture.gouv.fr)  </w:t>
      </w:r>
    </w:p>
    <w:p w:rsidR="00504E54" w:rsidRDefault="00504E54" w:rsidP="00504E54">
      <w:pPr>
        <w:rPr>
          <w:rFonts w:cs="Arial"/>
          <w:lang w:val="fr-CH" w:eastAsia="zh-CN"/>
        </w:rPr>
      </w:pPr>
    </w:p>
    <w:p w:rsidR="00504E54" w:rsidRPr="00B3251D" w:rsidRDefault="00504E54" w:rsidP="00504E54">
      <w:pPr>
        <w:rPr>
          <w:rFonts w:cs="Arial"/>
          <w:lang w:val="fr-CH" w:eastAsia="zh-CN"/>
        </w:rPr>
      </w:pPr>
      <w:r w:rsidRPr="00B3251D">
        <w:rPr>
          <w:rFonts w:cs="Arial"/>
          <w:lang w:val="fr-CH" w:eastAsia="zh-CN"/>
        </w:rPr>
        <w:t xml:space="preserve">Arnaud DELTOUR, Directeur général, Groupe d'étude et de contrôle des variétés et des semences </w:t>
      </w:r>
      <w:r>
        <w:rPr>
          <w:rFonts w:cs="Arial"/>
          <w:lang w:val="fr-CH" w:eastAsia="zh-CN"/>
        </w:rPr>
        <w:t>(GEVES), Beaucouzé</w:t>
      </w:r>
      <w:r w:rsidRPr="00B3251D">
        <w:rPr>
          <w:rFonts w:cs="Arial"/>
          <w:lang w:val="fr-CH" w:eastAsia="zh-CN"/>
        </w:rPr>
        <w:t xml:space="preserve"> (e-mail: arnaud.deltour@geves.fr)  </w:t>
      </w:r>
    </w:p>
    <w:p w:rsidR="00504E54" w:rsidRPr="00B3251D" w:rsidRDefault="00504E54" w:rsidP="00504E54">
      <w:pPr>
        <w:rPr>
          <w:rFonts w:cs="Arial"/>
          <w:lang w:val="fr-CH" w:eastAsia="zh-CN"/>
        </w:rPr>
      </w:pPr>
    </w:p>
    <w:p w:rsidR="00504E54" w:rsidRPr="00B3251D" w:rsidRDefault="00504E54" w:rsidP="00504E54">
      <w:pPr>
        <w:rPr>
          <w:rFonts w:cs="Arial"/>
          <w:lang w:val="fr-CH" w:eastAsia="zh-CN"/>
        </w:rPr>
      </w:pPr>
      <w:r w:rsidRPr="00B3251D">
        <w:rPr>
          <w:rFonts w:cs="Arial"/>
          <w:lang w:val="fr-CH" w:eastAsia="zh-CN"/>
        </w:rPr>
        <w:t xml:space="preserve">Virginie BERTOUX (Mme), Responsable, Instance nationale des obtentions végétales (INOV), INOV-GEVES, Beaucouzé (e-mail: virginie.bertoux@geves.fr)  </w:t>
      </w:r>
    </w:p>
    <w:p w:rsidR="00504E54" w:rsidRDefault="00504E54" w:rsidP="00504E54">
      <w:pPr>
        <w:rPr>
          <w:rFonts w:cs="Arial"/>
          <w:lang w:val="fr-CH" w:eastAsia="zh-CN"/>
        </w:rPr>
      </w:pPr>
    </w:p>
    <w:p w:rsidR="00504E54" w:rsidRPr="0027407A" w:rsidRDefault="00504E54" w:rsidP="00504E54">
      <w:pPr>
        <w:rPr>
          <w:rFonts w:cs="Arial"/>
          <w:u w:val="single"/>
          <w:lang w:eastAsia="zh-CN"/>
        </w:rPr>
      </w:pPr>
      <w:r w:rsidRPr="0027407A">
        <w:rPr>
          <w:rFonts w:cs="Arial"/>
          <w:u w:val="single"/>
          <w:lang w:eastAsia="zh-CN"/>
        </w:rPr>
        <w:t>HONGRIE / HUNGARY / UNGARN / HUNGRÍA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Krisztina KOVÁCS</w:t>
      </w:r>
      <w:r>
        <w:rPr>
          <w:rFonts w:cs="Arial"/>
          <w:lang w:eastAsia="zh-CN"/>
        </w:rPr>
        <w:t xml:space="preserve"> (Ms.)</w:t>
      </w:r>
      <w:r w:rsidRPr="00B3251D">
        <w:rPr>
          <w:rFonts w:cs="Arial"/>
          <w:lang w:eastAsia="zh-CN"/>
        </w:rPr>
        <w:t xml:space="preserve">, Head, Industrial Property Law, Budapest (e-mail: krisztina.kovacs@hipo.gov.hu)  </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Katalin MIKLÓ (Ms.), Head of Chemical and Agricultural Division, Agriculture and Plant Variety </w:t>
      </w:r>
    </w:p>
    <w:p w:rsidR="00504E54" w:rsidRPr="00B3251D" w:rsidRDefault="00504E54" w:rsidP="00504E54">
      <w:pPr>
        <w:rPr>
          <w:rFonts w:cs="Arial"/>
          <w:lang w:eastAsia="zh-CN"/>
        </w:rPr>
      </w:pPr>
      <w:r w:rsidRPr="00B3251D">
        <w:rPr>
          <w:rFonts w:cs="Arial"/>
          <w:lang w:eastAsia="zh-CN"/>
        </w:rPr>
        <w:t xml:space="preserve">Protection Section, Hungarian Intellectual Property Office, Budapest (e-mail: katalin.miklo@hipo.gov.hu)  </w:t>
      </w:r>
    </w:p>
    <w:p w:rsidR="00504E54"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IRLANDE / IRELAND / IRLAND / IRLANDA</w:t>
      </w:r>
    </w:p>
    <w:p w:rsidR="00504E54" w:rsidRDefault="00504E54" w:rsidP="00504E54">
      <w:pPr>
        <w:rPr>
          <w:rFonts w:cs="Arial"/>
          <w:lang w:eastAsia="zh-CN"/>
        </w:rPr>
      </w:pPr>
    </w:p>
    <w:p w:rsidR="00504E54" w:rsidRDefault="00504E54" w:rsidP="00504E54">
      <w:pPr>
        <w:rPr>
          <w:rFonts w:cs="Arial"/>
          <w:lang w:eastAsia="zh-CN"/>
        </w:rPr>
      </w:pPr>
      <w:r w:rsidRPr="00B3251D">
        <w:rPr>
          <w:rFonts w:cs="Arial"/>
          <w:lang w:eastAsia="zh-CN"/>
        </w:rPr>
        <w:t xml:space="preserve">Donal COLEMAN, Controller of Plant Breeders' Rights, National Crop Evaluation Centre, Department of Agriculture, Food and Marine, National Crop Evaluation Centre, Leixlip </w:t>
      </w:r>
    </w:p>
    <w:p w:rsidR="00504E54" w:rsidRDefault="00504E54" w:rsidP="00504E54">
      <w:pPr>
        <w:rPr>
          <w:rFonts w:cs="Arial"/>
          <w:lang w:eastAsia="zh-CN"/>
        </w:rPr>
      </w:pPr>
      <w:r w:rsidRPr="00B3251D">
        <w:rPr>
          <w:rFonts w:cs="Arial"/>
          <w:lang w:eastAsia="zh-CN"/>
        </w:rPr>
        <w:t xml:space="preserve">(e-mail: </w:t>
      </w:r>
      <w:r>
        <w:rPr>
          <w:rFonts w:cs="Arial"/>
          <w:lang w:eastAsia="zh-CN"/>
        </w:rPr>
        <w:t>d</w:t>
      </w:r>
      <w:r w:rsidRPr="00B3251D">
        <w:rPr>
          <w:rFonts w:cs="Arial"/>
          <w:lang w:eastAsia="zh-CN"/>
        </w:rPr>
        <w:t xml:space="preserve">onal.coleman@agriculture.gov.ie)  </w:t>
      </w:r>
    </w:p>
    <w:p w:rsidR="00504E54" w:rsidRDefault="00504E54" w:rsidP="00504E54">
      <w:pPr>
        <w:rPr>
          <w:rFonts w:cs="Arial"/>
          <w:lang w:eastAsia="zh-CN"/>
        </w:rPr>
      </w:pPr>
    </w:p>
    <w:p w:rsidR="00504E54" w:rsidRPr="0027407A" w:rsidRDefault="00504E54" w:rsidP="00504E54">
      <w:pPr>
        <w:keepNext/>
        <w:rPr>
          <w:rFonts w:cs="Arial"/>
          <w:u w:val="single"/>
          <w:lang w:eastAsia="zh-CN"/>
        </w:rPr>
      </w:pPr>
      <w:r w:rsidRPr="0027407A">
        <w:rPr>
          <w:rFonts w:cs="Arial"/>
          <w:u w:val="single"/>
          <w:lang w:eastAsia="zh-CN"/>
        </w:rPr>
        <w:t>JAPON / JAPAN / JAPAN / JAPÓN</w:t>
      </w:r>
    </w:p>
    <w:p w:rsidR="00504E54" w:rsidRDefault="00504E54" w:rsidP="00504E54">
      <w:pPr>
        <w:rPr>
          <w:rFonts w:cs="Arial"/>
          <w:lang w:eastAsia="zh-CN"/>
        </w:rPr>
      </w:pPr>
    </w:p>
    <w:p w:rsidR="00504E54" w:rsidRPr="00B3251D" w:rsidRDefault="00504E54" w:rsidP="00504E54">
      <w:pPr>
        <w:keepNext/>
        <w:rPr>
          <w:rFonts w:cs="Arial"/>
          <w:lang w:eastAsia="zh-CN"/>
        </w:rPr>
      </w:pPr>
      <w:r w:rsidRPr="00B3251D">
        <w:rPr>
          <w:rFonts w:cs="Arial"/>
          <w:lang w:eastAsia="zh-CN"/>
        </w:rPr>
        <w:t xml:space="preserve">Katsuhiro SAKA, Director, New Business and Intellectual Property Division, Ministry of Agriculture, Forestry and Fisheries (MAFF), Tokyo (e-mail: katsuhiro_saka@nm.maff.go.jp) </w:t>
      </w:r>
    </w:p>
    <w:p w:rsidR="00504E54" w:rsidRPr="00B3251D" w:rsidRDefault="00504E54" w:rsidP="00504E54">
      <w:pPr>
        <w:keepNext/>
        <w:rPr>
          <w:rFonts w:cs="Arial"/>
          <w:lang w:eastAsia="zh-CN"/>
        </w:rPr>
      </w:pPr>
    </w:p>
    <w:p w:rsidR="00504E54" w:rsidRPr="00B3251D" w:rsidRDefault="00504E54" w:rsidP="00504E54">
      <w:pPr>
        <w:keepNext/>
        <w:rPr>
          <w:rFonts w:cs="Arial"/>
          <w:lang w:eastAsia="zh-CN"/>
        </w:rPr>
      </w:pPr>
      <w:r w:rsidRPr="00B3251D">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504E54" w:rsidRDefault="00504E54" w:rsidP="00504E54">
      <w:pPr>
        <w:rPr>
          <w:rFonts w:cs="Arial"/>
          <w:lang w:eastAsia="zh-CN"/>
        </w:rPr>
      </w:pPr>
    </w:p>
    <w:p w:rsidR="00504E54" w:rsidRPr="0027407A" w:rsidRDefault="00504E54" w:rsidP="00504E54">
      <w:pPr>
        <w:keepNext/>
        <w:rPr>
          <w:rFonts w:cs="Arial"/>
          <w:u w:val="single"/>
          <w:lang w:eastAsia="zh-CN"/>
        </w:rPr>
      </w:pPr>
      <w:r w:rsidRPr="0027407A">
        <w:rPr>
          <w:rFonts w:cs="Arial"/>
          <w:u w:val="single"/>
          <w:lang w:eastAsia="zh-CN"/>
        </w:rPr>
        <w:t xml:space="preserve">KENYA / </w:t>
      </w:r>
      <w:r>
        <w:rPr>
          <w:rFonts w:cs="Arial"/>
          <w:u w:val="single"/>
          <w:lang w:eastAsia="zh-CN"/>
        </w:rPr>
        <w:t xml:space="preserve">KENYA / </w:t>
      </w:r>
      <w:r w:rsidRPr="0027407A">
        <w:rPr>
          <w:rFonts w:cs="Arial"/>
          <w:u w:val="single"/>
          <w:lang w:eastAsia="zh-CN"/>
        </w:rPr>
        <w:t>KENIA / KENYA</w:t>
      </w:r>
    </w:p>
    <w:p w:rsidR="00504E54" w:rsidRDefault="00504E54" w:rsidP="00504E54">
      <w:pPr>
        <w:rPr>
          <w:rFonts w:cs="Arial"/>
          <w:lang w:eastAsia="zh-CN"/>
        </w:rPr>
      </w:pPr>
    </w:p>
    <w:p w:rsidR="00504E54" w:rsidRPr="00B3251D" w:rsidRDefault="00504E54" w:rsidP="00504E54">
      <w:pPr>
        <w:rPr>
          <w:rFonts w:cs="Arial"/>
          <w:lang w:eastAsia="zh-CN"/>
        </w:rPr>
      </w:pPr>
      <w:r w:rsidRPr="00E82DAF">
        <w:rPr>
          <w:rFonts w:cs="Arial"/>
          <w:lang w:eastAsia="zh-CN"/>
        </w:rPr>
        <w:t>Simeon Kibet KOGO, General Manager, Quality Assurance, Kenya Plant Health Inspectorate Service (KEPHIS), Nairobi (e-mail: skibet@kephis.org)</w:t>
      </w:r>
      <w:r w:rsidRPr="00B3251D">
        <w:rPr>
          <w:rFonts w:cs="Arial"/>
          <w:lang w:eastAsia="zh-CN"/>
        </w:rPr>
        <w:t xml:space="preserve">  </w:t>
      </w:r>
    </w:p>
    <w:p w:rsidR="00504E54"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LETTONIE / LATVIA / LETTLAND / LETONIA</w:t>
      </w:r>
    </w:p>
    <w:p w:rsidR="00504E54" w:rsidRDefault="00504E54" w:rsidP="00504E54">
      <w:pPr>
        <w:rPr>
          <w:rFonts w:cs="Arial"/>
          <w:lang w:eastAsia="zh-CN"/>
        </w:rPr>
      </w:pPr>
    </w:p>
    <w:p w:rsidR="00504E54" w:rsidRDefault="00504E54" w:rsidP="00504E54">
      <w:pPr>
        <w:rPr>
          <w:rFonts w:cs="Arial"/>
          <w:lang w:eastAsia="zh-CN"/>
        </w:rPr>
      </w:pPr>
      <w:r w:rsidRPr="00B3251D">
        <w:rPr>
          <w:rFonts w:cs="Arial"/>
          <w:lang w:eastAsia="zh-CN"/>
        </w:rPr>
        <w:t xml:space="preserve">Iveta OZOLINA (Mrs.), Deputy Director, Department of Agriculture, Ministry of Agriculture, </w:t>
      </w:r>
      <w:r w:rsidRPr="00F848BB">
        <w:rPr>
          <w:rFonts w:cs="Arial"/>
          <w:lang w:eastAsia="zh-CN"/>
        </w:rPr>
        <w:t>Riga</w:t>
      </w:r>
    </w:p>
    <w:p w:rsidR="00504E54" w:rsidRPr="00F848BB" w:rsidRDefault="00504E54" w:rsidP="00504E54">
      <w:pPr>
        <w:rPr>
          <w:rFonts w:cs="Arial"/>
          <w:lang w:eastAsia="zh-CN"/>
        </w:rPr>
      </w:pPr>
      <w:r w:rsidRPr="00F848BB">
        <w:rPr>
          <w:rFonts w:cs="Arial"/>
          <w:lang w:eastAsia="zh-CN"/>
        </w:rPr>
        <w:t xml:space="preserve">(e-mail: iveta.ozolina@zm.gov.lv)  </w:t>
      </w:r>
    </w:p>
    <w:p w:rsidR="00504E54" w:rsidRPr="00F848BB" w:rsidRDefault="00504E54" w:rsidP="00504E54">
      <w:pPr>
        <w:rPr>
          <w:rFonts w:cs="Arial"/>
          <w:lang w:eastAsia="zh-CN"/>
        </w:rPr>
      </w:pPr>
    </w:p>
    <w:p w:rsidR="00504E54" w:rsidRDefault="00504E54" w:rsidP="00504E54">
      <w:pPr>
        <w:rPr>
          <w:rFonts w:cs="Arial"/>
          <w:lang w:eastAsia="zh-CN"/>
        </w:rPr>
      </w:pPr>
      <w:r w:rsidRPr="00B3251D">
        <w:rPr>
          <w:rFonts w:cs="Arial"/>
          <w:lang w:eastAsia="zh-CN"/>
        </w:rPr>
        <w:t>Velta EVELONE (Ms.), Director of Seed Control Department, State</w:t>
      </w:r>
      <w:r>
        <w:rPr>
          <w:rFonts w:cs="Arial"/>
          <w:lang w:eastAsia="zh-CN"/>
        </w:rPr>
        <w:t xml:space="preserve"> Plant Protection Service, Riga</w:t>
      </w:r>
    </w:p>
    <w:p w:rsidR="00504E54" w:rsidRPr="00B3251D" w:rsidRDefault="00504E54" w:rsidP="00504E54">
      <w:pPr>
        <w:rPr>
          <w:rFonts w:cs="Arial"/>
          <w:lang w:eastAsia="zh-CN"/>
        </w:rPr>
      </w:pPr>
      <w:r w:rsidRPr="00B3251D">
        <w:rPr>
          <w:rFonts w:cs="Arial"/>
          <w:lang w:eastAsia="zh-CN"/>
        </w:rPr>
        <w:t xml:space="preserve">(e-mail: velta.evelone@vaad.gov.lv)  </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Outi TYNI</w:t>
      </w:r>
      <w:r>
        <w:rPr>
          <w:rFonts w:cs="Arial"/>
          <w:lang w:eastAsia="zh-CN"/>
        </w:rPr>
        <w:t xml:space="preserve"> (Ms.)</w:t>
      </w:r>
      <w:r w:rsidRPr="00B3251D">
        <w:rPr>
          <w:rFonts w:cs="Arial"/>
          <w:lang w:eastAsia="zh-CN"/>
        </w:rPr>
        <w:t xml:space="preserve">, Political Administrator, Official of the General Secretariat of the Council of the European Union, Bruxelles (e-mail: Outi.Tyni@consilium.europa.eu)  </w:t>
      </w:r>
    </w:p>
    <w:p w:rsidR="00504E54" w:rsidRPr="00B3251D"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LITUANIE / LITHUANIA / LITAUEN / LITUANIA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Rasa ZUIKIENÉ (Mrs.), Deputy Head of the plant variety division, State Plant Service under the Ministry of Agriculture, Vilnius (e-mail: rasa.zuikiene@vatzum.lt)  </w:t>
      </w:r>
    </w:p>
    <w:p w:rsidR="00504E54" w:rsidRPr="0027407A" w:rsidRDefault="00504E54" w:rsidP="00504E54">
      <w:pPr>
        <w:rPr>
          <w:rFonts w:cs="Arial"/>
          <w:lang w:eastAsia="zh-CN"/>
        </w:rPr>
      </w:pPr>
    </w:p>
    <w:p w:rsidR="00504E54" w:rsidRPr="0027407A" w:rsidRDefault="00504E54" w:rsidP="00504E54">
      <w:pPr>
        <w:keepNext/>
        <w:rPr>
          <w:rFonts w:cs="Arial"/>
          <w:u w:val="single"/>
          <w:lang w:val="fr-CH" w:eastAsia="zh-CN"/>
        </w:rPr>
      </w:pPr>
      <w:r w:rsidRPr="0027407A">
        <w:rPr>
          <w:rFonts w:cs="Arial"/>
          <w:u w:val="single"/>
          <w:lang w:val="fr-CH" w:eastAsia="zh-CN"/>
        </w:rPr>
        <w:lastRenderedPageBreak/>
        <w:t>MAROC / MOROCCO / MAROKKO / MARRUECOS</w:t>
      </w:r>
    </w:p>
    <w:p w:rsidR="00504E54" w:rsidRDefault="00504E54" w:rsidP="00504E54">
      <w:pPr>
        <w:keepNext/>
        <w:rPr>
          <w:rFonts w:cs="Arial"/>
          <w:lang w:val="fr-CH" w:eastAsia="zh-CN"/>
        </w:rPr>
      </w:pPr>
    </w:p>
    <w:p w:rsidR="00504E54" w:rsidRPr="00B3251D" w:rsidRDefault="00504E54" w:rsidP="00504E54">
      <w:pPr>
        <w:rPr>
          <w:rFonts w:cs="Arial"/>
          <w:lang w:val="fr-CH" w:eastAsia="zh-CN"/>
        </w:rPr>
      </w:pPr>
      <w:r w:rsidRPr="00B3251D">
        <w:rPr>
          <w:rFonts w:cs="Arial"/>
          <w:lang w:val="fr-CH" w:eastAsia="zh-CN"/>
        </w:rPr>
        <w:t>Zoubida TAOUSSI (Mrs.), Chargée de la protection des obtentions végétales, Office National de Sécurité de Produits Alimentaires, Rabat (e-mail: ztaoussi67@gmail.com)</w:t>
      </w:r>
    </w:p>
    <w:p w:rsidR="00504E54" w:rsidRPr="00B3251D" w:rsidRDefault="00504E54" w:rsidP="00504E54">
      <w:pPr>
        <w:rPr>
          <w:rFonts w:cs="Arial"/>
          <w:lang w:val="fr-CH" w:eastAsia="zh-CN"/>
        </w:rPr>
      </w:pPr>
    </w:p>
    <w:p w:rsidR="00504E54" w:rsidRDefault="00504E54" w:rsidP="00504E54">
      <w:pPr>
        <w:rPr>
          <w:rFonts w:cs="Arial"/>
          <w:u w:val="single"/>
          <w:lang w:val="es-ES" w:eastAsia="zh-CN"/>
        </w:rPr>
      </w:pPr>
      <w:r w:rsidRPr="0027407A">
        <w:rPr>
          <w:rFonts w:cs="Arial"/>
          <w:u w:val="single"/>
          <w:lang w:val="es-ES" w:eastAsia="zh-CN"/>
        </w:rPr>
        <w:t>MEXIQUE / MEXICO / MEXIKO / MÉXICO</w:t>
      </w:r>
    </w:p>
    <w:p w:rsidR="00504E54" w:rsidRDefault="00504E54" w:rsidP="00504E54">
      <w:pPr>
        <w:rPr>
          <w:rFonts w:cs="Arial"/>
          <w:u w:val="single"/>
          <w:lang w:val="es-ES" w:eastAsia="zh-CN"/>
        </w:rPr>
      </w:pPr>
    </w:p>
    <w:p w:rsidR="00504E54" w:rsidRPr="00D9676C" w:rsidRDefault="00504E54" w:rsidP="00504E54">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504E54" w:rsidRDefault="00504E54" w:rsidP="00504E54">
      <w:pPr>
        <w:rPr>
          <w:rFonts w:cs="Arial"/>
          <w:lang w:val="es-ES" w:eastAsia="zh-CN"/>
        </w:rPr>
      </w:pPr>
    </w:p>
    <w:p w:rsidR="00504E54" w:rsidRPr="00F848BB" w:rsidRDefault="00504E54" w:rsidP="00504E54">
      <w:pPr>
        <w:rPr>
          <w:rFonts w:cs="Arial"/>
          <w:lang w:val="es-ES" w:eastAsia="zh-CN"/>
        </w:rPr>
      </w:pPr>
      <w:r w:rsidRPr="00B3251D">
        <w:rPr>
          <w:rFonts w:cs="Arial"/>
          <w:lang w:val="es-ES" w:eastAsia="zh-CN"/>
        </w:rPr>
        <w:t>Sara MANZANO MERINO</w:t>
      </w:r>
      <w:r>
        <w:rPr>
          <w:rFonts w:cs="Arial"/>
          <w:lang w:val="es-ES" w:eastAsia="zh-CN"/>
        </w:rPr>
        <w:t xml:space="preserve"> (Sra.)</w:t>
      </w:r>
      <w:r w:rsidRPr="00B3251D">
        <w:rPr>
          <w:rFonts w:cs="Arial"/>
          <w:lang w:val="es-ES" w:eastAsia="zh-CN"/>
        </w:rPr>
        <w:t xml:space="preserve">, Advisor, Misión Permanente, Genève (e-mail: </w:t>
      </w:r>
      <w:r w:rsidRPr="00F848BB">
        <w:rPr>
          <w:rFonts w:cs="Arial"/>
          <w:lang w:val="es-ES" w:eastAsia="zh-CN"/>
        </w:rPr>
        <w:t xml:space="preserve">smanzano@sre.gob.mx)  </w:t>
      </w:r>
    </w:p>
    <w:p w:rsidR="00504E54" w:rsidRPr="00F848BB" w:rsidRDefault="00504E54" w:rsidP="00504E54">
      <w:pPr>
        <w:rPr>
          <w:rFonts w:cs="Arial"/>
          <w:lang w:val="es-ES" w:eastAsia="zh-CN"/>
        </w:rPr>
      </w:pPr>
    </w:p>
    <w:p w:rsidR="00504E54" w:rsidRPr="0027407A" w:rsidRDefault="00504E54" w:rsidP="00504E54">
      <w:pPr>
        <w:rPr>
          <w:rFonts w:cs="Arial"/>
          <w:u w:val="single"/>
          <w:lang w:eastAsia="zh-CN"/>
        </w:rPr>
      </w:pPr>
      <w:r w:rsidRPr="0027407A">
        <w:rPr>
          <w:rFonts w:cs="Arial"/>
          <w:u w:val="single"/>
          <w:lang w:eastAsia="zh-CN"/>
        </w:rPr>
        <w:t>NORVÈGE / NORWAY / NORWEGEN / NORUEGA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Tor Erik JØRGENSEN, Head of Section, National Approvals, Norwegian Food Safety Authority, Brumunddal (e-mail: tor.erik.jorgensen@mattilsynet.no)  </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Teshome Hunduma MULESA, Advisor, Oslo (e-mail: teshome@utviklingsfondet.no)  </w:t>
      </w:r>
    </w:p>
    <w:p w:rsidR="00504E54" w:rsidRPr="00B3251D"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NOUVELLE-ZÉLANDE / NEW ZEALAND / NEUSEELAND / NUEVA ZELANDIA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504E54" w:rsidRDefault="00504E54" w:rsidP="00504E54">
      <w:pPr>
        <w:rPr>
          <w:rFonts w:cs="Arial"/>
          <w:u w:val="single"/>
          <w:lang w:eastAsia="zh-CN"/>
        </w:rPr>
      </w:pPr>
    </w:p>
    <w:p w:rsidR="00504E54" w:rsidRPr="0027407A" w:rsidRDefault="00504E54" w:rsidP="00504E54">
      <w:pPr>
        <w:rPr>
          <w:rFonts w:cs="Arial"/>
          <w:u w:val="single"/>
          <w:lang w:eastAsia="zh-CN"/>
        </w:rPr>
      </w:pPr>
      <w:r w:rsidRPr="0027407A">
        <w:rPr>
          <w:rFonts w:cs="Arial"/>
          <w:u w:val="single"/>
          <w:lang w:eastAsia="zh-CN"/>
        </w:rPr>
        <w:t xml:space="preserve">OMAN / </w:t>
      </w:r>
      <w:r>
        <w:rPr>
          <w:rFonts w:cs="Arial"/>
          <w:u w:val="single"/>
          <w:lang w:eastAsia="zh-CN"/>
        </w:rPr>
        <w:t xml:space="preserve">OMAN / </w:t>
      </w:r>
      <w:r w:rsidRPr="0027407A">
        <w:rPr>
          <w:rFonts w:cs="Arial"/>
          <w:u w:val="single"/>
          <w:lang w:eastAsia="zh-CN"/>
        </w:rPr>
        <w:t>OMAN / OMÁN</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Ali AL LAWATI, Plant Genetic Resources Expert, The Research Council, Oman Animal and Plant Genetic Resources, Muscat (e-mail: ali.allawati@trc.gov.om)  </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Dua'a Yousuf AL MAQBALI</w:t>
      </w:r>
      <w:r>
        <w:rPr>
          <w:rFonts w:cs="Arial"/>
          <w:lang w:eastAsia="zh-CN"/>
        </w:rPr>
        <w:t xml:space="preserve"> (Ms.)</w:t>
      </w:r>
      <w:r w:rsidRPr="00B3251D">
        <w:rPr>
          <w:rFonts w:cs="Arial"/>
          <w:lang w:eastAsia="zh-CN"/>
        </w:rPr>
        <w:t xml:space="preserve">, Data Collector and Analyst, The Research Council, Oman Animal and Plant Genetic Resources Center, Muscat (e-mail: duaa.almaqbali@trc.gov.om)  </w:t>
      </w:r>
    </w:p>
    <w:p w:rsidR="00504E54" w:rsidRDefault="00504E54" w:rsidP="00504E54">
      <w:pPr>
        <w:rPr>
          <w:rFonts w:cs="Arial"/>
          <w:lang w:eastAsia="zh-CN"/>
        </w:rPr>
      </w:pPr>
    </w:p>
    <w:p w:rsidR="00504E54" w:rsidRPr="00F848BB" w:rsidRDefault="00504E54" w:rsidP="00504E54">
      <w:pPr>
        <w:rPr>
          <w:rFonts w:cs="Arial"/>
          <w:u w:val="single"/>
          <w:lang w:eastAsia="zh-CN"/>
        </w:rPr>
      </w:pPr>
      <w:r w:rsidRPr="00F848BB">
        <w:rPr>
          <w:rFonts w:cs="Arial"/>
          <w:u w:val="single"/>
          <w:lang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504E54" w:rsidRPr="00F848BB" w:rsidRDefault="00504E54" w:rsidP="00504E54">
      <w:pPr>
        <w:rPr>
          <w:rFonts w:cs="Arial"/>
          <w:lang w:eastAsia="zh-CN"/>
        </w:rPr>
      </w:pPr>
    </w:p>
    <w:p w:rsidR="00504E54" w:rsidRPr="00B3251D" w:rsidRDefault="00504E54" w:rsidP="00504E54">
      <w:pPr>
        <w:rPr>
          <w:rFonts w:cs="Arial"/>
          <w:lang w:val="fr-CH" w:eastAsia="zh-CN"/>
        </w:rPr>
      </w:pPr>
      <w:r w:rsidRPr="00B3251D">
        <w:rPr>
          <w:rFonts w:cs="Arial"/>
          <w:lang w:val="fr-CH" w:eastAsia="zh-CN"/>
        </w:rPr>
        <w:t xml:space="preserve">Juliette DOUMATEY AYITE (Mme), Directeur Général Adjoint, Organisation africaine de la propriété intellectuelle (OAPI), Yaoundé (e-mail: ayijuliette@yahoo.fr)  </w:t>
      </w:r>
    </w:p>
    <w:p w:rsidR="00504E54" w:rsidRDefault="00504E54" w:rsidP="00504E54">
      <w:pPr>
        <w:rPr>
          <w:rFonts w:cs="Arial"/>
          <w:lang w:val="fr-CH" w:eastAsia="zh-CN"/>
        </w:rPr>
      </w:pPr>
    </w:p>
    <w:p w:rsidR="00504E54" w:rsidRPr="00B3251D" w:rsidRDefault="00504E54" w:rsidP="00504E54">
      <w:pPr>
        <w:rPr>
          <w:rFonts w:cs="Arial"/>
          <w:lang w:val="fr-CH" w:eastAsia="zh-CN"/>
        </w:rPr>
      </w:pPr>
      <w:r w:rsidRPr="00B3251D">
        <w:rPr>
          <w:rFonts w:cs="Arial"/>
          <w:lang w:val="fr-CH" w:eastAsia="zh-CN"/>
        </w:rPr>
        <w:t xml:space="preserve">Wéré Régine GAZARO (Mme), Directeur, Protection de la propriété industrielle, Organisation africaine de la propriété intellectuelle (OAPI), Yaoundé (e-mail: were_regine@yahoo.fr)  </w:t>
      </w:r>
    </w:p>
    <w:p w:rsidR="00504E54" w:rsidRDefault="00504E54" w:rsidP="00504E54">
      <w:pPr>
        <w:rPr>
          <w:rFonts w:cs="Arial"/>
          <w:lang w:val="fr-CH" w:eastAsia="zh-CN"/>
        </w:rPr>
      </w:pPr>
    </w:p>
    <w:p w:rsidR="00504E54" w:rsidRPr="00CE3276" w:rsidRDefault="00504E54" w:rsidP="00504E54">
      <w:pPr>
        <w:rPr>
          <w:rFonts w:cs="Arial"/>
          <w:u w:val="single"/>
          <w:lang w:val="es-ES" w:eastAsia="zh-CN"/>
        </w:rPr>
      </w:pPr>
      <w:r w:rsidRPr="00CE3276">
        <w:rPr>
          <w:rFonts w:cs="Arial"/>
          <w:u w:val="single"/>
          <w:lang w:val="es-ES" w:eastAsia="zh-CN"/>
        </w:rPr>
        <w:t>PARAGUAY / PARAGUAY / PARAGUAY / PARAGUAY</w:t>
      </w:r>
    </w:p>
    <w:p w:rsidR="00504E54" w:rsidRPr="00CE3276" w:rsidRDefault="00504E54" w:rsidP="00504E54">
      <w:pPr>
        <w:rPr>
          <w:rFonts w:cs="Arial"/>
          <w:lang w:val="es-ES" w:eastAsia="zh-CN"/>
        </w:rPr>
      </w:pPr>
    </w:p>
    <w:p w:rsidR="00504E54" w:rsidRPr="00CE3276" w:rsidRDefault="00504E54" w:rsidP="00504E54">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504E54" w:rsidRPr="00CE3276" w:rsidRDefault="00504E54" w:rsidP="00504E54">
      <w:pPr>
        <w:rPr>
          <w:rFonts w:cs="Arial"/>
          <w:lang w:val="es-ES" w:eastAsia="zh-CN"/>
        </w:rPr>
      </w:pPr>
    </w:p>
    <w:p w:rsidR="00504E54" w:rsidRPr="00CE3276" w:rsidRDefault="00504E54" w:rsidP="00504E54">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504E54" w:rsidRPr="00CE3276" w:rsidRDefault="00504E54" w:rsidP="00504E54">
      <w:pPr>
        <w:rPr>
          <w:rFonts w:cs="Arial"/>
          <w:lang w:val="es-ES" w:eastAsia="zh-CN"/>
        </w:rPr>
      </w:pPr>
    </w:p>
    <w:p w:rsidR="00504E54" w:rsidRPr="00FE04A2" w:rsidRDefault="00504E54" w:rsidP="00504E54">
      <w:pPr>
        <w:rPr>
          <w:rFonts w:cs="Arial"/>
          <w:u w:val="single"/>
          <w:lang w:val="es-ES" w:eastAsia="zh-CN"/>
        </w:rPr>
      </w:pPr>
      <w:r w:rsidRPr="00FE04A2">
        <w:rPr>
          <w:rFonts w:cs="Arial"/>
          <w:u w:val="single"/>
          <w:lang w:val="es-ES" w:eastAsia="zh-CN"/>
        </w:rPr>
        <w:t>PAYS-BAS / NETHERLANDS / NIEDERLANDE / PAÍSES BAJOS</w:t>
      </w:r>
    </w:p>
    <w:p w:rsidR="00504E54" w:rsidRDefault="00504E54" w:rsidP="00504E54">
      <w:pPr>
        <w:rPr>
          <w:rFonts w:cs="Arial"/>
          <w:lang w:val="es-ES" w:eastAsia="zh-CN"/>
        </w:rPr>
      </w:pPr>
    </w:p>
    <w:p w:rsidR="00504E54" w:rsidRPr="009F619F" w:rsidRDefault="00504E54" w:rsidP="00504E54">
      <w:pPr>
        <w:keepNext/>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504E54" w:rsidRPr="009F619F" w:rsidRDefault="00504E54" w:rsidP="00504E54">
      <w:pPr>
        <w:rPr>
          <w:rFonts w:cs="Arial"/>
          <w:lang w:eastAsia="zh-CN"/>
        </w:rPr>
      </w:pPr>
    </w:p>
    <w:p w:rsidR="00504E54" w:rsidRPr="009F619F" w:rsidRDefault="00504E54" w:rsidP="00504E54">
      <w:pPr>
        <w:rPr>
          <w:rFonts w:cs="Arial"/>
          <w:lang w:eastAsia="zh-CN"/>
        </w:rPr>
      </w:pPr>
      <w:r w:rsidRPr="009F619F">
        <w:rPr>
          <w:rFonts w:cs="Arial"/>
          <w:lang w:eastAsia="zh-CN"/>
        </w:rPr>
        <w:t xml:space="preserve">Kees Jan GROENEWOUD, Secretary, Plant Variety Board (Raad voor Plantenrassen), Naktuinbouw NL, Roelofarendsveen (e-mail: c.j.a.groenewoud@naktuinbouw.nl)  </w:t>
      </w:r>
    </w:p>
    <w:p w:rsidR="00504E54" w:rsidRPr="009F619F" w:rsidRDefault="00504E54" w:rsidP="00504E54">
      <w:pPr>
        <w:rPr>
          <w:rFonts w:cs="Arial"/>
          <w:lang w:eastAsia="zh-CN"/>
        </w:rPr>
      </w:pPr>
    </w:p>
    <w:p w:rsidR="00504E54" w:rsidRDefault="00504E54" w:rsidP="00504E54">
      <w:pPr>
        <w:rPr>
          <w:rFonts w:cs="Arial"/>
          <w:lang w:eastAsia="zh-CN"/>
        </w:rPr>
      </w:pPr>
      <w:r w:rsidRPr="00B3251D">
        <w:rPr>
          <w:rFonts w:cs="Arial"/>
          <w:lang w:eastAsia="zh-CN"/>
        </w:rPr>
        <w:t xml:space="preserve">Kees VAN ETTEKOVEN, Head of Variety Testing Department, Naktuinbouw NL, </w:t>
      </w:r>
      <w:r w:rsidRPr="00F848BB">
        <w:rPr>
          <w:rFonts w:cs="Arial"/>
          <w:lang w:eastAsia="zh-CN"/>
        </w:rPr>
        <w:t>Roelofarendsveen</w:t>
      </w:r>
    </w:p>
    <w:p w:rsidR="00504E54" w:rsidRPr="00FE04A2" w:rsidRDefault="00504E54" w:rsidP="00504E54">
      <w:pPr>
        <w:rPr>
          <w:rFonts w:cs="Arial"/>
          <w:lang w:val="fr-CH" w:eastAsia="zh-CN"/>
        </w:rPr>
      </w:pPr>
      <w:r w:rsidRPr="00FE04A2">
        <w:rPr>
          <w:rFonts w:cs="Arial"/>
          <w:lang w:val="fr-CH" w:eastAsia="zh-CN"/>
        </w:rPr>
        <w:t xml:space="preserve">(e-mail: c.v.ettekoven@naktuinbouw.nl)  </w:t>
      </w:r>
    </w:p>
    <w:p w:rsidR="00504E54" w:rsidRPr="00FE04A2" w:rsidRDefault="00504E54" w:rsidP="00504E54">
      <w:pPr>
        <w:keepNext/>
        <w:rPr>
          <w:rFonts w:cs="Arial"/>
          <w:u w:val="single"/>
          <w:lang w:val="fr-CH" w:eastAsia="zh-CN"/>
        </w:rPr>
      </w:pPr>
      <w:r w:rsidRPr="00FE04A2">
        <w:rPr>
          <w:rFonts w:cs="Arial"/>
          <w:u w:val="single"/>
          <w:lang w:val="fr-CH" w:eastAsia="zh-CN"/>
        </w:rPr>
        <w:lastRenderedPageBreak/>
        <w:t>POLOGNE / POLAND / POLEN / POLONIA</w:t>
      </w:r>
    </w:p>
    <w:p w:rsidR="00504E54" w:rsidRPr="00FE04A2" w:rsidRDefault="00504E54" w:rsidP="00504E54">
      <w:pPr>
        <w:rPr>
          <w:rFonts w:cs="Arial"/>
          <w:lang w:val="fr-CH" w:eastAsia="zh-CN"/>
        </w:rPr>
      </w:pPr>
    </w:p>
    <w:p w:rsidR="00504E54" w:rsidRDefault="00504E54" w:rsidP="00504E54">
      <w:pPr>
        <w:keepNext/>
        <w:rPr>
          <w:rFonts w:cs="Arial"/>
          <w:lang w:eastAsia="zh-CN"/>
        </w:rPr>
      </w:pPr>
      <w:r w:rsidRPr="00B3251D">
        <w:rPr>
          <w:rFonts w:cs="Arial"/>
          <w:lang w:eastAsia="zh-CN"/>
        </w:rPr>
        <w:t xml:space="preserve">Edward S. GACEK, Director General, Research Centre for Cultivar Testing (COBORU), Slupia </w:t>
      </w:r>
      <w:r w:rsidRPr="00736F25">
        <w:rPr>
          <w:rFonts w:cs="Arial"/>
          <w:lang w:eastAsia="zh-CN"/>
        </w:rPr>
        <w:t xml:space="preserve">Wielka </w:t>
      </w:r>
    </w:p>
    <w:p w:rsidR="00504E54" w:rsidRPr="00736F25" w:rsidRDefault="00504E54" w:rsidP="00504E54">
      <w:pPr>
        <w:keepNext/>
        <w:rPr>
          <w:rFonts w:cs="Arial"/>
          <w:lang w:eastAsia="zh-CN"/>
        </w:rPr>
      </w:pPr>
      <w:r w:rsidRPr="00736F25">
        <w:rPr>
          <w:rFonts w:cs="Arial"/>
          <w:lang w:eastAsia="zh-CN"/>
        </w:rPr>
        <w:t xml:space="preserve">(e-mail: e.gacek@coboru.pl)  </w:t>
      </w:r>
    </w:p>
    <w:p w:rsidR="00504E54" w:rsidRPr="00736F25" w:rsidRDefault="00504E54" w:rsidP="00504E54">
      <w:pPr>
        <w:rPr>
          <w:rFonts w:cs="Arial"/>
          <w:lang w:eastAsia="zh-CN"/>
        </w:rPr>
      </w:pPr>
    </w:p>
    <w:p w:rsidR="00504E54" w:rsidRDefault="00504E54" w:rsidP="00504E54">
      <w:pPr>
        <w:rPr>
          <w:rFonts w:cs="Arial"/>
          <w:lang w:eastAsia="zh-CN"/>
        </w:rPr>
      </w:pPr>
      <w:r w:rsidRPr="00B3251D">
        <w:rPr>
          <w:rFonts w:cs="Arial"/>
          <w:lang w:eastAsia="zh-CN"/>
        </w:rPr>
        <w:t>Alicja RUTKOWSKA-</w:t>
      </w:r>
      <w:r w:rsidRPr="00F576FE">
        <w:rPr>
          <w:rFonts w:cs="Arial"/>
          <w:lang w:eastAsia="zh-CN"/>
        </w:rPr>
        <w:t>ŁOŚ</w:t>
      </w:r>
      <w:r w:rsidRPr="00B3251D">
        <w:rPr>
          <w:rFonts w:cs="Arial"/>
          <w:lang w:eastAsia="zh-CN"/>
        </w:rPr>
        <w:t xml:space="preserve"> (Mrs.), Head, National Listing and Plant Breeders' Rights Protection Office, The</w:t>
      </w:r>
      <w:r>
        <w:rPr>
          <w:rFonts w:cs="Arial"/>
          <w:lang w:eastAsia="zh-CN"/>
        </w:rPr>
        <w:t> </w:t>
      </w:r>
      <w:r w:rsidRPr="00B3251D">
        <w:rPr>
          <w:rFonts w:cs="Arial"/>
          <w:lang w:eastAsia="zh-CN"/>
        </w:rPr>
        <w:t>Research Centre for Cultivar Testing (COBORU), Slupia Wielka (e-mail: a.rutkowska@coboru.pl)</w:t>
      </w:r>
      <w:r>
        <w:rPr>
          <w:rFonts w:cs="Arial"/>
          <w:lang w:eastAsia="zh-CN"/>
        </w:rPr>
        <w:t xml:space="preserve"> </w:t>
      </w:r>
    </w:p>
    <w:p w:rsidR="00504E54" w:rsidRDefault="00504E54" w:rsidP="00504E54">
      <w:pPr>
        <w:rPr>
          <w:rFonts w:cs="Arial"/>
          <w:u w:val="single"/>
          <w:lang w:eastAsia="zh-CN"/>
        </w:rPr>
      </w:pPr>
    </w:p>
    <w:p w:rsidR="00504E54" w:rsidRPr="0027407A" w:rsidRDefault="00504E54" w:rsidP="00504E54">
      <w:pPr>
        <w:rPr>
          <w:rFonts w:cs="Arial"/>
          <w:u w:val="single"/>
          <w:lang w:eastAsia="zh-CN"/>
        </w:rPr>
      </w:pPr>
      <w:r w:rsidRPr="0027407A">
        <w:rPr>
          <w:rFonts w:cs="Arial"/>
          <w:u w:val="single"/>
          <w:lang w:eastAsia="zh-CN"/>
        </w:rPr>
        <w:t>RÉPUBLIQUE DE CORÉE / REPUBLIC OF KOREA / REPUBLIK KOREA / REPÚBLICA DE COREA</w:t>
      </w:r>
    </w:p>
    <w:p w:rsidR="00504E54" w:rsidRDefault="00504E54" w:rsidP="00504E54">
      <w:pPr>
        <w:rPr>
          <w:rFonts w:cs="Arial"/>
          <w:lang w:eastAsia="zh-CN"/>
        </w:rPr>
      </w:pPr>
    </w:p>
    <w:p w:rsidR="00504E54" w:rsidRPr="00736F25" w:rsidRDefault="00504E54" w:rsidP="00504E54">
      <w:pPr>
        <w:rPr>
          <w:rFonts w:cs="Arial"/>
          <w:lang w:eastAsia="zh-CN"/>
        </w:rPr>
      </w:pPr>
      <w:r w:rsidRPr="00B3251D">
        <w:rPr>
          <w:rFonts w:cs="Arial"/>
          <w:lang w:eastAsia="zh-CN"/>
        </w:rPr>
        <w:t xml:space="preserve">Seung-In YI, Deputy Head, Plant Variety Protection Division, Korea Seed &amp; Variety Service </w:t>
      </w:r>
      <w:r w:rsidRPr="00736F25">
        <w:rPr>
          <w:rFonts w:cs="Arial"/>
          <w:lang w:eastAsia="zh-CN"/>
        </w:rPr>
        <w:t xml:space="preserve">(KSVS), Gyeongsangbuk-Do (e-mail: seedin@korea.kr)  </w:t>
      </w:r>
    </w:p>
    <w:p w:rsidR="00504E54" w:rsidRPr="00FE04A2" w:rsidRDefault="00504E54" w:rsidP="00504E54">
      <w:pPr>
        <w:rPr>
          <w:rFonts w:cs="Arial"/>
          <w:u w:val="single"/>
          <w:lang w:eastAsia="zh-CN"/>
        </w:rPr>
      </w:pPr>
    </w:p>
    <w:p w:rsidR="00504E54" w:rsidRPr="0027407A" w:rsidRDefault="00504E54" w:rsidP="00504E54">
      <w:pPr>
        <w:keepNext/>
        <w:rPr>
          <w:rFonts w:cs="Arial"/>
          <w:u w:val="single"/>
          <w:lang w:val="es-ES" w:eastAsia="zh-CN"/>
        </w:rPr>
      </w:pPr>
      <w:r w:rsidRPr="0027407A">
        <w:rPr>
          <w:rFonts w:cs="Arial"/>
          <w:u w:val="single"/>
          <w:lang w:val="es-ES" w:eastAsia="zh-CN"/>
        </w:rPr>
        <w:t>RÉPUBLIQUE DE MOLDOVA / REPUBLIC OF MOLDOVA / REPUBLIK MOLDAU / REPÚBLICA DE MOLDOVA</w:t>
      </w:r>
    </w:p>
    <w:p w:rsidR="00504E54" w:rsidRPr="0027407A" w:rsidRDefault="00504E54" w:rsidP="00504E54">
      <w:pPr>
        <w:rPr>
          <w:rFonts w:cs="Arial"/>
          <w:lang w:val="es-ES" w:eastAsia="zh-CN"/>
        </w:rPr>
      </w:pPr>
    </w:p>
    <w:p w:rsidR="00504E54" w:rsidRPr="00B3251D" w:rsidRDefault="00504E54" w:rsidP="00504E54">
      <w:pPr>
        <w:keepNext/>
        <w:rPr>
          <w:rFonts w:cs="Arial"/>
          <w:lang w:eastAsia="zh-CN"/>
        </w:rPr>
      </w:pPr>
      <w:r w:rsidRPr="00B3251D">
        <w:rPr>
          <w:rFonts w:cs="Arial"/>
          <w:lang w:eastAsia="zh-CN"/>
        </w:rPr>
        <w:t xml:space="preserve">Mihail MACHIDON, Chairman, State Commission for Crops Variety Testing and Registration (SCCVTR), Chisinau (e-mail: info@cstsp.md)  </w:t>
      </w:r>
    </w:p>
    <w:p w:rsidR="00504E54" w:rsidRDefault="00504E54" w:rsidP="00504E54">
      <w:pPr>
        <w:keepNext/>
        <w:rPr>
          <w:rFonts w:cs="Arial"/>
          <w:lang w:eastAsia="zh-CN"/>
        </w:rPr>
      </w:pPr>
    </w:p>
    <w:p w:rsidR="00504E54" w:rsidRPr="00B3251D" w:rsidRDefault="00504E54" w:rsidP="00504E54">
      <w:pPr>
        <w:keepNext/>
        <w:rPr>
          <w:rFonts w:cs="Arial"/>
          <w:lang w:eastAsia="zh-CN"/>
        </w:rPr>
      </w:pPr>
      <w:r w:rsidRPr="00B3251D">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Pr>
          <w:rFonts w:cs="Arial"/>
          <w:lang w:eastAsia="zh-CN"/>
        </w:rPr>
        <w:t xml:space="preserve"> (Mrs.), Head, Inventions and</w:t>
      </w:r>
      <w:r w:rsidRPr="00B3251D">
        <w:rPr>
          <w:rFonts w:cs="Arial"/>
          <w:lang w:eastAsia="zh-CN"/>
        </w:rPr>
        <w:t xml:space="preserve"> Plant Varieties Department, State Agency on Intellectual Property (AGEPI), Chisinau (e-mail: ala.gusan@agepi.gov.md)  </w:t>
      </w:r>
    </w:p>
    <w:p w:rsidR="00504E54" w:rsidRPr="00B3251D" w:rsidRDefault="00504E54" w:rsidP="00504E54">
      <w:pPr>
        <w:rPr>
          <w:rFonts w:cs="Arial"/>
          <w:lang w:eastAsia="zh-CN"/>
        </w:rPr>
      </w:pPr>
    </w:p>
    <w:p w:rsidR="00504E54" w:rsidRPr="0027407A" w:rsidRDefault="00504E54" w:rsidP="00504E54">
      <w:pPr>
        <w:keepNext/>
        <w:rPr>
          <w:rFonts w:cs="Arial"/>
          <w:u w:val="single"/>
          <w:lang w:eastAsia="zh-CN"/>
        </w:rPr>
      </w:pPr>
      <w:r w:rsidRPr="0027407A">
        <w:rPr>
          <w:rFonts w:cs="Arial"/>
          <w:u w:val="single"/>
          <w:lang w:eastAsia="zh-CN"/>
        </w:rPr>
        <w:t>RÉPUBLIQUE TCHÈQUE / CZECH REPUBLIC / TSCHECHISCHE REPUBLIK / REPÚBLICA CHECA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Radmila SAFARIKOVA (Mrs.), Head of Division, Central Institute for Supervising and Testing in Agriculture (UKZUZ), National Plant Variety Office, Brno (e-mail: radmila.safarikova@ukzuz.cz)</w:t>
      </w:r>
    </w:p>
    <w:p w:rsidR="00504E54" w:rsidRPr="0027407A" w:rsidRDefault="00504E54" w:rsidP="00504E54">
      <w:pPr>
        <w:rPr>
          <w:rFonts w:cs="Arial"/>
          <w:u w:val="single"/>
          <w:lang w:eastAsia="zh-CN"/>
        </w:rPr>
      </w:pPr>
      <w:r w:rsidRPr="0027407A">
        <w:rPr>
          <w:rFonts w:cs="Arial"/>
          <w:u w:val="single"/>
          <w:lang w:eastAsia="zh-CN"/>
        </w:rPr>
        <w:t>ROUMANIE / ROMANIA / RUMÄNIEN / RUMANIA</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Aura Giorgiana MINDRUTA (Ms.), Expert, State Institute for Variety Testing and Registration (ISTIS), Bucarest (e-mail: aura_mindruta@istis.ro)  </w:t>
      </w:r>
    </w:p>
    <w:p w:rsidR="00504E54" w:rsidRDefault="00504E54" w:rsidP="00504E54">
      <w:pPr>
        <w:rPr>
          <w:rFonts w:cs="Arial"/>
          <w:lang w:eastAsia="zh-CN"/>
        </w:rPr>
      </w:pPr>
    </w:p>
    <w:p w:rsidR="00504E54" w:rsidRPr="00736F25" w:rsidRDefault="00504E54" w:rsidP="00504E54">
      <w:pPr>
        <w:rPr>
          <w:rFonts w:cs="Arial"/>
          <w:lang w:eastAsia="zh-CN"/>
        </w:rPr>
      </w:pPr>
      <w:r w:rsidRPr="00B3251D">
        <w:rPr>
          <w:rFonts w:cs="Arial"/>
          <w:lang w:eastAsia="zh-CN"/>
        </w:rPr>
        <w:t xml:space="preserve">Cristian Irinel MOCANU, Head of Legal Department, State Institute for Variety Testing and </w:t>
      </w:r>
      <w:r w:rsidRPr="00736F25">
        <w:rPr>
          <w:rFonts w:cs="Arial"/>
          <w:lang w:eastAsia="zh-CN"/>
        </w:rPr>
        <w:t xml:space="preserve">Registration, Bucharest (e-mail: irinel_mocanu@istis.ro)  </w:t>
      </w:r>
    </w:p>
    <w:p w:rsidR="00504E54" w:rsidRDefault="00504E54" w:rsidP="00504E54">
      <w:pPr>
        <w:rPr>
          <w:rFonts w:cs="Arial"/>
          <w:u w:val="single"/>
          <w:lang w:eastAsia="zh-CN"/>
        </w:rPr>
      </w:pPr>
    </w:p>
    <w:p w:rsidR="00504E54" w:rsidRPr="00736F25" w:rsidRDefault="00504E54" w:rsidP="00504E54">
      <w:pPr>
        <w:rPr>
          <w:rFonts w:cs="Arial"/>
          <w:u w:val="single"/>
          <w:lang w:eastAsia="zh-CN"/>
        </w:rPr>
      </w:pPr>
      <w:r w:rsidRPr="00736F25">
        <w:rPr>
          <w:rFonts w:cs="Arial"/>
          <w:u w:val="single"/>
          <w:lang w:eastAsia="zh-CN"/>
        </w:rPr>
        <w:t>ROYAUME-UNI / UNITED KINGDOM / VEREINIGTES KÖNIGREICH / REINO UNIDO</w:t>
      </w:r>
    </w:p>
    <w:p w:rsidR="00504E54" w:rsidRPr="00736F25" w:rsidRDefault="00504E54" w:rsidP="00504E54">
      <w:pPr>
        <w:rPr>
          <w:rFonts w:cs="Arial"/>
          <w:u w:val="single"/>
          <w:lang w:eastAsia="zh-CN"/>
        </w:rPr>
      </w:pPr>
    </w:p>
    <w:p w:rsidR="00504E54" w:rsidRPr="00B3251D" w:rsidRDefault="00504E54" w:rsidP="00504E54">
      <w:pPr>
        <w:rPr>
          <w:rFonts w:cs="Arial"/>
          <w:lang w:eastAsia="zh-CN"/>
        </w:rPr>
      </w:pPr>
      <w:r w:rsidRPr="00B3251D">
        <w:rPr>
          <w:rFonts w:cs="Arial"/>
          <w:lang w:eastAsia="zh-CN"/>
        </w:rPr>
        <w:t xml:space="preserve">Andrew MITCHELL, Head of Varieties and Seeds, Department for Environment, Food and Rural Affairs (DEFRA), Cambridge (e-mail: andrew.mitchell@defra.gsi.gov.uk)  </w:t>
      </w:r>
    </w:p>
    <w:p w:rsidR="00504E54" w:rsidRPr="00B3251D" w:rsidRDefault="00504E54" w:rsidP="00504E54">
      <w:pPr>
        <w:rPr>
          <w:rFonts w:cs="Arial"/>
          <w:lang w:eastAsia="zh-CN"/>
        </w:rPr>
      </w:pPr>
    </w:p>
    <w:p w:rsidR="00504E54" w:rsidRDefault="00504E54" w:rsidP="00504E54">
      <w:pPr>
        <w:rPr>
          <w:rFonts w:cs="Arial"/>
          <w:u w:val="single"/>
          <w:lang w:eastAsia="zh-CN"/>
        </w:rPr>
      </w:pPr>
      <w:r w:rsidRPr="0027407A">
        <w:rPr>
          <w:rFonts w:cs="Arial"/>
          <w:u w:val="single"/>
          <w:lang w:eastAsia="zh-CN"/>
        </w:rPr>
        <w:t>SLOVAQUIE / SLOVAKIA / SLOWAKEI / ESLOVAQUIA</w:t>
      </w:r>
    </w:p>
    <w:p w:rsidR="00504E54" w:rsidRPr="0027407A" w:rsidRDefault="00504E54" w:rsidP="00504E54">
      <w:pPr>
        <w:rPr>
          <w:rFonts w:cs="Arial"/>
          <w:u w:val="single"/>
          <w:lang w:eastAsia="zh-CN"/>
        </w:rPr>
      </w:pPr>
    </w:p>
    <w:p w:rsidR="00504E54" w:rsidRDefault="00504E54" w:rsidP="00504E54">
      <w:pPr>
        <w:rPr>
          <w:rFonts w:cs="Arial"/>
          <w:lang w:eastAsia="zh-CN"/>
        </w:rPr>
      </w:pPr>
      <w:r w:rsidRPr="00B3251D">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504E54" w:rsidRPr="00B3251D"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SUÈDE / SWEDEN / SCHWEDEN / SUECIA</w:t>
      </w:r>
    </w:p>
    <w:p w:rsidR="00504E54" w:rsidRDefault="00504E54" w:rsidP="00504E54">
      <w:pPr>
        <w:rPr>
          <w:rFonts w:cs="Arial"/>
          <w:lang w:eastAsia="zh-CN"/>
        </w:rPr>
      </w:pPr>
    </w:p>
    <w:p w:rsidR="00504E54" w:rsidRDefault="00504E54" w:rsidP="00504E54">
      <w:pPr>
        <w:rPr>
          <w:rFonts w:cs="Arial"/>
          <w:lang w:eastAsia="zh-CN"/>
        </w:rPr>
      </w:pPr>
      <w:r w:rsidRPr="00B3251D">
        <w:rPr>
          <w:rFonts w:cs="Arial"/>
          <w:lang w:eastAsia="zh-CN"/>
        </w:rPr>
        <w:t xml:space="preserve">Olof JOHANSSON, Head, Plant and Environment Department, Swedish Board of Agriculture, </w:t>
      </w:r>
      <w:r w:rsidRPr="00736F25">
        <w:rPr>
          <w:rFonts w:cs="Arial"/>
          <w:lang w:eastAsia="zh-CN"/>
        </w:rPr>
        <w:t xml:space="preserve">Jönköping </w:t>
      </w:r>
    </w:p>
    <w:p w:rsidR="00504E54" w:rsidRPr="00FE04A2" w:rsidRDefault="00504E54" w:rsidP="00504E54">
      <w:pPr>
        <w:rPr>
          <w:rFonts w:cs="Arial"/>
          <w:lang w:val="de-DE" w:eastAsia="zh-CN"/>
        </w:rPr>
      </w:pPr>
      <w:r w:rsidRPr="00FE04A2">
        <w:rPr>
          <w:rFonts w:cs="Arial"/>
          <w:lang w:val="de-DE" w:eastAsia="zh-CN"/>
        </w:rPr>
        <w:t xml:space="preserve">(e-mail: olof.johansson@jordbruksverket.se)  </w:t>
      </w:r>
    </w:p>
    <w:p w:rsidR="00504E54" w:rsidRPr="00FE04A2" w:rsidRDefault="00504E54" w:rsidP="00504E54">
      <w:pPr>
        <w:rPr>
          <w:rFonts w:cs="Arial"/>
          <w:lang w:val="de-DE" w:eastAsia="zh-CN"/>
        </w:rPr>
      </w:pPr>
    </w:p>
    <w:p w:rsidR="00504E54" w:rsidRPr="00FE04A2" w:rsidRDefault="00504E54" w:rsidP="00504E54">
      <w:pPr>
        <w:keepNext/>
        <w:rPr>
          <w:rFonts w:cs="Arial"/>
          <w:u w:val="single"/>
          <w:lang w:val="de-DE" w:eastAsia="zh-CN"/>
        </w:rPr>
      </w:pPr>
      <w:r w:rsidRPr="00FE04A2">
        <w:rPr>
          <w:rFonts w:cs="Arial"/>
          <w:u w:val="single"/>
          <w:lang w:val="de-DE" w:eastAsia="zh-CN"/>
        </w:rPr>
        <w:t>SUISSE / SWITZERLAND / SCHWEIZ / SUIZA</w:t>
      </w:r>
    </w:p>
    <w:p w:rsidR="00504E54" w:rsidRPr="00FE04A2" w:rsidRDefault="00504E54" w:rsidP="00504E54">
      <w:pPr>
        <w:rPr>
          <w:rFonts w:cs="Arial"/>
          <w:lang w:val="de-DE" w:eastAsia="zh-CN"/>
        </w:rPr>
      </w:pPr>
    </w:p>
    <w:p w:rsidR="00504E54" w:rsidRPr="00B3251D" w:rsidRDefault="00504E54" w:rsidP="00504E54">
      <w:pPr>
        <w:rPr>
          <w:rFonts w:cs="Arial"/>
          <w:lang w:eastAsia="zh-CN"/>
        </w:rPr>
      </w:pPr>
      <w:r w:rsidRPr="00B3251D">
        <w:rPr>
          <w:rFonts w:cs="Arial"/>
          <w:lang w:eastAsia="zh-CN"/>
        </w:rPr>
        <w:t>Manuela BRAND (Ms.), Plant Variety Rights Office, Federal Department of Economic Affairs</w:t>
      </w:r>
      <w:r>
        <w:rPr>
          <w:rFonts w:cs="Arial"/>
          <w:lang w:eastAsia="zh-CN"/>
        </w:rPr>
        <w:t xml:space="preserve"> </w:t>
      </w:r>
      <w:r w:rsidRPr="00B3251D">
        <w:rPr>
          <w:rFonts w:cs="Arial"/>
          <w:lang w:eastAsia="zh-CN"/>
        </w:rPr>
        <w:t xml:space="preserve">Education and Research </w:t>
      </w:r>
      <w:r>
        <w:rPr>
          <w:rFonts w:cs="Arial"/>
          <w:lang w:eastAsia="zh-CN"/>
        </w:rPr>
        <w:t>(</w:t>
      </w:r>
      <w:r w:rsidRPr="00B3251D">
        <w:rPr>
          <w:rFonts w:cs="Arial"/>
          <w:lang w:eastAsia="zh-CN"/>
        </w:rPr>
        <w:t>EAER</w:t>
      </w:r>
      <w:r>
        <w:rPr>
          <w:rFonts w:cs="Arial"/>
          <w:lang w:eastAsia="zh-CN"/>
        </w:rPr>
        <w:t xml:space="preserve">) </w:t>
      </w:r>
      <w:r w:rsidRPr="00B3251D">
        <w:rPr>
          <w:rFonts w:cs="Arial"/>
          <w:lang w:eastAsia="zh-CN"/>
        </w:rPr>
        <w:t xml:space="preserve">Plant Health and Varieties, Federal Office for Agriculture FOAG, Bern </w:t>
      </w:r>
      <w:r>
        <w:rPr>
          <w:rFonts w:cs="Arial"/>
          <w:lang w:eastAsia="zh-CN"/>
        </w:rPr>
        <w:br/>
      </w:r>
      <w:r w:rsidRPr="00B3251D">
        <w:rPr>
          <w:rFonts w:cs="Arial"/>
          <w:lang w:eastAsia="zh-CN"/>
        </w:rPr>
        <w:t xml:space="preserve">(e-mail: manuela.brand@blw.admin.ch)  </w:t>
      </w:r>
    </w:p>
    <w:p w:rsidR="00504E54" w:rsidRPr="0027407A" w:rsidRDefault="00504E54" w:rsidP="00504E54">
      <w:pPr>
        <w:rPr>
          <w:rFonts w:cs="Arial"/>
          <w:lang w:eastAsia="zh-CN"/>
        </w:rPr>
      </w:pPr>
    </w:p>
    <w:p w:rsidR="00504E54" w:rsidRPr="0034041B" w:rsidRDefault="00504E54" w:rsidP="00504E54">
      <w:pPr>
        <w:rPr>
          <w:rFonts w:cs="Arial"/>
          <w:lang w:val="de-DE" w:eastAsia="zh-CN"/>
        </w:rPr>
      </w:pPr>
      <w:r w:rsidRPr="0034041B">
        <w:rPr>
          <w:rFonts w:cs="Arial"/>
          <w:lang w:val="de-DE" w:eastAsia="zh-CN"/>
        </w:rPr>
        <w:t xml:space="preserve">Eva TSCHARLAND (Frau), Juristin, Direktionsbereich Landwirtschaftliche Produktionsmittel, Bundesamt für Landwirtschaft, Bern (e-mail: eva.tscharland@blw.admin.ch)  </w:t>
      </w:r>
    </w:p>
    <w:p w:rsidR="00504E54" w:rsidRPr="0034041B" w:rsidRDefault="00504E54" w:rsidP="00504E54">
      <w:pPr>
        <w:rPr>
          <w:rFonts w:cs="Arial"/>
          <w:lang w:val="de-DE" w:eastAsia="zh-CN"/>
        </w:rPr>
      </w:pPr>
    </w:p>
    <w:p w:rsidR="00504E54" w:rsidRPr="0027407A" w:rsidRDefault="00504E54" w:rsidP="00504E54">
      <w:pPr>
        <w:keepNext/>
        <w:rPr>
          <w:rFonts w:cs="Arial"/>
          <w:u w:val="single"/>
          <w:lang w:val="fr-CH" w:eastAsia="zh-CN"/>
        </w:rPr>
      </w:pPr>
      <w:r w:rsidRPr="0034041B">
        <w:rPr>
          <w:rFonts w:cs="Arial"/>
          <w:u w:val="single"/>
          <w:lang w:val="fr-CH" w:eastAsia="zh-CN"/>
        </w:rPr>
        <w:lastRenderedPageBreak/>
        <w:t>TUNISIE / TUNISIA / TUNESIEN / TÚNEZ</w:t>
      </w:r>
    </w:p>
    <w:p w:rsidR="00504E54" w:rsidRDefault="00504E54" w:rsidP="00504E54">
      <w:pPr>
        <w:keepNext/>
        <w:rPr>
          <w:rFonts w:cs="Arial"/>
          <w:lang w:val="fr-CH" w:eastAsia="zh-CN"/>
        </w:rPr>
      </w:pPr>
    </w:p>
    <w:p w:rsidR="00504E54" w:rsidRPr="00B3251D" w:rsidRDefault="00504E54" w:rsidP="00504E54">
      <w:pPr>
        <w:rPr>
          <w:rFonts w:cs="Arial"/>
          <w:lang w:val="fr-CH" w:eastAsia="zh-CN"/>
        </w:rPr>
      </w:pPr>
      <w:r w:rsidRPr="00B3251D">
        <w:rPr>
          <w:rFonts w:cs="Arial"/>
          <w:lang w:val="fr-CH" w:eastAsia="zh-CN"/>
        </w:rPr>
        <w:t>Tarek CHIBOUB, Directeur général, Direction générale de la protection et du contrôle de la qualité des prod</w:t>
      </w:r>
      <w:r>
        <w:rPr>
          <w:rFonts w:cs="Arial"/>
          <w:lang w:val="fr-CH" w:eastAsia="zh-CN"/>
        </w:rPr>
        <w:t>uits agricoles, Ministère de l’A</w:t>
      </w:r>
      <w:r w:rsidRPr="00B3251D">
        <w:rPr>
          <w:rFonts w:cs="Arial"/>
          <w:lang w:val="fr-CH" w:eastAsia="zh-CN"/>
        </w:rPr>
        <w:t>griculture</w:t>
      </w:r>
      <w:r>
        <w:rPr>
          <w:rFonts w:cs="Arial"/>
          <w:lang w:val="fr-CH" w:eastAsia="zh-CN"/>
        </w:rPr>
        <w:t>, des Ressources Hydrauliques et de la Pêche, Tunis (e</w:t>
      </w:r>
      <w:r>
        <w:rPr>
          <w:rFonts w:cs="Arial"/>
          <w:lang w:val="fr-CH" w:eastAsia="zh-CN"/>
        </w:rPr>
        <w:noBreakHyphen/>
        <w:t>mail: </w:t>
      </w:r>
      <w:r w:rsidRPr="00B3251D">
        <w:rPr>
          <w:rFonts w:cs="Arial"/>
          <w:lang w:val="fr-CH" w:eastAsia="zh-CN"/>
        </w:rPr>
        <w:t xml:space="preserve">tarechib@yahoo.fr)  </w:t>
      </w:r>
    </w:p>
    <w:p w:rsidR="00504E54" w:rsidRPr="00B3251D" w:rsidRDefault="00504E54" w:rsidP="00504E54">
      <w:pPr>
        <w:rPr>
          <w:rFonts w:cs="Arial"/>
          <w:lang w:val="fr-CH" w:eastAsia="zh-CN"/>
        </w:rPr>
      </w:pPr>
    </w:p>
    <w:p w:rsidR="00504E54" w:rsidRPr="0027407A" w:rsidRDefault="00504E54" w:rsidP="00504E54">
      <w:pPr>
        <w:keepNext/>
        <w:rPr>
          <w:rFonts w:cs="Arial"/>
          <w:u w:val="single"/>
          <w:lang w:eastAsia="zh-CN"/>
        </w:rPr>
      </w:pPr>
      <w:r w:rsidRPr="0027407A">
        <w:rPr>
          <w:rFonts w:cs="Arial"/>
          <w:u w:val="single"/>
          <w:lang w:eastAsia="zh-CN"/>
        </w:rPr>
        <w:t>TURQUIE / TURKEY / TÜRKEI / TURQUÍA</w:t>
      </w:r>
    </w:p>
    <w:p w:rsidR="00504E54" w:rsidRDefault="00504E54" w:rsidP="00504E54">
      <w:pPr>
        <w:rPr>
          <w:rFonts w:cs="Arial"/>
          <w:lang w:eastAsia="zh-CN"/>
        </w:rPr>
      </w:pPr>
    </w:p>
    <w:p w:rsidR="00504E54" w:rsidRPr="00B3251D" w:rsidRDefault="00504E54" w:rsidP="00504E54">
      <w:pPr>
        <w:keepNext/>
        <w:rPr>
          <w:rFonts w:cs="Arial"/>
          <w:lang w:eastAsia="zh-CN"/>
        </w:rPr>
      </w:pPr>
      <w:r w:rsidRPr="00B3251D">
        <w:rPr>
          <w:rFonts w:cs="Arial"/>
          <w:lang w:eastAsia="zh-CN"/>
        </w:rPr>
        <w:t xml:space="preserve">Necati Cem AKTUZ, PBR Expert, Crop Production Directorate, Seed Department, Ministry of Food, Agriculture and Livestock, Ankara (e-mail: necaticem.aktuz@tarim.gov.tr)  </w:t>
      </w:r>
    </w:p>
    <w:p w:rsidR="00504E54" w:rsidRPr="00B3251D" w:rsidRDefault="00504E54" w:rsidP="00504E54">
      <w:pPr>
        <w:keepNext/>
        <w:rPr>
          <w:rFonts w:cs="Arial"/>
          <w:lang w:eastAsia="zh-CN"/>
        </w:rPr>
      </w:pPr>
    </w:p>
    <w:p w:rsidR="00504E54" w:rsidRDefault="00504E54" w:rsidP="00504E54">
      <w:pPr>
        <w:keepNext/>
        <w:rPr>
          <w:rFonts w:cs="Arial"/>
          <w:lang w:eastAsia="zh-CN"/>
        </w:rPr>
      </w:pPr>
      <w:r w:rsidRPr="00B3251D">
        <w:rPr>
          <w:rFonts w:cs="Arial"/>
          <w:lang w:eastAsia="zh-CN"/>
        </w:rPr>
        <w:t xml:space="preserve">Muhittin BAĞCI, Coordinator (Engineer), Variety Registration and Seed Certification Centre, </w:t>
      </w:r>
      <w:r w:rsidRPr="00736F25">
        <w:rPr>
          <w:rFonts w:cs="Arial"/>
          <w:lang w:eastAsia="zh-CN"/>
        </w:rPr>
        <w:t xml:space="preserve">Ankara </w:t>
      </w:r>
    </w:p>
    <w:p w:rsidR="00504E54" w:rsidRPr="00736F25" w:rsidRDefault="00504E54" w:rsidP="00504E54">
      <w:pPr>
        <w:keepNext/>
        <w:rPr>
          <w:rFonts w:cs="Arial"/>
          <w:lang w:eastAsia="zh-CN"/>
        </w:rPr>
      </w:pPr>
      <w:r w:rsidRPr="00736F25">
        <w:rPr>
          <w:rFonts w:cs="Arial"/>
          <w:lang w:eastAsia="zh-CN"/>
        </w:rPr>
        <w:t xml:space="preserve">(e-mail: muhittin.bagci@gthb.gov.tr)  </w:t>
      </w:r>
    </w:p>
    <w:p w:rsidR="00504E54" w:rsidRDefault="00504E54" w:rsidP="00504E54">
      <w:pPr>
        <w:keepNext/>
        <w:rPr>
          <w:rFonts w:cs="Arial"/>
          <w:lang w:eastAsia="zh-CN"/>
        </w:rPr>
      </w:pPr>
    </w:p>
    <w:p w:rsidR="00504E54" w:rsidRPr="00B3251D" w:rsidRDefault="00504E54" w:rsidP="00504E54">
      <w:pPr>
        <w:rPr>
          <w:rFonts w:cs="Arial"/>
          <w:lang w:eastAsia="zh-CN"/>
        </w:rPr>
      </w:pPr>
      <w:r w:rsidRPr="00B3251D">
        <w:rPr>
          <w:rFonts w:cs="Arial"/>
          <w:lang w:eastAsia="zh-CN"/>
        </w:rPr>
        <w:t>Ilknur YALVAÇ</w:t>
      </w:r>
      <w:r>
        <w:rPr>
          <w:rFonts w:cs="Arial"/>
          <w:lang w:eastAsia="zh-CN"/>
        </w:rPr>
        <w:t xml:space="preserve"> (Ms.)</w:t>
      </w:r>
      <w:r w:rsidRPr="00B3251D">
        <w:rPr>
          <w:rFonts w:cs="Arial"/>
          <w:lang w:eastAsia="zh-CN"/>
        </w:rPr>
        <w:t xml:space="preserve">, PBR Expert, General Directorate of Crop Production, Seed Department, Ministry of Food, Agriculture and Livestock, Ankara (e-mail: ilknur.yalvac@tarim.gov.tr)  </w:t>
      </w:r>
    </w:p>
    <w:p w:rsidR="00504E54" w:rsidRDefault="00504E54" w:rsidP="00504E54">
      <w:pPr>
        <w:rPr>
          <w:rFonts w:cs="Arial"/>
          <w:u w:val="single"/>
          <w:lang w:eastAsia="zh-CN"/>
        </w:rPr>
      </w:pPr>
    </w:p>
    <w:p w:rsidR="00504E54" w:rsidRPr="00FF1409" w:rsidRDefault="00504E54" w:rsidP="00504E54">
      <w:pPr>
        <w:rPr>
          <w:rFonts w:cs="Arial"/>
          <w:u w:val="single"/>
          <w:lang w:eastAsia="zh-CN"/>
        </w:rPr>
      </w:pPr>
      <w:r w:rsidRPr="00FF1409">
        <w:rPr>
          <w:rFonts w:cs="Arial"/>
          <w:u w:val="single"/>
          <w:lang w:eastAsia="zh-CN"/>
        </w:rPr>
        <w:t>UNION EUROPÉENNE / EUROPEAN UNION / EUROPÄISCHE UNION / UNIÓN EUROPEA</w:t>
      </w:r>
    </w:p>
    <w:p w:rsidR="00504E54" w:rsidRPr="00FF1409" w:rsidRDefault="00504E54" w:rsidP="00504E54">
      <w:pPr>
        <w:rPr>
          <w:rFonts w:cs="Arial"/>
          <w:lang w:eastAsia="zh-CN"/>
        </w:rPr>
      </w:pPr>
    </w:p>
    <w:p w:rsidR="00504E54" w:rsidRPr="00A91352" w:rsidRDefault="00504E54" w:rsidP="00504E54">
      <w:pPr>
        <w:rPr>
          <w:rFonts w:cs="Arial"/>
          <w:lang w:eastAsia="zh-CN"/>
        </w:rPr>
      </w:pPr>
      <w:r w:rsidRPr="00A91352">
        <w:rPr>
          <w:rFonts w:cs="Arial"/>
          <w:lang w:eastAsia="zh-CN"/>
        </w:rPr>
        <w:t>H.E. Mr. Peter SØRENSEN, Ambassador, Head of the Delegation of the European Union to the United Nations in Geneva, Geneva</w:t>
      </w:r>
    </w:p>
    <w:p w:rsidR="00504E54" w:rsidRPr="00A91352" w:rsidRDefault="00504E54" w:rsidP="00504E54">
      <w:pPr>
        <w:rPr>
          <w:rFonts w:cs="Arial"/>
          <w:lang w:eastAsia="zh-CN"/>
        </w:rPr>
      </w:pPr>
    </w:p>
    <w:p w:rsidR="00504E54" w:rsidRPr="00A91352" w:rsidRDefault="00504E54" w:rsidP="00504E54">
      <w:pPr>
        <w:tabs>
          <w:tab w:val="left" w:pos="90"/>
        </w:tabs>
        <w:autoSpaceDE w:val="0"/>
        <w:autoSpaceDN w:val="0"/>
        <w:adjustRightInd w:val="0"/>
        <w:rPr>
          <w:rFonts w:cs="Arial"/>
          <w:lang w:eastAsia="zh-CN"/>
        </w:rPr>
      </w:pPr>
      <w:r w:rsidRPr="00A91352">
        <w:rPr>
          <w:rFonts w:cs="Arial"/>
          <w:lang w:eastAsia="zh-CN"/>
        </w:rPr>
        <w:t>Oliver HALL-ALLEN, First Counsellor, Delegation of the European Union to the United Nations in Geneva, Geneva (e-mail: Oliver.Hall-Allen@eeas.europa.eu)</w:t>
      </w:r>
    </w:p>
    <w:p w:rsidR="00504E54" w:rsidRPr="00A91352" w:rsidRDefault="00504E54" w:rsidP="00504E54">
      <w:pPr>
        <w:rPr>
          <w:rFonts w:cs="Arial"/>
          <w:lang w:eastAsia="zh-CN"/>
        </w:rPr>
      </w:pPr>
    </w:p>
    <w:p w:rsidR="00504E54" w:rsidRDefault="00504E54" w:rsidP="00504E54">
      <w:pPr>
        <w:rPr>
          <w:rFonts w:cs="Arial"/>
          <w:lang w:val="fr-CH" w:eastAsia="zh-CN"/>
        </w:rPr>
      </w:pPr>
      <w:r w:rsidRPr="00A91352">
        <w:rPr>
          <w:rFonts w:cs="Arial"/>
          <w:lang w:val="fr-CH" w:eastAsia="zh-CN"/>
        </w:rPr>
        <w:t xml:space="preserve">Päivi MANNERKORPI (Mrs.), Head of Sector - Unit E2, Plant Reproductive Material, Direction Générale Santé et Protection des Consommateurs, Commission européenne (DG SANCO), Bruxelles </w:t>
      </w:r>
    </w:p>
    <w:p w:rsidR="00504E54" w:rsidRPr="00A91352" w:rsidRDefault="00504E54" w:rsidP="00504E54">
      <w:pPr>
        <w:rPr>
          <w:rFonts w:cs="Arial"/>
          <w:lang w:val="fr-CH" w:eastAsia="zh-CN"/>
        </w:rPr>
      </w:pPr>
      <w:r w:rsidRPr="00A91352">
        <w:rPr>
          <w:rFonts w:cs="Arial"/>
          <w:lang w:val="fr-CH" w:eastAsia="zh-CN"/>
        </w:rPr>
        <w:t xml:space="preserve">(e-mail: paivi.mannerkorpi@ec.europa.eu)  </w:t>
      </w:r>
    </w:p>
    <w:p w:rsidR="00504E54" w:rsidRPr="00A91352" w:rsidRDefault="00504E54" w:rsidP="00504E54">
      <w:pPr>
        <w:rPr>
          <w:rFonts w:cs="Arial"/>
          <w:lang w:val="fr-CH" w:eastAsia="zh-CN"/>
        </w:rPr>
      </w:pPr>
    </w:p>
    <w:p w:rsidR="00504E54" w:rsidRDefault="00504E54" w:rsidP="00504E54">
      <w:pPr>
        <w:rPr>
          <w:rFonts w:cs="Arial"/>
          <w:lang w:val="fr-CH" w:eastAsia="zh-CN"/>
        </w:rPr>
      </w:pPr>
      <w:r w:rsidRPr="00A91352">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504E54" w:rsidRPr="00FE04A2" w:rsidRDefault="00504E54" w:rsidP="00504E54">
      <w:pPr>
        <w:rPr>
          <w:rFonts w:cs="Arial"/>
          <w:lang w:eastAsia="zh-CN"/>
        </w:rPr>
      </w:pPr>
      <w:r w:rsidRPr="00FE04A2">
        <w:rPr>
          <w:rFonts w:cs="Arial"/>
          <w:lang w:eastAsia="zh-CN"/>
        </w:rPr>
        <w:t xml:space="preserve">(e-mail: isabelle.clement-nissou@ec.europa.eu)  </w:t>
      </w:r>
    </w:p>
    <w:p w:rsidR="00504E54" w:rsidRPr="00FE04A2" w:rsidRDefault="00504E54" w:rsidP="00504E54">
      <w:pPr>
        <w:rPr>
          <w:rFonts w:cs="Arial"/>
          <w:lang w:eastAsia="zh-CN"/>
        </w:rPr>
      </w:pPr>
    </w:p>
    <w:p w:rsidR="00504E54" w:rsidRPr="00A91352" w:rsidRDefault="00504E54" w:rsidP="00504E54">
      <w:pPr>
        <w:rPr>
          <w:rFonts w:cs="Arial"/>
          <w:lang w:eastAsia="zh-CN"/>
        </w:rPr>
      </w:pPr>
      <w:r w:rsidRPr="00A91352">
        <w:rPr>
          <w:rFonts w:cs="Arial"/>
          <w:lang w:eastAsia="zh-CN"/>
        </w:rPr>
        <w:t>Martin EKVAD, President, Community Plant Variety Office (CPVO), Angers (e-mail: ekvad@cpvo.europa.eu)</w:t>
      </w:r>
    </w:p>
    <w:p w:rsidR="00504E54" w:rsidRPr="00A91352" w:rsidRDefault="00504E54" w:rsidP="00504E54">
      <w:pPr>
        <w:rPr>
          <w:rFonts w:cs="Arial"/>
          <w:lang w:eastAsia="zh-CN"/>
        </w:rPr>
      </w:pPr>
    </w:p>
    <w:p w:rsidR="00504E54" w:rsidRDefault="00504E54" w:rsidP="00504E54">
      <w:pPr>
        <w:rPr>
          <w:rFonts w:cs="Arial"/>
          <w:lang w:eastAsia="zh-CN"/>
        </w:rPr>
      </w:pPr>
      <w:r w:rsidRPr="00A91352">
        <w:rPr>
          <w:rFonts w:cs="Arial"/>
          <w:lang w:eastAsia="zh-CN"/>
        </w:rPr>
        <w:t xml:space="preserve">Carlos GODINHO, Vice-President, Community Plant Variety Office (CPVO), Angers </w:t>
      </w:r>
    </w:p>
    <w:p w:rsidR="00504E54" w:rsidRPr="00A91352" w:rsidRDefault="00504E54" w:rsidP="00504E54">
      <w:pPr>
        <w:rPr>
          <w:rFonts w:cs="Arial"/>
          <w:lang w:eastAsia="zh-CN"/>
        </w:rPr>
      </w:pPr>
      <w:r w:rsidRPr="00A91352">
        <w:rPr>
          <w:rFonts w:cs="Arial"/>
          <w:lang w:eastAsia="zh-CN"/>
        </w:rPr>
        <w:t xml:space="preserve">(e-mail: godinho@cpvo.europa.eu)  </w:t>
      </w:r>
    </w:p>
    <w:p w:rsidR="00504E54" w:rsidRPr="00A91352" w:rsidRDefault="00504E54" w:rsidP="00504E54">
      <w:pPr>
        <w:rPr>
          <w:rFonts w:cs="Arial"/>
          <w:lang w:eastAsia="zh-CN"/>
        </w:rPr>
      </w:pPr>
    </w:p>
    <w:p w:rsidR="00504E54" w:rsidRDefault="00504E54" w:rsidP="00504E54">
      <w:pPr>
        <w:rPr>
          <w:rFonts w:cs="Arial"/>
          <w:lang w:eastAsia="zh-CN"/>
        </w:rPr>
      </w:pPr>
      <w:r w:rsidRPr="00A91352">
        <w:rPr>
          <w:rFonts w:cs="Arial"/>
          <w:lang w:eastAsia="zh-CN"/>
        </w:rPr>
        <w:t>Francesco MATTINA, Head of Legal Unit, Community Plant Variety Office (CPVO), Angers</w:t>
      </w:r>
    </w:p>
    <w:p w:rsidR="00504E54" w:rsidRPr="00A91352" w:rsidRDefault="00504E54" w:rsidP="00504E54">
      <w:pPr>
        <w:rPr>
          <w:rFonts w:cs="Arial"/>
          <w:lang w:eastAsia="zh-CN"/>
        </w:rPr>
      </w:pPr>
      <w:r w:rsidRPr="00A91352">
        <w:rPr>
          <w:rFonts w:cs="Arial"/>
          <w:lang w:eastAsia="zh-CN"/>
        </w:rPr>
        <w:t xml:space="preserve">(e-mail: mattina@cpvo.europa.eu)  </w:t>
      </w:r>
    </w:p>
    <w:p w:rsidR="00504E54" w:rsidRPr="00A91352" w:rsidRDefault="00504E54" w:rsidP="00504E54">
      <w:pPr>
        <w:rPr>
          <w:rFonts w:cs="Arial"/>
          <w:lang w:eastAsia="zh-CN"/>
        </w:rPr>
      </w:pPr>
    </w:p>
    <w:p w:rsidR="00504E54" w:rsidRDefault="00504E54" w:rsidP="00504E54">
      <w:pPr>
        <w:rPr>
          <w:rFonts w:cs="Arial"/>
          <w:lang w:eastAsia="zh-CN"/>
        </w:rPr>
      </w:pPr>
      <w:r w:rsidRPr="00A91352">
        <w:rPr>
          <w:rFonts w:cs="Arial"/>
          <w:lang w:eastAsia="zh-CN"/>
        </w:rPr>
        <w:t>Antonella ZAPPIA (Ms.), Intern, Delegation of the European Union to the United Nations in Geneva, Geneva (e-mail: Antonella.Zappia@eeas.europa.eu)</w:t>
      </w:r>
    </w:p>
    <w:p w:rsidR="00504E54" w:rsidRPr="00A6765E" w:rsidRDefault="00504E54" w:rsidP="00504E54">
      <w:pPr>
        <w:rPr>
          <w:rFonts w:cs="Arial"/>
          <w:lang w:eastAsia="zh-CN"/>
        </w:rPr>
      </w:pPr>
    </w:p>
    <w:p w:rsidR="00504E54" w:rsidRPr="00736F25" w:rsidRDefault="00504E54" w:rsidP="00504E54">
      <w:pPr>
        <w:rPr>
          <w:rFonts w:cs="Arial"/>
          <w:lang w:eastAsia="zh-CN"/>
        </w:rPr>
      </w:pPr>
    </w:p>
    <w:p w:rsidR="00504E54" w:rsidRPr="00F01E39" w:rsidRDefault="00504E54" w:rsidP="00504E54">
      <w:pPr>
        <w:jc w:val="center"/>
        <w:rPr>
          <w:rFonts w:cs="Arial"/>
          <w:u w:val="single"/>
          <w:lang w:eastAsia="zh-CN"/>
        </w:rPr>
      </w:pPr>
      <w:r w:rsidRPr="00B3251D">
        <w:rPr>
          <w:rFonts w:cs="Arial"/>
          <w:lang w:eastAsia="zh-CN"/>
        </w:rPr>
        <w:t>II.</w:t>
      </w:r>
      <w:r>
        <w:rPr>
          <w:rFonts w:cs="Arial"/>
          <w:lang w:eastAsia="zh-CN"/>
        </w:rPr>
        <w:tab/>
      </w:r>
      <w:r w:rsidRPr="00F01E39">
        <w:rPr>
          <w:rFonts w:cs="Arial"/>
          <w:u w:val="single"/>
          <w:lang w:eastAsia="zh-CN"/>
        </w:rPr>
        <w:t>OBSERVATEURS / OBSERVERS / BEOBACHTER / OBSERVADORES</w:t>
      </w:r>
    </w:p>
    <w:p w:rsidR="00504E54"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ÉGYPTE / EGYPT / ÄGYPTEN / EGIPTO</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Samy Hamed EL DEIB SALLAM, Head, Technical Secretary of Variety Registration Committee, Central Administration for Seed Certification (CASC), Giza (e-mail: sllamsamy@yahoo.com) </w:t>
      </w:r>
    </w:p>
    <w:p w:rsidR="00504E54" w:rsidRPr="00B3251D" w:rsidRDefault="00504E54" w:rsidP="00504E54">
      <w:pPr>
        <w:rPr>
          <w:rFonts w:cs="Arial"/>
          <w:lang w:eastAsia="zh-CN"/>
        </w:rPr>
      </w:pPr>
    </w:p>
    <w:p w:rsidR="00504E54" w:rsidRPr="0027407A" w:rsidRDefault="00504E54" w:rsidP="00504E54">
      <w:pPr>
        <w:keepNext/>
        <w:rPr>
          <w:rFonts w:cs="Arial"/>
          <w:u w:val="single"/>
          <w:lang w:eastAsia="zh-CN"/>
        </w:rPr>
      </w:pPr>
      <w:r w:rsidRPr="0027407A">
        <w:rPr>
          <w:rFonts w:cs="Arial"/>
          <w:u w:val="single"/>
          <w:lang w:eastAsia="zh-CN"/>
        </w:rPr>
        <w:t>THAÏLANDE / THAILAND / THAILAND / TAILANDIA</w:t>
      </w:r>
    </w:p>
    <w:p w:rsidR="00504E54" w:rsidRDefault="00504E54" w:rsidP="00504E54">
      <w:pPr>
        <w:rPr>
          <w:rFonts w:cs="Arial"/>
          <w:lang w:eastAsia="zh-CN"/>
        </w:rPr>
      </w:pPr>
    </w:p>
    <w:p w:rsidR="00504E54" w:rsidRPr="00B3251D" w:rsidRDefault="00504E54" w:rsidP="00504E54">
      <w:pPr>
        <w:keepNext/>
        <w:rPr>
          <w:rFonts w:cs="Arial"/>
          <w:lang w:eastAsia="zh-CN"/>
        </w:rPr>
      </w:pPr>
      <w:r w:rsidRPr="00B3251D">
        <w:rPr>
          <w:rFonts w:cs="Arial"/>
          <w:lang w:eastAsia="zh-CN"/>
        </w:rPr>
        <w:t xml:space="preserve">Sudkhet BORIBOONSRI, Counsellor, Permanent Mission of Thailand to the World Trade Organization (WTO), Genève (e-mail: sudkhet@thaiwto.com)  </w:t>
      </w:r>
    </w:p>
    <w:p w:rsidR="00504E54" w:rsidRDefault="00504E54" w:rsidP="00504E54">
      <w:pPr>
        <w:rPr>
          <w:rFonts w:cs="Arial"/>
          <w:lang w:eastAsia="zh-CN"/>
        </w:rPr>
      </w:pPr>
    </w:p>
    <w:p w:rsidR="00504E54" w:rsidRDefault="00504E54" w:rsidP="00504E54">
      <w:pPr>
        <w:jc w:val="center"/>
        <w:rPr>
          <w:rFonts w:cs="Arial"/>
          <w:lang w:eastAsia="zh-CN"/>
        </w:rPr>
      </w:pPr>
    </w:p>
    <w:p w:rsidR="00504E54" w:rsidRDefault="00504E54" w:rsidP="00504E54">
      <w:pPr>
        <w:jc w:val="left"/>
        <w:rPr>
          <w:rFonts w:cs="Arial"/>
          <w:lang w:eastAsia="zh-CN"/>
        </w:rPr>
      </w:pPr>
      <w:r>
        <w:rPr>
          <w:rFonts w:cs="Arial"/>
          <w:lang w:eastAsia="zh-CN"/>
        </w:rPr>
        <w:br w:type="page"/>
      </w:r>
    </w:p>
    <w:p w:rsidR="00504E54" w:rsidRPr="0093340E" w:rsidRDefault="00504E54" w:rsidP="00504E54">
      <w:pPr>
        <w:jc w:val="center"/>
        <w:rPr>
          <w:rFonts w:cs="Arial"/>
          <w:lang w:eastAsia="zh-CN"/>
        </w:rPr>
      </w:pPr>
      <w:r w:rsidRPr="0093340E">
        <w:rPr>
          <w:rFonts w:cs="Arial"/>
          <w:lang w:eastAsia="zh-CN"/>
        </w:rPr>
        <w:lastRenderedPageBreak/>
        <w:t>III</w:t>
      </w:r>
      <w:r>
        <w:rPr>
          <w:rFonts w:cs="Arial"/>
          <w:lang w:eastAsia="zh-CN"/>
        </w:rPr>
        <w:tab/>
      </w:r>
      <w:r w:rsidRPr="00F01E39">
        <w:rPr>
          <w:rFonts w:cs="Arial"/>
          <w:u w:val="single"/>
          <w:lang w:eastAsia="zh-CN"/>
        </w:rPr>
        <w:t>ORGANISATIONS / ORGANIZATIONS / ORGANISATIONEN / ORGANIZACIONES</w:t>
      </w:r>
    </w:p>
    <w:p w:rsidR="00504E54" w:rsidRPr="0093340E" w:rsidRDefault="00504E54" w:rsidP="00504E54">
      <w:pPr>
        <w:rPr>
          <w:rFonts w:cs="Arial"/>
          <w:lang w:eastAsia="zh-CN"/>
        </w:rPr>
      </w:pPr>
    </w:p>
    <w:p w:rsidR="00504E54" w:rsidRPr="0027407A" w:rsidRDefault="00504E54" w:rsidP="00504E54">
      <w:pPr>
        <w:rPr>
          <w:rFonts w:cs="Arial"/>
          <w:u w:val="single"/>
          <w:lang w:eastAsia="zh-CN"/>
        </w:rPr>
      </w:pPr>
      <w:r w:rsidRPr="0027407A">
        <w:rPr>
          <w:rFonts w:cs="Arial"/>
          <w:u w:val="single"/>
          <w:lang w:eastAsia="zh-CN"/>
        </w:rPr>
        <w:t>ASSOCIATION FOR PLANT BREEDING FOR THE BENEFIT OF SOCIETY</w:t>
      </w:r>
      <w:r>
        <w:rPr>
          <w:rFonts w:cs="Arial"/>
          <w:u w:val="single"/>
          <w:lang w:eastAsia="zh-CN"/>
        </w:rPr>
        <w:t xml:space="preserve"> (APBREBES)</w:t>
      </w:r>
    </w:p>
    <w:p w:rsidR="00504E54" w:rsidRDefault="00504E54" w:rsidP="00504E54">
      <w:pPr>
        <w:rPr>
          <w:rFonts w:cs="Arial"/>
          <w:lang w:eastAsia="zh-CN"/>
        </w:rPr>
      </w:pPr>
    </w:p>
    <w:p w:rsidR="00504E54" w:rsidRDefault="00504E54" w:rsidP="00504E54">
      <w:pPr>
        <w:rPr>
          <w:rFonts w:cs="Arial"/>
          <w:lang w:eastAsia="zh-CN"/>
        </w:rPr>
      </w:pPr>
      <w:r>
        <w:rPr>
          <w:rFonts w:cs="Arial"/>
          <w:lang w:eastAsia="zh-CN"/>
        </w:rPr>
        <w:t>Susanne GURA (Ms.), APBREBES Coordinator, Bonn (gura@dinse.net)</w:t>
      </w:r>
    </w:p>
    <w:p w:rsidR="00504E54" w:rsidRDefault="00504E54" w:rsidP="00504E54">
      <w:pPr>
        <w:rPr>
          <w:rFonts w:cs="Arial"/>
          <w:lang w:eastAsia="zh-CN"/>
        </w:rPr>
      </w:pPr>
    </w:p>
    <w:p w:rsidR="00504E54" w:rsidRPr="00BC437F" w:rsidRDefault="00504E54" w:rsidP="00504E54">
      <w:pPr>
        <w:rPr>
          <w:rFonts w:cs="Arial"/>
          <w:lang w:eastAsia="zh-CN"/>
        </w:rPr>
      </w:pPr>
      <w:r w:rsidRPr="00BC437F">
        <w:rPr>
          <w:rFonts w:cs="Arial"/>
          <w:lang w:eastAsia="zh-CN"/>
        </w:rPr>
        <w:t xml:space="preserve">François MEIENBERG, Board Member, Bonn (e-mail: food@evb.ch)  </w:t>
      </w:r>
    </w:p>
    <w:p w:rsidR="00504E54" w:rsidRPr="00BC437F" w:rsidRDefault="00504E54" w:rsidP="00504E54">
      <w:pPr>
        <w:rPr>
          <w:rFonts w:cs="Arial"/>
          <w:lang w:eastAsia="zh-CN"/>
        </w:rPr>
      </w:pPr>
    </w:p>
    <w:p w:rsidR="00504E54" w:rsidRPr="0027407A" w:rsidRDefault="00504E54" w:rsidP="00504E54">
      <w:pPr>
        <w:keepNext/>
        <w:rPr>
          <w:rFonts w:cs="Arial"/>
          <w:u w:val="single"/>
          <w:lang w:eastAsia="zh-CN"/>
        </w:rPr>
      </w:pPr>
      <w:r w:rsidRPr="0027407A">
        <w:rPr>
          <w:rFonts w:cs="Arial"/>
          <w:u w:val="single"/>
          <w:lang w:eastAsia="zh-CN"/>
        </w:rPr>
        <w:t>SOUTH CENTRE</w:t>
      </w:r>
    </w:p>
    <w:p w:rsidR="00504E54" w:rsidRDefault="00504E54" w:rsidP="00504E54">
      <w:pPr>
        <w:keepNext/>
        <w:rPr>
          <w:rFonts w:cs="Arial"/>
          <w:lang w:eastAsia="zh-CN"/>
        </w:rPr>
      </w:pPr>
    </w:p>
    <w:p w:rsidR="00504E54" w:rsidRDefault="00504E54" w:rsidP="00504E54">
      <w:pPr>
        <w:keepNext/>
        <w:rPr>
          <w:rFonts w:cs="Arial"/>
          <w:lang w:eastAsia="zh-CN"/>
        </w:rPr>
      </w:pPr>
      <w:r w:rsidRPr="00B3251D">
        <w:rPr>
          <w:rFonts w:cs="Arial"/>
          <w:lang w:eastAsia="zh-CN"/>
        </w:rPr>
        <w:t xml:space="preserve">Nirmalya SYAM, Programme Officer, Innovation and Access </w:t>
      </w:r>
      <w:r>
        <w:rPr>
          <w:rFonts w:cs="Arial"/>
          <w:lang w:eastAsia="zh-CN"/>
        </w:rPr>
        <w:t xml:space="preserve">to Knowledge Programme, Genève </w:t>
      </w:r>
    </w:p>
    <w:p w:rsidR="00504E54" w:rsidRDefault="00504E54" w:rsidP="00504E54">
      <w:pPr>
        <w:keepNext/>
        <w:rPr>
          <w:rFonts w:cs="Arial"/>
          <w:lang w:eastAsia="zh-CN"/>
        </w:rPr>
      </w:pPr>
      <w:r>
        <w:rPr>
          <w:rFonts w:cs="Arial"/>
          <w:lang w:eastAsia="zh-CN"/>
        </w:rPr>
        <w:t>(</w:t>
      </w:r>
      <w:r w:rsidRPr="004C018F">
        <w:rPr>
          <w:rFonts w:cs="Arial"/>
          <w:lang w:eastAsia="zh-CN"/>
        </w:rPr>
        <w:t xml:space="preserve">e-mail: syam@southcentre.int) </w:t>
      </w:r>
    </w:p>
    <w:p w:rsidR="00504E54" w:rsidRDefault="00504E54" w:rsidP="00504E54">
      <w:pPr>
        <w:keepNext/>
        <w:rPr>
          <w:rFonts w:cs="Arial"/>
          <w:lang w:eastAsia="zh-CN"/>
        </w:rPr>
      </w:pPr>
    </w:p>
    <w:p w:rsidR="00504E54" w:rsidRDefault="00504E54" w:rsidP="00504E54">
      <w:pPr>
        <w:keepNext/>
        <w:rPr>
          <w:rFonts w:cs="Arial"/>
          <w:lang w:eastAsia="zh-CN"/>
        </w:rPr>
      </w:pPr>
      <w:r w:rsidRPr="00B3251D">
        <w:rPr>
          <w:rFonts w:cs="Arial"/>
          <w:lang w:eastAsia="zh-CN"/>
        </w:rPr>
        <w:t xml:space="preserve">Emmanuel K. OKE, Intern, Innovation and Access </w:t>
      </w:r>
      <w:r>
        <w:rPr>
          <w:rFonts w:cs="Arial"/>
          <w:lang w:eastAsia="zh-CN"/>
        </w:rPr>
        <w:t xml:space="preserve">to Knowledge Programme, Genève </w:t>
      </w:r>
    </w:p>
    <w:p w:rsidR="00504E54" w:rsidRPr="00FE04A2" w:rsidRDefault="00504E54" w:rsidP="00504E54">
      <w:pPr>
        <w:keepNext/>
        <w:rPr>
          <w:rFonts w:cs="Arial"/>
          <w:lang w:val="fr-CH" w:eastAsia="zh-CN"/>
        </w:rPr>
      </w:pPr>
      <w:r w:rsidRPr="00FE04A2">
        <w:rPr>
          <w:rFonts w:cs="Arial"/>
          <w:lang w:val="fr-CH" w:eastAsia="zh-CN"/>
        </w:rPr>
        <w:t xml:space="preserve">(e-mail: oke@southcentre.int)  </w:t>
      </w:r>
    </w:p>
    <w:p w:rsidR="00504E54" w:rsidRPr="00FE04A2" w:rsidRDefault="00504E54" w:rsidP="00504E54">
      <w:pPr>
        <w:keepNext/>
        <w:rPr>
          <w:rFonts w:cs="Arial"/>
          <w:lang w:val="fr-CH" w:eastAsia="zh-CN"/>
        </w:rPr>
      </w:pPr>
    </w:p>
    <w:p w:rsidR="00504E54" w:rsidRPr="00B3251D" w:rsidRDefault="00504E54" w:rsidP="00504E54">
      <w:pPr>
        <w:keepNext/>
        <w:rPr>
          <w:rFonts w:cs="Arial"/>
          <w:lang w:val="fr-CH" w:eastAsia="zh-CN"/>
        </w:rPr>
      </w:pPr>
      <w:r w:rsidRPr="00B3251D">
        <w:rPr>
          <w:rFonts w:cs="Arial"/>
          <w:lang w:val="fr-CH" w:eastAsia="zh-CN"/>
        </w:rPr>
        <w:t>Bert</w:t>
      </w:r>
      <w:r>
        <w:rPr>
          <w:rFonts w:cs="Arial"/>
          <w:lang w:val="fr-CH" w:eastAsia="zh-CN"/>
        </w:rPr>
        <w:t xml:space="preserve">ram ZAGEMA, Consultant, Genève </w:t>
      </w:r>
      <w:r w:rsidRPr="00B3251D">
        <w:rPr>
          <w:rFonts w:cs="Arial"/>
          <w:lang w:val="fr-CH" w:eastAsia="zh-CN"/>
        </w:rPr>
        <w:t xml:space="preserve">(e-mail: bzagema@yahoo.com)  </w:t>
      </w:r>
    </w:p>
    <w:p w:rsidR="00504E54" w:rsidRPr="00B3251D" w:rsidRDefault="00504E54" w:rsidP="00504E54">
      <w:pPr>
        <w:keepNext/>
        <w:rPr>
          <w:rFonts w:cs="Arial"/>
          <w:lang w:val="fr-CH" w:eastAsia="zh-CN"/>
        </w:rPr>
      </w:pPr>
    </w:p>
    <w:p w:rsidR="00504E54" w:rsidRPr="004C018F" w:rsidRDefault="00504E54" w:rsidP="00504E54">
      <w:pPr>
        <w:keepNext/>
        <w:keepLines/>
        <w:rPr>
          <w:rFonts w:cs="Arial"/>
          <w:u w:val="single"/>
          <w:lang w:val="fr-CH" w:eastAsia="zh-CN"/>
        </w:rPr>
      </w:pPr>
      <w:r w:rsidRPr="0027407A">
        <w:rPr>
          <w:rFonts w:cs="Arial"/>
          <w:u w:val="single"/>
          <w:lang w:val="fr-CH" w:eastAsia="zh-CN"/>
        </w:rPr>
        <w:t xml:space="preserve">ASSOCIATION INTERNATIONALE DES PRODUCTEURS HORTICOLES (AIPH) / </w:t>
      </w:r>
      <w:r w:rsidRPr="004C018F">
        <w:rPr>
          <w:rFonts w:cs="Arial"/>
          <w:u w:val="single"/>
          <w:lang w:val="fr-CH" w:eastAsia="zh-CN"/>
        </w:rPr>
        <w:t>INTERNATIONAL ASSOCIATION OF HORTICULTURAL PRODUCERS (AIPH) / INTERNATIONALER VERBAND DES ERWERBSGARTENBAUES (AIPH) / ASOCIACIÓN INTERNACIONAL DE PRODUCTORES HORTÍCOLAS (AIPH)</w:t>
      </w:r>
    </w:p>
    <w:p w:rsidR="00504E54" w:rsidRPr="004C018F" w:rsidRDefault="00504E54" w:rsidP="00504E54">
      <w:pPr>
        <w:rPr>
          <w:rFonts w:cs="Arial"/>
          <w:lang w:val="fr-CH" w:eastAsia="zh-CN"/>
        </w:rPr>
      </w:pPr>
    </w:p>
    <w:p w:rsidR="00504E54" w:rsidRPr="00B3251D" w:rsidRDefault="00504E54" w:rsidP="00504E54">
      <w:pPr>
        <w:rPr>
          <w:rFonts w:cs="Arial"/>
          <w:lang w:eastAsia="zh-CN"/>
        </w:rPr>
      </w:pPr>
      <w:r w:rsidRPr="00B3251D">
        <w:rPr>
          <w:rFonts w:cs="Arial"/>
          <w:lang w:eastAsia="zh-CN"/>
        </w:rPr>
        <w:t>Mia BUMA (M</w:t>
      </w:r>
      <w:r>
        <w:rPr>
          <w:rFonts w:cs="Arial"/>
          <w:lang w:eastAsia="zh-CN"/>
        </w:rPr>
        <w:t>r</w:t>
      </w:r>
      <w:r w:rsidRPr="00B3251D">
        <w:rPr>
          <w:rFonts w:cs="Arial"/>
          <w:lang w:eastAsia="zh-CN"/>
        </w:rPr>
        <w:t xml:space="preserve">s.), Secretary, Committee for Novelty Protection, International Association of Horticultural Producers (AIPH), Reading (e-mail: info@miabuma.nl)  </w:t>
      </w:r>
    </w:p>
    <w:p w:rsidR="00504E54" w:rsidRDefault="00504E54" w:rsidP="00504E54">
      <w:pPr>
        <w:rPr>
          <w:rFonts w:cs="Arial"/>
          <w:u w:val="single"/>
          <w:lang w:eastAsia="zh-CN"/>
        </w:rPr>
      </w:pPr>
    </w:p>
    <w:p w:rsidR="00504E54" w:rsidRPr="004E03B4" w:rsidRDefault="00504E54" w:rsidP="00504E54">
      <w:pPr>
        <w:rPr>
          <w:rFonts w:cs="Arial"/>
          <w:u w:val="single"/>
          <w:lang w:eastAsia="zh-CN"/>
        </w:rPr>
      </w:pPr>
      <w:r w:rsidRPr="004E03B4">
        <w:rPr>
          <w:rFonts w:cs="Arial"/>
          <w:u w:val="single"/>
          <w:lang w:eastAsia="zh-CN"/>
        </w:rPr>
        <w:t xml:space="preserve">COMMUNAUTÉ INTERNATIONALE DES OBTENTEURS DE PLANTES ORNEMENTALES ET FRUITIÈRES À REPRODUCTION ASEXUÉE (CIOPORA) / INTERNATIONAL COMMUNITY  OF BREEDERS OF ASEXUALLY REPRODUCED ORNAMENTAL AND FRUIT </w:t>
      </w:r>
      <w:r>
        <w:rPr>
          <w:rFonts w:cs="Arial"/>
          <w:u w:val="single"/>
          <w:lang w:eastAsia="zh-CN"/>
        </w:rPr>
        <w:t xml:space="preserve">VARIETIES </w:t>
      </w:r>
      <w:r w:rsidRPr="004E03B4">
        <w:rPr>
          <w:rFonts w:cs="Arial"/>
          <w:u w:val="single"/>
          <w:lang w:eastAsia="zh-CN"/>
        </w:rPr>
        <w:t>(CIOPORA) / INTERNATIONALE GEMEINSCHAFT DER ZÜCHTER VEGETATIV VERMEHRBARER ZIERUND OBSTPFLANZEN (CIOPORA) / COMUNIDAD INTERNACIONAL DE OBTENTORES DE VARIEDADES ORNAMENTALES Y FRUTALES DE REPRODUCCIÓN ASEXUADA (CIOPORA)</w:t>
      </w:r>
    </w:p>
    <w:p w:rsidR="00504E54" w:rsidRDefault="00504E54" w:rsidP="00504E54">
      <w:pPr>
        <w:rPr>
          <w:rFonts w:cs="Arial"/>
          <w:lang w:eastAsia="zh-CN"/>
        </w:rPr>
      </w:pPr>
    </w:p>
    <w:p w:rsidR="00504E54" w:rsidRDefault="00504E54" w:rsidP="00504E54">
      <w:pPr>
        <w:rPr>
          <w:rFonts w:cs="Arial"/>
          <w:lang w:eastAsia="zh-CN"/>
        </w:rPr>
      </w:pPr>
      <w:r>
        <w:rPr>
          <w:rFonts w:cs="Arial"/>
          <w:lang w:eastAsia="zh-CN"/>
        </w:rPr>
        <w:t>Edgar KRIEGER, Secretary General, Hamburg (e-mail: info@ciopora.org)</w:t>
      </w:r>
    </w:p>
    <w:p w:rsidR="00504E54" w:rsidRDefault="00504E54" w:rsidP="00504E54">
      <w:pPr>
        <w:rPr>
          <w:rFonts w:cs="Arial"/>
          <w:lang w:eastAsia="zh-CN"/>
        </w:rPr>
      </w:pPr>
    </w:p>
    <w:p w:rsidR="00504E54" w:rsidRPr="00B3251D" w:rsidRDefault="00504E54" w:rsidP="00504E54">
      <w:pPr>
        <w:rPr>
          <w:rFonts w:cs="Arial"/>
          <w:lang w:eastAsia="zh-CN"/>
        </w:rPr>
      </w:pPr>
      <w:r w:rsidRPr="00B3251D">
        <w:rPr>
          <w:rFonts w:cs="Arial"/>
          <w:lang w:eastAsia="zh-CN"/>
        </w:rPr>
        <w:t xml:space="preserve">Yael Victoria MIARA (Mrs.), IPR Manager, Grapa Varieties Ltd, Zichron Yaakov (e-mail: ered@grapaes.com)  </w:t>
      </w:r>
    </w:p>
    <w:p w:rsidR="00504E54" w:rsidRPr="0027407A" w:rsidRDefault="00504E54" w:rsidP="00504E54">
      <w:pPr>
        <w:rPr>
          <w:rFonts w:cs="Arial"/>
          <w:lang w:eastAsia="zh-CN"/>
        </w:rPr>
      </w:pPr>
    </w:p>
    <w:p w:rsidR="00504E54" w:rsidRPr="00BC437F" w:rsidRDefault="00504E54" w:rsidP="00504E54">
      <w:pPr>
        <w:rPr>
          <w:rFonts w:cs="Arial"/>
          <w:u w:val="single"/>
          <w:lang w:val="fr-CH" w:eastAsia="zh-CN"/>
        </w:rPr>
      </w:pPr>
      <w:r w:rsidRPr="00BC437F">
        <w:rPr>
          <w:rFonts w:cs="Arial"/>
          <w:u w:val="single"/>
          <w:lang w:val="fr-CH" w:eastAsia="zh-CN"/>
        </w:rPr>
        <w:t>CROPLIFE INTERNATIONAL</w:t>
      </w:r>
    </w:p>
    <w:p w:rsidR="00504E54" w:rsidRPr="00BC437F" w:rsidRDefault="00504E54" w:rsidP="00504E54">
      <w:pPr>
        <w:rPr>
          <w:rFonts w:cs="Arial"/>
          <w:lang w:val="fr-CH" w:eastAsia="zh-CN"/>
        </w:rPr>
      </w:pPr>
    </w:p>
    <w:p w:rsidR="00504E54" w:rsidRPr="0025134D" w:rsidRDefault="00504E54" w:rsidP="00504E54">
      <w:pPr>
        <w:rPr>
          <w:rFonts w:cs="Arial"/>
          <w:lang w:val="fr-CH" w:eastAsia="zh-CN"/>
        </w:rPr>
      </w:pPr>
      <w:r w:rsidRPr="0025134D">
        <w:rPr>
          <w:rFonts w:cs="Arial"/>
          <w:lang w:val="fr-CH" w:eastAsia="zh-CN"/>
        </w:rPr>
        <w:t xml:space="preserve">Marcel BRUINS, Consultant, CropLife International, Bruxelles (e-mail: mbruins1964@gmail.com)  </w:t>
      </w:r>
    </w:p>
    <w:p w:rsidR="00504E54" w:rsidRPr="0025134D" w:rsidRDefault="00504E54" w:rsidP="00504E54">
      <w:pPr>
        <w:rPr>
          <w:rFonts w:cs="Arial"/>
          <w:lang w:val="fr-CH" w:eastAsia="zh-CN"/>
        </w:rPr>
      </w:pPr>
    </w:p>
    <w:p w:rsidR="00504E54" w:rsidRPr="00FE04A2" w:rsidRDefault="00504E54" w:rsidP="00504E54">
      <w:pPr>
        <w:keepNext/>
        <w:rPr>
          <w:rFonts w:cs="Arial"/>
          <w:u w:val="single"/>
          <w:lang w:eastAsia="zh-CN"/>
        </w:rPr>
      </w:pPr>
      <w:r w:rsidRPr="00FE04A2">
        <w:rPr>
          <w:rFonts w:cs="Arial"/>
          <w:u w:val="single"/>
          <w:lang w:eastAsia="zh-CN"/>
        </w:rPr>
        <w:t>EUROPEAN SEED ASSOCIATION (ESA)</w:t>
      </w:r>
    </w:p>
    <w:p w:rsidR="00504E54" w:rsidRPr="00FE04A2" w:rsidRDefault="00504E54" w:rsidP="00504E54">
      <w:pPr>
        <w:keepNext/>
        <w:rPr>
          <w:rFonts w:cs="Arial"/>
          <w:lang w:eastAsia="zh-CN"/>
        </w:rPr>
      </w:pPr>
    </w:p>
    <w:p w:rsidR="00504E54" w:rsidRPr="00FE04A2" w:rsidRDefault="00504E54" w:rsidP="00504E54">
      <w:pPr>
        <w:keepNext/>
        <w:rPr>
          <w:rFonts w:cs="Arial"/>
          <w:lang w:eastAsia="zh-CN"/>
        </w:rPr>
      </w:pPr>
      <w:r w:rsidRPr="00FE04A2">
        <w:rPr>
          <w:rFonts w:cs="Arial"/>
          <w:lang w:eastAsia="zh-CN"/>
        </w:rPr>
        <w:t>Bert SCHOLTE, Technical Director, Bruxelles (email: bertscholte@euroseeds.</w:t>
      </w:r>
      <w:r>
        <w:rPr>
          <w:rFonts w:cs="Arial"/>
          <w:lang w:eastAsia="zh-CN"/>
        </w:rPr>
        <w:t>eu</w:t>
      </w:r>
      <w:r w:rsidRPr="00FE04A2">
        <w:rPr>
          <w:rFonts w:cs="Arial"/>
          <w:lang w:eastAsia="zh-CN"/>
        </w:rPr>
        <w:t>)</w:t>
      </w:r>
    </w:p>
    <w:p w:rsidR="00504E54" w:rsidRPr="00FE04A2" w:rsidRDefault="00504E54" w:rsidP="00504E54">
      <w:pPr>
        <w:keepNext/>
        <w:rPr>
          <w:rFonts w:cs="Arial"/>
          <w:lang w:eastAsia="zh-CN"/>
        </w:rPr>
      </w:pPr>
    </w:p>
    <w:p w:rsidR="00504E54" w:rsidRPr="00584829" w:rsidRDefault="00504E54" w:rsidP="00504E54">
      <w:pPr>
        <w:keepNext/>
        <w:rPr>
          <w:rFonts w:cs="Arial"/>
          <w:lang w:eastAsia="zh-CN"/>
        </w:rPr>
      </w:pPr>
      <w:r w:rsidRPr="00584829">
        <w:rPr>
          <w:rFonts w:cs="Arial"/>
          <w:lang w:eastAsia="zh-CN"/>
        </w:rPr>
        <w:t xml:space="preserve">Christiane DUCHENE (Mrs.), IP and Seed Regulation Director, Limagrain, Bruxelles </w:t>
      </w:r>
    </w:p>
    <w:p w:rsidR="00504E54" w:rsidRPr="00FE04A2" w:rsidRDefault="00504E54" w:rsidP="00504E54">
      <w:pPr>
        <w:keepNext/>
        <w:rPr>
          <w:rFonts w:cs="Arial"/>
          <w:lang w:eastAsia="zh-CN"/>
        </w:rPr>
      </w:pPr>
      <w:r w:rsidRPr="00FE04A2">
        <w:rPr>
          <w:rFonts w:cs="Arial"/>
          <w:lang w:eastAsia="zh-CN"/>
        </w:rPr>
        <w:t xml:space="preserve">(e-mail: christiane.duchene@limagrain.com)  </w:t>
      </w:r>
    </w:p>
    <w:p w:rsidR="00504E54" w:rsidRPr="00FE04A2" w:rsidRDefault="00504E54" w:rsidP="00504E54">
      <w:pPr>
        <w:keepNext/>
        <w:rPr>
          <w:rFonts w:cs="Arial"/>
          <w:lang w:eastAsia="zh-CN"/>
        </w:rPr>
      </w:pPr>
    </w:p>
    <w:p w:rsidR="00504E54" w:rsidRPr="004C018F" w:rsidRDefault="00504E54" w:rsidP="00504E54">
      <w:pPr>
        <w:keepNext/>
        <w:rPr>
          <w:rFonts w:cs="Arial"/>
          <w:lang w:eastAsia="zh-CN"/>
        </w:rPr>
      </w:pPr>
      <w:r w:rsidRPr="004C018F">
        <w:rPr>
          <w:rFonts w:cs="Arial"/>
          <w:lang w:eastAsia="zh-CN"/>
        </w:rPr>
        <w:t xml:space="preserve">Christina DIMOPOULOU, Interim Junior Lawyer, Bruxelles (e-mail: dimopoulou@euroseeds.eu)  </w:t>
      </w:r>
    </w:p>
    <w:p w:rsidR="00504E54" w:rsidRDefault="00504E54" w:rsidP="00504E54">
      <w:pPr>
        <w:rPr>
          <w:rFonts w:cs="Arial"/>
          <w:u w:val="single"/>
          <w:lang w:eastAsia="zh-CN"/>
        </w:rPr>
      </w:pPr>
    </w:p>
    <w:p w:rsidR="00504E54" w:rsidRPr="0027407A" w:rsidRDefault="00504E54" w:rsidP="00504E54">
      <w:pPr>
        <w:rPr>
          <w:rFonts w:cs="Arial"/>
          <w:u w:val="single"/>
          <w:lang w:eastAsia="zh-CN"/>
        </w:rPr>
      </w:pPr>
      <w:r w:rsidRPr="0027407A">
        <w:rPr>
          <w:rFonts w:cs="Arial"/>
          <w:u w:val="single"/>
          <w:lang w:eastAsia="zh-CN"/>
        </w:rPr>
        <w:t>INTERNATIONAL SEED FEDERATION (ISF)</w:t>
      </w:r>
    </w:p>
    <w:p w:rsidR="00504E54" w:rsidRDefault="00504E54" w:rsidP="00504E54">
      <w:pPr>
        <w:rPr>
          <w:rFonts w:cs="Arial"/>
          <w:lang w:eastAsia="zh-CN"/>
        </w:rPr>
      </w:pPr>
    </w:p>
    <w:p w:rsidR="00504E54" w:rsidRPr="00897451" w:rsidRDefault="00504E54" w:rsidP="00504E54">
      <w:pPr>
        <w:rPr>
          <w:rFonts w:cs="Arial"/>
          <w:lang w:val="fr-CH" w:eastAsia="zh-CN"/>
        </w:rPr>
      </w:pPr>
      <w:r w:rsidRPr="00897451">
        <w:rPr>
          <w:rFonts w:cs="Arial"/>
          <w:lang w:val="fr-CH" w:eastAsia="zh-CN"/>
        </w:rPr>
        <w:t xml:space="preserve">Michael KELLER, Secretary General, Nyon (e-mail: m.keller@worldseed.org) </w:t>
      </w:r>
    </w:p>
    <w:p w:rsidR="00504E54" w:rsidRPr="00897451" w:rsidRDefault="00504E54" w:rsidP="00504E54">
      <w:pPr>
        <w:rPr>
          <w:rFonts w:cs="Arial"/>
          <w:lang w:val="fr-CH" w:eastAsia="zh-CN"/>
        </w:rPr>
      </w:pPr>
    </w:p>
    <w:p w:rsidR="00504E54" w:rsidRDefault="00504E54" w:rsidP="00504E54">
      <w:pPr>
        <w:rPr>
          <w:rFonts w:cs="Arial"/>
          <w:lang w:val="fr-CH" w:eastAsia="zh-CN"/>
        </w:rPr>
      </w:pPr>
      <w:r w:rsidRPr="00B3251D">
        <w:rPr>
          <w:rFonts w:cs="Arial"/>
          <w:lang w:val="fr-CH" w:eastAsia="zh-CN"/>
        </w:rPr>
        <w:t>Hélène GUILLOT (Mlle), Juriste, Union Française des Semenciers (UFS), Paris</w:t>
      </w:r>
    </w:p>
    <w:p w:rsidR="00504E54" w:rsidRPr="00584829" w:rsidRDefault="00504E54" w:rsidP="00504E54">
      <w:pPr>
        <w:rPr>
          <w:rFonts w:cs="Arial"/>
          <w:lang w:eastAsia="zh-CN"/>
        </w:rPr>
      </w:pPr>
      <w:r w:rsidRPr="00584829">
        <w:rPr>
          <w:rFonts w:cs="Arial"/>
          <w:lang w:eastAsia="zh-CN"/>
        </w:rPr>
        <w:t xml:space="preserve">(e-mail: helene.guillot@ufs-asso.com)  </w:t>
      </w:r>
    </w:p>
    <w:p w:rsidR="00504E54" w:rsidRPr="00584829" w:rsidRDefault="00504E54" w:rsidP="00504E54">
      <w:pPr>
        <w:rPr>
          <w:rFonts w:cs="Arial"/>
          <w:lang w:eastAsia="zh-CN"/>
        </w:rPr>
      </w:pPr>
    </w:p>
    <w:p w:rsidR="00504E54" w:rsidRPr="0034041B" w:rsidRDefault="00504E54" w:rsidP="00504E54">
      <w:pPr>
        <w:rPr>
          <w:rFonts w:cs="Arial"/>
          <w:lang w:eastAsia="zh-CN"/>
        </w:rPr>
      </w:pPr>
      <w:r w:rsidRPr="0034041B">
        <w:rPr>
          <w:rFonts w:cs="Arial"/>
          <w:lang w:eastAsia="zh-CN"/>
        </w:rPr>
        <w:t>Michael ROTH, Executive Vice-President &amp; General Counsel, Arvegenix LLC, St. Louis</w:t>
      </w:r>
    </w:p>
    <w:p w:rsidR="00504E54" w:rsidRPr="009307DB" w:rsidRDefault="00504E54" w:rsidP="00504E54">
      <w:pPr>
        <w:rPr>
          <w:rFonts w:cs="Arial"/>
          <w:lang w:eastAsia="zh-CN"/>
        </w:rPr>
      </w:pPr>
      <w:r w:rsidRPr="0034041B">
        <w:rPr>
          <w:rFonts w:cs="Arial"/>
          <w:lang w:eastAsia="zh-CN"/>
        </w:rPr>
        <w:t>(e-mail: seed.law@gmail.com)</w:t>
      </w:r>
    </w:p>
    <w:p w:rsidR="00504E54" w:rsidRPr="009307DB" w:rsidRDefault="00504E54" w:rsidP="00504E54">
      <w:pPr>
        <w:rPr>
          <w:rFonts w:cs="Arial"/>
          <w:lang w:eastAsia="zh-CN"/>
        </w:rPr>
      </w:pPr>
    </w:p>
    <w:p w:rsidR="00504E54" w:rsidRPr="0093340E" w:rsidRDefault="00504E54" w:rsidP="00504E54">
      <w:pPr>
        <w:rPr>
          <w:rFonts w:cs="Arial"/>
          <w:lang w:eastAsia="zh-CN"/>
        </w:rPr>
      </w:pPr>
      <w:r w:rsidRPr="0093340E">
        <w:rPr>
          <w:rFonts w:cs="Arial"/>
          <w:lang w:eastAsia="zh-CN"/>
        </w:rPr>
        <w:t xml:space="preserve">Astrid M. SCHENKEVELD (Mrs.), Specialist, Variety Registration &amp; Protection, Rijk Zwaan Zaadteelt en Zaadhandel B.V., De Lier (e-mail: a.schenkeveld@rijkzwaan.nl)  </w:t>
      </w:r>
    </w:p>
    <w:p w:rsidR="00504E54" w:rsidRPr="00EC3160" w:rsidRDefault="00504E54" w:rsidP="00504E54">
      <w:pPr>
        <w:keepNext/>
        <w:rPr>
          <w:rFonts w:cs="Arial"/>
          <w:u w:val="single"/>
          <w:lang w:eastAsia="zh-CN"/>
        </w:rPr>
      </w:pPr>
      <w:r w:rsidRPr="00EC3160">
        <w:rPr>
          <w:rFonts w:cs="Arial"/>
          <w:u w:val="single"/>
          <w:lang w:eastAsia="zh-CN"/>
        </w:rPr>
        <w:lastRenderedPageBreak/>
        <w:t>SEED ASSOCIATION OF THE AMERICAS (SAA)</w:t>
      </w:r>
    </w:p>
    <w:p w:rsidR="00504E54" w:rsidRDefault="00504E54" w:rsidP="00504E54">
      <w:pPr>
        <w:keepNext/>
        <w:rPr>
          <w:rFonts w:cs="Arial"/>
          <w:lang w:eastAsia="zh-CN"/>
        </w:rPr>
      </w:pPr>
    </w:p>
    <w:p w:rsidR="00504E54" w:rsidRPr="004C018F" w:rsidRDefault="00504E54" w:rsidP="00504E54">
      <w:pPr>
        <w:keepNext/>
        <w:rPr>
          <w:rFonts w:cs="Arial"/>
          <w:lang w:eastAsia="zh-CN"/>
        </w:rPr>
      </w:pPr>
      <w:r>
        <w:rPr>
          <w:rFonts w:cs="Arial"/>
          <w:lang w:eastAsia="zh-CN"/>
        </w:rPr>
        <w:t>Diego RISSO, Secretary General, Montevideo (e-mail: drisso@saaseed.org)</w:t>
      </w:r>
    </w:p>
    <w:p w:rsidR="00504E54" w:rsidRPr="00FE04A2" w:rsidRDefault="00504E54" w:rsidP="00504E54">
      <w:pPr>
        <w:keepNext/>
        <w:adjustRightInd w:val="0"/>
        <w:jc w:val="center"/>
        <w:rPr>
          <w:rFonts w:cs="Arial"/>
        </w:rPr>
      </w:pPr>
    </w:p>
    <w:p w:rsidR="00504E54" w:rsidRPr="00FE04A2" w:rsidRDefault="00504E54" w:rsidP="00504E54">
      <w:pPr>
        <w:keepNext/>
        <w:adjustRightInd w:val="0"/>
        <w:jc w:val="center"/>
        <w:rPr>
          <w:rFonts w:cs="Arial"/>
        </w:rPr>
      </w:pPr>
    </w:p>
    <w:p w:rsidR="00504E54" w:rsidRPr="00584829" w:rsidRDefault="00504E54" w:rsidP="00504E54">
      <w:pPr>
        <w:keepNext/>
        <w:adjustRightInd w:val="0"/>
        <w:jc w:val="center"/>
        <w:rPr>
          <w:rFonts w:cs="Arial"/>
          <w:u w:val="single"/>
        </w:rPr>
      </w:pPr>
      <w:r>
        <w:rPr>
          <w:rFonts w:cs="Arial"/>
        </w:rPr>
        <w:t>I</w:t>
      </w:r>
      <w:r w:rsidRPr="00584829">
        <w:rPr>
          <w:rFonts w:cs="Arial"/>
        </w:rPr>
        <w:t>V.</w:t>
      </w:r>
      <w:r w:rsidRPr="00584829">
        <w:rPr>
          <w:rFonts w:cs="Arial"/>
        </w:rPr>
        <w:tab/>
      </w:r>
      <w:r w:rsidRPr="00584829">
        <w:rPr>
          <w:rFonts w:cs="Arial"/>
          <w:u w:val="single"/>
        </w:rPr>
        <w:t>BUREAU / OFFICER / VORSITZ / OFICINA</w:t>
      </w:r>
    </w:p>
    <w:p w:rsidR="00504E54" w:rsidRPr="00584829" w:rsidRDefault="00504E54" w:rsidP="00504E54">
      <w:pPr>
        <w:adjustRightInd w:val="0"/>
        <w:jc w:val="center"/>
        <w:rPr>
          <w:rFonts w:cs="Arial"/>
        </w:rPr>
      </w:pPr>
    </w:p>
    <w:p w:rsidR="00504E54" w:rsidRPr="00584829" w:rsidRDefault="00504E54" w:rsidP="00504E54">
      <w:pPr>
        <w:adjustRightInd w:val="0"/>
        <w:rPr>
          <w:rFonts w:cs="Arial"/>
          <w:color w:val="000000"/>
        </w:rPr>
      </w:pPr>
      <w:r w:rsidRPr="00584829">
        <w:rPr>
          <w:rFonts w:cs="Arial"/>
          <w:color w:val="000000"/>
        </w:rPr>
        <w:t>Martin EKVAD, Chair</w:t>
      </w:r>
    </w:p>
    <w:p w:rsidR="00504E54" w:rsidRPr="00584829" w:rsidRDefault="00504E54" w:rsidP="00504E54">
      <w:pPr>
        <w:keepNext/>
        <w:adjustRightInd w:val="0"/>
        <w:jc w:val="center"/>
        <w:rPr>
          <w:rFonts w:cs="Arial"/>
          <w:u w:val="single"/>
        </w:rPr>
      </w:pPr>
    </w:p>
    <w:p w:rsidR="00504E54" w:rsidRPr="00584829" w:rsidRDefault="00504E54" w:rsidP="00504E54">
      <w:pPr>
        <w:keepNext/>
        <w:adjustRightInd w:val="0"/>
        <w:jc w:val="center"/>
        <w:rPr>
          <w:rFonts w:cs="Arial"/>
        </w:rPr>
      </w:pPr>
    </w:p>
    <w:p w:rsidR="00504E54" w:rsidRPr="00414529" w:rsidRDefault="00504E54" w:rsidP="00504E54">
      <w:pPr>
        <w:keepNext/>
        <w:adjustRightInd w:val="0"/>
        <w:jc w:val="center"/>
        <w:rPr>
          <w:rFonts w:cs="Arial"/>
          <w:u w:val="single"/>
        </w:rPr>
      </w:pP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504E54" w:rsidRPr="00B4049B" w:rsidRDefault="00504E54" w:rsidP="00504E54">
      <w:pPr>
        <w:rPr>
          <w:rFonts w:cs="Arial"/>
          <w:lang w:eastAsia="zh-CN"/>
        </w:rPr>
      </w:pPr>
    </w:p>
    <w:p w:rsidR="00504E54" w:rsidRPr="009143B2" w:rsidRDefault="00504E54" w:rsidP="00504E54">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504E54" w:rsidRPr="00B4049B" w:rsidRDefault="00504E54" w:rsidP="00504E54">
      <w:pPr>
        <w:rPr>
          <w:rFonts w:cs="Arial"/>
          <w:lang w:eastAsia="zh-CN"/>
        </w:rPr>
      </w:pPr>
    </w:p>
    <w:p w:rsidR="00504E54" w:rsidRPr="004E03B4" w:rsidRDefault="00504E54" w:rsidP="00504E54">
      <w:pPr>
        <w:rPr>
          <w:rFonts w:cs="Arial"/>
          <w:lang w:eastAsia="zh-CN"/>
        </w:rPr>
      </w:pPr>
      <w:r w:rsidRPr="004E03B4">
        <w:rPr>
          <w:rFonts w:cs="Arial"/>
          <w:lang w:eastAsia="zh-CN"/>
        </w:rPr>
        <w:t xml:space="preserve">Yolanda HUERTA (Ms.), Legal Counsel </w:t>
      </w:r>
    </w:p>
    <w:p w:rsidR="00504E54" w:rsidRPr="004E03B4" w:rsidRDefault="00504E54" w:rsidP="00504E54">
      <w:pPr>
        <w:rPr>
          <w:rFonts w:cs="Arial"/>
          <w:lang w:eastAsia="zh-CN"/>
        </w:rPr>
      </w:pPr>
    </w:p>
    <w:p w:rsidR="00504E54" w:rsidRPr="009143B2" w:rsidRDefault="00504E54" w:rsidP="00504E54">
      <w:pPr>
        <w:rPr>
          <w:rFonts w:cs="Arial"/>
          <w:lang w:eastAsia="zh-CN"/>
        </w:rPr>
      </w:pPr>
      <w:r w:rsidRPr="009143B2">
        <w:rPr>
          <w:rFonts w:cs="Arial"/>
          <w:lang w:eastAsia="zh-CN"/>
        </w:rPr>
        <w:t>Jun KOIDE, Technical/Regional Officer (Asia)</w:t>
      </w:r>
    </w:p>
    <w:p w:rsidR="00504E54" w:rsidRPr="00B4049B" w:rsidRDefault="00504E54" w:rsidP="00504E54">
      <w:pPr>
        <w:rPr>
          <w:rFonts w:cs="Arial"/>
          <w:lang w:eastAsia="zh-CN"/>
        </w:rPr>
      </w:pPr>
    </w:p>
    <w:p w:rsidR="00504E54" w:rsidRDefault="00504E54" w:rsidP="00504E54">
      <w:pPr>
        <w:rPr>
          <w:rFonts w:cs="Arial"/>
          <w:lang w:eastAsia="zh-CN"/>
        </w:rPr>
      </w:pPr>
      <w:r w:rsidRPr="009143B2">
        <w:rPr>
          <w:rFonts w:cs="Arial"/>
          <w:lang w:eastAsia="zh-CN"/>
        </w:rPr>
        <w:t>Ben RIVOIRE, Technical/Regional Officer (Africa, Arab Countries)</w:t>
      </w:r>
    </w:p>
    <w:p w:rsidR="00504E54" w:rsidRDefault="00504E54" w:rsidP="00504E54">
      <w:pPr>
        <w:rPr>
          <w:rFonts w:cs="Arial"/>
          <w:lang w:eastAsia="zh-CN"/>
        </w:rPr>
      </w:pPr>
    </w:p>
    <w:p w:rsidR="00504E54" w:rsidRPr="009143B2" w:rsidRDefault="00504E54" w:rsidP="00504E54">
      <w:pPr>
        <w:rPr>
          <w:rFonts w:cs="Arial"/>
          <w:lang w:eastAsia="zh-CN"/>
        </w:rPr>
      </w:pPr>
      <w:r w:rsidRPr="009143B2">
        <w:rPr>
          <w:rFonts w:cs="Arial"/>
          <w:lang w:eastAsia="zh-CN"/>
        </w:rPr>
        <w:t>Leontino TAVEIRA, Technical/Regional Officer (Latin America, Caribbean)</w:t>
      </w:r>
    </w:p>
    <w:p w:rsidR="00504E54" w:rsidRDefault="00504E54" w:rsidP="00504E54">
      <w:pPr>
        <w:rPr>
          <w:rFonts w:cs="Arial"/>
          <w:lang w:eastAsia="zh-CN"/>
        </w:rPr>
      </w:pPr>
    </w:p>
    <w:p w:rsidR="00504E54" w:rsidRPr="00023E3A" w:rsidRDefault="00504E54" w:rsidP="00504E54">
      <w:pPr>
        <w:rPr>
          <w:rFonts w:cs="Arial"/>
          <w:lang w:val="fr-CH" w:eastAsia="zh-CN"/>
        </w:rPr>
      </w:pPr>
      <w:r w:rsidRPr="00023E3A">
        <w:rPr>
          <w:rFonts w:cs="Arial"/>
          <w:lang w:val="fr-CH" w:eastAsia="zh-CN"/>
        </w:rPr>
        <w:t>Ariane BESSE (Ms.</w:t>
      </w:r>
      <w:r>
        <w:rPr>
          <w:rFonts w:cs="Arial"/>
          <w:lang w:val="fr-CH" w:eastAsia="zh-CN"/>
        </w:rPr>
        <w:t>)</w:t>
      </w:r>
      <w:r w:rsidRPr="00023E3A">
        <w:rPr>
          <w:rFonts w:cs="Arial"/>
          <w:lang w:val="fr-CH" w:eastAsia="zh-CN"/>
        </w:rPr>
        <w:t>, Administrative Assistant</w:t>
      </w:r>
    </w:p>
    <w:p w:rsidR="00504E54" w:rsidRDefault="00504E54" w:rsidP="00504E54">
      <w:pPr>
        <w:rPr>
          <w:rFonts w:cs="Arial"/>
          <w:lang w:val="fr-CH"/>
        </w:rPr>
      </w:pPr>
    </w:p>
    <w:p w:rsidR="00504E54" w:rsidRPr="00023E3A" w:rsidRDefault="00504E54" w:rsidP="00504E54">
      <w:pPr>
        <w:rPr>
          <w:rFonts w:cs="Arial"/>
          <w:lang w:val="fr-CH"/>
        </w:rPr>
      </w:pPr>
    </w:p>
    <w:p w:rsidR="00504E54" w:rsidRPr="00337A64" w:rsidRDefault="00504E54" w:rsidP="00504E54">
      <w:pPr>
        <w:jc w:val="right"/>
        <w:rPr>
          <w:rFonts w:cs="Arial"/>
          <w:lang w:val="fr-CH"/>
        </w:rPr>
      </w:pPr>
      <w:r w:rsidRPr="00337A64">
        <w:rPr>
          <w:rFonts w:cs="Arial"/>
          <w:lang w:val="fr-CH"/>
        </w:rPr>
        <w:t xml:space="preserve">[Fin de l’annexe et du document / </w:t>
      </w:r>
    </w:p>
    <w:p w:rsidR="00504E54" w:rsidRPr="00337A64" w:rsidRDefault="00504E54" w:rsidP="00504E54">
      <w:pPr>
        <w:jc w:val="right"/>
        <w:rPr>
          <w:rFonts w:cs="Arial"/>
          <w:lang w:val="fr-CH"/>
        </w:rPr>
      </w:pPr>
      <w:r w:rsidRPr="00337A64">
        <w:rPr>
          <w:rFonts w:cs="Arial"/>
          <w:lang w:val="fr-CH"/>
        </w:rPr>
        <w:t xml:space="preserve">End of Annex and of document / </w:t>
      </w:r>
    </w:p>
    <w:p w:rsidR="00504E54" w:rsidRPr="00337A64" w:rsidRDefault="00504E54" w:rsidP="00504E54">
      <w:pPr>
        <w:jc w:val="right"/>
        <w:rPr>
          <w:rFonts w:cs="Arial"/>
          <w:lang w:val="fr-CH"/>
        </w:rPr>
      </w:pPr>
      <w:r w:rsidRPr="00337A64">
        <w:rPr>
          <w:rFonts w:cs="Arial"/>
          <w:lang w:val="fr-CH"/>
        </w:rPr>
        <w:t xml:space="preserve">Ende der Anlage und des Dokuments / </w:t>
      </w:r>
    </w:p>
    <w:p w:rsidR="00504E54" w:rsidRPr="00337A64" w:rsidRDefault="00504E54" w:rsidP="00504E54">
      <w:pPr>
        <w:jc w:val="right"/>
        <w:rPr>
          <w:rFonts w:cs="Arial"/>
          <w:lang w:val="es-ES"/>
        </w:rPr>
      </w:pPr>
      <w:r w:rsidRPr="00337A64">
        <w:rPr>
          <w:rFonts w:cs="Arial"/>
          <w:lang w:val="fr-CH"/>
        </w:rPr>
        <w:t xml:space="preserve">Fin del Anexo y del </w:t>
      </w:r>
      <w:r w:rsidRPr="00337A64">
        <w:rPr>
          <w:rFonts w:cs="Arial"/>
          <w:lang w:val="es-ES"/>
        </w:rPr>
        <w:t>documento]</w:t>
      </w:r>
    </w:p>
    <w:p w:rsidR="00504E54" w:rsidRPr="00337A64" w:rsidRDefault="00504E54" w:rsidP="00504E54">
      <w:pPr>
        <w:rPr>
          <w:rFonts w:cs="Arial"/>
          <w:lang w:val="es-ES" w:eastAsia="zh-CN"/>
        </w:rPr>
      </w:pPr>
    </w:p>
    <w:p w:rsidR="00504E54" w:rsidRPr="007528A3" w:rsidRDefault="00504E54" w:rsidP="00504E54"/>
    <w:p w:rsidR="00120D65" w:rsidRPr="005C556C" w:rsidRDefault="00120D65" w:rsidP="00504E54">
      <w:pPr>
        <w:jc w:val="left"/>
        <w:rPr>
          <w:lang w:val="fr-FR"/>
        </w:rPr>
      </w:pPr>
    </w:p>
    <w:sectPr w:rsidR="00120D65" w:rsidRPr="005C556C" w:rsidSect="00120D65">
      <w:headerReference w:type="defaul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A2" w:rsidRDefault="005219A2">
      <w:r>
        <w:separator/>
      </w:r>
    </w:p>
    <w:p w:rsidR="005219A2" w:rsidRDefault="005219A2"/>
    <w:p w:rsidR="005219A2" w:rsidRDefault="005219A2"/>
  </w:endnote>
  <w:endnote w:type="continuationSeparator" w:id="0">
    <w:p w:rsidR="005219A2" w:rsidRDefault="005219A2">
      <w:r>
        <w:separator/>
      </w:r>
    </w:p>
    <w:p w:rsidR="005219A2" w:rsidRPr="00664515" w:rsidRDefault="005219A2">
      <w:pPr>
        <w:pStyle w:val="Footer"/>
        <w:spacing w:after="60"/>
        <w:rPr>
          <w:sz w:val="18"/>
          <w:lang w:val="fr-CH"/>
        </w:rPr>
      </w:pPr>
      <w:r w:rsidRPr="00664515">
        <w:rPr>
          <w:sz w:val="18"/>
          <w:lang w:val="fr-CH"/>
        </w:rPr>
        <w:t>[Suite de la note de la page précédente]</w:t>
      </w:r>
    </w:p>
    <w:p w:rsidR="005219A2" w:rsidRPr="00664515" w:rsidRDefault="005219A2">
      <w:pPr>
        <w:rPr>
          <w:lang w:val="fr-CH"/>
        </w:rPr>
      </w:pPr>
    </w:p>
    <w:p w:rsidR="005219A2" w:rsidRPr="00664515" w:rsidRDefault="005219A2">
      <w:pPr>
        <w:rPr>
          <w:lang w:val="fr-CH"/>
        </w:rPr>
      </w:pPr>
    </w:p>
  </w:endnote>
  <w:endnote w:type="continuationNotice" w:id="1">
    <w:p w:rsidR="005219A2" w:rsidRPr="00664515" w:rsidRDefault="005219A2">
      <w:pPr>
        <w:spacing w:before="60"/>
        <w:jc w:val="right"/>
        <w:rPr>
          <w:sz w:val="18"/>
          <w:lang w:val="fr-CH"/>
        </w:rPr>
      </w:pPr>
      <w:r w:rsidRPr="00664515">
        <w:rPr>
          <w:sz w:val="18"/>
          <w:lang w:val="fr-CH"/>
        </w:rPr>
        <w:t>[Suite de la note page suivante]</w:t>
      </w:r>
    </w:p>
    <w:p w:rsidR="005219A2" w:rsidRPr="00664515" w:rsidRDefault="005219A2">
      <w:pPr>
        <w:rPr>
          <w:lang w:val="fr-CH"/>
        </w:rPr>
      </w:pPr>
    </w:p>
    <w:p w:rsidR="005219A2" w:rsidRPr="00664515" w:rsidRDefault="005219A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54" w:rsidRPr="00504E54" w:rsidRDefault="00504E54" w:rsidP="0050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A2" w:rsidRDefault="005219A2" w:rsidP="009D690D">
      <w:pPr>
        <w:spacing w:before="120"/>
      </w:pPr>
      <w:r>
        <w:separator/>
      </w:r>
    </w:p>
  </w:footnote>
  <w:footnote w:type="continuationSeparator" w:id="0">
    <w:p w:rsidR="005219A2" w:rsidRDefault="005219A2" w:rsidP="00520297">
      <w:pPr>
        <w:spacing w:before="120"/>
        <w:jc w:val="left"/>
      </w:pPr>
      <w:r>
        <w:separator/>
      </w:r>
    </w:p>
  </w:footnote>
  <w:footnote w:type="continuationNotice" w:id="1">
    <w:p w:rsidR="005219A2" w:rsidRDefault="005219A2"/>
  </w:footnote>
  <w:footnote w:id="2">
    <w:p w:rsidR="005219A2" w:rsidRPr="00C06AC6" w:rsidRDefault="005219A2">
      <w:pPr>
        <w:pStyle w:val="FootnoteText"/>
        <w:rPr>
          <w:lang w:val="fr-CH"/>
        </w:rPr>
      </w:pPr>
      <w:r>
        <w:rPr>
          <w:rStyle w:val="FootnoteReference"/>
        </w:rPr>
        <w:footnoteRef/>
      </w:r>
      <w:r>
        <w:t xml:space="preserve"> </w:t>
      </w:r>
      <w:r>
        <w:rPr>
          <w:lang w:val="fr-CH"/>
        </w:rPr>
        <w:tab/>
        <w:t>Voir le paragraphe 21 du document CAJ</w:t>
      </w:r>
      <w:r w:rsidRPr="00C06AC6">
        <w:rPr>
          <w:lang w:val="fr-FR"/>
        </w:rPr>
        <w:noBreakHyphen/>
      </w:r>
      <w:r>
        <w:rPr>
          <w:lang w:val="fr-FR"/>
        </w:rPr>
        <w:t>AG/14/9/6 “Compte</w:t>
      </w:r>
      <w:r w:rsidRPr="00C06AC6">
        <w:rPr>
          <w:lang w:val="fr-FR"/>
        </w:rPr>
        <w:noBreakHyphen/>
      </w:r>
      <w:r>
        <w:rPr>
          <w:lang w:val="fr-FR"/>
        </w:rPr>
        <w:t>rendu des conclusions”.</w:t>
      </w:r>
    </w:p>
  </w:footnote>
  <w:footnote w:id="3">
    <w:p w:rsidR="005219A2" w:rsidRPr="00C06AC6" w:rsidRDefault="005219A2">
      <w:pPr>
        <w:pStyle w:val="FootnoteText"/>
        <w:rPr>
          <w:lang w:val="fr-CH"/>
        </w:rPr>
      </w:pPr>
      <w:r>
        <w:rPr>
          <w:rStyle w:val="FootnoteReference"/>
        </w:rPr>
        <w:footnoteRef/>
      </w:r>
      <w:r>
        <w:t xml:space="preserve"> </w:t>
      </w:r>
      <w:r>
        <w:rPr>
          <w:lang w:val="fr-CH"/>
        </w:rPr>
        <w:tab/>
        <w:t>Voir le paragraphe 22 du document CAJ</w:t>
      </w:r>
      <w:r w:rsidRPr="00C06AC6">
        <w:rPr>
          <w:lang w:val="fr-FR"/>
        </w:rPr>
        <w:noBreakHyphen/>
      </w:r>
      <w:r>
        <w:rPr>
          <w:lang w:val="fr-FR"/>
        </w:rPr>
        <w:t>AG/14/9/6 “Compte</w:t>
      </w:r>
      <w:r w:rsidRPr="00C06AC6">
        <w:rPr>
          <w:lang w:val="fr-FR"/>
        </w:rPr>
        <w:noBreakHyphen/>
      </w:r>
      <w:r>
        <w:rPr>
          <w:lang w:val="fr-FR"/>
        </w:rPr>
        <w:t>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9A2" w:rsidRPr="00997029" w:rsidRDefault="005219A2" w:rsidP="00F26024">
    <w:pPr>
      <w:jc w:val="center"/>
      <w:rPr>
        <w:rStyle w:val="PageNumber"/>
      </w:rPr>
    </w:pPr>
    <w:r>
      <w:rPr>
        <w:rStyle w:val="PageNumber"/>
      </w:rPr>
      <w:t>CAJ/71/10</w:t>
    </w:r>
  </w:p>
  <w:p w:rsidR="005219A2" w:rsidRPr="00997029" w:rsidRDefault="005219A2" w:rsidP="00F26024">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04832">
      <w:rPr>
        <w:rStyle w:val="PageNumber"/>
        <w:noProof/>
      </w:rPr>
      <w:t>12</w:t>
    </w:r>
    <w:r w:rsidRPr="00997029">
      <w:rPr>
        <w:rStyle w:val="PageNumber"/>
      </w:rPr>
      <w:fldChar w:fldCharType="end"/>
    </w:r>
  </w:p>
  <w:p w:rsidR="005219A2" w:rsidRPr="00997029" w:rsidRDefault="005219A2" w:rsidP="00F2602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65" w:rsidRPr="00D41656" w:rsidRDefault="00120D65" w:rsidP="00EB048E">
    <w:pPr>
      <w:pStyle w:val="Header"/>
      <w:rPr>
        <w:rStyle w:val="PageNumber"/>
        <w:lang w:val="fr-CH"/>
      </w:rPr>
    </w:pPr>
    <w:r>
      <w:rPr>
        <w:rStyle w:val="PageNumber"/>
        <w:lang w:val="fr-CH"/>
      </w:rPr>
      <w:t>CAJ/71/10</w:t>
    </w:r>
  </w:p>
  <w:p w:rsidR="00120D65" w:rsidRPr="00D41656" w:rsidRDefault="00120D65" w:rsidP="00120D65">
    <w:pPr>
      <w:jc w:val="cente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704832">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704832">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704832">
      <w:rPr>
        <w:noProof/>
        <w:lang w:val="pt-BR"/>
      </w:rPr>
      <w:t>8</w:t>
    </w:r>
    <w:r w:rsidRPr="00D41656">
      <w:fldChar w:fldCharType="end"/>
    </w:r>
  </w:p>
  <w:p w:rsidR="00120D65" w:rsidRPr="00D41656" w:rsidRDefault="00120D65" w:rsidP="00120D6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4">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PreTradBeta"/>
    <w:docVar w:name="TermBaseURL" w:val="empty"/>
    <w:docVar w:name="TextBases" w:val="UPOV\Meetings|UPOV\Other|UPOV\Publications|UPOV\Technical Guidelines|Treaties\Model Laws|Treaties\Other Laws and Agreements|Treaties\WIPO-administered|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Glossaries\EN-FR|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641173"/>
    <w:rsid w:val="00000B1E"/>
    <w:rsid w:val="00001380"/>
    <w:rsid w:val="00001D48"/>
    <w:rsid w:val="00010CF3"/>
    <w:rsid w:val="00011E27"/>
    <w:rsid w:val="000147EA"/>
    <w:rsid w:val="000148BC"/>
    <w:rsid w:val="00017623"/>
    <w:rsid w:val="000222EF"/>
    <w:rsid w:val="00024AB8"/>
    <w:rsid w:val="00026EE0"/>
    <w:rsid w:val="0003109F"/>
    <w:rsid w:val="000321F0"/>
    <w:rsid w:val="00034815"/>
    <w:rsid w:val="00036028"/>
    <w:rsid w:val="00041521"/>
    <w:rsid w:val="000446B9"/>
    <w:rsid w:val="00046C2F"/>
    <w:rsid w:val="000473B6"/>
    <w:rsid w:val="00047E21"/>
    <w:rsid w:val="00057A83"/>
    <w:rsid w:val="00057D86"/>
    <w:rsid w:val="00061CE0"/>
    <w:rsid w:val="0006472C"/>
    <w:rsid w:val="00085505"/>
    <w:rsid w:val="00087F5E"/>
    <w:rsid w:val="0009345E"/>
    <w:rsid w:val="000C4D11"/>
    <w:rsid w:val="000C6298"/>
    <w:rsid w:val="000C6DEE"/>
    <w:rsid w:val="000C7021"/>
    <w:rsid w:val="000C73CA"/>
    <w:rsid w:val="000D492E"/>
    <w:rsid w:val="000D6BBC"/>
    <w:rsid w:val="000D7780"/>
    <w:rsid w:val="000E3E0B"/>
    <w:rsid w:val="000E3E11"/>
    <w:rsid w:val="000F3EC8"/>
    <w:rsid w:val="00100172"/>
    <w:rsid w:val="00105929"/>
    <w:rsid w:val="001061BF"/>
    <w:rsid w:val="00110481"/>
    <w:rsid w:val="001131D5"/>
    <w:rsid w:val="00120D65"/>
    <w:rsid w:val="00121F8C"/>
    <w:rsid w:val="0013198F"/>
    <w:rsid w:val="00141DB8"/>
    <w:rsid w:val="00141F8A"/>
    <w:rsid w:val="00155F6F"/>
    <w:rsid w:val="0017474A"/>
    <w:rsid w:val="001758C6"/>
    <w:rsid w:val="00175AE8"/>
    <w:rsid w:val="00175FFD"/>
    <w:rsid w:val="001831F7"/>
    <w:rsid w:val="00184A76"/>
    <w:rsid w:val="001A4E9B"/>
    <w:rsid w:val="001B0A14"/>
    <w:rsid w:val="001B183F"/>
    <w:rsid w:val="001B22AA"/>
    <w:rsid w:val="001C3DF3"/>
    <w:rsid w:val="001D0C9E"/>
    <w:rsid w:val="001E5862"/>
    <w:rsid w:val="001F060E"/>
    <w:rsid w:val="001F1F2A"/>
    <w:rsid w:val="001F1F4F"/>
    <w:rsid w:val="0021332C"/>
    <w:rsid w:val="00213982"/>
    <w:rsid w:val="00222A56"/>
    <w:rsid w:val="00231FAB"/>
    <w:rsid w:val="00237C7D"/>
    <w:rsid w:val="0024416D"/>
    <w:rsid w:val="002530DA"/>
    <w:rsid w:val="00253CA5"/>
    <w:rsid w:val="00264B48"/>
    <w:rsid w:val="00264D92"/>
    <w:rsid w:val="0027309C"/>
    <w:rsid w:val="002800A0"/>
    <w:rsid w:val="00280A00"/>
    <w:rsid w:val="00281060"/>
    <w:rsid w:val="0029439F"/>
    <w:rsid w:val="002965AA"/>
    <w:rsid w:val="002A6E50"/>
    <w:rsid w:val="002B05A5"/>
    <w:rsid w:val="002C256A"/>
    <w:rsid w:val="002C6AF6"/>
    <w:rsid w:val="002C6DE0"/>
    <w:rsid w:val="002D54D2"/>
    <w:rsid w:val="002E3844"/>
    <w:rsid w:val="002E7BA1"/>
    <w:rsid w:val="002F266D"/>
    <w:rsid w:val="002F67E2"/>
    <w:rsid w:val="002F78FA"/>
    <w:rsid w:val="00305A7F"/>
    <w:rsid w:val="003073CF"/>
    <w:rsid w:val="00313290"/>
    <w:rsid w:val="003152FE"/>
    <w:rsid w:val="00320263"/>
    <w:rsid w:val="003248E9"/>
    <w:rsid w:val="00327436"/>
    <w:rsid w:val="003303CE"/>
    <w:rsid w:val="00344BD6"/>
    <w:rsid w:val="0035528D"/>
    <w:rsid w:val="00361821"/>
    <w:rsid w:val="00364752"/>
    <w:rsid w:val="003800B6"/>
    <w:rsid w:val="003930BD"/>
    <w:rsid w:val="00396CEE"/>
    <w:rsid w:val="003A17C8"/>
    <w:rsid w:val="003B4EC0"/>
    <w:rsid w:val="003C563E"/>
    <w:rsid w:val="003D1844"/>
    <w:rsid w:val="003D227C"/>
    <w:rsid w:val="003D2B4D"/>
    <w:rsid w:val="003E456C"/>
    <w:rsid w:val="003F6136"/>
    <w:rsid w:val="00405E02"/>
    <w:rsid w:val="00412CE1"/>
    <w:rsid w:val="00413FA1"/>
    <w:rsid w:val="0042159E"/>
    <w:rsid w:val="00427139"/>
    <w:rsid w:val="00427B3A"/>
    <w:rsid w:val="00432B5A"/>
    <w:rsid w:val="00444A88"/>
    <w:rsid w:val="0045155D"/>
    <w:rsid w:val="00454B78"/>
    <w:rsid w:val="00474DA4"/>
    <w:rsid w:val="0048367A"/>
    <w:rsid w:val="00490544"/>
    <w:rsid w:val="004A0CA9"/>
    <w:rsid w:val="004B1B14"/>
    <w:rsid w:val="004B1C88"/>
    <w:rsid w:val="004D047D"/>
    <w:rsid w:val="004E4F91"/>
    <w:rsid w:val="004F305A"/>
    <w:rsid w:val="00501826"/>
    <w:rsid w:val="00504E54"/>
    <w:rsid w:val="00512164"/>
    <w:rsid w:val="00520297"/>
    <w:rsid w:val="005219A2"/>
    <w:rsid w:val="00522C30"/>
    <w:rsid w:val="00523F32"/>
    <w:rsid w:val="005338F9"/>
    <w:rsid w:val="0054281C"/>
    <w:rsid w:val="00551E76"/>
    <w:rsid w:val="0055268D"/>
    <w:rsid w:val="00554CDB"/>
    <w:rsid w:val="00556FFA"/>
    <w:rsid w:val="00566B83"/>
    <w:rsid w:val="005711ED"/>
    <w:rsid w:val="00572E44"/>
    <w:rsid w:val="00576BE4"/>
    <w:rsid w:val="0057792E"/>
    <w:rsid w:val="0058402C"/>
    <w:rsid w:val="005932A9"/>
    <w:rsid w:val="005A400A"/>
    <w:rsid w:val="005A6BAC"/>
    <w:rsid w:val="005B10C6"/>
    <w:rsid w:val="005B1C24"/>
    <w:rsid w:val="005B4DE7"/>
    <w:rsid w:val="005B4F9E"/>
    <w:rsid w:val="005C556C"/>
    <w:rsid w:val="005D1718"/>
    <w:rsid w:val="005E0025"/>
    <w:rsid w:val="005F5022"/>
    <w:rsid w:val="005F5A2A"/>
    <w:rsid w:val="00606248"/>
    <w:rsid w:val="006117E2"/>
    <w:rsid w:val="00612379"/>
    <w:rsid w:val="0061555F"/>
    <w:rsid w:val="00624EFC"/>
    <w:rsid w:val="00641173"/>
    <w:rsid w:val="00641200"/>
    <w:rsid w:val="00661C02"/>
    <w:rsid w:val="00662112"/>
    <w:rsid w:val="00663ED8"/>
    <w:rsid w:val="00664515"/>
    <w:rsid w:val="006652F1"/>
    <w:rsid w:val="00673346"/>
    <w:rsid w:val="00687461"/>
    <w:rsid w:val="00687EB4"/>
    <w:rsid w:val="006B17D2"/>
    <w:rsid w:val="006B45FA"/>
    <w:rsid w:val="006C100B"/>
    <w:rsid w:val="006C2013"/>
    <w:rsid w:val="006C224E"/>
    <w:rsid w:val="006C6D65"/>
    <w:rsid w:val="006E70C5"/>
    <w:rsid w:val="006E7BA5"/>
    <w:rsid w:val="006F2BFF"/>
    <w:rsid w:val="006F4B34"/>
    <w:rsid w:val="00703661"/>
    <w:rsid w:val="00704832"/>
    <w:rsid w:val="007119D6"/>
    <w:rsid w:val="00732DEC"/>
    <w:rsid w:val="00735BD5"/>
    <w:rsid w:val="0073629B"/>
    <w:rsid w:val="0074205B"/>
    <w:rsid w:val="007427CA"/>
    <w:rsid w:val="0075117E"/>
    <w:rsid w:val="007528A3"/>
    <w:rsid w:val="007556F6"/>
    <w:rsid w:val="007561EB"/>
    <w:rsid w:val="00760EAF"/>
    <w:rsid w:val="00760EEF"/>
    <w:rsid w:val="00764BF5"/>
    <w:rsid w:val="0077265A"/>
    <w:rsid w:val="007742A6"/>
    <w:rsid w:val="00774F08"/>
    <w:rsid w:val="00777EE5"/>
    <w:rsid w:val="007821E9"/>
    <w:rsid w:val="00782231"/>
    <w:rsid w:val="007834AD"/>
    <w:rsid w:val="00784836"/>
    <w:rsid w:val="0078723E"/>
    <w:rsid w:val="0079023E"/>
    <w:rsid w:val="00794517"/>
    <w:rsid w:val="007A197B"/>
    <w:rsid w:val="007A3E1E"/>
    <w:rsid w:val="007A6186"/>
    <w:rsid w:val="007B5877"/>
    <w:rsid w:val="007B6894"/>
    <w:rsid w:val="007C1561"/>
    <w:rsid w:val="007C6639"/>
    <w:rsid w:val="007C7EB4"/>
    <w:rsid w:val="007D0B9D"/>
    <w:rsid w:val="007D19B0"/>
    <w:rsid w:val="007E55FC"/>
    <w:rsid w:val="007F04DB"/>
    <w:rsid w:val="007F498F"/>
    <w:rsid w:val="0080264F"/>
    <w:rsid w:val="0080679D"/>
    <w:rsid w:val="008108B0"/>
    <w:rsid w:val="00811B20"/>
    <w:rsid w:val="00815BC8"/>
    <w:rsid w:val="008169FF"/>
    <w:rsid w:val="00817667"/>
    <w:rsid w:val="0082296E"/>
    <w:rsid w:val="00824099"/>
    <w:rsid w:val="00824A4B"/>
    <w:rsid w:val="00836267"/>
    <w:rsid w:val="00836E88"/>
    <w:rsid w:val="00844748"/>
    <w:rsid w:val="008449CC"/>
    <w:rsid w:val="00852CAB"/>
    <w:rsid w:val="00855DBD"/>
    <w:rsid w:val="00856EE1"/>
    <w:rsid w:val="00861CD4"/>
    <w:rsid w:val="00867AC1"/>
    <w:rsid w:val="00872105"/>
    <w:rsid w:val="008724BD"/>
    <w:rsid w:val="0088128E"/>
    <w:rsid w:val="0088417E"/>
    <w:rsid w:val="00890C10"/>
    <w:rsid w:val="00891925"/>
    <w:rsid w:val="00893041"/>
    <w:rsid w:val="00897B05"/>
    <w:rsid w:val="008A395B"/>
    <w:rsid w:val="008A743F"/>
    <w:rsid w:val="008A74DE"/>
    <w:rsid w:val="008B51D0"/>
    <w:rsid w:val="008B6C1D"/>
    <w:rsid w:val="008B77DE"/>
    <w:rsid w:val="008C0970"/>
    <w:rsid w:val="008C0ED1"/>
    <w:rsid w:val="008C63BE"/>
    <w:rsid w:val="008C6F25"/>
    <w:rsid w:val="008D05F7"/>
    <w:rsid w:val="008D093A"/>
    <w:rsid w:val="008D2CF7"/>
    <w:rsid w:val="008E793E"/>
    <w:rsid w:val="00900C26"/>
    <w:rsid w:val="0090197F"/>
    <w:rsid w:val="00906DDC"/>
    <w:rsid w:val="0093169C"/>
    <w:rsid w:val="00934E09"/>
    <w:rsid w:val="00936253"/>
    <w:rsid w:val="009625D4"/>
    <w:rsid w:val="00962E4C"/>
    <w:rsid w:val="00970FED"/>
    <w:rsid w:val="0097572E"/>
    <w:rsid w:val="009804B0"/>
    <w:rsid w:val="009922A0"/>
    <w:rsid w:val="00993DC4"/>
    <w:rsid w:val="00997029"/>
    <w:rsid w:val="009A466E"/>
    <w:rsid w:val="009B1B68"/>
    <w:rsid w:val="009B56C1"/>
    <w:rsid w:val="009D0DE5"/>
    <w:rsid w:val="009D690D"/>
    <w:rsid w:val="009E65B6"/>
    <w:rsid w:val="00A0695F"/>
    <w:rsid w:val="00A1111C"/>
    <w:rsid w:val="00A222F0"/>
    <w:rsid w:val="00A2544C"/>
    <w:rsid w:val="00A260D6"/>
    <w:rsid w:val="00A32565"/>
    <w:rsid w:val="00A35419"/>
    <w:rsid w:val="00A36ACB"/>
    <w:rsid w:val="00A377BD"/>
    <w:rsid w:val="00A42AC3"/>
    <w:rsid w:val="00A430CF"/>
    <w:rsid w:val="00A527A4"/>
    <w:rsid w:val="00A534A3"/>
    <w:rsid w:val="00A54309"/>
    <w:rsid w:val="00A92C63"/>
    <w:rsid w:val="00A951A4"/>
    <w:rsid w:val="00A95C46"/>
    <w:rsid w:val="00AB2B93"/>
    <w:rsid w:val="00AC1672"/>
    <w:rsid w:val="00AD0112"/>
    <w:rsid w:val="00AE0EF1"/>
    <w:rsid w:val="00B07301"/>
    <w:rsid w:val="00B21841"/>
    <w:rsid w:val="00B224DE"/>
    <w:rsid w:val="00B2553C"/>
    <w:rsid w:val="00B33817"/>
    <w:rsid w:val="00B46487"/>
    <w:rsid w:val="00B559FF"/>
    <w:rsid w:val="00B73C94"/>
    <w:rsid w:val="00B764A5"/>
    <w:rsid w:val="00B823A0"/>
    <w:rsid w:val="00B84BBD"/>
    <w:rsid w:val="00B84E4E"/>
    <w:rsid w:val="00B93148"/>
    <w:rsid w:val="00B95956"/>
    <w:rsid w:val="00BA43FB"/>
    <w:rsid w:val="00BB1335"/>
    <w:rsid w:val="00BC127D"/>
    <w:rsid w:val="00BC1FE6"/>
    <w:rsid w:val="00BC40AC"/>
    <w:rsid w:val="00BD4C24"/>
    <w:rsid w:val="00BD5767"/>
    <w:rsid w:val="00BE63B8"/>
    <w:rsid w:val="00BF099F"/>
    <w:rsid w:val="00BF7833"/>
    <w:rsid w:val="00BF7FCB"/>
    <w:rsid w:val="00C061B6"/>
    <w:rsid w:val="00C06AC6"/>
    <w:rsid w:val="00C073C6"/>
    <w:rsid w:val="00C21DBF"/>
    <w:rsid w:val="00C21E7B"/>
    <w:rsid w:val="00C2446C"/>
    <w:rsid w:val="00C30C8B"/>
    <w:rsid w:val="00C36AE5"/>
    <w:rsid w:val="00C41F17"/>
    <w:rsid w:val="00C5035E"/>
    <w:rsid w:val="00C52304"/>
    <w:rsid w:val="00C54BF4"/>
    <w:rsid w:val="00C5791C"/>
    <w:rsid w:val="00C60D2B"/>
    <w:rsid w:val="00C66290"/>
    <w:rsid w:val="00C72B7A"/>
    <w:rsid w:val="00C76BF5"/>
    <w:rsid w:val="00C80773"/>
    <w:rsid w:val="00C84EC3"/>
    <w:rsid w:val="00C86BA2"/>
    <w:rsid w:val="00C9299E"/>
    <w:rsid w:val="00C951F1"/>
    <w:rsid w:val="00C973F2"/>
    <w:rsid w:val="00CA774A"/>
    <w:rsid w:val="00CB0BF0"/>
    <w:rsid w:val="00CB3136"/>
    <w:rsid w:val="00CC11B0"/>
    <w:rsid w:val="00CE4345"/>
    <w:rsid w:val="00CE6528"/>
    <w:rsid w:val="00CF37BA"/>
    <w:rsid w:val="00CF50A2"/>
    <w:rsid w:val="00CF7E36"/>
    <w:rsid w:val="00D04324"/>
    <w:rsid w:val="00D06B11"/>
    <w:rsid w:val="00D10ABC"/>
    <w:rsid w:val="00D10DC6"/>
    <w:rsid w:val="00D10FAE"/>
    <w:rsid w:val="00D233D8"/>
    <w:rsid w:val="00D24210"/>
    <w:rsid w:val="00D2673D"/>
    <w:rsid w:val="00D3708D"/>
    <w:rsid w:val="00D40426"/>
    <w:rsid w:val="00D563A2"/>
    <w:rsid w:val="00D573C3"/>
    <w:rsid w:val="00D57C96"/>
    <w:rsid w:val="00D610A1"/>
    <w:rsid w:val="00D846FD"/>
    <w:rsid w:val="00D86825"/>
    <w:rsid w:val="00D86E62"/>
    <w:rsid w:val="00D91203"/>
    <w:rsid w:val="00D95174"/>
    <w:rsid w:val="00D95A5C"/>
    <w:rsid w:val="00DA6F36"/>
    <w:rsid w:val="00DC00EA"/>
    <w:rsid w:val="00DD4B90"/>
    <w:rsid w:val="00E00D02"/>
    <w:rsid w:val="00E23920"/>
    <w:rsid w:val="00E26276"/>
    <w:rsid w:val="00E27BBD"/>
    <w:rsid w:val="00E30A85"/>
    <w:rsid w:val="00E340B5"/>
    <w:rsid w:val="00E476F5"/>
    <w:rsid w:val="00E64988"/>
    <w:rsid w:val="00E65F66"/>
    <w:rsid w:val="00E67481"/>
    <w:rsid w:val="00E705FE"/>
    <w:rsid w:val="00E72D49"/>
    <w:rsid w:val="00E754E6"/>
    <w:rsid w:val="00E7593C"/>
    <w:rsid w:val="00E7678A"/>
    <w:rsid w:val="00E87C07"/>
    <w:rsid w:val="00E935F1"/>
    <w:rsid w:val="00E94696"/>
    <w:rsid w:val="00E94A81"/>
    <w:rsid w:val="00EA1FFB"/>
    <w:rsid w:val="00EB048E"/>
    <w:rsid w:val="00EB3EFA"/>
    <w:rsid w:val="00EC1AE9"/>
    <w:rsid w:val="00EF2F89"/>
    <w:rsid w:val="00F020BD"/>
    <w:rsid w:val="00F04DEB"/>
    <w:rsid w:val="00F1237A"/>
    <w:rsid w:val="00F22CBD"/>
    <w:rsid w:val="00F26024"/>
    <w:rsid w:val="00F26E5A"/>
    <w:rsid w:val="00F37961"/>
    <w:rsid w:val="00F40827"/>
    <w:rsid w:val="00F47697"/>
    <w:rsid w:val="00F6334D"/>
    <w:rsid w:val="00F6374A"/>
    <w:rsid w:val="00F7256E"/>
    <w:rsid w:val="00F73FFF"/>
    <w:rsid w:val="00F85667"/>
    <w:rsid w:val="00F8624C"/>
    <w:rsid w:val="00F91E07"/>
    <w:rsid w:val="00F9690D"/>
    <w:rsid w:val="00FA2091"/>
    <w:rsid w:val="00FA49AB"/>
    <w:rsid w:val="00FB0AB8"/>
    <w:rsid w:val="00FB0D37"/>
    <w:rsid w:val="00FC7C87"/>
    <w:rsid w:val="00FE39C7"/>
    <w:rsid w:val="00FE4AF3"/>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504E54"/>
    <w:pPr>
      <w:keepNext/>
      <w:ind w:left="1134" w:hanging="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FollowedHyperlink">
    <w:name w:val="FollowedHyperlink"/>
    <w:basedOn w:val="DefaultParagraphFont"/>
    <w:rsid w:val="000C62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504E54"/>
    <w:pPr>
      <w:keepNext/>
      <w:ind w:left="1134" w:hanging="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FollowedHyperlink">
    <w:name w:val="FollowedHyperlink"/>
    <w:basedOn w:val="DefaultParagraphFont"/>
    <w:rsid w:val="000C6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198">
      <w:bodyDiv w:val="1"/>
      <w:marLeft w:val="0"/>
      <w:marRight w:val="0"/>
      <w:marTop w:val="0"/>
      <w:marBottom w:val="0"/>
      <w:divBdr>
        <w:top w:val="none" w:sz="0" w:space="0" w:color="auto"/>
        <w:left w:val="none" w:sz="0" w:space="0" w:color="auto"/>
        <w:bottom w:val="none" w:sz="0" w:space="0" w:color="auto"/>
        <w:right w:val="none" w:sz="0" w:space="0" w:color="auto"/>
      </w:divBdr>
    </w:div>
    <w:div w:id="471825136">
      <w:bodyDiv w:val="1"/>
      <w:marLeft w:val="0"/>
      <w:marRight w:val="0"/>
      <w:marTop w:val="0"/>
      <w:marBottom w:val="0"/>
      <w:divBdr>
        <w:top w:val="none" w:sz="0" w:space="0" w:color="auto"/>
        <w:left w:val="none" w:sz="0" w:space="0" w:color="auto"/>
        <w:bottom w:val="none" w:sz="0" w:space="0" w:color="auto"/>
        <w:right w:val="none" w:sz="0" w:space="0" w:color="auto"/>
      </w:divBdr>
    </w:div>
    <w:div w:id="119885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edocs/tgpdocs/fr/tgp_7.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pov.int/edocs/tgpdocs/fr/tgp_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upov.int/meetings/fr/topic.jsp?group_id=25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meetings/fr/topic.jsp?group_id=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6D7D-50DF-4679-ABE1-18FD1C4B2B25}">
  <ds:schemaRefs>
    <ds:schemaRef ds:uri="http://schemas.openxmlformats.org/officeDocument/2006/bibliography"/>
  </ds:schemaRefs>
</ds:datastoreItem>
</file>

<file path=customXml/itemProps2.xml><?xml version="1.0" encoding="utf-8"?>
<ds:datastoreItem xmlns:ds="http://schemas.openxmlformats.org/officeDocument/2006/customXml" ds:itemID="{4DAB6267-6BDC-4896-860B-811A038E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20</Pages>
  <Words>8874</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keywords>MHF/DB/sc/ko</cp:keywords>
  <cp:lastModifiedBy>BESSE Ariane</cp:lastModifiedBy>
  <cp:revision>15</cp:revision>
  <cp:lastPrinted>2015-04-30T14:47:00Z</cp:lastPrinted>
  <dcterms:created xsi:type="dcterms:W3CDTF">2015-03-31T13:54:00Z</dcterms:created>
  <dcterms:modified xsi:type="dcterms:W3CDTF">2015-04-30T14:48:00Z</dcterms:modified>
</cp:coreProperties>
</file>