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AC2EDE" w:rsidRPr="007C274E" w:rsidTr="00EA1A0B">
        <w:trPr>
          <w:trHeight w:val="1760"/>
        </w:trPr>
        <w:tc>
          <w:tcPr>
            <w:tcW w:w="4243" w:type="dxa"/>
          </w:tcPr>
          <w:p w:rsidR="00AC2EDE" w:rsidRPr="007C274E" w:rsidRDefault="00AC2EDE" w:rsidP="00EA1A0B"/>
        </w:tc>
        <w:tc>
          <w:tcPr>
            <w:tcW w:w="1646" w:type="dxa"/>
            <w:vAlign w:val="center"/>
          </w:tcPr>
          <w:p w:rsidR="00AC2EDE" w:rsidRPr="007C274E" w:rsidRDefault="00933DDE" w:rsidP="00EA1A0B">
            <w:pPr>
              <w:pStyle w:val="LogoUPO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38.05pt;visibility:visible;mso-wrap-style:square">
                  <v:imagedata r:id="rId9" o:title=""/>
                </v:shape>
              </w:pict>
            </w:r>
          </w:p>
        </w:tc>
        <w:tc>
          <w:tcPr>
            <w:tcW w:w="4242" w:type="dxa"/>
            <w:vAlign w:val="center"/>
          </w:tcPr>
          <w:p w:rsidR="00AC2EDE" w:rsidRPr="007C274E" w:rsidRDefault="00AC2EDE" w:rsidP="00EA1A0B">
            <w:pPr>
              <w:pStyle w:val="Lettrine"/>
            </w:pPr>
            <w:r w:rsidRPr="007C274E">
              <w:t>F</w:t>
            </w:r>
          </w:p>
          <w:p w:rsidR="00AC2EDE" w:rsidRPr="00AC2EDE" w:rsidRDefault="00AC2EDE" w:rsidP="00AC2EDE">
            <w:pPr>
              <w:pStyle w:val="Docoriginal"/>
              <w:jc w:val="left"/>
              <w:rPr>
                <w:lang w:val="fr-FR"/>
              </w:rPr>
            </w:pPr>
            <w:r w:rsidRPr="00AC2EDE">
              <w:rPr>
                <w:lang w:val="fr-FR"/>
              </w:rPr>
              <w:t>CAJ/69/</w:t>
            </w:r>
            <w:bookmarkStart w:id="0" w:name="Code"/>
            <w:bookmarkEnd w:id="0"/>
            <w:r w:rsidRPr="00AC2EDE">
              <w:rPr>
                <w:lang w:val="fr-FR"/>
              </w:rPr>
              <w:t>10</w:t>
            </w:r>
          </w:p>
          <w:p w:rsidR="00AC2EDE" w:rsidRPr="00AC2EDE" w:rsidRDefault="00AC2EDE" w:rsidP="00AC2EDE">
            <w:pPr>
              <w:pStyle w:val="Docoriginal"/>
              <w:jc w:val="left"/>
              <w:rPr>
                <w:lang w:val="fr-FR"/>
              </w:rPr>
            </w:pPr>
            <w:r w:rsidRPr="00AC2EDE">
              <w:rPr>
                <w:rStyle w:val="StyleDoclangBold"/>
                <w:b/>
                <w:bCs/>
                <w:spacing w:val="0"/>
                <w:lang w:val="fr-FR"/>
              </w:rPr>
              <w:t>ORIGINAL</w:t>
            </w:r>
            <w:bookmarkStart w:id="1" w:name="Original"/>
            <w:bookmarkEnd w:id="1"/>
            <w:r w:rsidRPr="00AC2EDE">
              <w:rPr>
                <w:rStyle w:val="StyleDoclangBold"/>
                <w:b/>
                <w:bCs/>
                <w:spacing w:val="0"/>
                <w:lang w:val="fr-FR"/>
              </w:rPr>
              <w:t xml:space="preserve"> : </w:t>
            </w:r>
            <w:r w:rsidRPr="00AC2EDE">
              <w:rPr>
                <w:b w:val="0"/>
                <w:bCs w:val="0"/>
                <w:spacing w:val="0"/>
                <w:lang w:val="fr-FR"/>
              </w:rPr>
              <w:t>anglais</w:t>
            </w:r>
          </w:p>
          <w:p w:rsidR="00AC2EDE" w:rsidRPr="007C274E" w:rsidRDefault="00AC2EDE" w:rsidP="00AC2EDE">
            <w:pPr>
              <w:pStyle w:val="Docoriginal"/>
              <w:jc w:val="left"/>
            </w:pPr>
            <w:r w:rsidRPr="00AC2EDE">
              <w:rPr>
                <w:spacing w:val="0"/>
                <w:lang w:val="fr-FR"/>
              </w:rPr>
              <w:t>DATE :</w:t>
            </w:r>
            <w:bookmarkStart w:id="2" w:name="Date"/>
            <w:bookmarkEnd w:id="2"/>
            <w:r w:rsidRPr="00AC2EDE">
              <w:rPr>
                <w:rStyle w:val="StyleDocoriginalNotBold1"/>
                <w:spacing w:val="0"/>
                <w:lang w:val="fr-FR"/>
              </w:rPr>
              <w:t xml:space="preserve"> 27 février </w:t>
            </w:r>
            <w:r w:rsidRPr="00AC2EDE">
              <w:rPr>
                <w:b w:val="0"/>
                <w:bCs w:val="0"/>
                <w:spacing w:val="0"/>
                <w:lang w:val="fr-FR"/>
              </w:rPr>
              <w:t>2014</w:t>
            </w:r>
          </w:p>
        </w:tc>
      </w:tr>
      <w:tr w:rsidR="00AC2EDE" w:rsidRPr="007C274E" w:rsidTr="00EA1A0B">
        <w:tc>
          <w:tcPr>
            <w:tcW w:w="10131" w:type="dxa"/>
            <w:gridSpan w:val="3"/>
          </w:tcPr>
          <w:p w:rsidR="00AC2EDE" w:rsidRPr="007C274E" w:rsidRDefault="00AC2EDE" w:rsidP="00EA1A0B">
            <w:pPr>
              <w:pStyle w:val="upove"/>
              <w:rPr>
                <w:sz w:val="28"/>
              </w:rPr>
            </w:pPr>
            <w:r w:rsidRPr="007C274E">
              <w:rPr>
                <w:spacing w:val="6"/>
              </w:rPr>
              <w:t>UNION INTERNATIONALE POUR LA PROTECTION DES OBTENTIONS VÉGÉTALES</w:t>
            </w:r>
          </w:p>
        </w:tc>
      </w:tr>
      <w:tr w:rsidR="00AC2EDE" w:rsidRPr="007C274E" w:rsidTr="00EA1A0B">
        <w:tc>
          <w:tcPr>
            <w:tcW w:w="10131" w:type="dxa"/>
            <w:gridSpan w:val="3"/>
          </w:tcPr>
          <w:p w:rsidR="00AC2EDE" w:rsidRPr="007C274E" w:rsidRDefault="00AC2EDE" w:rsidP="00EA1A0B">
            <w:pPr>
              <w:pStyle w:val="Country"/>
            </w:pPr>
            <w:r w:rsidRPr="007C274E">
              <w:t>Genève</w:t>
            </w:r>
          </w:p>
        </w:tc>
      </w:tr>
    </w:tbl>
    <w:p w:rsidR="0020369A" w:rsidRPr="00997029" w:rsidRDefault="0020369A" w:rsidP="00DF4C14">
      <w:pPr>
        <w:pStyle w:val="Sessiontc"/>
      </w:pPr>
      <w:bookmarkStart w:id="3" w:name="TitleOfDoc"/>
      <w:bookmarkEnd w:id="3"/>
      <w:r>
        <w:t>Comité aDministratif et juridique</w:t>
      </w:r>
    </w:p>
    <w:p w:rsidR="0020369A" w:rsidRPr="00C27C6A" w:rsidRDefault="0020369A" w:rsidP="00DF4C14">
      <w:pPr>
        <w:pStyle w:val="Sessiontcplacedate"/>
        <w:rPr>
          <w:lang w:val="fr-FR"/>
        </w:rPr>
      </w:pPr>
      <w:r w:rsidRPr="00C27C6A">
        <w:rPr>
          <w:lang w:val="fr-FR"/>
        </w:rPr>
        <w:t>Soixante</w:t>
      </w:r>
      <w:r w:rsidR="0014634A">
        <w:rPr>
          <w:lang w:val="fr-FR"/>
        </w:rPr>
        <w:noBreakHyphen/>
      </w:r>
      <w:r w:rsidRPr="00C27C6A">
        <w:rPr>
          <w:lang w:val="fr-FR"/>
        </w:rPr>
        <w:t>neuvième</w:t>
      </w:r>
      <w:r w:rsidR="002067E8">
        <w:rPr>
          <w:lang w:val="fr-FR"/>
        </w:rPr>
        <w:t> </w:t>
      </w:r>
      <w:r w:rsidRPr="00C27C6A">
        <w:rPr>
          <w:lang w:val="fr-FR"/>
        </w:rPr>
        <w:t>session</w:t>
      </w:r>
      <w:r w:rsidRPr="00C27C6A">
        <w:rPr>
          <w:lang w:val="fr-FR"/>
        </w:rPr>
        <w:br/>
        <w:t>Genève, 1</w:t>
      </w:r>
      <w:r w:rsidR="00A039B4" w:rsidRPr="00C27C6A">
        <w:rPr>
          <w:lang w:val="fr-FR"/>
        </w:rPr>
        <w:t>0</w:t>
      </w:r>
      <w:r w:rsidR="00A039B4">
        <w:rPr>
          <w:lang w:val="fr-FR"/>
        </w:rPr>
        <w:t> </w:t>
      </w:r>
      <w:r w:rsidR="00A039B4" w:rsidRPr="00C27C6A">
        <w:rPr>
          <w:lang w:val="fr-FR"/>
        </w:rPr>
        <w:t>avril</w:t>
      </w:r>
      <w:r w:rsidR="00A039B4">
        <w:rPr>
          <w:lang w:val="fr-FR"/>
        </w:rPr>
        <w:t> </w:t>
      </w:r>
      <w:r w:rsidR="00A039B4" w:rsidRPr="00C27C6A">
        <w:rPr>
          <w:lang w:val="fr-FR"/>
        </w:rPr>
        <w:t>20</w:t>
      </w:r>
      <w:r w:rsidRPr="00C27C6A">
        <w:rPr>
          <w:lang w:val="fr-FR"/>
        </w:rPr>
        <w:t>14</w:t>
      </w:r>
    </w:p>
    <w:p w:rsidR="0020369A" w:rsidRPr="00F06DFB" w:rsidRDefault="0020369A" w:rsidP="0080679D">
      <w:pPr>
        <w:pStyle w:val="Titleofdoc0"/>
        <w:rPr>
          <w:lang w:val="fr-FR"/>
        </w:rPr>
      </w:pPr>
      <w:r w:rsidRPr="00F06DFB">
        <w:rPr>
          <w:kern w:val="28"/>
          <w:lang w:val="fr-FR"/>
        </w:rPr>
        <w:t>Questions soulev</w:t>
      </w:r>
      <w:r>
        <w:rPr>
          <w:kern w:val="28"/>
          <w:lang w:val="fr-FR"/>
        </w:rPr>
        <w:t>É</w:t>
      </w:r>
      <w:r w:rsidRPr="00F06DFB">
        <w:rPr>
          <w:kern w:val="28"/>
          <w:lang w:val="fr-FR"/>
        </w:rPr>
        <w:t>es par l</w:t>
      </w:r>
      <w:r w:rsidR="00F20C73">
        <w:rPr>
          <w:kern w:val="28"/>
          <w:lang w:val="fr-FR"/>
        </w:rPr>
        <w:t>’</w:t>
      </w:r>
      <w:r w:rsidRPr="00525E3B">
        <w:rPr>
          <w:i/>
          <w:kern w:val="28"/>
          <w:lang w:val="fr-FR"/>
        </w:rPr>
        <w:t>International Seed Federation</w:t>
      </w:r>
      <w:r w:rsidRPr="00F06DFB">
        <w:rPr>
          <w:kern w:val="28"/>
          <w:lang w:val="fr-FR"/>
        </w:rPr>
        <w:t xml:space="preserve"> (ISF)</w:t>
      </w:r>
    </w:p>
    <w:p w:rsidR="00A039B4" w:rsidRDefault="0020369A" w:rsidP="0080679D">
      <w:pPr>
        <w:pStyle w:val="preparedby1"/>
        <w:rPr>
          <w:color w:val="A6A6A6"/>
          <w:lang w:val="fr-FR"/>
        </w:rPr>
      </w:pPr>
      <w:bookmarkStart w:id="4" w:name="Prepared"/>
      <w:bookmarkEnd w:id="4"/>
      <w:r w:rsidRPr="00F06DFB">
        <w:rPr>
          <w:lang w:val="fr-FR"/>
        </w:rPr>
        <w:t>Document établi par le Bureau de l</w:t>
      </w:r>
      <w:r w:rsidR="00F20C73">
        <w:rPr>
          <w:lang w:val="fr-FR"/>
        </w:rPr>
        <w:t>’</w:t>
      </w:r>
      <w:r w:rsidRPr="00F06DFB">
        <w:rPr>
          <w:lang w:val="fr-FR"/>
        </w:rPr>
        <w:t xml:space="preserve">Union </w:t>
      </w:r>
      <w:r w:rsidRPr="00F06DFB">
        <w:rPr>
          <w:lang w:val="fr-FR"/>
        </w:rPr>
        <w:br/>
      </w:r>
      <w:r w:rsidRPr="00F06DFB">
        <w:rPr>
          <w:lang w:val="fr-FR"/>
        </w:rPr>
        <w:br/>
      </w:r>
      <w:r w:rsidRPr="008D7783">
        <w:rPr>
          <w:color w:val="A6A6A6"/>
          <w:lang w:val="fr-FR"/>
        </w:rPr>
        <w:t>Avertissement : le présent document ne représente pas les principes ou les orientations de l</w:t>
      </w:r>
      <w:r w:rsidR="00F20C73">
        <w:rPr>
          <w:color w:val="A6A6A6"/>
          <w:lang w:val="fr-FR"/>
        </w:rPr>
        <w:t>’</w:t>
      </w:r>
      <w:r w:rsidRPr="008D7783">
        <w:rPr>
          <w:color w:val="A6A6A6"/>
          <w:lang w:val="fr-FR"/>
        </w:rPr>
        <w:t>UPOV</w:t>
      </w:r>
    </w:p>
    <w:p w:rsidR="0020369A" w:rsidRPr="00F06DFB" w:rsidRDefault="0020369A" w:rsidP="006C0E37">
      <w:pPr>
        <w:rPr>
          <w:lang w:val="fr-FR"/>
        </w:rPr>
      </w:pPr>
      <w:r w:rsidRPr="00F06DFB">
        <w:rPr>
          <w:lang w:val="fr-FR"/>
        </w:rPr>
        <w:fldChar w:fldCharType="begin"/>
      </w:r>
      <w:r w:rsidRPr="00F06DFB">
        <w:rPr>
          <w:lang w:val="fr-FR"/>
        </w:rPr>
        <w:instrText xml:space="preserve"> AUTONUM  </w:instrText>
      </w:r>
      <w:r w:rsidRPr="00F06DFB">
        <w:rPr>
          <w:lang w:val="fr-FR"/>
        </w:rPr>
        <w:fldChar w:fldCharType="end"/>
      </w:r>
      <w:r w:rsidRPr="00F06DFB">
        <w:rPr>
          <w:lang w:val="fr-FR"/>
        </w:rPr>
        <w:tab/>
        <w:t>L</w:t>
      </w:r>
      <w:r w:rsidR="00F20C73">
        <w:rPr>
          <w:lang w:val="fr-FR"/>
        </w:rPr>
        <w:t>’</w:t>
      </w:r>
      <w:r w:rsidRPr="00F06DFB">
        <w:rPr>
          <w:lang w:val="fr-FR"/>
        </w:rPr>
        <w:t>objet du présent document est</w:t>
      </w:r>
      <w:r w:rsidR="002067E8">
        <w:rPr>
          <w:lang w:val="fr-FR"/>
        </w:rPr>
        <w:t> </w:t>
      </w:r>
      <w:r w:rsidRPr="00F06DFB">
        <w:rPr>
          <w:lang w:val="fr-FR"/>
        </w:rPr>
        <w:t>:</w:t>
      </w:r>
    </w:p>
    <w:p w:rsidR="0020369A" w:rsidRPr="00F06DFB" w:rsidRDefault="0020369A" w:rsidP="006C0E37">
      <w:pPr>
        <w:rPr>
          <w:lang w:val="fr-FR"/>
        </w:rPr>
      </w:pPr>
    </w:p>
    <w:p w:rsidR="0020369A" w:rsidRPr="00F06DFB" w:rsidRDefault="00D17754" w:rsidP="00D17754">
      <w:pPr>
        <w:rPr>
          <w:lang w:val="fr-FR"/>
        </w:rPr>
      </w:pPr>
      <w:r>
        <w:rPr>
          <w:lang w:val="fr-FR"/>
        </w:rPr>
        <w:tab/>
      </w:r>
      <w:r w:rsidR="0020369A" w:rsidRPr="00F06DFB">
        <w:rPr>
          <w:lang w:val="fr-FR"/>
        </w:rPr>
        <w:t>a)</w:t>
      </w:r>
      <w:r w:rsidR="0020369A" w:rsidRPr="00F06DFB">
        <w:rPr>
          <w:lang w:val="fr-FR"/>
        </w:rPr>
        <w:tab/>
        <w:t>de présenter les questions recensée</w:t>
      </w:r>
      <w:r w:rsidR="0020369A">
        <w:rPr>
          <w:lang w:val="fr-FR"/>
        </w:rPr>
        <w:t>s</w:t>
      </w:r>
      <w:r w:rsidR="0020369A" w:rsidRPr="00F06DFB">
        <w:rPr>
          <w:lang w:val="fr-FR"/>
        </w:rPr>
        <w:t xml:space="preserve"> par le Comité consultatif lors de sa quatre</w:t>
      </w:r>
      <w:r w:rsidR="0014634A">
        <w:rPr>
          <w:lang w:val="fr-FR"/>
        </w:rPr>
        <w:noBreakHyphen/>
      </w:r>
      <w:r w:rsidR="0020369A" w:rsidRPr="00F06DFB">
        <w:rPr>
          <w:lang w:val="fr-FR"/>
        </w:rPr>
        <w:t>vingt</w:t>
      </w:r>
      <w:r w:rsidR="0014634A">
        <w:rPr>
          <w:lang w:val="fr-FR"/>
        </w:rPr>
        <w:noBreakHyphen/>
      </w:r>
      <w:r w:rsidR="0020369A" w:rsidRPr="00F06DFB">
        <w:rPr>
          <w:lang w:val="fr-FR"/>
        </w:rPr>
        <w:t>sixième</w:t>
      </w:r>
      <w:r w:rsidR="008836D3">
        <w:rPr>
          <w:lang w:val="fr-FR"/>
        </w:rPr>
        <w:t xml:space="preserve"> </w:t>
      </w:r>
      <w:r w:rsidR="0020369A" w:rsidRPr="00F06DFB">
        <w:rPr>
          <w:lang w:val="fr-FR"/>
        </w:rPr>
        <w:t>session, tenue à Genève les 23 et 24 octobre 2013</w:t>
      </w:r>
      <w:r w:rsidR="0020369A">
        <w:rPr>
          <w:lang w:val="fr-FR"/>
        </w:rPr>
        <w:t xml:space="preserve">, </w:t>
      </w:r>
      <w:r>
        <w:rPr>
          <w:lang w:val="fr-FR"/>
        </w:rPr>
        <w:t xml:space="preserve">relatives à la </w:t>
      </w:r>
      <w:r w:rsidRPr="001E7D84">
        <w:rPr>
          <w:lang w:val="fr-FR"/>
        </w:rPr>
        <w:t>lettre de l</w:t>
      </w:r>
      <w:r w:rsidR="00F20C73">
        <w:rPr>
          <w:lang w:val="fr-FR"/>
        </w:rPr>
        <w:t>’</w:t>
      </w:r>
      <w:r w:rsidRPr="005C3E4B">
        <w:rPr>
          <w:i/>
          <w:lang w:val="fr-FR"/>
        </w:rPr>
        <w:t>International Seed Federation</w:t>
      </w:r>
      <w:r w:rsidRPr="001E7D84">
        <w:rPr>
          <w:lang w:val="fr-FR"/>
        </w:rPr>
        <w:t xml:space="preserve"> (ISF) </w:t>
      </w:r>
      <w:r>
        <w:rPr>
          <w:lang w:val="fr-FR"/>
        </w:rPr>
        <w:t xml:space="preserve">portant sur </w:t>
      </w:r>
      <w:r w:rsidR="00F20C73">
        <w:rPr>
          <w:snapToGrid w:val="0"/>
          <w:lang w:val="fr-FR"/>
        </w:rPr>
        <w:t>“</w:t>
      </w:r>
      <w:r w:rsidRPr="00EF688B">
        <w:rPr>
          <w:snapToGrid w:val="0"/>
          <w:lang w:val="fr-FR"/>
        </w:rPr>
        <w:t>Les demandes de droits d</w:t>
      </w:r>
      <w:r w:rsidR="00F20C73">
        <w:rPr>
          <w:snapToGrid w:val="0"/>
          <w:lang w:val="fr-FR"/>
        </w:rPr>
        <w:t>’</w:t>
      </w:r>
      <w:r w:rsidRPr="00EF688B">
        <w:rPr>
          <w:snapToGrid w:val="0"/>
          <w:lang w:val="fr-FR"/>
        </w:rPr>
        <w:t>obtenteur du point de vue de la demande, de l</w:t>
      </w:r>
      <w:r w:rsidR="00F20C73">
        <w:rPr>
          <w:snapToGrid w:val="0"/>
          <w:lang w:val="fr-FR"/>
        </w:rPr>
        <w:t>’</w:t>
      </w:r>
      <w:r w:rsidRPr="00EF688B">
        <w:rPr>
          <w:snapToGrid w:val="0"/>
          <w:lang w:val="fr-FR"/>
        </w:rPr>
        <w:t>examen de la demande et de la délivrance du titre</w:t>
      </w:r>
      <w:r w:rsidR="00F20C73">
        <w:rPr>
          <w:snapToGrid w:val="0"/>
          <w:lang w:val="fr-FR"/>
        </w:rPr>
        <w:t>”</w:t>
      </w:r>
      <w:r>
        <w:rPr>
          <w:lang w:val="fr-FR"/>
        </w:rPr>
        <w:t xml:space="preserve"> </w:t>
      </w:r>
      <w:r w:rsidRPr="001E7D84">
        <w:rPr>
          <w:lang w:val="fr-FR"/>
        </w:rPr>
        <w:t>(</w:t>
      </w:r>
      <w:r>
        <w:rPr>
          <w:lang w:val="fr-FR"/>
        </w:rPr>
        <w:t>voir les paragraphes 62 à 66 du</w:t>
      </w:r>
      <w:r w:rsidRPr="001E7D84">
        <w:rPr>
          <w:lang w:val="fr-FR"/>
        </w:rPr>
        <w:t xml:space="preserve"> document C/47/15 Rev. </w:t>
      </w:r>
      <w:r w:rsidR="00F20C73">
        <w:rPr>
          <w:lang w:val="fr-FR"/>
        </w:rPr>
        <w:t>“</w:t>
      </w:r>
      <w:r w:rsidRPr="001E7D84">
        <w:rPr>
          <w:lang w:val="fr-FR"/>
        </w:rPr>
        <w:t>Rapport du président sur les travaux de la quatre</w:t>
      </w:r>
      <w:r>
        <w:rPr>
          <w:lang w:val="fr-FR"/>
        </w:rPr>
        <w:noBreakHyphen/>
      </w:r>
      <w:r w:rsidRPr="001E7D84">
        <w:rPr>
          <w:lang w:val="fr-FR"/>
        </w:rPr>
        <w:t>vingt</w:t>
      </w:r>
      <w:r>
        <w:rPr>
          <w:lang w:val="fr-FR"/>
        </w:rPr>
        <w:noBreakHyphen/>
      </w:r>
      <w:r w:rsidRPr="001E7D84">
        <w:rPr>
          <w:lang w:val="fr-FR"/>
        </w:rPr>
        <w:t xml:space="preserve">sixième session du Comité consultatif; </w:t>
      </w:r>
      <w:r>
        <w:rPr>
          <w:lang w:val="fr-FR"/>
        </w:rPr>
        <w:t xml:space="preserve"> </w:t>
      </w:r>
      <w:r w:rsidRPr="001E7D84">
        <w:rPr>
          <w:lang w:val="fr-FR"/>
        </w:rPr>
        <w:t>adoption, le cas échéant, des recommand</w:t>
      </w:r>
      <w:r>
        <w:rPr>
          <w:lang w:val="fr-FR"/>
        </w:rPr>
        <w:t>ations élaborées par ce comité</w:t>
      </w:r>
      <w:r w:rsidR="00F20C73">
        <w:rPr>
          <w:lang w:val="fr-FR"/>
        </w:rPr>
        <w:t>”</w:t>
      </w:r>
      <w:r>
        <w:rPr>
          <w:lang w:val="fr-FR"/>
        </w:rPr>
        <w:t xml:space="preserve">) </w:t>
      </w:r>
      <w:r w:rsidR="0020369A">
        <w:rPr>
          <w:lang w:val="fr-FR"/>
        </w:rPr>
        <w:t xml:space="preserve">et </w:t>
      </w:r>
      <w:r w:rsidR="0020369A" w:rsidRPr="00F06DFB">
        <w:rPr>
          <w:lang w:val="fr-FR"/>
        </w:rPr>
        <w:t>d</w:t>
      </w:r>
      <w:r w:rsidR="00F20C73">
        <w:rPr>
          <w:lang w:val="fr-FR"/>
        </w:rPr>
        <w:t>’</w:t>
      </w:r>
      <w:r w:rsidR="0020369A" w:rsidRPr="00F06DFB">
        <w:rPr>
          <w:lang w:val="fr-FR"/>
        </w:rPr>
        <w:t>inviter le Comité administratif et juridique (CAJ) à</w:t>
      </w:r>
      <w:r w:rsidR="0020369A">
        <w:rPr>
          <w:lang w:val="fr-FR"/>
        </w:rPr>
        <w:t xml:space="preserve"> examiner des </w:t>
      </w:r>
      <w:r w:rsidR="0020369A" w:rsidRPr="00F06DFB">
        <w:rPr>
          <w:lang w:val="fr-FR"/>
        </w:rPr>
        <w:t>propos</w:t>
      </w:r>
      <w:r w:rsidR="0020369A">
        <w:rPr>
          <w:lang w:val="fr-FR"/>
        </w:rPr>
        <w:t xml:space="preserve">itions sur la manière dont elles pourraient </w:t>
      </w:r>
      <w:r w:rsidR="0020369A" w:rsidRPr="00F06DFB">
        <w:rPr>
          <w:lang w:val="fr-FR"/>
        </w:rPr>
        <w:t>être abordées dans les documents d</w:t>
      </w:r>
      <w:r w:rsidR="00F20C73">
        <w:rPr>
          <w:lang w:val="fr-FR"/>
        </w:rPr>
        <w:t>’</w:t>
      </w:r>
      <w:r w:rsidR="0020369A" w:rsidRPr="00F06DFB">
        <w:rPr>
          <w:lang w:val="fr-FR"/>
        </w:rPr>
        <w:t>information existants de l</w:t>
      </w:r>
      <w:r w:rsidR="00F20C73">
        <w:rPr>
          <w:lang w:val="fr-FR"/>
        </w:rPr>
        <w:t>’</w:t>
      </w:r>
      <w:r w:rsidR="0020369A" w:rsidRPr="00F06DFB">
        <w:rPr>
          <w:lang w:val="fr-FR"/>
        </w:rPr>
        <w:t>UPOV et ceux susceptibles d</w:t>
      </w:r>
      <w:r w:rsidR="00F20C73">
        <w:rPr>
          <w:lang w:val="fr-FR"/>
        </w:rPr>
        <w:t>’</w:t>
      </w:r>
      <w:r w:rsidR="0020369A" w:rsidRPr="00F06DFB">
        <w:rPr>
          <w:lang w:val="fr-FR"/>
        </w:rPr>
        <w:t>être établis à l</w:t>
      </w:r>
      <w:r w:rsidR="00F20C73">
        <w:rPr>
          <w:lang w:val="fr-FR"/>
        </w:rPr>
        <w:t>’</w:t>
      </w:r>
      <w:r w:rsidR="0020369A" w:rsidRPr="00F06DFB">
        <w:rPr>
          <w:lang w:val="fr-FR"/>
        </w:rPr>
        <w:t xml:space="preserve">avenir; </w:t>
      </w:r>
      <w:r w:rsidR="002067E8">
        <w:rPr>
          <w:lang w:val="fr-FR"/>
        </w:rPr>
        <w:t xml:space="preserve"> </w:t>
      </w:r>
      <w:r w:rsidR="0020369A">
        <w:rPr>
          <w:lang w:val="fr-FR"/>
        </w:rPr>
        <w:t>et</w:t>
      </w:r>
    </w:p>
    <w:p w:rsidR="0020369A" w:rsidRPr="00F06DFB" w:rsidRDefault="0020369A" w:rsidP="00B60F56">
      <w:pPr>
        <w:ind w:firstLine="567"/>
        <w:rPr>
          <w:lang w:val="fr-FR"/>
        </w:rPr>
      </w:pPr>
    </w:p>
    <w:p w:rsidR="0020369A" w:rsidRPr="001E7D84" w:rsidRDefault="0020369A" w:rsidP="00B60F56">
      <w:pPr>
        <w:ind w:firstLine="567"/>
        <w:rPr>
          <w:lang w:val="fr-FR"/>
        </w:rPr>
      </w:pPr>
      <w:r w:rsidRPr="001E7D84">
        <w:rPr>
          <w:lang w:val="fr-FR"/>
        </w:rPr>
        <w:t>b)</w:t>
      </w:r>
      <w:r w:rsidRPr="001E7D84">
        <w:rPr>
          <w:lang w:val="fr-FR"/>
        </w:rPr>
        <w:tab/>
        <w:t>d</w:t>
      </w:r>
      <w:r w:rsidR="00F20C73">
        <w:rPr>
          <w:lang w:val="fr-FR"/>
        </w:rPr>
        <w:t>’</w:t>
      </w:r>
      <w:r w:rsidRPr="001E7D84">
        <w:rPr>
          <w:lang w:val="fr-FR"/>
        </w:rPr>
        <w:t>inviter</w:t>
      </w:r>
      <w:r w:rsidR="00A039B4" w:rsidRPr="001E7D84">
        <w:rPr>
          <w:lang w:val="fr-FR"/>
        </w:rPr>
        <w:t xml:space="preserve"> le</w:t>
      </w:r>
      <w:r w:rsidR="00A039B4">
        <w:rPr>
          <w:lang w:val="fr-FR"/>
        </w:rPr>
        <w:t> </w:t>
      </w:r>
      <w:r w:rsidR="00A039B4" w:rsidRPr="001E7D84">
        <w:rPr>
          <w:lang w:val="fr-FR"/>
        </w:rPr>
        <w:t>CAJ</w:t>
      </w:r>
      <w:r w:rsidRPr="001E7D84">
        <w:rPr>
          <w:lang w:val="fr-FR"/>
        </w:rPr>
        <w:t xml:space="preserve"> à envisager l</w:t>
      </w:r>
      <w:r w:rsidR="00F20C73">
        <w:rPr>
          <w:lang w:val="fr-FR"/>
        </w:rPr>
        <w:t xml:space="preserve">a transformation </w:t>
      </w:r>
      <w:r w:rsidRPr="001E7D84">
        <w:rPr>
          <w:lang w:val="fr-FR"/>
        </w:rPr>
        <w:t xml:space="preserve">du document UPOV/INF/15 </w:t>
      </w:r>
      <w:r w:rsidR="00F20C73">
        <w:rPr>
          <w:lang w:val="fr-FR"/>
        </w:rPr>
        <w:t>“</w:t>
      </w:r>
      <w:r w:rsidRPr="001E7D84">
        <w:rPr>
          <w:lang w:val="fr-FR"/>
        </w:rPr>
        <w:t>Document d</w:t>
      </w:r>
      <w:r w:rsidR="00F20C73">
        <w:rPr>
          <w:lang w:val="fr-FR"/>
        </w:rPr>
        <w:t>’</w:t>
      </w:r>
      <w:r w:rsidRPr="001E7D84">
        <w:rPr>
          <w:lang w:val="fr-FR"/>
        </w:rPr>
        <w:t>orientation destiné aux membres de l</w:t>
      </w:r>
      <w:r w:rsidR="00F20C73">
        <w:rPr>
          <w:lang w:val="fr-FR"/>
        </w:rPr>
        <w:t>’</w:t>
      </w:r>
      <w:r w:rsidRPr="001E7D84">
        <w:rPr>
          <w:lang w:val="fr-FR"/>
        </w:rPr>
        <w:t>UPOV concernant les obligations en cours et les notifications connexes ainsi que la fourniture d</w:t>
      </w:r>
      <w:r w:rsidR="00F20C73">
        <w:rPr>
          <w:lang w:val="fr-FR"/>
        </w:rPr>
        <w:t>’</w:t>
      </w:r>
      <w:r w:rsidRPr="001E7D84">
        <w:rPr>
          <w:lang w:val="fr-FR"/>
        </w:rPr>
        <w:t>informations visant à faciliter la coopération</w:t>
      </w:r>
      <w:r w:rsidR="00F20C73">
        <w:rPr>
          <w:lang w:val="fr-FR"/>
        </w:rPr>
        <w:t>”</w:t>
      </w:r>
      <w:r w:rsidRPr="001E7D84">
        <w:rPr>
          <w:lang w:val="fr-FR"/>
        </w:rPr>
        <w:t xml:space="preserve"> </w:t>
      </w:r>
      <w:r w:rsidR="00F20C73">
        <w:rPr>
          <w:lang w:val="fr-FR"/>
        </w:rPr>
        <w:t xml:space="preserve">en </w:t>
      </w:r>
      <w:r w:rsidRPr="001E7D84">
        <w:rPr>
          <w:lang w:val="fr-FR"/>
        </w:rPr>
        <w:t>un document</w:t>
      </w:r>
      <w:r w:rsidR="0014634A">
        <w:rPr>
          <w:lang w:val="fr-FR"/>
        </w:rPr>
        <w:noBreakHyphen/>
      </w:r>
      <w:r w:rsidRPr="001E7D84">
        <w:rPr>
          <w:lang w:val="fr-FR"/>
        </w:rPr>
        <w:t>cadre qui déterminera les questions clés pour le fonctionnement d</w:t>
      </w:r>
      <w:r w:rsidR="00F20C73">
        <w:rPr>
          <w:lang w:val="fr-FR"/>
        </w:rPr>
        <w:t>’</w:t>
      </w:r>
      <w:r w:rsidRPr="001E7D84">
        <w:rPr>
          <w:lang w:val="fr-FR"/>
        </w:rPr>
        <w:t>un système de protection des obtentions végétales et fournira des liens renvoyant aux documents d</w:t>
      </w:r>
      <w:r w:rsidR="00F20C73">
        <w:rPr>
          <w:lang w:val="fr-FR"/>
        </w:rPr>
        <w:t>’</w:t>
      </w:r>
      <w:r w:rsidRPr="001E7D84">
        <w:rPr>
          <w:lang w:val="fr-FR"/>
        </w:rPr>
        <w:t>information détaillés.</w:t>
      </w:r>
    </w:p>
    <w:p w:rsidR="0020369A" w:rsidRDefault="0020369A">
      <w:pPr>
        <w:jc w:val="left"/>
        <w:rPr>
          <w:lang w:val="fr-FR"/>
        </w:rPr>
      </w:pPr>
    </w:p>
    <w:p w:rsidR="009D7F70" w:rsidRDefault="009D7F70">
      <w:pPr>
        <w:jc w:val="left"/>
        <w:rPr>
          <w:lang w:val="fr-FR"/>
        </w:rPr>
      </w:pPr>
    </w:p>
    <w:p w:rsidR="008836D3" w:rsidRPr="001E7D84" w:rsidRDefault="008836D3">
      <w:pPr>
        <w:jc w:val="left"/>
        <w:rPr>
          <w:lang w:val="fr-FR"/>
        </w:rPr>
      </w:pPr>
    </w:p>
    <w:p w:rsidR="0020369A" w:rsidRDefault="0020369A" w:rsidP="003E42A5">
      <w:r>
        <w:t>TABLE DES MATIÈRES</w:t>
      </w:r>
    </w:p>
    <w:p w:rsidR="0020369A" w:rsidRPr="00987226" w:rsidRDefault="0020369A" w:rsidP="00037D15">
      <w:pPr>
        <w:rPr>
          <w:kern w:val="28"/>
        </w:rPr>
      </w:pPr>
    </w:p>
    <w:p w:rsidR="003E65E5" w:rsidRDefault="0020369A">
      <w:pPr>
        <w:pStyle w:val="TOC1"/>
        <w:rPr>
          <w:rFonts w:asciiTheme="minorHAnsi" w:eastAsiaTheme="minorEastAsia" w:hAnsiTheme="minorHAnsi" w:cstheme="minorBidi"/>
          <w:caps w:val="0"/>
          <w:sz w:val="22"/>
          <w:szCs w:val="22"/>
        </w:rPr>
      </w:pPr>
      <w:r w:rsidRPr="00987226">
        <w:rPr>
          <w:kern w:val="28"/>
        </w:rPr>
        <w:fldChar w:fldCharType="begin"/>
      </w:r>
      <w:r w:rsidRPr="00987226">
        <w:rPr>
          <w:kern w:val="28"/>
        </w:rPr>
        <w:instrText xml:space="preserve"> TOC \o "1-3" \h \z \u </w:instrText>
      </w:r>
      <w:r w:rsidRPr="00987226">
        <w:rPr>
          <w:kern w:val="28"/>
        </w:rPr>
        <w:fldChar w:fldCharType="separate"/>
      </w:r>
      <w:hyperlink w:anchor="_Toc381949561" w:history="1">
        <w:r w:rsidR="003E65E5" w:rsidRPr="00FC7FF1">
          <w:rPr>
            <w:rStyle w:val="Hyperlink"/>
            <w:lang w:val="fr-FR"/>
          </w:rPr>
          <w:t>Informations gÉnÉrales</w:t>
        </w:r>
        <w:r w:rsidR="003E65E5">
          <w:rPr>
            <w:webHidden/>
          </w:rPr>
          <w:tab/>
        </w:r>
        <w:r w:rsidR="003E65E5">
          <w:rPr>
            <w:webHidden/>
          </w:rPr>
          <w:fldChar w:fldCharType="begin"/>
        </w:r>
        <w:r w:rsidR="003E65E5">
          <w:rPr>
            <w:webHidden/>
          </w:rPr>
          <w:instrText xml:space="preserve"> PAGEREF _Toc381949561 \h </w:instrText>
        </w:r>
        <w:r w:rsidR="003E65E5">
          <w:rPr>
            <w:webHidden/>
          </w:rPr>
        </w:r>
        <w:r w:rsidR="003E65E5">
          <w:rPr>
            <w:webHidden/>
          </w:rPr>
          <w:fldChar w:fldCharType="separate"/>
        </w:r>
        <w:r w:rsidR="00933DDE">
          <w:rPr>
            <w:webHidden/>
          </w:rPr>
          <w:t>2</w:t>
        </w:r>
        <w:r w:rsidR="003E65E5">
          <w:rPr>
            <w:webHidden/>
          </w:rPr>
          <w:fldChar w:fldCharType="end"/>
        </w:r>
      </w:hyperlink>
    </w:p>
    <w:p w:rsidR="003E65E5" w:rsidRDefault="00933DDE">
      <w:pPr>
        <w:pStyle w:val="TOC1"/>
        <w:rPr>
          <w:rFonts w:asciiTheme="minorHAnsi" w:eastAsiaTheme="minorEastAsia" w:hAnsiTheme="minorHAnsi" w:cstheme="minorBidi"/>
          <w:caps w:val="0"/>
          <w:sz w:val="22"/>
          <w:szCs w:val="22"/>
        </w:rPr>
      </w:pPr>
      <w:hyperlink w:anchor="_Toc381949562" w:history="1">
        <w:r w:rsidR="003E65E5" w:rsidRPr="00FC7FF1">
          <w:rPr>
            <w:rStyle w:val="Hyperlink"/>
            <w:lang w:val="fr-FR"/>
          </w:rPr>
          <w:t>I.</w:t>
        </w:r>
        <w:r w:rsidR="003E65E5">
          <w:rPr>
            <w:rFonts w:asciiTheme="minorHAnsi" w:eastAsiaTheme="minorEastAsia" w:hAnsiTheme="minorHAnsi" w:cstheme="minorBidi"/>
            <w:caps w:val="0"/>
            <w:sz w:val="22"/>
            <w:szCs w:val="22"/>
          </w:rPr>
          <w:tab/>
        </w:r>
        <w:r w:rsidR="003E65E5" w:rsidRPr="00FC7FF1">
          <w:rPr>
            <w:rStyle w:val="Hyperlink"/>
            <w:lang w:val="fr-FR"/>
          </w:rPr>
          <w:t>QUESTIONS IndividuELLES QUE LE CAJ EST INVITÉ À EXAMINER</w:t>
        </w:r>
        <w:r w:rsidR="003E65E5">
          <w:rPr>
            <w:webHidden/>
          </w:rPr>
          <w:tab/>
        </w:r>
        <w:r w:rsidR="003E65E5">
          <w:rPr>
            <w:webHidden/>
          </w:rPr>
          <w:fldChar w:fldCharType="begin"/>
        </w:r>
        <w:r w:rsidR="003E65E5">
          <w:rPr>
            <w:webHidden/>
          </w:rPr>
          <w:instrText xml:space="preserve"> PAGEREF _Toc381949562 \h </w:instrText>
        </w:r>
        <w:r w:rsidR="003E65E5">
          <w:rPr>
            <w:webHidden/>
          </w:rPr>
        </w:r>
        <w:r w:rsidR="003E65E5">
          <w:rPr>
            <w:webHidden/>
          </w:rPr>
          <w:fldChar w:fldCharType="separate"/>
        </w:r>
        <w:r>
          <w:rPr>
            <w:webHidden/>
          </w:rPr>
          <w:t>2</w:t>
        </w:r>
        <w:r w:rsidR="003E65E5">
          <w:rPr>
            <w:webHidden/>
          </w:rPr>
          <w:fldChar w:fldCharType="end"/>
        </w:r>
      </w:hyperlink>
    </w:p>
    <w:p w:rsidR="003E65E5" w:rsidRDefault="00933DDE">
      <w:pPr>
        <w:pStyle w:val="TOC2"/>
        <w:rPr>
          <w:rFonts w:asciiTheme="minorHAnsi" w:eastAsiaTheme="minorEastAsia" w:hAnsiTheme="minorHAnsi" w:cstheme="minorBidi"/>
          <w:sz w:val="22"/>
          <w:szCs w:val="22"/>
        </w:rPr>
      </w:pPr>
      <w:hyperlink w:anchor="_Toc381949563" w:history="1">
        <w:r w:rsidR="003E65E5" w:rsidRPr="00FC7FF1">
          <w:rPr>
            <w:rStyle w:val="Hyperlink"/>
          </w:rPr>
          <w:t>Créneau pour le dépôt des demandes</w:t>
        </w:r>
        <w:r w:rsidR="003E65E5">
          <w:rPr>
            <w:webHidden/>
          </w:rPr>
          <w:tab/>
        </w:r>
        <w:r w:rsidR="003E65E5">
          <w:rPr>
            <w:webHidden/>
          </w:rPr>
          <w:fldChar w:fldCharType="begin"/>
        </w:r>
        <w:r w:rsidR="003E65E5">
          <w:rPr>
            <w:webHidden/>
          </w:rPr>
          <w:instrText xml:space="preserve"> PAGEREF _Toc381949563 \h </w:instrText>
        </w:r>
        <w:r w:rsidR="003E65E5">
          <w:rPr>
            <w:webHidden/>
          </w:rPr>
        </w:r>
        <w:r w:rsidR="003E65E5">
          <w:rPr>
            <w:webHidden/>
          </w:rPr>
          <w:fldChar w:fldCharType="separate"/>
        </w:r>
        <w:r>
          <w:rPr>
            <w:webHidden/>
          </w:rPr>
          <w:t>2</w:t>
        </w:r>
        <w:r w:rsidR="003E65E5">
          <w:rPr>
            <w:webHidden/>
          </w:rPr>
          <w:fldChar w:fldCharType="end"/>
        </w:r>
      </w:hyperlink>
    </w:p>
    <w:p w:rsidR="003E65E5" w:rsidRDefault="00933DDE">
      <w:pPr>
        <w:pStyle w:val="TOC2"/>
        <w:rPr>
          <w:rFonts w:asciiTheme="minorHAnsi" w:eastAsiaTheme="minorEastAsia" w:hAnsiTheme="minorHAnsi" w:cstheme="minorBidi"/>
          <w:sz w:val="22"/>
          <w:szCs w:val="22"/>
        </w:rPr>
      </w:pPr>
      <w:hyperlink w:anchor="_Toc381949564" w:history="1">
        <w:r w:rsidR="003E65E5" w:rsidRPr="00FC7FF1">
          <w:rPr>
            <w:rStyle w:val="Hyperlink"/>
          </w:rPr>
          <w:t>Information généalogique</w:t>
        </w:r>
        <w:r w:rsidR="003E65E5">
          <w:rPr>
            <w:webHidden/>
          </w:rPr>
          <w:tab/>
        </w:r>
        <w:r w:rsidR="003E65E5">
          <w:rPr>
            <w:webHidden/>
          </w:rPr>
          <w:fldChar w:fldCharType="begin"/>
        </w:r>
        <w:r w:rsidR="003E65E5">
          <w:rPr>
            <w:webHidden/>
          </w:rPr>
          <w:instrText xml:space="preserve"> PAGEREF _Toc381949564 \h </w:instrText>
        </w:r>
        <w:r w:rsidR="003E65E5">
          <w:rPr>
            <w:webHidden/>
          </w:rPr>
        </w:r>
        <w:r w:rsidR="003E65E5">
          <w:rPr>
            <w:webHidden/>
          </w:rPr>
          <w:fldChar w:fldCharType="separate"/>
        </w:r>
        <w:r>
          <w:rPr>
            <w:webHidden/>
          </w:rPr>
          <w:t>3</w:t>
        </w:r>
        <w:r w:rsidR="003E65E5">
          <w:rPr>
            <w:webHidden/>
          </w:rPr>
          <w:fldChar w:fldCharType="end"/>
        </w:r>
      </w:hyperlink>
    </w:p>
    <w:p w:rsidR="003E65E5" w:rsidRDefault="00933DDE">
      <w:pPr>
        <w:pStyle w:val="TOC2"/>
        <w:rPr>
          <w:rFonts w:asciiTheme="minorHAnsi" w:eastAsiaTheme="minorEastAsia" w:hAnsiTheme="minorHAnsi" w:cstheme="minorBidi"/>
          <w:sz w:val="22"/>
          <w:szCs w:val="22"/>
        </w:rPr>
      </w:pPr>
      <w:hyperlink w:anchor="_Toc381949565" w:history="1">
        <w:r w:rsidR="003E65E5" w:rsidRPr="00FC7FF1">
          <w:rPr>
            <w:rStyle w:val="Hyperlink"/>
          </w:rPr>
          <w:t>Demande électronique</w:t>
        </w:r>
        <w:r w:rsidR="003E65E5">
          <w:rPr>
            <w:webHidden/>
          </w:rPr>
          <w:tab/>
        </w:r>
        <w:r w:rsidR="003E65E5">
          <w:rPr>
            <w:webHidden/>
          </w:rPr>
          <w:fldChar w:fldCharType="begin"/>
        </w:r>
        <w:r w:rsidR="003E65E5">
          <w:rPr>
            <w:webHidden/>
          </w:rPr>
          <w:instrText xml:space="preserve"> PAGEREF _Toc381949565 \h </w:instrText>
        </w:r>
        <w:r w:rsidR="003E65E5">
          <w:rPr>
            <w:webHidden/>
          </w:rPr>
        </w:r>
        <w:r w:rsidR="003E65E5">
          <w:rPr>
            <w:webHidden/>
          </w:rPr>
          <w:fldChar w:fldCharType="separate"/>
        </w:r>
        <w:r>
          <w:rPr>
            <w:webHidden/>
          </w:rPr>
          <w:t>3</w:t>
        </w:r>
        <w:r w:rsidR="003E65E5">
          <w:rPr>
            <w:webHidden/>
          </w:rPr>
          <w:fldChar w:fldCharType="end"/>
        </w:r>
      </w:hyperlink>
    </w:p>
    <w:p w:rsidR="003E65E5" w:rsidRDefault="00933DDE">
      <w:pPr>
        <w:pStyle w:val="TOC2"/>
        <w:rPr>
          <w:rFonts w:asciiTheme="minorHAnsi" w:eastAsiaTheme="minorEastAsia" w:hAnsiTheme="minorHAnsi" w:cstheme="minorBidi"/>
          <w:sz w:val="22"/>
          <w:szCs w:val="22"/>
        </w:rPr>
      </w:pPr>
      <w:hyperlink w:anchor="_Toc381949566" w:history="1">
        <w:r w:rsidR="003E65E5" w:rsidRPr="00FC7FF1">
          <w:rPr>
            <w:rStyle w:val="Hyperlink"/>
          </w:rPr>
          <w:t>Correspondance</w:t>
        </w:r>
        <w:r w:rsidR="003E65E5">
          <w:rPr>
            <w:webHidden/>
          </w:rPr>
          <w:tab/>
        </w:r>
        <w:r w:rsidR="003E65E5">
          <w:rPr>
            <w:webHidden/>
          </w:rPr>
          <w:fldChar w:fldCharType="begin"/>
        </w:r>
        <w:r w:rsidR="003E65E5">
          <w:rPr>
            <w:webHidden/>
          </w:rPr>
          <w:instrText xml:space="preserve"> PAGEREF _Toc381949566 \h </w:instrText>
        </w:r>
        <w:r w:rsidR="003E65E5">
          <w:rPr>
            <w:webHidden/>
          </w:rPr>
        </w:r>
        <w:r w:rsidR="003E65E5">
          <w:rPr>
            <w:webHidden/>
          </w:rPr>
          <w:fldChar w:fldCharType="separate"/>
        </w:r>
        <w:r>
          <w:rPr>
            <w:webHidden/>
          </w:rPr>
          <w:t>4</w:t>
        </w:r>
        <w:r w:rsidR="003E65E5">
          <w:rPr>
            <w:webHidden/>
          </w:rPr>
          <w:fldChar w:fldCharType="end"/>
        </w:r>
      </w:hyperlink>
    </w:p>
    <w:p w:rsidR="003E65E5" w:rsidRDefault="00933DDE">
      <w:pPr>
        <w:pStyle w:val="TOC2"/>
        <w:rPr>
          <w:rFonts w:asciiTheme="minorHAnsi" w:eastAsiaTheme="minorEastAsia" w:hAnsiTheme="minorHAnsi" w:cstheme="minorBidi"/>
          <w:sz w:val="22"/>
          <w:szCs w:val="22"/>
        </w:rPr>
      </w:pPr>
      <w:hyperlink w:anchor="_Toc381949567" w:history="1">
        <w:r w:rsidR="003E65E5" w:rsidRPr="00FC7FF1">
          <w:rPr>
            <w:rStyle w:val="Hyperlink"/>
          </w:rPr>
          <w:t>Matériel</w:t>
        </w:r>
        <w:r w:rsidR="003E65E5">
          <w:rPr>
            <w:webHidden/>
          </w:rPr>
          <w:tab/>
        </w:r>
        <w:r w:rsidR="003E65E5">
          <w:rPr>
            <w:webHidden/>
          </w:rPr>
          <w:fldChar w:fldCharType="begin"/>
        </w:r>
        <w:r w:rsidR="003E65E5">
          <w:rPr>
            <w:webHidden/>
          </w:rPr>
          <w:instrText xml:space="preserve"> PAGEREF _Toc381949567 \h </w:instrText>
        </w:r>
        <w:r w:rsidR="003E65E5">
          <w:rPr>
            <w:webHidden/>
          </w:rPr>
        </w:r>
        <w:r w:rsidR="003E65E5">
          <w:rPr>
            <w:webHidden/>
          </w:rPr>
          <w:fldChar w:fldCharType="separate"/>
        </w:r>
        <w:r>
          <w:rPr>
            <w:webHidden/>
          </w:rPr>
          <w:t>5</w:t>
        </w:r>
        <w:r w:rsidR="003E65E5">
          <w:rPr>
            <w:webHidden/>
          </w:rPr>
          <w:fldChar w:fldCharType="end"/>
        </w:r>
      </w:hyperlink>
    </w:p>
    <w:p w:rsidR="003E65E5" w:rsidRDefault="00933DDE">
      <w:pPr>
        <w:pStyle w:val="TOC3"/>
        <w:rPr>
          <w:rFonts w:asciiTheme="minorHAnsi" w:eastAsiaTheme="minorEastAsia" w:hAnsiTheme="minorHAnsi" w:cstheme="minorBidi"/>
          <w:i w:val="0"/>
          <w:iCs w:val="0"/>
          <w:sz w:val="22"/>
          <w:szCs w:val="22"/>
          <w:lang w:val="en-US"/>
        </w:rPr>
      </w:pPr>
      <w:hyperlink w:anchor="_Toc381949568" w:history="1">
        <w:r w:rsidR="003E65E5" w:rsidRPr="00FC7FF1">
          <w:rPr>
            <w:rStyle w:val="Hyperlink"/>
          </w:rPr>
          <w:t>a)</w:t>
        </w:r>
        <w:r w:rsidR="003E65E5">
          <w:rPr>
            <w:rFonts w:asciiTheme="minorHAnsi" w:eastAsiaTheme="minorEastAsia" w:hAnsiTheme="minorHAnsi" w:cstheme="minorBidi"/>
            <w:i w:val="0"/>
            <w:iCs w:val="0"/>
            <w:sz w:val="22"/>
            <w:szCs w:val="22"/>
            <w:lang w:val="en-US"/>
          </w:rPr>
          <w:tab/>
        </w:r>
        <w:r w:rsidR="003E65E5" w:rsidRPr="00FC7FF1">
          <w:rPr>
            <w:rStyle w:val="Hyperlink"/>
          </w:rPr>
          <w:t>Fourniture de lignées parentales pour les demandes concernant les hybrides</w:t>
        </w:r>
        <w:r w:rsidR="003E65E5">
          <w:rPr>
            <w:webHidden/>
          </w:rPr>
          <w:tab/>
        </w:r>
        <w:r w:rsidR="003E65E5">
          <w:rPr>
            <w:webHidden/>
          </w:rPr>
          <w:fldChar w:fldCharType="begin"/>
        </w:r>
        <w:r w:rsidR="003E65E5">
          <w:rPr>
            <w:webHidden/>
          </w:rPr>
          <w:instrText xml:space="preserve"> PAGEREF _Toc381949568 \h </w:instrText>
        </w:r>
        <w:r w:rsidR="003E65E5">
          <w:rPr>
            <w:webHidden/>
          </w:rPr>
        </w:r>
        <w:r w:rsidR="003E65E5">
          <w:rPr>
            <w:webHidden/>
          </w:rPr>
          <w:fldChar w:fldCharType="separate"/>
        </w:r>
        <w:r>
          <w:rPr>
            <w:webHidden/>
          </w:rPr>
          <w:t>6</w:t>
        </w:r>
        <w:r w:rsidR="003E65E5">
          <w:rPr>
            <w:webHidden/>
          </w:rPr>
          <w:fldChar w:fldCharType="end"/>
        </w:r>
      </w:hyperlink>
    </w:p>
    <w:p w:rsidR="003E65E5" w:rsidRDefault="00933DDE">
      <w:pPr>
        <w:pStyle w:val="TOC3"/>
        <w:rPr>
          <w:rFonts w:asciiTheme="minorHAnsi" w:eastAsiaTheme="minorEastAsia" w:hAnsiTheme="minorHAnsi" w:cstheme="minorBidi"/>
          <w:i w:val="0"/>
          <w:iCs w:val="0"/>
          <w:sz w:val="22"/>
          <w:szCs w:val="22"/>
          <w:lang w:val="en-US"/>
        </w:rPr>
      </w:pPr>
      <w:hyperlink w:anchor="_Toc381949569" w:history="1">
        <w:r w:rsidR="003E65E5" w:rsidRPr="00FC7FF1">
          <w:rPr>
            <w:rStyle w:val="Hyperlink"/>
          </w:rPr>
          <w:t>b)</w:t>
        </w:r>
        <w:r w:rsidR="003E65E5">
          <w:rPr>
            <w:rFonts w:asciiTheme="minorHAnsi" w:eastAsiaTheme="minorEastAsia" w:hAnsiTheme="minorHAnsi" w:cstheme="minorBidi"/>
            <w:i w:val="0"/>
            <w:iCs w:val="0"/>
            <w:sz w:val="22"/>
            <w:szCs w:val="22"/>
            <w:lang w:val="en-US"/>
          </w:rPr>
          <w:tab/>
        </w:r>
        <w:r w:rsidR="003E65E5" w:rsidRPr="00FC7FF1">
          <w:rPr>
            <w:rStyle w:val="Hyperlink"/>
          </w:rPr>
          <w:t>Disponibilité et échange de matériel</w:t>
        </w:r>
        <w:r w:rsidR="003E65E5">
          <w:rPr>
            <w:webHidden/>
          </w:rPr>
          <w:tab/>
        </w:r>
        <w:r w:rsidR="003E65E5">
          <w:rPr>
            <w:webHidden/>
          </w:rPr>
          <w:fldChar w:fldCharType="begin"/>
        </w:r>
        <w:r w:rsidR="003E65E5">
          <w:rPr>
            <w:webHidden/>
          </w:rPr>
          <w:instrText xml:space="preserve"> PAGEREF _Toc381949569 \h </w:instrText>
        </w:r>
        <w:r w:rsidR="003E65E5">
          <w:rPr>
            <w:webHidden/>
          </w:rPr>
        </w:r>
        <w:r w:rsidR="003E65E5">
          <w:rPr>
            <w:webHidden/>
          </w:rPr>
          <w:fldChar w:fldCharType="separate"/>
        </w:r>
        <w:r>
          <w:rPr>
            <w:webHidden/>
          </w:rPr>
          <w:t>7</w:t>
        </w:r>
        <w:r w:rsidR="003E65E5">
          <w:rPr>
            <w:webHidden/>
          </w:rPr>
          <w:fldChar w:fldCharType="end"/>
        </w:r>
      </w:hyperlink>
    </w:p>
    <w:p w:rsidR="003E65E5" w:rsidRDefault="00933DDE">
      <w:pPr>
        <w:pStyle w:val="TOC3"/>
        <w:rPr>
          <w:rFonts w:asciiTheme="minorHAnsi" w:eastAsiaTheme="minorEastAsia" w:hAnsiTheme="minorHAnsi" w:cstheme="minorBidi"/>
          <w:i w:val="0"/>
          <w:iCs w:val="0"/>
          <w:sz w:val="22"/>
          <w:szCs w:val="22"/>
          <w:lang w:val="en-US"/>
        </w:rPr>
      </w:pPr>
      <w:hyperlink w:anchor="_Toc381949570" w:history="1">
        <w:r w:rsidR="003E65E5" w:rsidRPr="00FC7FF1">
          <w:rPr>
            <w:rStyle w:val="Hyperlink"/>
          </w:rPr>
          <w:t>c)</w:t>
        </w:r>
        <w:r w:rsidR="003E65E5">
          <w:rPr>
            <w:rFonts w:asciiTheme="minorHAnsi" w:eastAsiaTheme="minorEastAsia" w:hAnsiTheme="minorHAnsi" w:cstheme="minorBidi"/>
            <w:i w:val="0"/>
            <w:iCs w:val="0"/>
            <w:sz w:val="22"/>
            <w:szCs w:val="22"/>
            <w:lang w:val="en-US"/>
          </w:rPr>
          <w:tab/>
        </w:r>
        <w:r w:rsidR="003E65E5" w:rsidRPr="00FC7FF1">
          <w:rPr>
            <w:rStyle w:val="Hyperlink"/>
          </w:rPr>
          <w:t>Confiden</w:t>
        </w:r>
        <w:r w:rsidR="003E65E5" w:rsidRPr="00FC7FF1">
          <w:rPr>
            <w:rStyle w:val="Hyperlink"/>
            <w:spacing w:val="3"/>
          </w:rPr>
          <w:t>t</w:t>
        </w:r>
        <w:r w:rsidR="003E65E5" w:rsidRPr="00FC7FF1">
          <w:rPr>
            <w:rStyle w:val="Hyperlink"/>
            <w:spacing w:val="1"/>
          </w:rPr>
          <w:t>i</w:t>
        </w:r>
        <w:r w:rsidR="003E65E5" w:rsidRPr="00FC7FF1">
          <w:rPr>
            <w:rStyle w:val="Hyperlink"/>
          </w:rPr>
          <w:t>alité du matériel du déposant lorsque les centres d</w:t>
        </w:r>
        <w:r w:rsidR="00F20C73">
          <w:rPr>
            <w:rStyle w:val="Hyperlink"/>
          </w:rPr>
          <w:t>’</w:t>
        </w:r>
        <w:r w:rsidR="003E65E5" w:rsidRPr="00FC7FF1">
          <w:rPr>
            <w:rStyle w:val="Hyperlink"/>
          </w:rPr>
          <w:t>examen créent des variétés de la même espèce</w:t>
        </w:r>
        <w:r w:rsidR="003E65E5">
          <w:rPr>
            <w:webHidden/>
          </w:rPr>
          <w:tab/>
        </w:r>
        <w:r w:rsidR="003E65E5">
          <w:rPr>
            <w:webHidden/>
          </w:rPr>
          <w:fldChar w:fldCharType="begin"/>
        </w:r>
        <w:r w:rsidR="003E65E5">
          <w:rPr>
            <w:webHidden/>
          </w:rPr>
          <w:instrText xml:space="preserve"> PAGEREF _Toc381949570 \h </w:instrText>
        </w:r>
        <w:r w:rsidR="003E65E5">
          <w:rPr>
            <w:webHidden/>
          </w:rPr>
        </w:r>
        <w:r w:rsidR="003E65E5">
          <w:rPr>
            <w:webHidden/>
          </w:rPr>
          <w:fldChar w:fldCharType="separate"/>
        </w:r>
        <w:r>
          <w:rPr>
            <w:webHidden/>
          </w:rPr>
          <w:t>8</w:t>
        </w:r>
        <w:r w:rsidR="003E65E5">
          <w:rPr>
            <w:webHidden/>
          </w:rPr>
          <w:fldChar w:fldCharType="end"/>
        </w:r>
      </w:hyperlink>
    </w:p>
    <w:p w:rsidR="003E65E5" w:rsidRDefault="00933DDE">
      <w:pPr>
        <w:pStyle w:val="TOC2"/>
        <w:rPr>
          <w:rFonts w:asciiTheme="minorHAnsi" w:eastAsiaTheme="minorEastAsia" w:hAnsiTheme="minorHAnsi" w:cstheme="minorBidi"/>
          <w:sz w:val="22"/>
          <w:szCs w:val="22"/>
        </w:rPr>
      </w:pPr>
      <w:hyperlink w:anchor="_Toc381949571" w:history="1">
        <w:r w:rsidR="003E65E5" w:rsidRPr="00FC7FF1">
          <w:rPr>
            <w:rStyle w:val="Hyperlink"/>
          </w:rPr>
          <w:t>Fréquence de la communication des données et exhaustivité des bases de données</w:t>
        </w:r>
        <w:r w:rsidR="003E65E5">
          <w:rPr>
            <w:webHidden/>
          </w:rPr>
          <w:tab/>
        </w:r>
        <w:r w:rsidR="003E65E5">
          <w:rPr>
            <w:webHidden/>
          </w:rPr>
          <w:fldChar w:fldCharType="begin"/>
        </w:r>
        <w:r w:rsidR="003E65E5">
          <w:rPr>
            <w:webHidden/>
          </w:rPr>
          <w:instrText xml:space="preserve"> PAGEREF _Toc381949571 \h </w:instrText>
        </w:r>
        <w:r w:rsidR="003E65E5">
          <w:rPr>
            <w:webHidden/>
          </w:rPr>
        </w:r>
        <w:r w:rsidR="003E65E5">
          <w:rPr>
            <w:webHidden/>
          </w:rPr>
          <w:fldChar w:fldCharType="separate"/>
        </w:r>
        <w:r>
          <w:rPr>
            <w:webHidden/>
          </w:rPr>
          <w:t>9</w:t>
        </w:r>
        <w:r w:rsidR="003E65E5">
          <w:rPr>
            <w:webHidden/>
          </w:rPr>
          <w:fldChar w:fldCharType="end"/>
        </w:r>
      </w:hyperlink>
    </w:p>
    <w:p w:rsidR="003E65E5" w:rsidRDefault="00933DDE">
      <w:pPr>
        <w:pStyle w:val="TOC2"/>
        <w:rPr>
          <w:rFonts w:asciiTheme="minorHAnsi" w:eastAsiaTheme="minorEastAsia" w:hAnsiTheme="minorHAnsi" w:cstheme="minorBidi"/>
          <w:sz w:val="22"/>
          <w:szCs w:val="22"/>
        </w:rPr>
      </w:pPr>
      <w:hyperlink w:anchor="_Toc381949572" w:history="1">
        <w:r w:rsidR="003E65E5" w:rsidRPr="00FC7FF1">
          <w:rPr>
            <w:rStyle w:val="Hyperlink"/>
          </w:rPr>
          <w:t>Règles de dénomination</w:t>
        </w:r>
        <w:r w:rsidR="003E65E5">
          <w:rPr>
            <w:webHidden/>
          </w:rPr>
          <w:tab/>
        </w:r>
        <w:r w:rsidR="003E65E5">
          <w:rPr>
            <w:webHidden/>
          </w:rPr>
          <w:fldChar w:fldCharType="begin"/>
        </w:r>
        <w:r w:rsidR="003E65E5">
          <w:rPr>
            <w:webHidden/>
          </w:rPr>
          <w:instrText xml:space="preserve"> PAGEREF _Toc381949572 \h </w:instrText>
        </w:r>
        <w:r w:rsidR="003E65E5">
          <w:rPr>
            <w:webHidden/>
          </w:rPr>
        </w:r>
        <w:r w:rsidR="003E65E5">
          <w:rPr>
            <w:webHidden/>
          </w:rPr>
          <w:fldChar w:fldCharType="separate"/>
        </w:r>
        <w:r>
          <w:rPr>
            <w:webHidden/>
          </w:rPr>
          <w:t>10</w:t>
        </w:r>
        <w:r w:rsidR="003E65E5">
          <w:rPr>
            <w:webHidden/>
          </w:rPr>
          <w:fldChar w:fldCharType="end"/>
        </w:r>
      </w:hyperlink>
    </w:p>
    <w:p w:rsidR="003E65E5" w:rsidRDefault="00933DDE">
      <w:pPr>
        <w:pStyle w:val="TOC1"/>
        <w:rPr>
          <w:rFonts w:asciiTheme="minorHAnsi" w:eastAsiaTheme="minorEastAsia" w:hAnsiTheme="minorHAnsi" w:cstheme="minorBidi"/>
          <w:caps w:val="0"/>
          <w:sz w:val="22"/>
          <w:szCs w:val="22"/>
        </w:rPr>
      </w:pPr>
      <w:hyperlink w:anchor="_Toc381949573" w:history="1">
        <w:r w:rsidR="003E65E5" w:rsidRPr="00FC7FF1">
          <w:rPr>
            <w:rStyle w:val="Hyperlink"/>
            <w:lang w:val="fr-FR"/>
          </w:rPr>
          <w:t>II.</w:t>
        </w:r>
        <w:r w:rsidR="003E65E5">
          <w:rPr>
            <w:rFonts w:asciiTheme="minorHAnsi" w:eastAsiaTheme="minorEastAsia" w:hAnsiTheme="minorHAnsi" w:cstheme="minorBidi"/>
            <w:caps w:val="0"/>
            <w:sz w:val="22"/>
            <w:szCs w:val="22"/>
          </w:rPr>
          <w:tab/>
        </w:r>
        <w:r w:rsidR="003E65E5" w:rsidRPr="00FC7FF1">
          <w:rPr>
            <w:rStyle w:val="Hyperlink"/>
            <w:lang w:val="fr-FR"/>
          </w:rPr>
          <w:t>document</w:t>
        </w:r>
        <w:r w:rsidR="003E65E5" w:rsidRPr="00FC7FF1">
          <w:rPr>
            <w:rStyle w:val="Hyperlink"/>
            <w:lang w:val="fr-FR"/>
          </w:rPr>
          <w:noBreakHyphen/>
          <w:t xml:space="preserve">cadre UPOV/INF/15 </w:t>
        </w:r>
        <w:r w:rsidR="00F20C73">
          <w:rPr>
            <w:rStyle w:val="Hyperlink"/>
            <w:lang w:val="fr-FR"/>
          </w:rPr>
          <w:t>“</w:t>
        </w:r>
        <w:r w:rsidR="003E65E5" w:rsidRPr="00FC7FF1">
          <w:rPr>
            <w:rStyle w:val="Hyperlink"/>
            <w:lang w:val="fr-FR"/>
          </w:rPr>
          <w:t>Document d</w:t>
        </w:r>
        <w:r w:rsidR="00F20C73">
          <w:rPr>
            <w:rStyle w:val="Hyperlink"/>
            <w:lang w:val="fr-FR"/>
          </w:rPr>
          <w:t>’</w:t>
        </w:r>
        <w:r w:rsidR="003E65E5" w:rsidRPr="00FC7FF1">
          <w:rPr>
            <w:rStyle w:val="Hyperlink"/>
            <w:lang w:val="fr-FR"/>
          </w:rPr>
          <w:t>orientation destinÉ aux membres de l</w:t>
        </w:r>
        <w:r w:rsidR="00F20C73">
          <w:rPr>
            <w:rStyle w:val="Hyperlink"/>
            <w:lang w:val="fr-FR"/>
          </w:rPr>
          <w:t>’</w:t>
        </w:r>
        <w:r w:rsidR="003E65E5" w:rsidRPr="00FC7FF1">
          <w:rPr>
            <w:rStyle w:val="Hyperlink"/>
            <w:lang w:val="fr-FR"/>
          </w:rPr>
          <w:t>UPOV concernant les obligations en cours et les notifications connexes ainsi que la fourniture d</w:t>
        </w:r>
        <w:r w:rsidR="00F20C73">
          <w:rPr>
            <w:rStyle w:val="Hyperlink"/>
            <w:lang w:val="fr-FR"/>
          </w:rPr>
          <w:t>’</w:t>
        </w:r>
        <w:r w:rsidR="003E65E5" w:rsidRPr="00FC7FF1">
          <w:rPr>
            <w:rStyle w:val="Hyperlink"/>
            <w:lang w:val="fr-FR"/>
          </w:rPr>
          <w:t>informations visant À faciliter la coopÉration</w:t>
        </w:r>
        <w:r w:rsidR="003E65E5">
          <w:rPr>
            <w:webHidden/>
          </w:rPr>
          <w:tab/>
        </w:r>
        <w:r w:rsidR="003E65E5">
          <w:rPr>
            <w:webHidden/>
          </w:rPr>
          <w:fldChar w:fldCharType="begin"/>
        </w:r>
        <w:r w:rsidR="003E65E5">
          <w:rPr>
            <w:webHidden/>
          </w:rPr>
          <w:instrText xml:space="preserve"> PAGEREF _Toc381949573 \h </w:instrText>
        </w:r>
        <w:r w:rsidR="003E65E5">
          <w:rPr>
            <w:webHidden/>
          </w:rPr>
        </w:r>
        <w:r w:rsidR="003E65E5">
          <w:rPr>
            <w:webHidden/>
          </w:rPr>
          <w:fldChar w:fldCharType="separate"/>
        </w:r>
        <w:r>
          <w:rPr>
            <w:webHidden/>
          </w:rPr>
          <w:t>10</w:t>
        </w:r>
        <w:r w:rsidR="003E65E5">
          <w:rPr>
            <w:webHidden/>
          </w:rPr>
          <w:fldChar w:fldCharType="end"/>
        </w:r>
      </w:hyperlink>
    </w:p>
    <w:p w:rsidR="0020369A" w:rsidRPr="001E7D84" w:rsidRDefault="0020369A" w:rsidP="00F55485">
      <w:pPr>
        <w:ind w:left="1134" w:hanging="1134"/>
        <w:rPr>
          <w:lang w:val="fr-FR"/>
        </w:rPr>
      </w:pPr>
      <w:r w:rsidRPr="00987226">
        <w:rPr>
          <w:kern w:val="28"/>
        </w:rPr>
        <w:fldChar w:fldCharType="end"/>
      </w:r>
      <w:r w:rsidRPr="001E7D84">
        <w:rPr>
          <w:kern w:val="28"/>
          <w:lang w:val="fr-FR"/>
        </w:rPr>
        <w:t>ANNEXE</w:t>
      </w:r>
      <w:r w:rsidR="002067E8">
        <w:rPr>
          <w:kern w:val="28"/>
          <w:lang w:val="fr-FR"/>
        </w:rPr>
        <w:t> :</w:t>
      </w:r>
      <w:r w:rsidRPr="001E7D84">
        <w:rPr>
          <w:kern w:val="28"/>
          <w:lang w:val="fr-FR"/>
        </w:rPr>
        <w:t xml:space="preserve"> </w:t>
      </w:r>
      <w:r w:rsidRPr="001E7D84">
        <w:rPr>
          <w:kern w:val="28"/>
          <w:lang w:val="fr-FR"/>
        </w:rPr>
        <w:tab/>
        <w:t>Programme d</w:t>
      </w:r>
      <w:r w:rsidR="00F20C73">
        <w:rPr>
          <w:kern w:val="28"/>
          <w:lang w:val="fr-FR"/>
        </w:rPr>
        <w:t>’</w:t>
      </w:r>
      <w:r w:rsidRPr="001E7D84">
        <w:rPr>
          <w:kern w:val="28"/>
          <w:lang w:val="fr-FR"/>
        </w:rPr>
        <w:t>enseignement à di</w:t>
      </w:r>
      <w:r w:rsidRPr="001E7D84">
        <w:rPr>
          <w:lang w:val="fr-FR"/>
        </w:rPr>
        <w:t>stance</w:t>
      </w:r>
      <w:r>
        <w:rPr>
          <w:lang w:val="fr-FR"/>
        </w:rPr>
        <w:t xml:space="preserve"> de l</w:t>
      </w:r>
      <w:r w:rsidR="00F20C73">
        <w:rPr>
          <w:lang w:val="fr-FR"/>
        </w:rPr>
        <w:t>’</w:t>
      </w:r>
      <w:r>
        <w:rPr>
          <w:lang w:val="fr-FR"/>
        </w:rPr>
        <w:t xml:space="preserve">UPOV </w:t>
      </w:r>
      <w:r w:rsidR="00F20C73">
        <w:rPr>
          <w:lang w:val="fr-FR"/>
        </w:rPr>
        <w:t>“</w:t>
      </w:r>
      <w:r w:rsidRPr="001E7D84">
        <w:rPr>
          <w:lang w:val="fr-FR"/>
        </w:rPr>
        <w:t>Examen des demandes de droits d</w:t>
      </w:r>
      <w:r w:rsidR="00F20C73">
        <w:rPr>
          <w:lang w:val="fr-FR"/>
        </w:rPr>
        <w:t>’</w:t>
      </w:r>
      <w:r w:rsidRPr="001E7D84">
        <w:rPr>
          <w:lang w:val="fr-FR"/>
        </w:rPr>
        <w:t>obtenteur</w:t>
      </w:r>
      <w:r w:rsidR="00F20C73">
        <w:rPr>
          <w:lang w:val="fr-FR"/>
        </w:rPr>
        <w:t>”</w:t>
      </w:r>
      <w:r w:rsidRPr="001E7D84">
        <w:rPr>
          <w:lang w:val="fr-FR"/>
        </w:rPr>
        <w:t xml:space="preserve"> (DL</w:t>
      </w:r>
      <w:r w:rsidR="0014634A">
        <w:rPr>
          <w:lang w:val="fr-FR"/>
        </w:rPr>
        <w:noBreakHyphen/>
      </w:r>
      <w:r w:rsidRPr="001E7D84">
        <w:rPr>
          <w:lang w:val="fr-FR"/>
        </w:rPr>
        <w:t>305)</w:t>
      </w:r>
    </w:p>
    <w:p w:rsidR="0020369A" w:rsidRPr="001E7D84" w:rsidRDefault="0020369A" w:rsidP="00BB4D3E">
      <w:pPr>
        <w:keepNext/>
        <w:ind w:left="1134"/>
        <w:rPr>
          <w:lang w:val="fr-FR"/>
        </w:rPr>
      </w:pPr>
    </w:p>
    <w:p w:rsidR="0020369A" w:rsidRPr="001E7D84" w:rsidRDefault="0014634A" w:rsidP="001618CD">
      <w:pPr>
        <w:ind w:left="1134"/>
        <w:rPr>
          <w:lang w:val="fr-FR"/>
        </w:rPr>
      </w:pPr>
      <w:r>
        <w:rPr>
          <w:lang w:val="fr-FR"/>
        </w:rPr>
        <w:noBreakHyphen/>
      </w:r>
      <w:r w:rsidR="0020369A" w:rsidRPr="001E7D84">
        <w:rPr>
          <w:lang w:val="fr-FR"/>
        </w:rPr>
        <w:t xml:space="preserve"> Module 1</w:t>
      </w:r>
      <w:r w:rsidR="00F20C73">
        <w:rPr>
          <w:lang w:val="fr-FR"/>
        </w:rPr>
        <w:t xml:space="preserve"> “</w:t>
      </w:r>
      <w:r w:rsidR="0020369A" w:rsidRPr="001E7D84">
        <w:rPr>
          <w:lang w:val="fr-FR"/>
        </w:rPr>
        <w:t>L</w:t>
      </w:r>
      <w:r w:rsidR="00F20C73">
        <w:rPr>
          <w:lang w:val="fr-FR"/>
        </w:rPr>
        <w:t xml:space="preserve">e service d’octroi </w:t>
      </w:r>
      <w:r w:rsidR="0020369A" w:rsidRPr="001E7D84">
        <w:rPr>
          <w:lang w:val="fr-FR"/>
        </w:rPr>
        <w:t>des droits d</w:t>
      </w:r>
      <w:r w:rsidR="00F20C73">
        <w:rPr>
          <w:lang w:val="fr-FR"/>
        </w:rPr>
        <w:t>’</w:t>
      </w:r>
      <w:r w:rsidR="0020369A" w:rsidRPr="001E7D84">
        <w:rPr>
          <w:lang w:val="fr-FR"/>
        </w:rPr>
        <w:t>obtenteur</w:t>
      </w:r>
      <w:r w:rsidR="00F20C73">
        <w:rPr>
          <w:lang w:val="fr-FR"/>
        </w:rPr>
        <w:t>”</w:t>
      </w:r>
    </w:p>
    <w:p w:rsidR="0020369A" w:rsidRPr="001E7D84" w:rsidRDefault="0014634A" w:rsidP="001618CD">
      <w:pPr>
        <w:ind w:left="1134"/>
        <w:rPr>
          <w:kern w:val="28"/>
          <w:lang w:val="fr-FR"/>
        </w:rPr>
      </w:pPr>
      <w:r>
        <w:rPr>
          <w:lang w:val="fr-FR"/>
        </w:rPr>
        <w:noBreakHyphen/>
      </w:r>
      <w:r w:rsidR="0020369A" w:rsidRPr="001E7D84">
        <w:rPr>
          <w:lang w:val="fr-FR"/>
        </w:rPr>
        <w:t xml:space="preserve"> Module 2 </w:t>
      </w:r>
      <w:r w:rsidR="00F20C73">
        <w:rPr>
          <w:lang w:val="fr-FR"/>
        </w:rPr>
        <w:t>“</w:t>
      </w:r>
      <w:r w:rsidR="0020369A" w:rsidRPr="001E7D84">
        <w:rPr>
          <w:lang w:val="fr-FR"/>
        </w:rPr>
        <w:t>Administration des demandes</w:t>
      </w:r>
      <w:r w:rsidR="00F20C73">
        <w:rPr>
          <w:lang w:val="fr-FR"/>
        </w:rPr>
        <w:t>”</w:t>
      </w:r>
    </w:p>
    <w:p w:rsidR="0020369A" w:rsidRDefault="0020369A" w:rsidP="00037D15">
      <w:pPr>
        <w:rPr>
          <w:kern w:val="28"/>
          <w:lang w:val="fr-FR"/>
        </w:rPr>
      </w:pPr>
    </w:p>
    <w:p w:rsidR="005C3E4B" w:rsidRDefault="005C3E4B" w:rsidP="00037D15">
      <w:pPr>
        <w:rPr>
          <w:kern w:val="28"/>
          <w:lang w:val="fr-FR"/>
        </w:rPr>
      </w:pPr>
    </w:p>
    <w:p w:rsidR="005C3E4B" w:rsidRPr="001E7D84" w:rsidRDefault="005C3E4B" w:rsidP="00037D15">
      <w:pPr>
        <w:rPr>
          <w:kern w:val="28"/>
          <w:lang w:val="fr-FR"/>
        </w:rPr>
      </w:pPr>
    </w:p>
    <w:p w:rsidR="0020369A" w:rsidRDefault="0020369A" w:rsidP="00C0469A">
      <w:pPr>
        <w:pStyle w:val="Heading1"/>
        <w:keepNext/>
        <w:rPr>
          <w:lang w:val="fr-FR"/>
        </w:rPr>
      </w:pPr>
      <w:bookmarkStart w:id="5" w:name="_Toc381102828"/>
      <w:bookmarkStart w:id="6" w:name="_Toc381102856"/>
      <w:bookmarkStart w:id="7" w:name="_Toc381949561"/>
      <w:r w:rsidRPr="001E7D84">
        <w:rPr>
          <w:lang w:val="fr-FR"/>
        </w:rPr>
        <w:t>Informations g</w:t>
      </w:r>
      <w:r>
        <w:rPr>
          <w:lang w:val="fr-FR"/>
        </w:rPr>
        <w:t>É</w:t>
      </w:r>
      <w:r w:rsidRPr="001E7D84">
        <w:rPr>
          <w:lang w:val="fr-FR"/>
        </w:rPr>
        <w:t>n</w:t>
      </w:r>
      <w:r>
        <w:rPr>
          <w:lang w:val="fr-FR"/>
        </w:rPr>
        <w:t>É</w:t>
      </w:r>
      <w:r w:rsidRPr="001E7D84">
        <w:rPr>
          <w:lang w:val="fr-FR"/>
        </w:rPr>
        <w:t>rales</w:t>
      </w:r>
      <w:bookmarkEnd w:id="5"/>
      <w:bookmarkEnd w:id="6"/>
      <w:bookmarkEnd w:id="7"/>
    </w:p>
    <w:p w:rsidR="0020369A" w:rsidRPr="001E7D84" w:rsidRDefault="0020369A" w:rsidP="001E7D84">
      <w:pPr>
        <w:rPr>
          <w:lang w:val="fr-FR"/>
        </w:rPr>
      </w:pPr>
    </w:p>
    <w:p w:rsidR="0020369A" w:rsidRPr="001E7D84" w:rsidRDefault="0020369A" w:rsidP="003F0EE1">
      <w:pPr>
        <w:rPr>
          <w:lang w:val="fr-FR"/>
        </w:rPr>
      </w:pPr>
      <w:r w:rsidRPr="001E7D84">
        <w:rPr>
          <w:lang w:val="fr-FR"/>
        </w:rPr>
        <w:fldChar w:fldCharType="begin"/>
      </w:r>
      <w:r w:rsidRPr="001E7D84">
        <w:rPr>
          <w:lang w:val="fr-FR"/>
        </w:rPr>
        <w:instrText xml:space="preserve"> AUTONUM  </w:instrText>
      </w:r>
      <w:r w:rsidRPr="001E7D84">
        <w:rPr>
          <w:lang w:val="fr-FR"/>
        </w:rPr>
        <w:fldChar w:fldCharType="end"/>
      </w:r>
      <w:r w:rsidRPr="001E7D84">
        <w:rPr>
          <w:lang w:val="fr-FR"/>
        </w:rPr>
        <w:tab/>
      </w:r>
      <w:r w:rsidR="00917A8B">
        <w:rPr>
          <w:lang w:val="fr-FR"/>
        </w:rPr>
        <w:t>À</w:t>
      </w:r>
      <w:r w:rsidRPr="001E7D84">
        <w:rPr>
          <w:lang w:val="fr-FR"/>
        </w:rPr>
        <w:t xml:space="preserve"> sa quarante</w:t>
      </w:r>
      <w:r w:rsidR="0014634A">
        <w:rPr>
          <w:lang w:val="fr-FR"/>
        </w:rPr>
        <w:noBreakHyphen/>
      </w:r>
      <w:r w:rsidRPr="001E7D84">
        <w:rPr>
          <w:lang w:val="fr-FR"/>
        </w:rPr>
        <w:t>septième session ordinaire tenue à Genève le 24 octobre 2013, le Conseil a reçu un rapport du Comité consultatif concernant l</w:t>
      </w:r>
      <w:r w:rsidR="00F20C73">
        <w:rPr>
          <w:lang w:val="fr-FR"/>
        </w:rPr>
        <w:t>’</w:t>
      </w:r>
      <w:r w:rsidRPr="001E7D84">
        <w:rPr>
          <w:lang w:val="fr-FR"/>
        </w:rPr>
        <w:t>examen d</w:t>
      </w:r>
      <w:r w:rsidR="00F20C73">
        <w:rPr>
          <w:lang w:val="fr-FR"/>
        </w:rPr>
        <w:t>’</w:t>
      </w:r>
      <w:r w:rsidRPr="001E7D84">
        <w:rPr>
          <w:lang w:val="fr-FR"/>
        </w:rPr>
        <w:t>une lettre de l</w:t>
      </w:r>
      <w:r w:rsidR="00F20C73">
        <w:rPr>
          <w:lang w:val="fr-FR"/>
        </w:rPr>
        <w:t>’</w:t>
      </w:r>
      <w:r w:rsidRPr="005C3E4B">
        <w:rPr>
          <w:i/>
          <w:lang w:val="fr-FR"/>
        </w:rPr>
        <w:t>International Seed Federation</w:t>
      </w:r>
      <w:r w:rsidRPr="001E7D84">
        <w:rPr>
          <w:lang w:val="fr-FR"/>
        </w:rPr>
        <w:t xml:space="preserve"> (ISF) </w:t>
      </w:r>
      <w:r w:rsidR="00687AF9">
        <w:rPr>
          <w:lang w:val="fr-FR"/>
        </w:rPr>
        <w:t xml:space="preserve">portant </w:t>
      </w:r>
      <w:r w:rsidRPr="001E7D84">
        <w:rPr>
          <w:lang w:val="fr-FR"/>
        </w:rPr>
        <w:t xml:space="preserve">sur </w:t>
      </w:r>
      <w:r w:rsidR="00F20C73">
        <w:rPr>
          <w:snapToGrid w:val="0"/>
          <w:lang w:val="fr-FR"/>
        </w:rPr>
        <w:t>“</w:t>
      </w:r>
      <w:r w:rsidR="00687AF9" w:rsidRPr="00EF688B">
        <w:rPr>
          <w:snapToGrid w:val="0"/>
          <w:lang w:val="fr-FR"/>
        </w:rPr>
        <w:t>Les demandes de droits d</w:t>
      </w:r>
      <w:r w:rsidR="00F20C73">
        <w:rPr>
          <w:snapToGrid w:val="0"/>
          <w:lang w:val="fr-FR"/>
        </w:rPr>
        <w:t>’</w:t>
      </w:r>
      <w:r w:rsidR="00687AF9" w:rsidRPr="00EF688B">
        <w:rPr>
          <w:snapToGrid w:val="0"/>
          <w:lang w:val="fr-FR"/>
        </w:rPr>
        <w:t>obtenteur du point de vue de la demande, de l</w:t>
      </w:r>
      <w:r w:rsidR="00F20C73">
        <w:rPr>
          <w:snapToGrid w:val="0"/>
          <w:lang w:val="fr-FR"/>
        </w:rPr>
        <w:t>’</w:t>
      </w:r>
      <w:r w:rsidR="00687AF9" w:rsidRPr="00EF688B">
        <w:rPr>
          <w:snapToGrid w:val="0"/>
          <w:lang w:val="fr-FR"/>
        </w:rPr>
        <w:t>examen de la demande et de la délivrance du titre</w:t>
      </w:r>
      <w:r w:rsidR="00F20C73">
        <w:rPr>
          <w:snapToGrid w:val="0"/>
          <w:lang w:val="fr-FR"/>
        </w:rPr>
        <w:t>”</w:t>
      </w:r>
      <w:r w:rsidR="00687AF9" w:rsidRPr="001E7D84">
        <w:rPr>
          <w:lang w:val="fr-FR"/>
        </w:rPr>
        <w:t xml:space="preserve"> </w:t>
      </w:r>
      <w:r w:rsidRPr="001E7D84">
        <w:rPr>
          <w:lang w:val="fr-FR"/>
        </w:rPr>
        <w:t>(</w:t>
      </w:r>
      <w:r>
        <w:rPr>
          <w:lang w:val="fr-FR"/>
        </w:rPr>
        <w:t>voir les paragraphes</w:t>
      </w:r>
      <w:r w:rsidR="002067E8">
        <w:rPr>
          <w:lang w:val="fr-FR"/>
        </w:rPr>
        <w:t> </w:t>
      </w:r>
      <w:r>
        <w:rPr>
          <w:lang w:val="fr-FR"/>
        </w:rPr>
        <w:t>62 à 66 du</w:t>
      </w:r>
      <w:r w:rsidRPr="001E7D84">
        <w:rPr>
          <w:lang w:val="fr-FR"/>
        </w:rPr>
        <w:t xml:space="preserve"> document C/47/15 Rev. </w:t>
      </w:r>
      <w:r w:rsidR="00F20C73">
        <w:rPr>
          <w:lang w:val="fr-FR"/>
        </w:rPr>
        <w:t>“</w:t>
      </w:r>
      <w:r w:rsidRPr="001E7D84">
        <w:rPr>
          <w:lang w:val="fr-FR"/>
        </w:rPr>
        <w:t>Rapport du président sur les travaux de la quatre</w:t>
      </w:r>
      <w:r w:rsidR="0014634A">
        <w:rPr>
          <w:lang w:val="fr-FR"/>
        </w:rPr>
        <w:noBreakHyphen/>
      </w:r>
      <w:r w:rsidRPr="001E7D84">
        <w:rPr>
          <w:lang w:val="fr-FR"/>
        </w:rPr>
        <w:t>vingt</w:t>
      </w:r>
      <w:r w:rsidR="0014634A">
        <w:rPr>
          <w:lang w:val="fr-FR"/>
        </w:rPr>
        <w:noBreakHyphen/>
      </w:r>
      <w:r w:rsidRPr="001E7D84">
        <w:rPr>
          <w:lang w:val="fr-FR"/>
        </w:rPr>
        <w:t xml:space="preserve">sixième session du Comité consultatif; </w:t>
      </w:r>
      <w:r w:rsidR="002067E8">
        <w:rPr>
          <w:lang w:val="fr-FR"/>
        </w:rPr>
        <w:t xml:space="preserve"> </w:t>
      </w:r>
      <w:r w:rsidRPr="001E7D84">
        <w:rPr>
          <w:lang w:val="fr-FR"/>
        </w:rPr>
        <w:t>adoption, le cas échéant, des recommandations élaborées par ce comité</w:t>
      </w:r>
      <w:r w:rsidR="00F20C73">
        <w:rPr>
          <w:lang w:val="fr-FR"/>
        </w:rPr>
        <w:t>”</w:t>
      </w:r>
      <w:r w:rsidRPr="001E7D84">
        <w:rPr>
          <w:lang w:val="fr-FR"/>
        </w:rPr>
        <w:t>).</w:t>
      </w:r>
    </w:p>
    <w:p w:rsidR="0020369A" w:rsidRPr="001E7D84" w:rsidRDefault="0020369A" w:rsidP="003F0EE1">
      <w:pPr>
        <w:rPr>
          <w:lang w:val="fr-FR"/>
        </w:rPr>
      </w:pPr>
    </w:p>
    <w:p w:rsidR="00A039B4" w:rsidRDefault="0020369A" w:rsidP="003F0EE1">
      <w:pPr>
        <w:rPr>
          <w:lang w:val="fr-FR"/>
        </w:rPr>
      </w:pPr>
      <w:r w:rsidRPr="00BB1CC1">
        <w:rPr>
          <w:lang w:val="fr-FR"/>
        </w:rPr>
        <w:fldChar w:fldCharType="begin"/>
      </w:r>
      <w:r w:rsidRPr="00BB1CC1">
        <w:rPr>
          <w:lang w:val="fr-FR"/>
        </w:rPr>
        <w:instrText xml:space="preserve"> AUTONUM  </w:instrText>
      </w:r>
      <w:r w:rsidRPr="00BB1CC1">
        <w:rPr>
          <w:lang w:val="fr-FR"/>
        </w:rPr>
        <w:fldChar w:fldCharType="end"/>
      </w:r>
      <w:r w:rsidRPr="00BB1CC1">
        <w:rPr>
          <w:lang w:val="fr-FR"/>
        </w:rPr>
        <w:tab/>
        <w:t xml:space="preserve">Le rapport notait que le Comité consultatif </w:t>
      </w:r>
      <w:r>
        <w:rPr>
          <w:lang w:val="fr-FR"/>
        </w:rPr>
        <w:t xml:space="preserve">avait </w:t>
      </w:r>
      <w:r w:rsidRPr="00BB1CC1">
        <w:rPr>
          <w:lang w:val="fr-FR"/>
        </w:rPr>
        <w:t>conclu que nombre de ces questions pouvaient être abordées dans les documents d</w:t>
      </w:r>
      <w:r w:rsidR="00F20C73">
        <w:rPr>
          <w:lang w:val="fr-FR"/>
        </w:rPr>
        <w:t>’</w:t>
      </w:r>
      <w:r w:rsidRPr="00BB1CC1">
        <w:rPr>
          <w:lang w:val="fr-FR"/>
        </w:rPr>
        <w:t>information existants de l</w:t>
      </w:r>
      <w:r w:rsidR="00F20C73">
        <w:rPr>
          <w:lang w:val="fr-FR"/>
        </w:rPr>
        <w:t>’</w:t>
      </w:r>
      <w:r w:rsidRPr="00BB1CC1">
        <w:rPr>
          <w:lang w:val="fr-FR"/>
        </w:rPr>
        <w:t>UPOV et ceux susceptibles d</w:t>
      </w:r>
      <w:r w:rsidR="00F20C73">
        <w:rPr>
          <w:lang w:val="fr-FR"/>
        </w:rPr>
        <w:t>’</w:t>
      </w:r>
      <w:r w:rsidRPr="00BB1CC1">
        <w:rPr>
          <w:lang w:val="fr-FR"/>
        </w:rPr>
        <w:t>être établis à l</w:t>
      </w:r>
      <w:r w:rsidR="00F20C73">
        <w:rPr>
          <w:lang w:val="fr-FR"/>
        </w:rPr>
        <w:t>’</w:t>
      </w:r>
      <w:r w:rsidRPr="00BB1CC1">
        <w:rPr>
          <w:lang w:val="fr-FR"/>
        </w:rPr>
        <w:t>avenir.  Ces</w:t>
      </w:r>
      <w:r w:rsidR="00784D4B">
        <w:rPr>
          <w:lang w:val="fr-FR"/>
        </w:rPr>
        <w:t xml:space="preserve"> </w:t>
      </w:r>
      <w:r w:rsidRPr="00BB1CC1">
        <w:rPr>
          <w:lang w:val="fr-FR"/>
        </w:rPr>
        <w:t>questions seraient examinées par les organes compétents au sein de l</w:t>
      </w:r>
      <w:r w:rsidR="00F20C73">
        <w:rPr>
          <w:lang w:val="fr-FR"/>
        </w:rPr>
        <w:t>’</w:t>
      </w:r>
      <w:r w:rsidRPr="00BB1CC1">
        <w:rPr>
          <w:lang w:val="fr-FR"/>
        </w:rPr>
        <w:t>UPOV, en particulier le</w:t>
      </w:r>
      <w:r w:rsidR="00784D4B">
        <w:rPr>
          <w:lang w:val="fr-FR"/>
        </w:rPr>
        <w:t xml:space="preserve"> </w:t>
      </w:r>
      <w:r w:rsidRPr="00BB1CC1">
        <w:rPr>
          <w:lang w:val="fr-FR"/>
        </w:rPr>
        <w:t>CAJ et le Comité technique (TC).</w:t>
      </w:r>
      <w:r>
        <w:rPr>
          <w:lang w:val="fr-FR"/>
        </w:rPr>
        <w:t xml:space="preserve"> </w:t>
      </w:r>
      <w:r w:rsidR="002067E8">
        <w:rPr>
          <w:lang w:val="fr-FR"/>
        </w:rPr>
        <w:t xml:space="preserve"> </w:t>
      </w:r>
      <w:r w:rsidRPr="00BB1CC1">
        <w:rPr>
          <w:lang w:val="fr-FR"/>
        </w:rPr>
        <w:t>Concernant les idées de l</w:t>
      </w:r>
      <w:r w:rsidR="00F20C73">
        <w:rPr>
          <w:lang w:val="fr-FR"/>
        </w:rPr>
        <w:t>’</w:t>
      </w:r>
      <w:r w:rsidRPr="00BB1CC1">
        <w:rPr>
          <w:lang w:val="fr-FR"/>
        </w:rPr>
        <w:t>ISF relatives à la possibilité d</w:t>
      </w:r>
      <w:r w:rsidR="00F20C73">
        <w:rPr>
          <w:lang w:val="fr-FR"/>
        </w:rPr>
        <w:t>’</w:t>
      </w:r>
      <w:r w:rsidRPr="00BB1CC1">
        <w:rPr>
          <w:lang w:val="fr-FR"/>
        </w:rPr>
        <w:t>établir un système de dépôt international, un programme d</w:t>
      </w:r>
      <w:r w:rsidR="00F20C73">
        <w:rPr>
          <w:lang w:val="fr-FR"/>
        </w:rPr>
        <w:t>’</w:t>
      </w:r>
      <w:r w:rsidRPr="00BB1CC1">
        <w:rPr>
          <w:lang w:val="fr-FR"/>
        </w:rPr>
        <w:t>assurance qualité de l</w:t>
      </w:r>
      <w:r w:rsidR="00F20C73">
        <w:rPr>
          <w:lang w:val="fr-FR"/>
        </w:rPr>
        <w:t>’</w:t>
      </w:r>
      <w:r w:rsidRPr="00BB1CC1">
        <w:rPr>
          <w:lang w:val="fr-FR"/>
        </w:rPr>
        <w:t>UPOV et un système d</w:t>
      </w:r>
      <w:r w:rsidR="00F20C73">
        <w:rPr>
          <w:lang w:val="fr-FR"/>
        </w:rPr>
        <w:t>’</w:t>
      </w:r>
      <w:r w:rsidRPr="00BB1CC1">
        <w:rPr>
          <w:lang w:val="fr-FR"/>
        </w:rPr>
        <w:t xml:space="preserve">examen central pour les dénominations variétales, </w:t>
      </w:r>
      <w:r>
        <w:rPr>
          <w:lang w:val="fr-FR"/>
        </w:rPr>
        <w:t xml:space="preserve">il a été signalé que </w:t>
      </w:r>
      <w:r w:rsidRPr="00BB1CC1">
        <w:rPr>
          <w:lang w:val="fr-FR"/>
        </w:rPr>
        <w:t>le Comité consultatif a</w:t>
      </w:r>
      <w:r>
        <w:rPr>
          <w:lang w:val="fr-FR"/>
        </w:rPr>
        <w:t>vait</w:t>
      </w:r>
      <w:r w:rsidRPr="00BB1CC1">
        <w:rPr>
          <w:lang w:val="fr-FR"/>
        </w:rPr>
        <w:t xml:space="preserve"> prié le Bureau de l</w:t>
      </w:r>
      <w:r w:rsidR="00F20C73">
        <w:rPr>
          <w:lang w:val="fr-FR"/>
        </w:rPr>
        <w:t>’</w:t>
      </w:r>
      <w:r w:rsidRPr="00BB1CC1">
        <w:rPr>
          <w:lang w:val="fr-FR"/>
        </w:rPr>
        <w:t>Union et l</w:t>
      </w:r>
      <w:r w:rsidR="00F20C73">
        <w:rPr>
          <w:lang w:val="fr-FR"/>
        </w:rPr>
        <w:t>’</w:t>
      </w:r>
      <w:r w:rsidRPr="00BB1CC1">
        <w:rPr>
          <w:lang w:val="fr-FR"/>
        </w:rPr>
        <w:t>ISF de préciser les problèmes rencontrés et les solutions possibles pour examen à sa prochaine session</w:t>
      </w:r>
      <w:r>
        <w:rPr>
          <w:lang w:val="fr-FR"/>
        </w:rPr>
        <w:t xml:space="preserve"> </w:t>
      </w:r>
      <w:r w:rsidRPr="00BB1CC1">
        <w:rPr>
          <w:lang w:val="fr-FR"/>
        </w:rPr>
        <w:t>(</w:t>
      </w:r>
      <w:r>
        <w:rPr>
          <w:lang w:val="fr-FR"/>
        </w:rPr>
        <w:t>voir l</w:t>
      </w:r>
      <w:r w:rsidR="00F20C73">
        <w:rPr>
          <w:lang w:val="fr-FR"/>
        </w:rPr>
        <w:t>’</w:t>
      </w:r>
      <w:r>
        <w:rPr>
          <w:lang w:val="fr-FR"/>
        </w:rPr>
        <w:t>annexe II du</w:t>
      </w:r>
      <w:r w:rsidRPr="00BB1CC1">
        <w:rPr>
          <w:lang w:val="fr-FR"/>
        </w:rPr>
        <w:t xml:space="preserve"> document C/47/19 </w:t>
      </w:r>
      <w:r w:rsidR="00F20C73">
        <w:rPr>
          <w:lang w:val="fr-FR"/>
        </w:rPr>
        <w:t>“</w:t>
      </w:r>
      <w:r>
        <w:rPr>
          <w:lang w:val="fr-FR"/>
        </w:rPr>
        <w:t>Compte rendu des décisions</w:t>
      </w:r>
      <w:r w:rsidR="00F20C73">
        <w:rPr>
          <w:lang w:val="fr-FR"/>
        </w:rPr>
        <w:t>”</w:t>
      </w:r>
      <w:r w:rsidRPr="00BB1CC1">
        <w:rPr>
          <w:lang w:val="fr-FR"/>
        </w:rPr>
        <w:t>).</w:t>
      </w:r>
    </w:p>
    <w:p w:rsidR="0020369A" w:rsidRPr="00BB1CC1" w:rsidRDefault="0020369A" w:rsidP="003F0EE1">
      <w:pPr>
        <w:rPr>
          <w:snapToGrid w:val="0"/>
          <w:lang w:val="fr-FR"/>
        </w:rPr>
      </w:pPr>
    </w:p>
    <w:p w:rsidR="0020369A" w:rsidRPr="00BB1CC1" w:rsidRDefault="0020369A" w:rsidP="005C4485">
      <w:pPr>
        <w:rPr>
          <w:kern w:val="28"/>
          <w:lang w:val="fr-FR"/>
        </w:rPr>
      </w:pPr>
    </w:p>
    <w:p w:rsidR="0020369A" w:rsidRPr="00BB1CC1" w:rsidRDefault="0020369A" w:rsidP="005C4485">
      <w:pPr>
        <w:rPr>
          <w:kern w:val="28"/>
          <w:lang w:val="fr-FR"/>
        </w:rPr>
      </w:pPr>
    </w:p>
    <w:p w:rsidR="0020369A" w:rsidRPr="00BB1CC1" w:rsidRDefault="0020369A" w:rsidP="0055760B">
      <w:pPr>
        <w:pStyle w:val="Heading1"/>
        <w:keepNext/>
        <w:rPr>
          <w:lang w:val="fr-FR"/>
        </w:rPr>
      </w:pPr>
      <w:bookmarkStart w:id="8" w:name="_Toc379530097"/>
      <w:bookmarkStart w:id="9" w:name="_Toc381102829"/>
      <w:bookmarkStart w:id="10" w:name="_Toc381102857"/>
      <w:bookmarkStart w:id="11" w:name="_Toc381949562"/>
      <w:r w:rsidRPr="00BB1CC1">
        <w:rPr>
          <w:lang w:val="fr-FR"/>
        </w:rPr>
        <w:t>I.</w:t>
      </w:r>
      <w:r w:rsidRPr="00BB1CC1">
        <w:rPr>
          <w:lang w:val="fr-FR"/>
        </w:rPr>
        <w:tab/>
        <w:t>QU</w:t>
      </w:r>
      <w:r w:rsidR="00917A8B">
        <w:rPr>
          <w:lang w:val="fr-FR"/>
        </w:rPr>
        <w:t>ESTIONS IndividuELLES QUE LE</w:t>
      </w:r>
      <w:r w:rsidRPr="00BB1CC1">
        <w:rPr>
          <w:lang w:val="fr-FR"/>
        </w:rPr>
        <w:t xml:space="preserve"> CAJ EST INVIT</w:t>
      </w:r>
      <w:r>
        <w:rPr>
          <w:lang w:val="fr-FR"/>
        </w:rPr>
        <w:t>É</w:t>
      </w:r>
      <w:r w:rsidRPr="00BB1CC1">
        <w:rPr>
          <w:lang w:val="fr-FR"/>
        </w:rPr>
        <w:t xml:space="preserve"> </w:t>
      </w:r>
      <w:bookmarkEnd w:id="8"/>
      <w:bookmarkEnd w:id="9"/>
      <w:bookmarkEnd w:id="10"/>
      <w:r>
        <w:rPr>
          <w:lang w:val="fr-FR"/>
        </w:rPr>
        <w:t>À EXAMINER</w:t>
      </w:r>
      <w:bookmarkEnd w:id="11"/>
    </w:p>
    <w:p w:rsidR="0020369A" w:rsidRPr="00BB1CC1" w:rsidRDefault="0020369A" w:rsidP="0055760B">
      <w:pPr>
        <w:keepNext/>
        <w:rPr>
          <w:snapToGrid w:val="0"/>
          <w:lang w:val="fr-FR"/>
        </w:rPr>
      </w:pPr>
    </w:p>
    <w:p w:rsidR="0020369A" w:rsidRPr="00E251AF" w:rsidRDefault="0020369A" w:rsidP="007D6C5B">
      <w:pPr>
        <w:rPr>
          <w:lang w:val="fr-FR"/>
        </w:rPr>
      </w:pPr>
      <w:r w:rsidRPr="00BB1CC1">
        <w:rPr>
          <w:lang w:val="fr-FR"/>
        </w:rPr>
        <w:fldChar w:fldCharType="begin"/>
      </w:r>
      <w:r w:rsidRPr="00BB1CC1">
        <w:rPr>
          <w:lang w:val="fr-FR"/>
        </w:rPr>
        <w:instrText xml:space="preserve"> AUTONUM  </w:instrText>
      </w:r>
      <w:r w:rsidRPr="00BB1CC1">
        <w:rPr>
          <w:lang w:val="fr-FR"/>
        </w:rPr>
        <w:fldChar w:fldCharType="end"/>
      </w:r>
      <w:r w:rsidRPr="00BB1CC1">
        <w:rPr>
          <w:lang w:val="fr-FR"/>
        </w:rPr>
        <w:tab/>
      </w:r>
      <w:r w:rsidR="00917A8B">
        <w:rPr>
          <w:lang w:val="fr-FR"/>
        </w:rPr>
        <w:t>À</w:t>
      </w:r>
      <w:r>
        <w:rPr>
          <w:lang w:val="fr-FR"/>
        </w:rPr>
        <w:t xml:space="preserve"> sa quatre</w:t>
      </w:r>
      <w:r w:rsidR="0014634A">
        <w:rPr>
          <w:lang w:val="fr-FR"/>
        </w:rPr>
        <w:noBreakHyphen/>
      </w:r>
      <w:r>
        <w:rPr>
          <w:lang w:val="fr-FR"/>
        </w:rPr>
        <w:t>vingt</w:t>
      </w:r>
      <w:r w:rsidR="0014634A">
        <w:rPr>
          <w:lang w:val="fr-FR"/>
        </w:rPr>
        <w:noBreakHyphen/>
      </w:r>
      <w:r>
        <w:rPr>
          <w:lang w:val="fr-FR"/>
        </w:rPr>
        <w:t>sixième</w:t>
      </w:r>
      <w:r w:rsidR="002067E8">
        <w:rPr>
          <w:lang w:val="fr-FR"/>
        </w:rPr>
        <w:t> </w:t>
      </w:r>
      <w:r w:rsidRPr="00BB1CC1">
        <w:rPr>
          <w:lang w:val="fr-FR"/>
        </w:rPr>
        <w:t>session,</w:t>
      </w:r>
      <w:r>
        <w:rPr>
          <w:lang w:val="fr-FR"/>
        </w:rPr>
        <w:t xml:space="preserve"> le Comité consultatif a examiné la lettre de l</w:t>
      </w:r>
      <w:r w:rsidR="00F20C73">
        <w:rPr>
          <w:lang w:val="fr-FR"/>
        </w:rPr>
        <w:t>’</w:t>
      </w:r>
      <w:r w:rsidRPr="00BB1CC1">
        <w:rPr>
          <w:lang w:val="fr-FR"/>
        </w:rPr>
        <w:t xml:space="preserve">ISF sur </w:t>
      </w:r>
      <w:r w:rsidR="00F20C73">
        <w:rPr>
          <w:lang w:val="fr-FR"/>
        </w:rPr>
        <w:t>“</w:t>
      </w:r>
      <w:r w:rsidRPr="00BB1CC1">
        <w:rPr>
          <w:lang w:val="fr-FR"/>
        </w:rPr>
        <w:t>Les questions de dépôt, d</w:t>
      </w:r>
      <w:r w:rsidR="00F20C73">
        <w:rPr>
          <w:lang w:val="fr-FR"/>
        </w:rPr>
        <w:t>’</w:t>
      </w:r>
      <w:r w:rsidRPr="00BB1CC1">
        <w:rPr>
          <w:lang w:val="fr-FR"/>
        </w:rPr>
        <w:t>examen et de délivrance en rapport avec les demandes de droits d</w:t>
      </w:r>
      <w:r w:rsidR="00F20C73">
        <w:rPr>
          <w:lang w:val="fr-FR"/>
        </w:rPr>
        <w:t>’</w:t>
      </w:r>
      <w:r w:rsidRPr="00BB1CC1">
        <w:rPr>
          <w:lang w:val="fr-FR"/>
        </w:rPr>
        <w:t>obtenteur</w:t>
      </w:r>
      <w:r w:rsidR="00F20C73">
        <w:rPr>
          <w:lang w:val="fr-FR"/>
        </w:rPr>
        <w:t>”</w:t>
      </w:r>
      <w:r>
        <w:rPr>
          <w:lang w:val="fr-FR"/>
        </w:rPr>
        <w:t xml:space="preserve"> </w:t>
      </w:r>
      <w:r w:rsidRPr="00BB1CC1">
        <w:rPr>
          <w:lang w:val="fr-FR"/>
        </w:rPr>
        <w:t>(</w:t>
      </w:r>
      <w:r>
        <w:rPr>
          <w:lang w:val="fr-FR"/>
        </w:rPr>
        <w:t>voir les paragraphes</w:t>
      </w:r>
      <w:r w:rsidR="002067E8">
        <w:rPr>
          <w:lang w:val="fr-FR"/>
        </w:rPr>
        <w:t> </w:t>
      </w:r>
      <w:r>
        <w:rPr>
          <w:lang w:val="fr-FR"/>
        </w:rPr>
        <w:t>62 à 66 du</w:t>
      </w:r>
      <w:r w:rsidRPr="001E7D84">
        <w:rPr>
          <w:lang w:val="fr-FR"/>
        </w:rPr>
        <w:t xml:space="preserve"> document C/47/15 Rev. </w:t>
      </w:r>
      <w:r w:rsidR="00F20C73">
        <w:rPr>
          <w:lang w:val="fr-FR"/>
        </w:rPr>
        <w:t>“</w:t>
      </w:r>
      <w:r w:rsidRPr="001E7D84">
        <w:rPr>
          <w:lang w:val="fr-FR"/>
        </w:rPr>
        <w:t>Rapport du président sur les travaux de la quatre</w:t>
      </w:r>
      <w:r w:rsidR="0014634A">
        <w:rPr>
          <w:lang w:val="fr-FR"/>
        </w:rPr>
        <w:noBreakHyphen/>
      </w:r>
      <w:r w:rsidRPr="001E7D84">
        <w:rPr>
          <w:lang w:val="fr-FR"/>
        </w:rPr>
        <w:t>vingt</w:t>
      </w:r>
      <w:r w:rsidR="0014634A">
        <w:rPr>
          <w:lang w:val="fr-FR"/>
        </w:rPr>
        <w:noBreakHyphen/>
      </w:r>
      <w:r w:rsidRPr="001E7D84">
        <w:rPr>
          <w:lang w:val="fr-FR"/>
        </w:rPr>
        <w:t xml:space="preserve">sixième session du Comité consultatif; </w:t>
      </w:r>
      <w:r w:rsidR="002067E8">
        <w:rPr>
          <w:lang w:val="fr-FR"/>
        </w:rPr>
        <w:t xml:space="preserve"> </w:t>
      </w:r>
      <w:r w:rsidRPr="001E7D84">
        <w:rPr>
          <w:lang w:val="fr-FR"/>
        </w:rPr>
        <w:t>adoption, le cas échéant, des recommandations élaborées par ce comité</w:t>
      </w:r>
      <w:r w:rsidR="00F20C73">
        <w:rPr>
          <w:lang w:val="fr-FR"/>
        </w:rPr>
        <w:t>”</w:t>
      </w:r>
      <w:r w:rsidRPr="00BB1CC1">
        <w:rPr>
          <w:lang w:val="fr-FR"/>
        </w:rPr>
        <w:t>).</w:t>
      </w:r>
      <w:r w:rsidR="002067E8">
        <w:rPr>
          <w:lang w:val="fr-FR"/>
        </w:rPr>
        <w:t xml:space="preserve"> </w:t>
      </w:r>
      <w:r w:rsidRPr="00BB1CC1">
        <w:rPr>
          <w:lang w:val="fr-FR"/>
        </w:rPr>
        <w:t xml:space="preserve"> Le Comité consultatif </w:t>
      </w:r>
      <w:r>
        <w:rPr>
          <w:lang w:val="fr-FR"/>
        </w:rPr>
        <w:t>est convenu</w:t>
      </w:r>
      <w:r w:rsidRPr="00BB1CC1">
        <w:rPr>
          <w:lang w:val="fr-FR"/>
        </w:rPr>
        <w:t xml:space="preserve"> d</w:t>
      </w:r>
      <w:r w:rsidR="00F20C73">
        <w:rPr>
          <w:lang w:val="fr-FR"/>
        </w:rPr>
        <w:t>’</w:t>
      </w:r>
      <w:r w:rsidRPr="00BB1CC1">
        <w:rPr>
          <w:lang w:val="fr-FR"/>
        </w:rPr>
        <w:t>inviter le CAJ et le</w:t>
      </w:r>
      <w:r w:rsidR="00A039B4">
        <w:rPr>
          <w:lang w:val="fr-FR"/>
        </w:rPr>
        <w:t> TC</w:t>
      </w:r>
      <w:r w:rsidRPr="00BB1CC1">
        <w:rPr>
          <w:lang w:val="fr-FR"/>
        </w:rPr>
        <w:t xml:space="preserve"> à examiner les recommandations de l</w:t>
      </w:r>
      <w:r w:rsidR="00F20C73">
        <w:rPr>
          <w:lang w:val="fr-FR"/>
        </w:rPr>
        <w:t>’</w:t>
      </w:r>
      <w:r w:rsidRPr="00BB1CC1">
        <w:rPr>
          <w:lang w:val="fr-FR"/>
        </w:rPr>
        <w:t>ISF concernant le matériel d</w:t>
      </w:r>
      <w:r w:rsidR="00F20C73">
        <w:rPr>
          <w:lang w:val="fr-FR"/>
        </w:rPr>
        <w:t>’</w:t>
      </w:r>
      <w:r w:rsidRPr="00BB1CC1">
        <w:rPr>
          <w:lang w:val="fr-FR"/>
        </w:rPr>
        <w:t>information existant et futur,</w:t>
      </w:r>
      <w:r>
        <w:rPr>
          <w:lang w:val="fr-FR"/>
        </w:rPr>
        <w:t xml:space="preserve"> </w:t>
      </w:r>
      <w:r w:rsidRPr="00BB1CC1">
        <w:rPr>
          <w:lang w:val="fr-FR"/>
        </w:rPr>
        <w:t>parallèlement à l</w:t>
      </w:r>
      <w:r w:rsidR="00F20C73">
        <w:rPr>
          <w:lang w:val="fr-FR"/>
        </w:rPr>
        <w:t xml:space="preserve">a transformation </w:t>
      </w:r>
      <w:r w:rsidRPr="00BB1CC1">
        <w:rPr>
          <w:lang w:val="fr-FR"/>
        </w:rPr>
        <w:t xml:space="preserve">du document UPOV/INF/15 </w:t>
      </w:r>
      <w:r w:rsidR="00F20C73">
        <w:rPr>
          <w:lang w:val="fr-FR"/>
        </w:rPr>
        <w:t xml:space="preserve">en </w:t>
      </w:r>
      <w:r w:rsidRPr="00BB1CC1">
        <w:rPr>
          <w:lang w:val="fr-FR"/>
        </w:rPr>
        <w:t>un document</w:t>
      </w:r>
      <w:r w:rsidR="0014634A">
        <w:rPr>
          <w:lang w:val="fr-FR"/>
        </w:rPr>
        <w:noBreakHyphen/>
      </w:r>
      <w:r w:rsidRPr="00BB1CC1">
        <w:rPr>
          <w:lang w:val="fr-FR"/>
        </w:rPr>
        <w:t xml:space="preserve">cadre. </w:t>
      </w:r>
      <w:r w:rsidR="002067E8">
        <w:rPr>
          <w:lang w:val="fr-FR"/>
        </w:rPr>
        <w:t xml:space="preserve"> </w:t>
      </w:r>
      <w:r>
        <w:rPr>
          <w:lang w:val="fr-FR"/>
        </w:rPr>
        <w:t>Les questions individuelles soulevées par l</w:t>
      </w:r>
      <w:r w:rsidR="00F20C73">
        <w:rPr>
          <w:lang w:val="fr-FR"/>
        </w:rPr>
        <w:t>’</w:t>
      </w:r>
      <w:r w:rsidRPr="00E251AF">
        <w:rPr>
          <w:lang w:val="fr-FR"/>
        </w:rPr>
        <w:t>ISF sont examinées dans ce contexte.</w:t>
      </w:r>
    </w:p>
    <w:p w:rsidR="0020369A" w:rsidRPr="00E251AF" w:rsidRDefault="0020369A" w:rsidP="007D6C5B">
      <w:pPr>
        <w:rPr>
          <w:snapToGrid w:val="0"/>
          <w:lang w:val="fr-FR"/>
        </w:rPr>
      </w:pPr>
    </w:p>
    <w:p w:rsidR="0020369A" w:rsidRPr="00E251AF" w:rsidRDefault="0020369A" w:rsidP="007D6C5B">
      <w:pPr>
        <w:rPr>
          <w:snapToGrid w:val="0"/>
          <w:lang w:val="fr-FR"/>
        </w:rPr>
      </w:pPr>
    </w:p>
    <w:p w:rsidR="0020369A" w:rsidRPr="00DF4C14" w:rsidRDefault="0020369A" w:rsidP="005C3E4B">
      <w:pPr>
        <w:pStyle w:val="Heading2"/>
      </w:pPr>
      <w:bookmarkStart w:id="12" w:name="_Toc381102830"/>
      <w:bookmarkStart w:id="13" w:name="_Toc381102858"/>
      <w:bookmarkStart w:id="14" w:name="_Toc381949563"/>
      <w:r w:rsidRPr="00DF4C14">
        <w:t>Créneau pour le dépôt des demandes</w:t>
      </w:r>
      <w:bookmarkEnd w:id="12"/>
      <w:bookmarkEnd w:id="13"/>
      <w:bookmarkEnd w:id="14"/>
    </w:p>
    <w:p w:rsidR="0020369A" w:rsidRPr="00DF4C14" w:rsidRDefault="0020369A" w:rsidP="007F5CF8">
      <w:pPr>
        <w:keepNext/>
        <w:rPr>
          <w:snapToGrid w:val="0"/>
          <w:lang w:val="fr-FR"/>
        </w:rPr>
      </w:pPr>
    </w:p>
    <w:tbl>
      <w:tblPr>
        <w:tblW w:w="0" w:type="auto"/>
        <w:jc w:val="center"/>
        <w:tblInd w:w="-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0A0" w:firstRow="1" w:lastRow="0" w:firstColumn="1" w:lastColumn="0" w:noHBand="0" w:noVBand="0"/>
      </w:tblPr>
      <w:tblGrid>
        <w:gridCol w:w="8788"/>
      </w:tblGrid>
      <w:tr w:rsidR="0020369A" w:rsidRPr="00A95847" w:rsidTr="00EE5E5D">
        <w:trPr>
          <w:jc w:val="center"/>
        </w:trPr>
        <w:tc>
          <w:tcPr>
            <w:tcW w:w="8788" w:type="dxa"/>
          </w:tcPr>
          <w:p w:rsidR="0020369A" w:rsidRPr="00DF4C14" w:rsidRDefault="0020369A" w:rsidP="00C21485">
            <w:pPr>
              <w:ind w:right="567"/>
              <w:rPr>
                <w:sz w:val="18"/>
                <w:szCs w:val="18"/>
                <w:lang w:val="fr-FR"/>
              </w:rPr>
            </w:pPr>
            <w:r w:rsidRPr="00DF4C14">
              <w:rPr>
                <w:sz w:val="18"/>
                <w:szCs w:val="18"/>
                <w:lang w:val="fr-FR"/>
              </w:rPr>
              <w:t>[Extrait de la lettre de l</w:t>
            </w:r>
            <w:r w:rsidR="00F20C73">
              <w:rPr>
                <w:sz w:val="18"/>
                <w:szCs w:val="18"/>
                <w:lang w:val="fr-FR"/>
              </w:rPr>
              <w:t>’</w:t>
            </w:r>
            <w:r w:rsidRPr="00DF4C14">
              <w:rPr>
                <w:sz w:val="18"/>
                <w:szCs w:val="18"/>
                <w:lang w:val="fr-FR"/>
              </w:rPr>
              <w:t>ISF – (original</w:t>
            </w:r>
            <w:r w:rsidR="002067E8">
              <w:rPr>
                <w:sz w:val="18"/>
                <w:szCs w:val="18"/>
                <w:lang w:val="fr-FR"/>
              </w:rPr>
              <w:t> </w:t>
            </w:r>
            <w:r w:rsidRPr="00DF4C14">
              <w:rPr>
                <w:sz w:val="18"/>
                <w:szCs w:val="18"/>
                <w:lang w:val="fr-FR"/>
              </w:rPr>
              <w:t>: anglais)]</w:t>
            </w:r>
          </w:p>
          <w:p w:rsidR="0020369A" w:rsidRPr="005A510F" w:rsidRDefault="0020369A" w:rsidP="00EE5E5D">
            <w:pPr>
              <w:rPr>
                <w:sz w:val="18"/>
                <w:szCs w:val="18"/>
                <w:lang w:val="fr-FR"/>
              </w:rPr>
            </w:pPr>
            <w:r w:rsidRPr="00982CBF">
              <w:rPr>
                <w:sz w:val="18"/>
                <w:szCs w:val="18"/>
                <w:u w:val="single"/>
                <w:lang w:val="fr-FR"/>
              </w:rPr>
              <w:t>Créneau pour le dépôt des demandes</w:t>
            </w:r>
            <w:r w:rsidR="002067E8">
              <w:rPr>
                <w:lang w:val="fr-FR"/>
              </w:rPr>
              <w:t> </w:t>
            </w:r>
            <w:r w:rsidRPr="0014634A">
              <w:rPr>
                <w:lang w:val="fr-FR"/>
              </w:rPr>
              <w:t>:</w:t>
            </w:r>
            <w:r w:rsidRPr="006A5734">
              <w:rPr>
                <w:sz w:val="18"/>
                <w:szCs w:val="18"/>
                <w:lang w:val="fr-FR"/>
              </w:rPr>
              <w:t xml:space="preserve"> Dans </w:t>
            </w:r>
            <w:r>
              <w:rPr>
                <w:sz w:val="18"/>
                <w:szCs w:val="18"/>
                <w:lang w:val="fr-FR"/>
              </w:rPr>
              <w:t>c</w:t>
            </w:r>
            <w:r w:rsidRPr="006A5734">
              <w:rPr>
                <w:sz w:val="18"/>
                <w:szCs w:val="18"/>
                <w:lang w:val="fr-FR"/>
              </w:rPr>
              <w:t>ertain</w:t>
            </w:r>
            <w:r>
              <w:rPr>
                <w:sz w:val="18"/>
                <w:szCs w:val="18"/>
                <w:lang w:val="fr-FR"/>
              </w:rPr>
              <w:t>s pays, la période pendant laquelle une demande peut être déposée est</w:t>
            </w:r>
            <w:r w:rsidRPr="006A5734">
              <w:rPr>
                <w:sz w:val="18"/>
                <w:szCs w:val="18"/>
                <w:lang w:val="fr-FR"/>
              </w:rPr>
              <w:t xml:space="preserve"> limit</w:t>
            </w:r>
            <w:r>
              <w:rPr>
                <w:sz w:val="18"/>
                <w:szCs w:val="18"/>
                <w:lang w:val="fr-FR"/>
              </w:rPr>
              <w:t>ée</w:t>
            </w:r>
            <w:r w:rsidRPr="006A5734">
              <w:rPr>
                <w:sz w:val="18"/>
                <w:szCs w:val="18"/>
                <w:lang w:val="fr-FR"/>
              </w:rPr>
              <w:t xml:space="preserve">.  </w:t>
            </w:r>
            <w:r>
              <w:rPr>
                <w:sz w:val="18"/>
                <w:szCs w:val="18"/>
                <w:lang w:val="fr-FR"/>
              </w:rPr>
              <w:t>C</w:t>
            </w:r>
            <w:r w:rsidR="00F20C73">
              <w:rPr>
                <w:sz w:val="18"/>
                <w:szCs w:val="18"/>
                <w:lang w:val="fr-FR"/>
              </w:rPr>
              <w:t>’</w:t>
            </w:r>
            <w:r>
              <w:rPr>
                <w:sz w:val="18"/>
                <w:szCs w:val="18"/>
                <w:lang w:val="fr-FR"/>
              </w:rPr>
              <w:t xml:space="preserve">est ainsi par exemple que, pour une </w:t>
            </w:r>
            <w:r w:rsidRPr="00972F3E">
              <w:rPr>
                <w:sz w:val="18"/>
                <w:szCs w:val="18"/>
                <w:lang w:val="fr-FR"/>
              </w:rPr>
              <w:t xml:space="preserve">certaine plante, la demande ne peut </w:t>
            </w:r>
            <w:r>
              <w:rPr>
                <w:sz w:val="18"/>
                <w:szCs w:val="18"/>
                <w:lang w:val="fr-FR"/>
              </w:rPr>
              <w:t xml:space="preserve">être déposée que durant une période spécifique de </w:t>
            </w:r>
            <w:r w:rsidR="00EE5E5D">
              <w:rPr>
                <w:sz w:val="18"/>
                <w:szCs w:val="18"/>
                <w:lang w:val="fr-FR"/>
              </w:rPr>
              <w:t>un</w:t>
            </w:r>
            <w:r>
              <w:rPr>
                <w:sz w:val="18"/>
                <w:szCs w:val="18"/>
                <w:lang w:val="fr-FR"/>
              </w:rPr>
              <w:t xml:space="preserve"> ou </w:t>
            </w:r>
            <w:r w:rsidR="00EE5E5D">
              <w:rPr>
                <w:sz w:val="18"/>
                <w:szCs w:val="18"/>
                <w:lang w:val="fr-FR"/>
              </w:rPr>
              <w:t>deux</w:t>
            </w:r>
            <w:r>
              <w:rPr>
                <w:sz w:val="18"/>
                <w:szCs w:val="18"/>
                <w:lang w:val="fr-FR"/>
              </w:rPr>
              <w:t xml:space="preserve"> mois par an</w:t>
            </w:r>
            <w:r w:rsidRPr="00972F3E">
              <w:rPr>
                <w:sz w:val="18"/>
                <w:szCs w:val="18"/>
                <w:lang w:val="fr-FR"/>
              </w:rPr>
              <w:t xml:space="preserve">.  </w:t>
            </w:r>
            <w:r w:rsidRPr="005A510F">
              <w:rPr>
                <w:sz w:val="18"/>
                <w:szCs w:val="18"/>
                <w:lang w:val="fr-FR"/>
              </w:rPr>
              <w:t>Les membres de l</w:t>
            </w:r>
            <w:r w:rsidR="00F20C73">
              <w:rPr>
                <w:sz w:val="18"/>
                <w:szCs w:val="18"/>
                <w:lang w:val="fr-FR"/>
              </w:rPr>
              <w:t>’</w:t>
            </w:r>
            <w:r w:rsidRPr="005A510F">
              <w:rPr>
                <w:sz w:val="18"/>
                <w:szCs w:val="18"/>
                <w:lang w:val="fr-FR"/>
              </w:rPr>
              <w:t>ISF sont d</w:t>
            </w:r>
            <w:r w:rsidR="00F20C73">
              <w:rPr>
                <w:sz w:val="18"/>
                <w:szCs w:val="18"/>
                <w:lang w:val="fr-FR"/>
              </w:rPr>
              <w:t>’</w:t>
            </w:r>
            <w:r w:rsidRPr="005A510F">
              <w:rPr>
                <w:sz w:val="18"/>
                <w:szCs w:val="18"/>
                <w:lang w:val="fr-FR"/>
              </w:rPr>
              <w:t xml:space="preserve">avis que cette spécificité et durée limitée pose problème, en particulier lorsque le créneau de temps </w:t>
            </w:r>
            <w:r>
              <w:rPr>
                <w:sz w:val="18"/>
                <w:szCs w:val="18"/>
                <w:lang w:val="fr-FR"/>
              </w:rPr>
              <w:t>réservé à</w:t>
            </w:r>
            <w:r w:rsidRPr="005A510F">
              <w:rPr>
                <w:sz w:val="18"/>
                <w:szCs w:val="18"/>
                <w:lang w:val="fr-FR"/>
              </w:rPr>
              <w:t xml:space="preserve"> l</w:t>
            </w:r>
            <w:r w:rsidR="00F20C73">
              <w:rPr>
                <w:sz w:val="18"/>
                <w:szCs w:val="18"/>
                <w:lang w:val="fr-FR"/>
              </w:rPr>
              <w:t>’</w:t>
            </w:r>
            <w:r w:rsidRPr="005A510F">
              <w:rPr>
                <w:sz w:val="18"/>
                <w:szCs w:val="18"/>
                <w:lang w:val="fr-FR"/>
              </w:rPr>
              <w:t xml:space="preserve">enregistrement des variétés est différent de celui </w:t>
            </w:r>
            <w:r>
              <w:rPr>
                <w:sz w:val="18"/>
                <w:szCs w:val="18"/>
                <w:lang w:val="fr-FR"/>
              </w:rPr>
              <w:t>réservé aux demandes de droits d</w:t>
            </w:r>
            <w:r w:rsidR="00F20C73">
              <w:rPr>
                <w:sz w:val="18"/>
                <w:szCs w:val="18"/>
                <w:lang w:val="fr-FR"/>
              </w:rPr>
              <w:t>’</w:t>
            </w:r>
            <w:r>
              <w:rPr>
                <w:sz w:val="18"/>
                <w:szCs w:val="18"/>
                <w:lang w:val="fr-FR"/>
              </w:rPr>
              <w:t>obtenteur</w:t>
            </w:r>
            <w:r w:rsidRPr="005A510F">
              <w:rPr>
                <w:sz w:val="18"/>
                <w:szCs w:val="18"/>
                <w:lang w:val="fr-FR"/>
              </w:rPr>
              <w:t>.  Lorsqu</w:t>
            </w:r>
            <w:r w:rsidR="00F20C73">
              <w:rPr>
                <w:sz w:val="18"/>
                <w:szCs w:val="18"/>
                <w:lang w:val="fr-FR"/>
              </w:rPr>
              <w:t>’</w:t>
            </w:r>
            <w:r w:rsidRPr="005A510F">
              <w:rPr>
                <w:sz w:val="18"/>
                <w:szCs w:val="18"/>
                <w:lang w:val="fr-FR"/>
              </w:rPr>
              <w:t>un dépôt fait l</w:t>
            </w:r>
            <w:r w:rsidR="00F20C73">
              <w:rPr>
                <w:sz w:val="18"/>
                <w:szCs w:val="18"/>
                <w:lang w:val="fr-FR"/>
              </w:rPr>
              <w:t>’</w:t>
            </w:r>
            <w:r w:rsidRPr="005A510F">
              <w:rPr>
                <w:sz w:val="18"/>
                <w:szCs w:val="18"/>
                <w:lang w:val="fr-FR"/>
              </w:rPr>
              <w:t>objet d</w:t>
            </w:r>
            <w:r w:rsidR="00F20C73">
              <w:rPr>
                <w:sz w:val="18"/>
                <w:szCs w:val="18"/>
                <w:lang w:val="fr-FR"/>
              </w:rPr>
              <w:t>’</w:t>
            </w:r>
            <w:r w:rsidRPr="005A510F">
              <w:rPr>
                <w:sz w:val="18"/>
                <w:szCs w:val="18"/>
                <w:lang w:val="fr-FR"/>
              </w:rPr>
              <w:t>une demande prioritaire, il est essentiel d</w:t>
            </w:r>
            <w:r w:rsidR="00F20C73">
              <w:rPr>
                <w:sz w:val="18"/>
                <w:szCs w:val="18"/>
                <w:lang w:val="fr-FR"/>
              </w:rPr>
              <w:t>’</w:t>
            </w:r>
            <w:r w:rsidRPr="005A510F">
              <w:rPr>
                <w:sz w:val="18"/>
                <w:szCs w:val="18"/>
                <w:lang w:val="fr-FR"/>
              </w:rPr>
              <w:t xml:space="preserve">agir sans retard et </w:t>
            </w:r>
            <w:r>
              <w:rPr>
                <w:sz w:val="18"/>
                <w:szCs w:val="18"/>
                <w:lang w:val="fr-FR"/>
              </w:rPr>
              <w:t>un créneau peut entraver une telle possibilité</w:t>
            </w:r>
            <w:r w:rsidRPr="005A510F">
              <w:rPr>
                <w:sz w:val="18"/>
                <w:szCs w:val="18"/>
                <w:lang w:val="fr-FR"/>
              </w:rPr>
              <w:t>.  Il devrait être possible de déposer des demandes toute l</w:t>
            </w:r>
            <w:r w:rsidR="00F20C73">
              <w:rPr>
                <w:sz w:val="18"/>
                <w:szCs w:val="18"/>
                <w:lang w:val="fr-FR"/>
              </w:rPr>
              <w:t>’</w:t>
            </w:r>
            <w:r w:rsidRPr="005A510F">
              <w:rPr>
                <w:sz w:val="18"/>
                <w:szCs w:val="18"/>
                <w:lang w:val="fr-FR"/>
              </w:rPr>
              <w:t xml:space="preserve">année durant mais, au cas où un créneau est fixé, il doit </w:t>
            </w:r>
            <w:r>
              <w:rPr>
                <w:sz w:val="18"/>
                <w:szCs w:val="18"/>
                <w:lang w:val="fr-FR"/>
              </w:rPr>
              <w:t xml:space="preserve">être </w:t>
            </w:r>
            <w:r w:rsidRPr="005A510F">
              <w:rPr>
                <w:sz w:val="18"/>
                <w:szCs w:val="18"/>
                <w:lang w:val="fr-FR"/>
              </w:rPr>
              <w:t>sensible</w:t>
            </w:r>
            <w:r>
              <w:rPr>
                <w:sz w:val="18"/>
                <w:szCs w:val="18"/>
                <w:lang w:val="fr-FR"/>
              </w:rPr>
              <w:t xml:space="preserve"> et réaliste</w:t>
            </w:r>
            <w:r w:rsidRPr="005A510F">
              <w:rPr>
                <w:sz w:val="18"/>
                <w:szCs w:val="18"/>
                <w:lang w:val="fr-FR"/>
              </w:rPr>
              <w:t xml:space="preserve">.  </w:t>
            </w:r>
          </w:p>
        </w:tc>
      </w:tr>
    </w:tbl>
    <w:p w:rsidR="0020369A" w:rsidRPr="005A510F" w:rsidRDefault="0020369A" w:rsidP="00F4207E">
      <w:pPr>
        <w:rPr>
          <w:snapToGrid w:val="0"/>
          <w:lang w:val="fr-FR"/>
        </w:rPr>
      </w:pPr>
    </w:p>
    <w:p w:rsidR="0020369A" w:rsidRPr="00E251AF" w:rsidRDefault="0020369A" w:rsidP="00697024">
      <w:pPr>
        <w:rPr>
          <w:snapToGrid w:val="0"/>
          <w:lang w:val="fr-FR"/>
        </w:rPr>
      </w:pPr>
      <w:r w:rsidRPr="00E251AF">
        <w:rPr>
          <w:snapToGrid w:val="0"/>
          <w:lang w:val="fr-FR"/>
        </w:rPr>
        <w:fldChar w:fldCharType="begin"/>
      </w:r>
      <w:r w:rsidRPr="00E251AF">
        <w:rPr>
          <w:snapToGrid w:val="0"/>
          <w:lang w:val="fr-FR"/>
        </w:rPr>
        <w:instrText xml:space="preserve"> AUTONUM  </w:instrText>
      </w:r>
      <w:r w:rsidRPr="00E251AF">
        <w:rPr>
          <w:snapToGrid w:val="0"/>
          <w:lang w:val="fr-FR"/>
        </w:rPr>
        <w:fldChar w:fldCharType="end"/>
      </w:r>
      <w:r w:rsidRPr="00E251AF">
        <w:rPr>
          <w:snapToGrid w:val="0"/>
          <w:lang w:val="fr-FR"/>
        </w:rPr>
        <w:tab/>
        <w:t>Le CAJ souhaitera peut</w:t>
      </w:r>
      <w:r w:rsidR="0014634A">
        <w:rPr>
          <w:snapToGrid w:val="0"/>
          <w:lang w:val="fr-FR"/>
        </w:rPr>
        <w:noBreakHyphen/>
      </w:r>
      <w:r w:rsidRPr="00E251AF">
        <w:rPr>
          <w:snapToGrid w:val="0"/>
          <w:lang w:val="fr-FR"/>
        </w:rPr>
        <w:t>être se demander s</w:t>
      </w:r>
      <w:r w:rsidR="00F20C73">
        <w:rPr>
          <w:snapToGrid w:val="0"/>
          <w:lang w:val="fr-FR"/>
        </w:rPr>
        <w:t>’</w:t>
      </w:r>
      <w:r w:rsidRPr="00E251AF">
        <w:rPr>
          <w:snapToGrid w:val="0"/>
          <w:lang w:val="fr-FR"/>
        </w:rPr>
        <w:t>il convient d</w:t>
      </w:r>
      <w:r w:rsidR="00F20C73">
        <w:rPr>
          <w:snapToGrid w:val="0"/>
          <w:lang w:val="fr-FR"/>
        </w:rPr>
        <w:t>’</w:t>
      </w:r>
      <w:r w:rsidRPr="00E251AF">
        <w:rPr>
          <w:snapToGrid w:val="0"/>
          <w:lang w:val="fr-FR"/>
        </w:rPr>
        <w:t xml:space="preserve">élaborer </w:t>
      </w:r>
      <w:r>
        <w:rPr>
          <w:snapToGrid w:val="0"/>
          <w:lang w:val="fr-FR"/>
        </w:rPr>
        <w:t>dans le do</w:t>
      </w:r>
      <w:r w:rsidRPr="00E251AF">
        <w:rPr>
          <w:snapToGrid w:val="0"/>
          <w:lang w:val="fr-FR"/>
        </w:rPr>
        <w:t>cument UPOV/INF/15</w:t>
      </w:r>
      <w:r>
        <w:rPr>
          <w:snapToGrid w:val="0"/>
          <w:lang w:val="fr-FR"/>
        </w:rPr>
        <w:t xml:space="preserve"> </w:t>
      </w:r>
      <w:r w:rsidRPr="00E251AF">
        <w:rPr>
          <w:snapToGrid w:val="0"/>
          <w:lang w:val="fr-FR"/>
        </w:rPr>
        <w:t>des orientations sur la possibilité de déposer des demandes toute l</w:t>
      </w:r>
      <w:r w:rsidR="00F20C73">
        <w:rPr>
          <w:snapToGrid w:val="0"/>
          <w:lang w:val="fr-FR"/>
        </w:rPr>
        <w:t>’</w:t>
      </w:r>
      <w:r w:rsidRPr="00E251AF">
        <w:rPr>
          <w:snapToGrid w:val="0"/>
          <w:lang w:val="fr-FR"/>
        </w:rPr>
        <w:t>année durant et/ou l</w:t>
      </w:r>
      <w:r w:rsidR="00F20C73">
        <w:rPr>
          <w:snapToGrid w:val="0"/>
          <w:lang w:val="fr-FR"/>
        </w:rPr>
        <w:t>’</w:t>
      </w:r>
      <w:r w:rsidRPr="00E251AF">
        <w:rPr>
          <w:snapToGrid w:val="0"/>
          <w:lang w:val="fr-FR"/>
        </w:rPr>
        <w:t>utilisation de délais pour le dép</w:t>
      </w:r>
      <w:r>
        <w:rPr>
          <w:snapToGrid w:val="0"/>
          <w:lang w:val="fr-FR"/>
        </w:rPr>
        <w:t>ôt des demandes</w:t>
      </w:r>
      <w:r w:rsidRPr="00E251AF">
        <w:rPr>
          <w:snapToGrid w:val="0"/>
          <w:lang w:val="fr-FR"/>
        </w:rPr>
        <w:t>.</w:t>
      </w:r>
    </w:p>
    <w:p w:rsidR="0020369A" w:rsidRPr="00E251AF" w:rsidRDefault="0020369A" w:rsidP="00697024">
      <w:pPr>
        <w:rPr>
          <w:snapToGrid w:val="0"/>
          <w:lang w:val="fr-FR"/>
        </w:rPr>
      </w:pPr>
    </w:p>
    <w:p w:rsidR="0020369A" w:rsidRPr="00E251AF" w:rsidRDefault="0020369A" w:rsidP="009D7F70">
      <w:pPr>
        <w:pStyle w:val="DecisionParagraphs"/>
        <w:keepLines/>
        <w:rPr>
          <w:snapToGrid w:val="0"/>
          <w:lang w:val="fr-FR"/>
        </w:rPr>
      </w:pPr>
      <w:r w:rsidRPr="00E251AF">
        <w:rPr>
          <w:lang w:val="fr-FR"/>
        </w:rPr>
        <w:lastRenderedPageBreak/>
        <w:fldChar w:fldCharType="begin"/>
      </w:r>
      <w:r w:rsidRPr="00E251AF">
        <w:rPr>
          <w:lang w:val="fr-FR"/>
        </w:rPr>
        <w:instrText xml:space="preserve"> AUTONUM  </w:instrText>
      </w:r>
      <w:r w:rsidRPr="00E251AF">
        <w:rPr>
          <w:lang w:val="fr-FR"/>
        </w:rPr>
        <w:fldChar w:fldCharType="end"/>
      </w:r>
      <w:r w:rsidRPr="00E251AF">
        <w:rPr>
          <w:rFonts w:eastAsia="SimSun"/>
          <w:lang w:val="fr-FR"/>
        </w:rPr>
        <w:tab/>
        <w:t>Le CAJ est invité à envisager l</w:t>
      </w:r>
      <w:r w:rsidR="00F20C73">
        <w:rPr>
          <w:rFonts w:eastAsia="SimSun"/>
          <w:lang w:val="fr-FR"/>
        </w:rPr>
        <w:t>’</w:t>
      </w:r>
      <w:r w:rsidRPr="00E251AF">
        <w:rPr>
          <w:rFonts w:eastAsia="SimSun"/>
          <w:lang w:val="fr-FR"/>
        </w:rPr>
        <w:t xml:space="preserve">élaboration </w:t>
      </w:r>
      <w:r>
        <w:rPr>
          <w:snapToGrid w:val="0"/>
          <w:lang w:val="fr-FR"/>
        </w:rPr>
        <w:t>dans le do</w:t>
      </w:r>
      <w:r w:rsidRPr="00E251AF">
        <w:rPr>
          <w:snapToGrid w:val="0"/>
          <w:lang w:val="fr-FR"/>
        </w:rPr>
        <w:t>cument UPOV/INF/15</w:t>
      </w:r>
      <w:r>
        <w:rPr>
          <w:snapToGrid w:val="0"/>
          <w:lang w:val="fr-FR"/>
        </w:rPr>
        <w:t xml:space="preserve"> </w:t>
      </w:r>
      <w:r w:rsidRPr="00E251AF">
        <w:rPr>
          <w:rFonts w:eastAsia="SimSun"/>
          <w:lang w:val="fr-FR"/>
        </w:rPr>
        <w:t>d</w:t>
      </w:r>
      <w:r w:rsidR="00F20C73">
        <w:rPr>
          <w:rFonts w:eastAsia="SimSun"/>
          <w:lang w:val="fr-FR"/>
        </w:rPr>
        <w:t>’</w:t>
      </w:r>
      <w:r w:rsidRPr="00E251AF">
        <w:rPr>
          <w:rFonts w:eastAsia="SimSun"/>
          <w:lang w:val="fr-FR"/>
        </w:rPr>
        <w:t xml:space="preserve">orientations sur la </w:t>
      </w:r>
      <w:r w:rsidRPr="00E251AF">
        <w:rPr>
          <w:snapToGrid w:val="0"/>
          <w:lang w:val="fr-FR"/>
        </w:rPr>
        <w:t>possibilité de déposer des demandes toute l</w:t>
      </w:r>
      <w:r w:rsidR="00F20C73">
        <w:rPr>
          <w:snapToGrid w:val="0"/>
          <w:lang w:val="fr-FR"/>
        </w:rPr>
        <w:t>’</w:t>
      </w:r>
      <w:r w:rsidRPr="00E251AF">
        <w:rPr>
          <w:snapToGrid w:val="0"/>
          <w:lang w:val="fr-FR"/>
        </w:rPr>
        <w:t>année durant et/ou l</w:t>
      </w:r>
      <w:r w:rsidR="00F20C73">
        <w:rPr>
          <w:snapToGrid w:val="0"/>
          <w:lang w:val="fr-FR"/>
        </w:rPr>
        <w:t>’</w:t>
      </w:r>
      <w:r>
        <w:rPr>
          <w:snapToGrid w:val="0"/>
          <w:lang w:val="fr-FR"/>
        </w:rPr>
        <w:t>utilisation de délais pour le dépôt des demandes</w:t>
      </w:r>
      <w:r w:rsidRPr="00E251AF">
        <w:rPr>
          <w:snapToGrid w:val="0"/>
          <w:lang w:val="fr-FR"/>
        </w:rPr>
        <w:t>.</w:t>
      </w:r>
    </w:p>
    <w:p w:rsidR="0020369A" w:rsidRDefault="0020369A" w:rsidP="00615C58">
      <w:pPr>
        <w:rPr>
          <w:snapToGrid w:val="0"/>
          <w:lang w:val="fr-FR"/>
        </w:rPr>
      </w:pPr>
    </w:p>
    <w:p w:rsidR="00223659" w:rsidRPr="00E251AF" w:rsidRDefault="00223659" w:rsidP="00615C58">
      <w:pPr>
        <w:rPr>
          <w:snapToGrid w:val="0"/>
          <w:lang w:val="fr-FR"/>
        </w:rPr>
      </w:pPr>
    </w:p>
    <w:p w:rsidR="0020369A" w:rsidRPr="005C3E4B" w:rsidRDefault="0020369A" w:rsidP="005C3E4B">
      <w:pPr>
        <w:pStyle w:val="Heading2"/>
      </w:pPr>
      <w:bookmarkStart w:id="15" w:name="_Toc381102831"/>
      <w:bookmarkStart w:id="16" w:name="_Toc381102859"/>
      <w:bookmarkStart w:id="17" w:name="_Toc381949564"/>
      <w:r w:rsidRPr="005C3E4B">
        <w:t>Information généalogique</w:t>
      </w:r>
      <w:bookmarkEnd w:id="15"/>
      <w:bookmarkEnd w:id="16"/>
      <w:bookmarkEnd w:id="17"/>
    </w:p>
    <w:p w:rsidR="0020369A" w:rsidRPr="00987226" w:rsidRDefault="0020369A" w:rsidP="005C3E4B">
      <w:pPr>
        <w:pStyle w:val="Heading2"/>
      </w:pPr>
    </w:p>
    <w:tbl>
      <w:tblPr>
        <w:tblW w:w="0" w:type="auto"/>
        <w:jc w:val="center"/>
        <w:tblInd w:w="-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0A0" w:firstRow="1" w:lastRow="0" w:firstColumn="1" w:lastColumn="0" w:noHBand="0" w:noVBand="0"/>
      </w:tblPr>
      <w:tblGrid>
        <w:gridCol w:w="8788"/>
      </w:tblGrid>
      <w:tr w:rsidR="0020369A" w:rsidRPr="00A95847" w:rsidTr="00EE5E5D">
        <w:trPr>
          <w:jc w:val="center"/>
        </w:trPr>
        <w:tc>
          <w:tcPr>
            <w:tcW w:w="8788" w:type="dxa"/>
          </w:tcPr>
          <w:p w:rsidR="0020369A" w:rsidRPr="006A5734" w:rsidRDefault="0020369A" w:rsidP="00C21485">
            <w:pPr>
              <w:ind w:right="567"/>
              <w:rPr>
                <w:sz w:val="18"/>
                <w:szCs w:val="18"/>
                <w:lang w:val="fr-FR"/>
              </w:rPr>
            </w:pPr>
            <w:r w:rsidRPr="006A5734">
              <w:rPr>
                <w:sz w:val="18"/>
                <w:szCs w:val="18"/>
                <w:lang w:val="fr-FR"/>
              </w:rPr>
              <w:t>[</w:t>
            </w:r>
            <w:r w:rsidRPr="00DF4C14">
              <w:rPr>
                <w:sz w:val="18"/>
                <w:szCs w:val="18"/>
                <w:lang w:val="fr-FR"/>
              </w:rPr>
              <w:t>Extrait de la lettre de l</w:t>
            </w:r>
            <w:r w:rsidR="00F20C73">
              <w:rPr>
                <w:sz w:val="18"/>
                <w:szCs w:val="18"/>
                <w:lang w:val="fr-FR"/>
              </w:rPr>
              <w:t>’</w:t>
            </w:r>
            <w:r w:rsidRPr="00DF4C14">
              <w:rPr>
                <w:sz w:val="18"/>
                <w:szCs w:val="18"/>
                <w:lang w:val="fr-FR"/>
              </w:rPr>
              <w:t>ISF – (original</w:t>
            </w:r>
            <w:r w:rsidR="002067E8">
              <w:rPr>
                <w:sz w:val="18"/>
                <w:szCs w:val="18"/>
                <w:lang w:val="fr-FR"/>
              </w:rPr>
              <w:t> </w:t>
            </w:r>
            <w:r w:rsidRPr="00DF4C14">
              <w:rPr>
                <w:sz w:val="18"/>
                <w:szCs w:val="18"/>
                <w:lang w:val="fr-FR"/>
              </w:rPr>
              <w:t>: anglais</w:t>
            </w:r>
            <w:r w:rsidRPr="006A5734">
              <w:rPr>
                <w:sz w:val="18"/>
                <w:szCs w:val="18"/>
                <w:lang w:val="fr-FR"/>
              </w:rPr>
              <w:t>)]</w:t>
            </w:r>
          </w:p>
          <w:p w:rsidR="0020369A" w:rsidRPr="006A5734" w:rsidRDefault="0020369A" w:rsidP="004B0E07">
            <w:pPr>
              <w:rPr>
                <w:sz w:val="18"/>
                <w:szCs w:val="18"/>
                <w:u w:val="single"/>
                <w:lang w:val="fr-FR"/>
              </w:rPr>
            </w:pPr>
          </w:p>
          <w:p w:rsidR="0020369A" w:rsidRPr="006A5734" w:rsidRDefault="0020369A" w:rsidP="008836D3">
            <w:r w:rsidRPr="008836D3">
              <w:rPr>
                <w:sz w:val="18"/>
                <w:u w:val="single"/>
              </w:rPr>
              <w:t>Information généalogique</w:t>
            </w:r>
            <w:r w:rsidR="002067E8" w:rsidRPr="008836D3">
              <w:rPr>
                <w:sz w:val="18"/>
              </w:rPr>
              <w:t> </w:t>
            </w:r>
            <w:r w:rsidRPr="008836D3">
              <w:rPr>
                <w:sz w:val="18"/>
              </w:rPr>
              <w:t>: Les membres de l</w:t>
            </w:r>
            <w:r w:rsidR="00F20C73">
              <w:rPr>
                <w:sz w:val="18"/>
              </w:rPr>
              <w:t>’</w:t>
            </w:r>
            <w:r w:rsidRPr="008836D3">
              <w:rPr>
                <w:sz w:val="18"/>
              </w:rPr>
              <w:t>ISF sont d</w:t>
            </w:r>
            <w:r w:rsidR="00F20C73">
              <w:rPr>
                <w:sz w:val="18"/>
              </w:rPr>
              <w:t>’</w:t>
            </w:r>
            <w:r w:rsidRPr="008836D3">
              <w:rPr>
                <w:sz w:val="18"/>
              </w:rPr>
              <w:t>avis que l</w:t>
            </w:r>
            <w:r w:rsidR="00F20C73">
              <w:rPr>
                <w:sz w:val="18"/>
              </w:rPr>
              <w:t>’</w:t>
            </w:r>
            <w:r w:rsidRPr="008836D3">
              <w:rPr>
                <w:sz w:val="18"/>
              </w:rPr>
              <w:t>information généalogique ne doit pas être sollicitée mais que, si des pays décident de la solliciter, elle ne doit pas devenir publique.  En outre, un obtenteur doit pouvoir indiquer que certains renseignements donnés dans la demande doivent être considérés comme étant confidentiels.</w:t>
            </w:r>
          </w:p>
        </w:tc>
      </w:tr>
    </w:tbl>
    <w:p w:rsidR="0020369A" w:rsidRPr="006A5734" w:rsidRDefault="0020369A" w:rsidP="009C51FE">
      <w:pPr>
        <w:rPr>
          <w:snapToGrid w:val="0"/>
          <w:lang w:val="fr-FR"/>
        </w:rPr>
      </w:pPr>
    </w:p>
    <w:p w:rsidR="0020369A" w:rsidRPr="00DA22CD" w:rsidRDefault="0020369A" w:rsidP="00737D0E">
      <w:pPr>
        <w:rPr>
          <w:lang w:val="fr-FR"/>
        </w:rPr>
      </w:pPr>
      <w:r w:rsidRPr="00DA22CD">
        <w:rPr>
          <w:snapToGrid w:val="0"/>
          <w:lang w:val="fr-FR"/>
        </w:rPr>
        <w:fldChar w:fldCharType="begin"/>
      </w:r>
      <w:r w:rsidRPr="00DA22CD">
        <w:rPr>
          <w:snapToGrid w:val="0"/>
          <w:lang w:val="fr-FR"/>
        </w:rPr>
        <w:instrText xml:space="preserve"> AUTONUM  </w:instrText>
      </w:r>
      <w:r w:rsidRPr="00DA22CD">
        <w:rPr>
          <w:snapToGrid w:val="0"/>
          <w:lang w:val="fr-FR"/>
        </w:rPr>
        <w:fldChar w:fldCharType="end"/>
      </w:r>
      <w:r w:rsidRPr="00DA22CD">
        <w:rPr>
          <w:snapToGrid w:val="0"/>
          <w:lang w:val="fr-FR"/>
        </w:rPr>
        <w:tab/>
      </w:r>
      <w:r>
        <w:rPr>
          <w:snapToGrid w:val="0"/>
          <w:lang w:val="fr-FR"/>
        </w:rPr>
        <w:t>Le</w:t>
      </w:r>
      <w:r w:rsidRPr="00DA22CD">
        <w:rPr>
          <w:snapToGrid w:val="0"/>
          <w:lang w:val="fr-FR"/>
        </w:rPr>
        <w:t xml:space="preserve"> CAJ </w:t>
      </w:r>
      <w:r>
        <w:rPr>
          <w:snapToGrid w:val="0"/>
          <w:lang w:val="fr-FR"/>
        </w:rPr>
        <w:t>souhaitera peut</w:t>
      </w:r>
      <w:r w:rsidR="0014634A">
        <w:rPr>
          <w:snapToGrid w:val="0"/>
          <w:lang w:val="fr-FR"/>
        </w:rPr>
        <w:noBreakHyphen/>
      </w:r>
      <w:r>
        <w:rPr>
          <w:snapToGrid w:val="0"/>
          <w:lang w:val="fr-FR"/>
        </w:rPr>
        <w:t xml:space="preserve">être se demander si les orientations existantes </w:t>
      </w:r>
      <w:r w:rsidRPr="00DA22CD">
        <w:rPr>
          <w:snapToGrid w:val="0"/>
          <w:lang w:val="fr-FR"/>
        </w:rPr>
        <w:t xml:space="preserve">dans le document TGP/7 </w:t>
      </w:r>
      <w:r w:rsidR="00F20C73">
        <w:rPr>
          <w:snapToGrid w:val="0"/>
          <w:lang w:val="fr-FR"/>
        </w:rPr>
        <w:t>“</w:t>
      </w:r>
      <w:r w:rsidRPr="00DA22CD">
        <w:rPr>
          <w:snapToGrid w:val="0"/>
          <w:lang w:val="fr-FR"/>
        </w:rPr>
        <w:t>Élaboration des principes directeurs d</w:t>
      </w:r>
      <w:r w:rsidR="00F20C73">
        <w:rPr>
          <w:snapToGrid w:val="0"/>
          <w:lang w:val="fr-FR"/>
        </w:rPr>
        <w:t>’</w:t>
      </w:r>
      <w:r w:rsidRPr="00DA22CD">
        <w:rPr>
          <w:snapToGrid w:val="0"/>
          <w:lang w:val="fr-FR"/>
        </w:rPr>
        <w:t>examen</w:t>
      </w:r>
      <w:r w:rsidR="00F20C73">
        <w:rPr>
          <w:snapToGrid w:val="0"/>
          <w:lang w:val="fr-FR"/>
        </w:rPr>
        <w:t>”</w:t>
      </w:r>
      <w:r w:rsidRPr="00DA22CD">
        <w:rPr>
          <w:snapToGrid w:val="0"/>
          <w:lang w:val="fr-FR"/>
        </w:rPr>
        <w:t>, Annexe 1</w:t>
      </w:r>
      <w:r w:rsidR="002067E8">
        <w:rPr>
          <w:snapToGrid w:val="0"/>
          <w:lang w:val="fr-FR"/>
        </w:rPr>
        <w:t> </w:t>
      </w:r>
      <w:r w:rsidRPr="00DA22CD">
        <w:rPr>
          <w:snapToGrid w:val="0"/>
          <w:lang w:val="fr-FR"/>
        </w:rPr>
        <w:t>: Modèle de principes directeurs d</w:t>
      </w:r>
      <w:r w:rsidR="00F20C73">
        <w:rPr>
          <w:snapToGrid w:val="0"/>
          <w:lang w:val="fr-FR"/>
        </w:rPr>
        <w:t>’</w:t>
      </w:r>
      <w:r w:rsidRPr="00DA22CD">
        <w:rPr>
          <w:snapToGrid w:val="0"/>
          <w:lang w:val="fr-FR"/>
        </w:rPr>
        <w:t xml:space="preserve">examen, section 4 </w:t>
      </w:r>
      <w:r w:rsidR="00F20C73">
        <w:rPr>
          <w:snapToGrid w:val="0"/>
          <w:lang w:val="fr-FR"/>
        </w:rPr>
        <w:t>“</w:t>
      </w:r>
      <w:r w:rsidRPr="00DA22CD">
        <w:rPr>
          <w:snapToGrid w:val="0"/>
          <w:lang w:val="fr-FR"/>
        </w:rPr>
        <w:t>Renseignements sur le schéma de sélection et la méthode de multiplication de la variété</w:t>
      </w:r>
      <w:r w:rsidR="00F20C73">
        <w:rPr>
          <w:snapToGrid w:val="0"/>
          <w:lang w:val="fr-FR"/>
        </w:rPr>
        <w:t>”</w:t>
      </w:r>
      <w:r w:rsidRPr="00DA22CD">
        <w:rPr>
          <w:snapToGrid w:val="0"/>
          <w:lang w:val="fr-FR"/>
        </w:rPr>
        <w:t xml:space="preserve"> et sa note de bas de page </w:t>
      </w:r>
      <w:r w:rsidRPr="00DA22CD">
        <w:rPr>
          <w:lang w:val="fr-FR"/>
        </w:rPr>
        <w:t xml:space="preserve">(voir </w:t>
      </w:r>
      <w:hyperlink r:id="rId10" w:history="1">
        <w:r w:rsidR="00163C90" w:rsidRPr="009160A4">
          <w:rPr>
            <w:rStyle w:val="Hyperlink"/>
            <w:lang w:val="fr-FR"/>
          </w:rPr>
          <w:t>http://www.upov.int/edocs/tgpdocs/fr/tgp_7.pdf</w:t>
        </w:r>
      </w:hyperlink>
      <w:r w:rsidRPr="00DA22CD">
        <w:rPr>
          <w:lang w:val="fr-FR"/>
        </w:rPr>
        <w:t xml:space="preserve">) </w:t>
      </w:r>
      <w:r>
        <w:rPr>
          <w:lang w:val="fr-FR"/>
        </w:rPr>
        <w:t>constituent une manière adéquate d</w:t>
      </w:r>
      <w:r w:rsidR="00F20C73">
        <w:rPr>
          <w:lang w:val="fr-FR"/>
        </w:rPr>
        <w:t>’</w:t>
      </w:r>
      <w:r>
        <w:rPr>
          <w:lang w:val="fr-FR"/>
        </w:rPr>
        <w:t>aborder la</w:t>
      </w:r>
      <w:r w:rsidRPr="00DA22CD">
        <w:rPr>
          <w:lang w:val="fr-FR"/>
        </w:rPr>
        <w:t xml:space="preserve"> situation </w:t>
      </w:r>
      <w:r>
        <w:rPr>
          <w:lang w:val="fr-FR"/>
        </w:rPr>
        <w:t>des demandes d</w:t>
      </w:r>
      <w:r w:rsidR="00F20C73">
        <w:rPr>
          <w:lang w:val="fr-FR"/>
        </w:rPr>
        <w:t>’</w:t>
      </w:r>
      <w:r>
        <w:rPr>
          <w:lang w:val="fr-FR"/>
        </w:rPr>
        <w:t>informations généalogiques</w:t>
      </w:r>
      <w:r w:rsidRPr="00DA22CD">
        <w:rPr>
          <w:lang w:val="fr-FR"/>
        </w:rPr>
        <w:t xml:space="preserve"> (</w:t>
      </w:r>
      <w:r>
        <w:rPr>
          <w:lang w:val="fr-FR"/>
        </w:rPr>
        <w:t>la s</w:t>
      </w:r>
      <w:r w:rsidRPr="00DA22CD">
        <w:rPr>
          <w:lang w:val="fr-FR"/>
        </w:rPr>
        <w:t>ection</w:t>
      </w:r>
      <w:r w:rsidR="002067E8">
        <w:rPr>
          <w:lang w:val="fr-FR"/>
        </w:rPr>
        <w:t> </w:t>
      </w:r>
      <w:r w:rsidRPr="00DA22CD">
        <w:rPr>
          <w:lang w:val="fr-FR"/>
        </w:rPr>
        <w:t xml:space="preserve">4 </w:t>
      </w:r>
      <w:r>
        <w:rPr>
          <w:lang w:val="fr-FR"/>
        </w:rPr>
        <w:t>est reproduite ci</w:t>
      </w:r>
      <w:r w:rsidR="0014634A">
        <w:rPr>
          <w:lang w:val="fr-FR"/>
        </w:rPr>
        <w:noBreakHyphen/>
      </w:r>
      <w:r>
        <w:rPr>
          <w:lang w:val="fr-FR"/>
        </w:rPr>
        <w:t>dessous) ou si des orientations supplémentaires seraient appropriée</w:t>
      </w:r>
      <w:r w:rsidRPr="00DA22CD">
        <w:rPr>
          <w:lang w:val="fr-FR"/>
        </w:rPr>
        <w:t>.</w:t>
      </w:r>
    </w:p>
    <w:p w:rsidR="0020369A" w:rsidRPr="00DA22CD" w:rsidRDefault="0020369A" w:rsidP="00737D0E">
      <w:pPr>
        <w:rPr>
          <w:lang w:val="fr-FR"/>
        </w:rPr>
      </w:pPr>
    </w:p>
    <w:tbl>
      <w:tblPr>
        <w:tblW w:w="8472"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A0" w:firstRow="1" w:lastRow="0" w:firstColumn="1" w:lastColumn="0" w:noHBand="0" w:noVBand="0"/>
      </w:tblPr>
      <w:tblGrid>
        <w:gridCol w:w="8472"/>
      </w:tblGrid>
      <w:tr w:rsidR="0020369A" w:rsidRPr="00A95847" w:rsidTr="00D879BD">
        <w:trPr>
          <w:cantSplit/>
          <w:jc w:val="center"/>
        </w:trPr>
        <w:tc>
          <w:tcPr>
            <w:tcW w:w="8472" w:type="dxa"/>
          </w:tcPr>
          <w:p w:rsidR="00A039B4" w:rsidRDefault="0020369A" w:rsidP="00C21485">
            <w:pPr>
              <w:tabs>
                <w:tab w:val="left" w:pos="567"/>
                <w:tab w:val="left" w:pos="1106"/>
                <w:tab w:val="left" w:pos="2976"/>
                <w:tab w:val="left" w:pos="5856"/>
                <w:tab w:val="left" w:pos="7296"/>
                <w:tab w:val="left" w:pos="7910"/>
              </w:tabs>
              <w:ind w:left="113" w:right="255"/>
              <w:jc w:val="left"/>
              <w:rPr>
                <w:sz w:val="18"/>
                <w:szCs w:val="18"/>
                <w:lang w:val="fr-FR"/>
              </w:rPr>
            </w:pPr>
            <w:r w:rsidRPr="00DA22CD">
              <w:rPr>
                <w:sz w:val="18"/>
                <w:szCs w:val="18"/>
                <w:vertAlign w:val="superscript"/>
                <w:lang w:val="fr-FR"/>
              </w:rPr>
              <w:t>#</w:t>
            </w:r>
            <w:r w:rsidRPr="00DA22CD">
              <w:rPr>
                <w:sz w:val="18"/>
                <w:szCs w:val="18"/>
                <w:lang w:val="fr-FR"/>
              </w:rPr>
              <w:t>4.</w:t>
            </w:r>
            <w:r w:rsidRPr="00DA22CD">
              <w:rPr>
                <w:sz w:val="18"/>
                <w:szCs w:val="18"/>
                <w:lang w:val="fr-FR"/>
              </w:rPr>
              <w:tab/>
              <w:t>Renseignements sur le schéma de sélection et la méthode de multiplication de la variété</w:t>
            </w:r>
          </w:p>
          <w:p w:rsidR="0020369A" w:rsidRPr="00DA22CD" w:rsidRDefault="0020369A" w:rsidP="00C21485">
            <w:pPr>
              <w:tabs>
                <w:tab w:val="left" w:pos="567"/>
                <w:tab w:val="left" w:pos="1106"/>
                <w:tab w:val="left" w:pos="2976"/>
                <w:tab w:val="left" w:pos="5856"/>
                <w:tab w:val="left" w:pos="7296"/>
                <w:tab w:val="left" w:pos="7910"/>
              </w:tabs>
              <w:ind w:left="113" w:right="255"/>
              <w:jc w:val="left"/>
              <w:rPr>
                <w:sz w:val="18"/>
                <w:szCs w:val="18"/>
                <w:lang w:val="fr-FR"/>
              </w:rPr>
            </w:pPr>
          </w:p>
          <w:p w:rsidR="0020369A" w:rsidRPr="00DA22CD" w:rsidRDefault="0020369A" w:rsidP="00C21485">
            <w:pPr>
              <w:tabs>
                <w:tab w:val="left" w:pos="567"/>
                <w:tab w:val="left" w:pos="1106"/>
                <w:tab w:val="left" w:pos="2976"/>
                <w:tab w:val="left" w:pos="5856"/>
                <w:tab w:val="left" w:pos="7296"/>
                <w:tab w:val="left" w:pos="7910"/>
              </w:tabs>
              <w:ind w:left="113" w:right="255"/>
              <w:jc w:val="left"/>
              <w:rPr>
                <w:sz w:val="18"/>
                <w:szCs w:val="18"/>
                <w:lang w:val="fr-FR"/>
              </w:rPr>
            </w:pPr>
            <w:r w:rsidRPr="00DA22CD">
              <w:rPr>
                <w:sz w:val="18"/>
                <w:szCs w:val="18"/>
                <w:lang w:val="fr-FR"/>
              </w:rPr>
              <w:tab/>
              <w:t>4.1</w:t>
            </w:r>
            <w:r w:rsidRPr="00DA22CD">
              <w:rPr>
                <w:sz w:val="18"/>
                <w:szCs w:val="18"/>
                <w:lang w:val="fr-FR"/>
              </w:rPr>
              <w:tab/>
              <w:t>Schéma de sélection</w:t>
            </w:r>
          </w:p>
          <w:p w:rsidR="0020369A" w:rsidRPr="00DA22CD" w:rsidRDefault="0020369A" w:rsidP="00C21485">
            <w:pPr>
              <w:tabs>
                <w:tab w:val="left" w:pos="567"/>
                <w:tab w:val="left" w:pos="1106"/>
                <w:tab w:val="left" w:pos="2976"/>
                <w:tab w:val="left" w:pos="5856"/>
                <w:tab w:val="left" w:pos="7296"/>
                <w:tab w:val="left" w:pos="7910"/>
              </w:tabs>
              <w:ind w:left="113" w:right="255"/>
              <w:jc w:val="left"/>
              <w:rPr>
                <w:sz w:val="18"/>
                <w:szCs w:val="18"/>
                <w:lang w:val="fr-FR"/>
              </w:rPr>
            </w:pPr>
          </w:p>
          <w:p w:rsidR="0020369A" w:rsidRDefault="0020369A" w:rsidP="00DA22CD">
            <w:pPr>
              <w:tabs>
                <w:tab w:val="left" w:pos="567"/>
                <w:tab w:val="left" w:pos="1106"/>
                <w:tab w:val="left" w:pos="1673"/>
                <w:tab w:val="left" w:pos="1815"/>
                <w:tab w:val="left" w:pos="7296"/>
                <w:tab w:val="left" w:pos="7910"/>
              </w:tabs>
              <w:ind w:left="113" w:right="255"/>
              <w:jc w:val="left"/>
              <w:rPr>
                <w:sz w:val="18"/>
                <w:szCs w:val="18"/>
                <w:lang w:val="fr-FR"/>
              </w:rPr>
            </w:pPr>
            <w:r w:rsidRPr="00DA22CD">
              <w:rPr>
                <w:sz w:val="18"/>
                <w:szCs w:val="18"/>
                <w:lang w:val="fr-FR"/>
              </w:rPr>
              <w:tab/>
              <w:t>{</w:t>
            </w:r>
            <w:bookmarkStart w:id="18" w:name="_Toc15713651"/>
            <w:r w:rsidRPr="00DA22CD">
              <w:rPr>
                <w:b/>
                <w:bCs/>
                <w:sz w:val="18"/>
                <w:szCs w:val="18"/>
                <w:bdr w:val="single" w:sz="12" w:space="0" w:color="auto"/>
                <w:shd w:val="pct12" w:color="auto" w:fill="auto"/>
                <w:lang w:val="fr-FR"/>
              </w:rPr>
              <w:t>ASW</w:t>
            </w:r>
            <w:r w:rsidRPr="00DA22CD">
              <w:rPr>
                <w:b/>
                <w:bCs/>
                <w:sz w:val="18"/>
                <w:szCs w:val="18"/>
                <w:bdr w:val="single" w:sz="12" w:space="0" w:color="auto"/>
                <w:lang w:val="fr-FR"/>
              </w:rPr>
              <w:t xml:space="preserve"> 15</w:t>
            </w:r>
            <w:r w:rsidRPr="00DA22CD">
              <w:rPr>
                <w:sz w:val="18"/>
                <w:szCs w:val="18"/>
                <w:lang w:val="fr-FR"/>
              </w:rPr>
              <w:t xml:space="preserve"> (Chapitre</w:t>
            </w:r>
            <w:r w:rsidR="002067E8">
              <w:rPr>
                <w:sz w:val="18"/>
                <w:szCs w:val="18"/>
                <w:lang w:val="fr-FR"/>
              </w:rPr>
              <w:t> </w:t>
            </w:r>
            <w:r w:rsidRPr="00DA22CD">
              <w:rPr>
                <w:sz w:val="18"/>
                <w:szCs w:val="18"/>
                <w:lang w:val="fr-FR"/>
              </w:rPr>
              <w:t>10 : Questionnaire technique, section</w:t>
            </w:r>
            <w:r w:rsidR="002067E8">
              <w:rPr>
                <w:sz w:val="18"/>
                <w:szCs w:val="18"/>
                <w:lang w:val="fr-FR"/>
              </w:rPr>
              <w:t> </w:t>
            </w:r>
            <w:r w:rsidRPr="00DA22CD">
              <w:rPr>
                <w:sz w:val="18"/>
                <w:szCs w:val="18"/>
                <w:lang w:val="fr-FR"/>
              </w:rPr>
              <w:t>4.1) – Renseignements sur le schéma de sélection}</w:t>
            </w:r>
            <w:bookmarkEnd w:id="18"/>
          </w:p>
          <w:p w:rsidR="0020369A" w:rsidRPr="00DA22CD" w:rsidRDefault="0020369A" w:rsidP="00DA22CD">
            <w:pPr>
              <w:tabs>
                <w:tab w:val="left" w:pos="567"/>
                <w:tab w:val="left" w:pos="1106"/>
                <w:tab w:val="left" w:pos="1673"/>
                <w:tab w:val="left" w:pos="1815"/>
                <w:tab w:val="left" w:pos="7296"/>
                <w:tab w:val="left" w:pos="7910"/>
              </w:tabs>
              <w:ind w:left="113" w:right="255"/>
              <w:jc w:val="left"/>
              <w:rPr>
                <w:sz w:val="18"/>
                <w:szCs w:val="18"/>
                <w:lang w:val="fr-FR"/>
              </w:rPr>
            </w:pPr>
          </w:p>
          <w:p w:rsidR="0020369A" w:rsidRPr="00DA22CD" w:rsidRDefault="0020369A" w:rsidP="00C21485">
            <w:pPr>
              <w:tabs>
                <w:tab w:val="left" w:pos="567"/>
                <w:tab w:val="left" w:pos="1106"/>
                <w:tab w:val="left" w:pos="2976"/>
                <w:tab w:val="left" w:pos="5856"/>
                <w:tab w:val="left" w:pos="7296"/>
                <w:tab w:val="left" w:pos="7910"/>
              </w:tabs>
              <w:ind w:left="113" w:right="255"/>
              <w:jc w:val="left"/>
              <w:rPr>
                <w:sz w:val="18"/>
                <w:szCs w:val="18"/>
                <w:lang w:val="fr-FR"/>
              </w:rPr>
            </w:pPr>
            <w:r w:rsidRPr="00DA22CD">
              <w:rPr>
                <w:sz w:val="18"/>
                <w:szCs w:val="18"/>
                <w:lang w:val="fr-FR"/>
              </w:rPr>
              <w:tab/>
              <w:t>4.2</w:t>
            </w:r>
            <w:r w:rsidRPr="00DA22CD">
              <w:rPr>
                <w:sz w:val="18"/>
                <w:szCs w:val="18"/>
                <w:lang w:val="fr-FR"/>
              </w:rPr>
              <w:tab/>
              <w:t>Méthode de multiplication de la variété</w:t>
            </w:r>
          </w:p>
          <w:p w:rsidR="0020369A" w:rsidRPr="00DA22CD" w:rsidRDefault="0020369A" w:rsidP="00C21485">
            <w:pPr>
              <w:tabs>
                <w:tab w:val="left" w:pos="6705"/>
              </w:tabs>
              <w:ind w:left="113" w:right="255"/>
              <w:jc w:val="left"/>
              <w:rPr>
                <w:sz w:val="18"/>
                <w:szCs w:val="18"/>
                <w:lang w:val="fr-FR"/>
              </w:rPr>
            </w:pPr>
          </w:p>
          <w:p w:rsidR="0020369A" w:rsidRPr="00DA22CD" w:rsidRDefault="0020369A" w:rsidP="00DA22CD">
            <w:pPr>
              <w:tabs>
                <w:tab w:val="left" w:pos="567"/>
                <w:tab w:val="left" w:pos="1106"/>
                <w:tab w:val="left" w:pos="1673"/>
                <w:tab w:val="left" w:pos="5856"/>
                <w:tab w:val="left" w:pos="7296"/>
                <w:tab w:val="left" w:pos="7910"/>
              </w:tabs>
              <w:ind w:left="90" w:right="255" w:firstLine="23"/>
              <w:jc w:val="left"/>
              <w:rPr>
                <w:sz w:val="18"/>
                <w:szCs w:val="18"/>
                <w:lang w:val="fr-FR"/>
              </w:rPr>
            </w:pPr>
            <w:r w:rsidRPr="00DA22CD">
              <w:rPr>
                <w:sz w:val="18"/>
                <w:szCs w:val="18"/>
                <w:lang w:val="fr-FR"/>
              </w:rPr>
              <w:tab/>
              <w:t>{</w:t>
            </w:r>
            <w:bookmarkStart w:id="19" w:name="_Toc15713652"/>
            <w:r w:rsidRPr="00DA22CD">
              <w:rPr>
                <w:sz w:val="18"/>
                <w:szCs w:val="18"/>
                <w:highlight w:val="lightGray"/>
                <w:bdr w:val="single" w:sz="12" w:space="0" w:color="auto"/>
                <w:lang w:val="fr-FR"/>
              </w:rPr>
              <w:t>GN</w:t>
            </w:r>
            <w:r w:rsidRPr="00DA22CD">
              <w:rPr>
                <w:sz w:val="18"/>
                <w:szCs w:val="18"/>
                <w:bdr w:val="single" w:sz="12" w:space="0" w:color="auto"/>
                <w:lang w:val="fr-FR"/>
              </w:rPr>
              <w:t xml:space="preserve"> 31</w:t>
            </w:r>
            <w:r w:rsidRPr="00DA22CD">
              <w:rPr>
                <w:sz w:val="18"/>
                <w:szCs w:val="18"/>
                <w:lang w:val="fr-FR"/>
              </w:rPr>
              <w:t xml:space="preserve"> (Chapitre</w:t>
            </w:r>
            <w:r w:rsidR="002067E8">
              <w:rPr>
                <w:sz w:val="18"/>
                <w:szCs w:val="18"/>
                <w:lang w:val="fr-FR"/>
              </w:rPr>
              <w:t> </w:t>
            </w:r>
            <w:r w:rsidRPr="00DA22CD">
              <w:rPr>
                <w:sz w:val="18"/>
                <w:szCs w:val="18"/>
                <w:lang w:val="fr-FR"/>
              </w:rPr>
              <w:t>10 : Questionnaire technique, secti</w:t>
            </w:r>
            <w:r>
              <w:rPr>
                <w:sz w:val="18"/>
                <w:szCs w:val="18"/>
                <w:lang w:val="fr-FR"/>
              </w:rPr>
              <w:t xml:space="preserve">on 4.2) – Renseignements sur la </w:t>
            </w:r>
            <w:r w:rsidRPr="00DA22CD">
              <w:rPr>
                <w:sz w:val="18"/>
                <w:szCs w:val="18"/>
                <w:lang w:val="fr-FR"/>
              </w:rPr>
              <w:t>méthode de multiplication de la variété</w:t>
            </w:r>
            <w:bookmarkEnd w:id="19"/>
            <w:r w:rsidRPr="00DA22CD">
              <w:rPr>
                <w:sz w:val="18"/>
                <w:szCs w:val="18"/>
                <w:lang w:val="fr-FR"/>
              </w:rPr>
              <w:t>}</w:t>
            </w:r>
          </w:p>
          <w:p w:rsidR="00A039B4" w:rsidRDefault="0020369A" w:rsidP="00DA22CD">
            <w:pPr>
              <w:tabs>
                <w:tab w:val="left" w:pos="1106"/>
                <w:tab w:val="left" w:pos="1673"/>
                <w:tab w:val="left" w:pos="5856"/>
                <w:tab w:val="left" w:pos="7296"/>
                <w:tab w:val="left" w:pos="7910"/>
              </w:tabs>
              <w:ind w:left="90" w:right="255" w:firstLine="477"/>
              <w:jc w:val="left"/>
              <w:rPr>
                <w:sz w:val="18"/>
                <w:szCs w:val="18"/>
                <w:lang w:val="fr-FR"/>
              </w:rPr>
            </w:pPr>
            <w:r w:rsidRPr="00DA22CD">
              <w:rPr>
                <w:sz w:val="18"/>
                <w:szCs w:val="18"/>
                <w:lang w:val="fr-FR"/>
              </w:rPr>
              <w:t>{</w:t>
            </w:r>
            <w:bookmarkStart w:id="20" w:name="_Toc15713653"/>
            <w:r w:rsidRPr="00DA22CD">
              <w:rPr>
                <w:sz w:val="18"/>
                <w:szCs w:val="18"/>
                <w:highlight w:val="lightGray"/>
                <w:bdr w:val="single" w:sz="12" w:space="0" w:color="auto"/>
                <w:lang w:val="fr-FR"/>
              </w:rPr>
              <w:t>GN</w:t>
            </w:r>
            <w:r w:rsidRPr="00DA22CD">
              <w:rPr>
                <w:sz w:val="18"/>
                <w:szCs w:val="18"/>
                <w:bdr w:val="single" w:sz="12" w:space="0" w:color="auto"/>
                <w:lang w:val="fr-FR"/>
              </w:rPr>
              <w:t xml:space="preserve"> 32</w:t>
            </w:r>
            <w:r w:rsidRPr="00DA22CD">
              <w:rPr>
                <w:sz w:val="18"/>
                <w:szCs w:val="18"/>
                <w:lang w:val="fr-FR"/>
              </w:rPr>
              <w:t xml:space="preserve"> (Chapitre</w:t>
            </w:r>
            <w:r w:rsidR="002067E8">
              <w:rPr>
                <w:sz w:val="18"/>
                <w:szCs w:val="18"/>
                <w:lang w:val="fr-FR"/>
              </w:rPr>
              <w:t> </w:t>
            </w:r>
            <w:r w:rsidRPr="00DA22CD">
              <w:rPr>
                <w:sz w:val="18"/>
                <w:szCs w:val="18"/>
                <w:lang w:val="fr-FR"/>
              </w:rPr>
              <w:t>10 : Questionnaire technique, section 4.2) – Renseignements sur le schéma de production des variétés hybrides</w:t>
            </w:r>
            <w:bookmarkEnd w:id="20"/>
            <w:r w:rsidRPr="00DA22CD">
              <w:rPr>
                <w:sz w:val="18"/>
                <w:szCs w:val="18"/>
                <w:lang w:val="fr-FR"/>
              </w:rPr>
              <w:t>}</w:t>
            </w:r>
          </w:p>
          <w:p w:rsidR="0020369A" w:rsidRPr="00DA22CD" w:rsidRDefault="0020369A" w:rsidP="00C21485">
            <w:pPr>
              <w:tabs>
                <w:tab w:val="left" w:pos="1106"/>
                <w:tab w:val="left" w:pos="1673"/>
                <w:tab w:val="left" w:pos="3941"/>
                <w:tab w:val="left" w:pos="5856"/>
                <w:tab w:val="left" w:pos="7296"/>
                <w:tab w:val="left" w:pos="7910"/>
              </w:tabs>
              <w:ind w:left="3941" w:right="255" w:hanging="3374"/>
              <w:jc w:val="left"/>
              <w:rPr>
                <w:sz w:val="18"/>
                <w:szCs w:val="18"/>
                <w:lang w:val="fr-FR"/>
              </w:rPr>
            </w:pPr>
          </w:p>
          <w:p w:rsidR="0020369A" w:rsidRPr="00DA22CD" w:rsidRDefault="0020369A" w:rsidP="00C21485">
            <w:pPr>
              <w:tabs>
                <w:tab w:val="left" w:pos="1106"/>
                <w:tab w:val="left" w:pos="1673"/>
                <w:tab w:val="left" w:pos="3941"/>
                <w:tab w:val="left" w:pos="5856"/>
                <w:tab w:val="left" w:pos="7296"/>
                <w:tab w:val="left" w:pos="7910"/>
              </w:tabs>
              <w:ind w:left="3941" w:right="255" w:hanging="3374"/>
              <w:jc w:val="left"/>
              <w:rPr>
                <w:sz w:val="18"/>
                <w:szCs w:val="18"/>
                <w:lang w:val="fr-FR"/>
              </w:rPr>
            </w:pPr>
          </w:p>
          <w:p w:rsidR="0020369A" w:rsidRPr="0018478B" w:rsidRDefault="0020369A" w:rsidP="00C21485">
            <w:pPr>
              <w:ind w:left="567" w:hanging="567"/>
              <w:rPr>
                <w:sz w:val="18"/>
                <w:szCs w:val="18"/>
                <w:lang w:val="fr-FR"/>
              </w:rPr>
            </w:pPr>
            <w:r w:rsidRPr="0018478B">
              <w:rPr>
                <w:rStyle w:val="FootnoteReference"/>
                <w:rFonts w:cs="Arial"/>
                <w:sz w:val="18"/>
                <w:szCs w:val="18"/>
                <w:lang w:val="fr-FR"/>
              </w:rPr>
              <w:t>#</w:t>
            </w:r>
            <w:r w:rsidRPr="0018478B">
              <w:rPr>
                <w:sz w:val="18"/>
                <w:szCs w:val="18"/>
                <w:lang w:val="fr-FR"/>
              </w:rPr>
              <w:tab/>
              <w:t>Les autorités peuvent prévoir que certains de ces renseignements seront indiqués dans une section confidentie</w:t>
            </w:r>
            <w:r>
              <w:rPr>
                <w:sz w:val="18"/>
                <w:szCs w:val="18"/>
                <w:lang w:val="fr-FR"/>
              </w:rPr>
              <w:t>lle du questionnaire technique.</w:t>
            </w:r>
          </w:p>
        </w:tc>
      </w:tr>
    </w:tbl>
    <w:p w:rsidR="0020369A" w:rsidRPr="0018478B" w:rsidRDefault="0020369A" w:rsidP="002E224A">
      <w:pPr>
        <w:rPr>
          <w:snapToGrid w:val="0"/>
          <w:lang w:val="fr-FR"/>
        </w:rPr>
      </w:pPr>
    </w:p>
    <w:p w:rsidR="0020369A" w:rsidRPr="0018478B" w:rsidRDefault="0020369A" w:rsidP="00064085">
      <w:pPr>
        <w:pStyle w:val="DecisionParagraphs"/>
        <w:rPr>
          <w:lang w:val="fr-FR"/>
        </w:rPr>
      </w:pPr>
      <w:r w:rsidRPr="0018478B">
        <w:rPr>
          <w:lang w:val="fr-FR"/>
        </w:rPr>
        <w:fldChar w:fldCharType="begin"/>
      </w:r>
      <w:r w:rsidRPr="0018478B">
        <w:rPr>
          <w:lang w:val="fr-FR"/>
        </w:rPr>
        <w:instrText xml:space="preserve"> AUTONUM  </w:instrText>
      </w:r>
      <w:r w:rsidRPr="0018478B">
        <w:rPr>
          <w:lang w:val="fr-FR"/>
        </w:rPr>
        <w:fldChar w:fldCharType="end"/>
      </w:r>
      <w:r w:rsidRPr="0018478B">
        <w:rPr>
          <w:rFonts w:eastAsia="SimSun"/>
          <w:lang w:val="fr-FR"/>
        </w:rPr>
        <w:tab/>
      </w:r>
      <w:r w:rsidRPr="0018478B">
        <w:rPr>
          <w:snapToGrid w:val="0"/>
          <w:lang w:val="fr-FR"/>
        </w:rPr>
        <w:t xml:space="preserve">Le CAJ est invité à se demander si les orientations figurant dans le </w:t>
      </w:r>
      <w:r w:rsidRPr="0018478B">
        <w:rPr>
          <w:rFonts w:eastAsia="SimSun"/>
          <w:lang w:val="fr-FR"/>
        </w:rPr>
        <w:t xml:space="preserve">document TGP/7 </w:t>
      </w:r>
      <w:r w:rsidR="00F20C73">
        <w:rPr>
          <w:rFonts w:eastAsia="SimSun"/>
          <w:lang w:val="fr-FR"/>
        </w:rPr>
        <w:t>“</w:t>
      </w:r>
      <w:r w:rsidRPr="0018478B">
        <w:rPr>
          <w:rFonts w:eastAsia="SimSun"/>
          <w:lang w:val="fr-FR"/>
        </w:rPr>
        <w:t>Élaboration des principes directeurs d</w:t>
      </w:r>
      <w:r w:rsidR="00F20C73">
        <w:rPr>
          <w:rFonts w:eastAsia="SimSun"/>
          <w:lang w:val="fr-FR"/>
        </w:rPr>
        <w:t>’</w:t>
      </w:r>
      <w:r w:rsidRPr="0018478B">
        <w:rPr>
          <w:rFonts w:eastAsia="SimSun"/>
          <w:lang w:val="fr-FR"/>
        </w:rPr>
        <w:t>examen</w:t>
      </w:r>
      <w:r w:rsidR="00F20C73">
        <w:rPr>
          <w:rFonts w:eastAsia="SimSun"/>
          <w:lang w:val="fr-FR"/>
        </w:rPr>
        <w:t>”</w:t>
      </w:r>
      <w:r w:rsidR="002067E8">
        <w:rPr>
          <w:rFonts w:eastAsia="SimSun"/>
          <w:lang w:val="fr-FR"/>
        </w:rPr>
        <w:t> </w:t>
      </w:r>
      <w:r w:rsidRPr="0018478B">
        <w:rPr>
          <w:rFonts w:eastAsia="SimSun"/>
          <w:lang w:val="fr-FR"/>
        </w:rPr>
        <w:t>: annexe 1</w:t>
      </w:r>
      <w:r w:rsidR="002067E8">
        <w:rPr>
          <w:rFonts w:eastAsia="SimSun"/>
          <w:lang w:val="fr-FR"/>
        </w:rPr>
        <w:t> </w:t>
      </w:r>
      <w:r w:rsidRPr="0018478B">
        <w:rPr>
          <w:rFonts w:eastAsia="SimSun"/>
          <w:lang w:val="fr-FR"/>
        </w:rPr>
        <w:t>: Modèle de principes directeurs d</w:t>
      </w:r>
      <w:r w:rsidR="00F20C73">
        <w:rPr>
          <w:rFonts w:eastAsia="SimSun"/>
          <w:lang w:val="fr-FR"/>
        </w:rPr>
        <w:t>’</w:t>
      </w:r>
      <w:r w:rsidRPr="0018478B">
        <w:rPr>
          <w:rFonts w:eastAsia="SimSun"/>
          <w:lang w:val="fr-FR"/>
        </w:rPr>
        <w:t xml:space="preserve">examen, section 4 </w:t>
      </w:r>
      <w:r w:rsidR="00F20C73">
        <w:rPr>
          <w:rFonts w:eastAsia="SimSun"/>
          <w:lang w:val="fr-FR"/>
        </w:rPr>
        <w:t>“</w:t>
      </w:r>
      <w:r w:rsidRPr="0018478B">
        <w:rPr>
          <w:rFonts w:eastAsia="SimSun"/>
          <w:lang w:val="fr-FR"/>
        </w:rPr>
        <w:t>Renseignements sur le schéma de sélection et la méthode de multiplication de la variété</w:t>
      </w:r>
      <w:r w:rsidR="00F20C73">
        <w:rPr>
          <w:rFonts w:eastAsia="SimSun"/>
          <w:lang w:val="fr-FR"/>
        </w:rPr>
        <w:t>”</w:t>
      </w:r>
      <w:r>
        <w:rPr>
          <w:rFonts w:eastAsia="SimSun"/>
          <w:lang w:val="fr-FR"/>
        </w:rPr>
        <w:t xml:space="preserve"> et sa </w:t>
      </w:r>
      <w:r w:rsidRPr="0018478B">
        <w:rPr>
          <w:rFonts w:eastAsia="SimSun"/>
          <w:lang w:val="fr-FR"/>
        </w:rPr>
        <w:t>note de bas de page</w:t>
      </w:r>
      <w:r>
        <w:rPr>
          <w:rFonts w:eastAsia="SimSun"/>
          <w:lang w:val="fr-FR"/>
        </w:rPr>
        <w:t xml:space="preserve"> constituent une manière adéquate d</w:t>
      </w:r>
      <w:r w:rsidR="00F20C73">
        <w:rPr>
          <w:rFonts w:eastAsia="SimSun"/>
          <w:lang w:val="fr-FR"/>
        </w:rPr>
        <w:t>’</w:t>
      </w:r>
      <w:r>
        <w:rPr>
          <w:rFonts w:eastAsia="SimSun"/>
          <w:lang w:val="fr-FR"/>
        </w:rPr>
        <w:t xml:space="preserve">aborder la </w:t>
      </w:r>
      <w:r w:rsidRPr="0018478B">
        <w:rPr>
          <w:rFonts w:eastAsia="SimSun"/>
          <w:lang w:val="fr-FR"/>
        </w:rPr>
        <w:t>situation</w:t>
      </w:r>
      <w:r>
        <w:rPr>
          <w:rFonts w:eastAsia="SimSun"/>
          <w:lang w:val="fr-FR"/>
        </w:rPr>
        <w:t xml:space="preserve"> des demandes d</w:t>
      </w:r>
      <w:r w:rsidR="00F20C73">
        <w:rPr>
          <w:rFonts w:eastAsia="SimSun"/>
          <w:lang w:val="fr-FR"/>
        </w:rPr>
        <w:t>’</w:t>
      </w:r>
      <w:r w:rsidRPr="0018478B">
        <w:rPr>
          <w:rFonts w:eastAsia="SimSun"/>
          <w:lang w:val="fr-FR"/>
        </w:rPr>
        <w:t>information</w:t>
      </w:r>
      <w:r>
        <w:rPr>
          <w:rFonts w:eastAsia="SimSun"/>
          <w:lang w:val="fr-FR"/>
        </w:rPr>
        <w:t>s généalogiques ou si des orientations supplémentaires seraient appropriées</w:t>
      </w:r>
      <w:r w:rsidRPr="0018478B">
        <w:rPr>
          <w:lang w:val="fr-FR"/>
        </w:rPr>
        <w:t>.</w:t>
      </w:r>
    </w:p>
    <w:p w:rsidR="0020369A" w:rsidRPr="0018478B" w:rsidRDefault="0020369A" w:rsidP="00AB3724">
      <w:pPr>
        <w:rPr>
          <w:lang w:val="fr-FR"/>
        </w:rPr>
      </w:pPr>
    </w:p>
    <w:p w:rsidR="0020369A" w:rsidRPr="0018478B" w:rsidRDefault="0020369A" w:rsidP="009D070E">
      <w:pPr>
        <w:rPr>
          <w:strike/>
          <w:snapToGrid w:val="0"/>
          <w:lang w:val="fr-FR"/>
        </w:rPr>
      </w:pPr>
    </w:p>
    <w:p w:rsidR="0020369A" w:rsidRPr="00987226" w:rsidRDefault="0020369A" w:rsidP="005C3E4B">
      <w:pPr>
        <w:pStyle w:val="Heading2"/>
      </w:pPr>
      <w:bookmarkStart w:id="21" w:name="_Toc381102832"/>
      <w:bookmarkStart w:id="22" w:name="_Toc381102860"/>
      <w:bookmarkStart w:id="23" w:name="_Toc381949565"/>
      <w:r>
        <w:t>Demande électronique</w:t>
      </w:r>
      <w:bookmarkEnd w:id="21"/>
      <w:bookmarkEnd w:id="22"/>
      <w:bookmarkEnd w:id="23"/>
    </w:p>
    <w:p w:rsidR="0020369A" w:rsidRPr="00987226" w:rsidRDefault="0020369A" w:rsidP="006608AB">
      <w:pPr>
        <w:keepNext/>
        <w:rPr>
          <w:snapToGrid w:val="0"/>
          <w:u w:val="single"/>
        </w:rPr>
      </w:pPr>
    </w:p>
    <w:tbl>
      <w:tblPr>
        <w:tblW w:w="0" w:type="auto"/>
        <w:jc w:val="center"/>
        <w:tblInd w:w="-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0A0" w:firstRow="1" w:lastRow="0" w:firstColumn="1" w:lastColumn="0" w:noHBand="0" w:noVBand="0"/>
      </w:tblPr>
      <w:tblGrid>
        <w:gridCol w:w="8788"/>
      </w:tblGrid>
      <w:tr w:rsidR="0020369A" w:rsidRPr="00A95847" w:rsidTr="00D879BD">
        <w:trPr>
          <w:jc w:val="center"/>
        </w:trPr>
        <w:tc>
          <w:tcPr>
            <w:tcW w:w="8788" w:type="dxa"/>
          </w:tcPr>
          <w:p w:rsidR="0020369A" w:rsidRPr="005A510F" w:rsidRDefault="0020369A" w:rsidP="00C21485">
            <w:pPr>
              <w:ind w:right="567"/>
              <w:rPr>
                <w:sz w:val="18"/>
                <w:szCs w:val="18"/>
                <w:lang w:val="fr-FR"/>
              </w:rPr>
            </w:pPr>
            <w:r w:rsidRPr="005A510F">
              <w:rPr>
                <w:sz w:val="18"/>
                <w:szCs w:val="18"/>
                <w:lang w:val="fr-FR"/>
              </w:rPr>
              <w:t>[</w:t>
            </w:r>
            <w:r w:rsidRPr="00DF4C14">
              <w:rPr>
                <w:sz w:val="18"/>
                <w:szCs w:val="18"/>
                <w:lang w:val="fr-FR"/>
              </w:rPr>
              <w:t>Extrait de la lettre de l</w:t>
            </w:r>
            <w:r w:rsidR="00F20C73">
              <w:rPr>
                <w:sz w:val="18"/>
                <w:szCs w:val="18"/>
                <w:lang w:val="fr-FR"/>
              </w:rPr>
              <w:t>’</w:t>
            </w:r>
            <w:r w:rsidRPr="00DF4C14">
              <w:rPr>
                <w:sz w:val="18"/>
                <w:szCs w:val="18"/>
                <w:lang w:val="fr-FR"/>
              </w:rPr>
              <w:t>ISF – (original</w:t>
            </w:r>
            <w:r w:rsidR="002067E8">
              <w:rPr>
                <w:sz w:val="18"/>
                <w:szCs w:val="18"/>
                <w:lang w:val="fr-FR"/>
              </w:rPr>
              <w:t> </w:t>
            </w:r>
            <w:r w:rsidRPr="00DF4C14">
              <w:rPr>
                <w:sz w:val="18"/>
                <w:szCs w:val="18"/>
                <w:lang w:val="fr-FR"/>
              </w:rPr>
              <w:t>: anglais</w:t>
            </w:r>
            <w:r w:rsidRPr="005A510F">
              <w:rPr>
                <w:sz w:val="18"/>
                <w:szCs w:val="18"/>
                <w:lang w:val="fr-FR"/>
              </w:rPr>
              <w:t>)]</w:t>
            </w:r>
          </w:p>
          <w:p w:rsidR="0020369A" w:rsidRPr="008F4C87" w:rsidRDefault="0020369A" w:rsidP="004B0E07">
            <w:pPr>
              <w:rPr>
                <w:sz w:val="18"/>
                <w:szCs w:val="18"/>
                <w:lang w:val="fr-FR"/>
              </w:rPr>
            </w:pPr>
            <w:r w:rsidRPr="008F4C87">
              <w:rPr>
                <w:color w:val="0D0D0D"/>
                <w:sz w:val="18"/>
                <w:szCs w:val="18"/>
                <w:u w:val="single"/>
                <w:lang w:val="fr-FR"/>
              </w:rPr>
              <w:t>Demande électronique</w:t>
            </w:r>
            <w:r w:rsidR="002067E8" w:rsidRPr="00982CBF">
              <w:rPr>
                <w:color w:val="0D0D0D"/>
                <w:sz w:val="18"/>
                <w:szCs w:val="18"/>
                <w:lang w:val="fr-FR"/>
              </w:rPr>
              <w:t> </w:t>
            </w:r>
            <w:r w:rsidRPr="00982CBF">
              <w:rPr>
                <w:color w:val="0D0D0D"/>
                <w:sz w:val="18"/>
                <w:lang w:val="fr-FR"/>
              </w:rPr>
              <w:t>:</w:t>
            </w:r>
            <w:r w:rsidRPr="008F4C87">
              <w:rPr>
                <w:color w:val="363636"/>
                <w:sz w:val="18"/>
                <w:szCs w:val="18"/>
                <w:lang w:val="fr-FR"/>
              </w:rPr>
              <w:t xml:space="preserve"> Dans </w:t>
            </w:r>
            <w:r w:rsidRPr="008F4C87">
              <w:rPr>
                <w:color w:val="0D0D0D"/>
                <w:sz w:val="18"/>
                <w:szCs w:val="18"/>
                <w:lang w:val="fr-FR"/>
              </w:rPr>
              <w:t>certains pays ou régions, la demande peut être envoyée par voie électronique, par courrier électronique notamment, alors que, dans d</w:t>
            </w:r>
            <w:r w:rsidR="00F20C73">
              <w:rPr>
                <w:color w:val="0D0D0D"/>
                <w:sz w:val="18"/>
                <w:szCs w:val="18"/>
                <w:lang w:val="fr-FR"/>
              </w:rPr>
              <w:t>’</w:t>
            </w:r>
            <w:r w:rsidRPr="008F4C87">
              <w:rPr>
                <w:color w:val="0D0D0D"/>
                <w:sz w:val="18"/>
                <w:szCs w:val="18"/>
                <w:lang w:val="fr-FR"/>
              </w:rPr>
              <w:t>autres pays, une de</w:t>
            </w:r>
            <w:r>
              <w:rPr>
                <w:color w:val="0D0D0D"/>
                <w:sz w:val="18"/>
                <w:szCs w:val="18"/>
                <w:lang w:val="fr-FR"/>
              </w:rPr>
              <w:t>mande ne peut être déposée que sur papier.</w:t>
            </w:r>
            <w:r w:rsidRPr="008F4C87">
              <w:rPr>
                <w:color w:val="0D0D0D"/>
                <w:sz w:val="18"/>
                <w:szCs w:val="18"/>
                <w:lang w:val="fr-FR"/>
              </w:rPr>
              <w:t xml:space="preserve"> </w:t>
            </w:r>
            <w:r>
              <w:rPr>
                <w:color w:val="0D0D0D"/>
                <w:sz w:val="18"/>
                <w:szCs w:val="18"/>
                <w:lang w:val="fr-FR"/>
              </w:rPr>
              <w:t xml:space="preserve"> </w:t>
            </w:r>
            <w:r w:rsidRPr="008F4C87">
              <w:rPr>
                <w:color w:val="0D0D0D"/>
                <w:sz w:val="18"/>
                <w:szCs w:val="18"/>
                <w:lang w:val="fr-FR"/>
              </w:rPr>
              <w:t>Les membres de l</w:t>
            </w:r>
            <w:r w:rsidR="00F20C73">
              <w:rPr>
                <w:color w:val="0D0D0D"/>
                <w:sz w:val="18"/>
                <w:szCs w:val="18"/>
                <w:lang w:val="fr-FR"/>
              </w:rPr>
              <w:t>’</w:t>
            </w:r>
            <w:r w:rsidRPr="008F4C87">
              <w:rPr>
                <w:color w:val="0D0D0D"/>
                <w:sz w:val="18"/>
                <w:szCs w:val="18"/>
                <w:lang w:val="fr-FR"/>
              </w:rPr>
              <w:t xml:space="preserve">ISF </w:t>
            </w:r>
            <w:r>
              <w:rPr>
                <w:color w:val="0D0D0D"/>
                <w:sz w:val="18"/>
                <w:szCs w:val="18"/>
                <w:lang w:val="fr-FR"/>
              </w:rPr>
              <w:t xml:space="preserve">sont en faveur de </w:t>
            </w:r>
            <w:r w:rsidRPr="008F4C87">
              <w:rPr>
                <w:color w:val="0D0D0D"/>
                <w:sz w:val="18"/>
                <w:szCs w:val="18"/>
                <w:lang w:val="fr-FR"/>
              </w:rPr>
              <w:t xml:space="preserve">la possibilité de déposer une demande par courrier électronique ou par une autre voie électronique, estimant </w:t>
            </w:r>
            <w:r>
              <w:rPr>
                <w:color w:val="0D0D0D"/>
                <w:sz w:val="18"/>
                <w:szCs w:val="18"/>
                <w:lang w:val="fr-FR"/>
              </w:rPr>
              <w:t>que tous les pays membres de l</w:t>
            </w:r>
            <w:r w:rsidR="00F20C73">
              <w:rPr>
                <w:color w:val="0D0D0D"/>
                <w:sz w:val="18"/>
                <w:szCs w:val="18"/>
                <w:lang w:val="fr-FR"/>
              </w:rPr>
              <w:t>’</w:t>
            </w:r>
            <w:r>
              <w:rPr>
                <w:color w:val="0D0D0D"/>
                <w:sz w:val="18"/>
                <w:szCs w:val="18"/>
                <w:lang w:val="fr-FR"/>
              </w:rPr>
              <w:t>UPOV devraient avoir recours à un tel système</w:t>
            </w:r>
            <w:r w:rsidRPr="008F4C87">
              <w:rPr>
                <w:color w:val="262727"/>
                <w:sz w:val="18"/>
                <w:szCs w:val="18"/>
                <w:lang w:val="fr-FR"/>
              </w:rPr>
              <w:t>.</w:t>
            </w:r>
          </w:p>
        </w:tc>
      </w:tr>
    </w:tbl>
    <w:p w:rsidR="0020369A" w:rsidRPr="008F4C87" w:rsidRDefault="0020369A" w:rsidP="005A3D0C">
      <w:pPr>
        <w:rPr>
          <w:snapToGrid w:val="0"/>
          <w:lang w:val="fr-FR"/>
        </w:rPr>
      </w:pPr>
    </w:p>
    <w:p w:rsidR="0020369A" w:rsidRPr="0018478B" w:rsidRDefault="0020369A" w:rsidP="00BE38A2">
      <w:pPr>
        <w:rPr>
          <w:snapToGrid w:val="0"/>
          <w:lang w:val="fr-FR"/>
        </w:rPr>
      </w:pPr>
      <w:r w:rsidRPr="0018478B">
        <w:rPr>
          <w:snapToGrid w:val="0"/>
          <w:lang w:val="fr-FR"/>
        </w:rPr>
        <w:lastRenderedPageBreak/>
        <w:fldChar w:fldCharType="begin"/>
      </w:r>
      <w:r w:rsidRPr="0018478B">
        <w:rPr>
          <w:snapToGrid w:val="0"/>
          <w:lang w:val="fr-FR"/>
        </w:rPr>
        <w:instrText xml:space="preserve"> AUTONUM  </w:instrText>
      </w:r>
      <w:r w:rsidRPr="0018478B">
        <w:rPr>
          <w:snapToGrid w:val="0"/>
          <w:lang w:val="fr-FR"/>
        </w:rPr>
        <w:fldChar w:fldCharType="end"/>
      </w:r>
      <w:r w:rsidRPr="0018478B">
        <w:rPr>
          <w:snapToGrid w:val="0"/>
          <w:lang w:val="fr-FR"/>
        </w:rPr>
        <w:tab/>
        <w:t>Le CAJ souhaitera peut</w:t>
      </w:r>
      <w:r w:rsidR="0014634A">
        <w:rPr>
          <w:snapToGrid w:val="0"/>
          <w:lang w:val="fr-FR"/>
        </w:rPr>
        <w:noBreakHyphen/>
      </w:r>
      <w:r w:rsidRPr="0018478B">
        <w:rPr>
          <w:snapToGrid w:val="0"/>
          <w:lang w:val="fr-FR"/>
        </w:rPr>
        <w:t xml:space="preserve">être prendre </w:t>
      </w:r>
      <w:r w:rsidR="00E56043">
        <w:rPr>
          <w:snapToGrid w:val="0"/>
          <w:lang w:val="fr-FR"/>
        </w:rPr>
        <w:t xml:space="preserve">note </w:t>
      </w:r>
      <w:r w:rsidRPr="0018478B">
        <w:rPr>
          <w:snapToGrid w:val="0"/>
          <w:lang w:val="fr-FR"/>
        </w:rPr>
        <w:t>des initiatives suivantes qui ont trait aux demandes électroni</w:t>
      </w:r>
      <w:r>
        <w:rPr>
          <w:snapToGrid w:val="0"/>
          <w:lang w:val="fr-FR"/>
        </w:rPr>
        <w:t>ques</w:t>
      </w:r>
      <w:r w:rsidR="002067E8">
        <w:rPr>
          <w:snapToGrid w:val="0"/>
          <w:lang w:val="fr-FR"/>
        </w:rPr>
        <w:t> </w:t>
      </w:r>
      <w:r w:rsidRPr="0018478B">
        <w:rPr>
          <w:snapToGrid w:val="0"/>
          <w:lang w:val="fr-FR"/>
        </w:rPr>
        <w:t>:</w:t>
      </w:r>
    </w:p>
    <w:p w:rsidR="0020369A" w:rsidRPr="0018478B" w:rsidRDefault="0020369A" w:rsidP="00BE38A2">
      <w:pPr>
        <w:rPr>
          <w:snapToGrid w:val="0"/>
          <w:lang w:val="fr-FR"/>
        </w:rPr>
      </w:pPr>
    </w:p>
    <w:p w:rsidR="0020369A" w:rsidRPr="003F4ED8" w:rsidRDefault="0020369A" w:rsidP="00064085">
      <w:pPr>
        <w:ind w:firstLine="567"/>
        <w:rPr>
          <w:lang w:val="fr-FR"/>
        </w:rPr>
      </w:pPr>
      <w:r w:rsidRPr="003F4ED8">
        <w:rPr>
          <w:snapToGrid w:val="0"/>
          <w:lang w:val="fr-FR"/>
        </w:rPr>
        <w:t>a)</w:t>
      </w:r>
      <w:r w:rsidRPr="003F4ED8">
        <w:rPr>
          <w:snapToGrid w:val="0"/>
          <w:lang w:val="fr-FR"/>
        </w:rPr>
        <w:tab/>
        <w:t>le projet d</w:t>
      </w:r>
      <w:r w:rsidR="00F20C73">
        <w:rPr>
          <w:snapToGrid w:val="0"/>
          <w:lang w:val="fr-FR"/>
        </w:rPr>
        <w:t>’</w:t>
      </w:r>
      <w:r w:rsidRPr="003F4ED8">
        <w:rPr>
          <w:snapToGrid w:val="0"/>
          <w:lang w:val="fr-FR"/>
        </w:rPr>
        <w:t>élaboration d</w:t>
      </w:r>
      <w:r w:rsidR="00F20C73">
        <w:rPr>
          <w:snapToGrid w:val="0"/>
          <w:lang w:val="fr-FR"/>
        </w:rPr>
        <w:t>’</w:t>
      </w:r>
      <w:r w:rsidRPr="003F4ED8">
        <w:rPr>
          <w:snapToGrid w:val="0"/>
          <w:lang w:val="fr-FR"/>
        </w:rPr>
        <w:t>un formulaire é</w:t>
      </w:r>
      <w:r w:rsidRPr="003F4ED8">
        <w:rPr>
          <w:lang w:val="fr-FR"/>
        </w:rPr>
        <w:t>lectronique prototype (</w:t>
      </w:r>
      <w:r>
        <w:rPr>
          <w:lang w:val="fr-FR"/>
        </w:rPr>
        <w:t xml:space="preserve">voir le </w:t>
      </w:r>
      <w:r w:rsidRPr="003F4ED8">
        <w:rPr>
          <w:kern w:val="28"/>
          <w:lang w:val="fr-FR"/>
        </w:rPr>
        <w:t>document CAJ/69/8</w:t>
      </w:r>
      <w:r>
        <w:rPr>
          <w:kern w:val="28"/>
          <w:lang w:val="fr-FR"/>
        </w:rPr>
        <w:t> </w:t>
      </w:r>
      <w:r w:rsidR="00F20C73">
        <w:rPr>
          <w:kern w:val="28"/>
          <w:lang w:val="fr-FR"/>
        </w:rPr>
        <w:t>”</w:t>
      </w:r>
      <w:r>
        <w:rPr>
          <w:kern w:val="28"/>
          <w:lang w:val="fr-FR"/>
        </w:rPr>
        <w:t>Systèmes de dépôt électronique des demandes</w:t>
      </w:r>
      <w:r w:rsidR="00F20C73">
        <w:rPr>
          <w:kern w:val="28"/>
          <w:lang w:val="fr-FR"/>
        </w:rPr>
        <w:t>”</w:t>
      </w:r>
      <w:r w:rsidRPr="003F4ED8">
        <w:rPr>
          <w:kern w:val="28"/>
          <w:lang w:val="fr-FR"/>
        </w:rPr>
        <w:t>)</w:t>
      </w:r>
      <w:r w:rsidRPr="003F4ED8">
        <w:rPr>
          <w:lang w:val="fr-FR"/>
        </w:rPr>
        <w:t>;</w:t>
      </w:r>
      <w:r>
        <w:rPr>
          <w:lang w:val="fr-FR"/>
        </w:rPr>
        <w:t xml:space="preserve"> </w:t>
      </w:r>
      <w:r w:rsidR="002067E8">
        <w:rPr>
          <w:lang w:val="fr-FR"/>
        </w:rPr>
        <w:t xml:space="preserve"> </w:t>
      </w:r>
      <w:r>
        <w:rPr>
          <w:lang w:val="fr-FR"/>
        </w:rPr>
        <w:t>et</w:t>
      </w:r>
    </w:p>
    <w:p w:rsidR="0020369A" w:rsidRPr="003F4ED8" w:rsidRDefault="0020369A" w:rsidP="00064085">
      <w:pPr>
        <w:rPr>
          <w:lang w:val="fr-FR"/>
        </w:rPr>
      </w:pPr>
    </w:p>
    <w:p w:rsidR="0020369A" w:rsidRDefault="0020369A" w:rsidP="00064085">
      <w:pPr>
        <w:ind w:firstLine="567"/>
        <w:rPr>
          <w:kern w:val="28"/>
          <w:lang w:val="fr-FR"/>
        </w:rPr>
      </w:pPr>
      <w:r w:rsidRPr="003F4ED8">
        <w:rPr>
          <w:lang w:val="fr-FR"/>
        </w:rPr>
        <w:t>b)</w:t>
      </w:r>
      <w:r w:rsidRPr="003F4ED8">
        <w:rPr>
          <w:lang w:val="fr-FR"/>
        </w:rPr>
        <w:tab/>
      </w:r>
      <w:r>
        <w:rPr>
          <w:lang w:val="fr-FR"/>
        </w:rPr>
        <w:t>l</w:t>
      </w:r>
      <w:r w:rsidR="00F20C73">
        <w:rPr>
          <w:lang w:val="fr-FR"/>
        </w:rPr>
        <w:t>’</w:t>
      </w:r>
      <w:r w:rsidRPr="003F4ED8">
        <w:rPr>
          <w:lang w:val="fr-FR"/>
        </w:rPr>
        <w:t>enquête auprès des membres de l</w:t>
      </w:r>
      <w:r w:rsidR="00F20C73">
        <w:rPr>
          <w:lang w:val="fr-FR"/>
        </w:rPr>
        <w:t>’</w:t>
      </w:r>
      <w:r w:rsidRPr="003F4ED8">
        <w:rPr>
          <w:lang w:val="fr-FR"/>
        </w:rPr>
        <w:t>Union quant à leur utilisation de la base de données aux fins de la protection des obtentions végétales, ainsi que leur utilisation des systèmes de dépôt électronique des demandes (</w:t>
      </w:r>
      <w:r>
        <w:rPr>
          <w:lang w:val="fr-FR"/>
        </w:rPr>
        <w:t>voir le</w:t>
      </w:r>
      <w:r w:rsidRPr="003F4ED8">
        <w:rPr>
          <w:lang w:val="fr-FR"/>
        </w:rPr>
        <w:t xml:space="preserve"> document </w:t>
      </w:r>
      <w:r w:rsidRPr="003F4ED8">
        <w:rPr>
          <w:kern w:val="28"/>
          <w:lang w:val="fr-FR"/>
        </w:rPr>
        <w:t>CAJ/69/6</w:t>
      </w:r>
      <w:r>
        <w:rPr>
          <w:kern w:val="28"/>
          <w:lang w:val="fr-FR"/>
        </w:rPr>
        <w:t xml:space="preserve"> </w:t>
      </w:r>
      <w:r w:rsidR="00F20C73">
        <w:rPr>
          <w:kern w:val="28"/>
          <w:lang w:val="fr-FR"/>
        </w:rPr>
        <w:t>“</w:t>
      </w:r>
      <w:r>
        <w:rPr>
          <w:kern w:val="28"/>
          <w:lang w:val="fr-FR"/>
        </w:rPr>
        <w:t>Bases de données d</w:t>
      </w:r>
      <w:r w:rsidR="00F20C73">
        <w:rPr>
          <w:kern w:val="28"/>
          <w:lang w:val="fr-FR"/>
        </w:rPr>
        <w:t>’</w:t>
      </w:r>
      <w:r w:rsidRPr="003F4ED8">
        <w:rPr>
          <w:kern w:val="28"/>
          <w:lang w:val="fr-FR"/>
        </w:rPr>
        <w:t xml:space="preserve">information </w:t>
      </w:r>
      <w:r>
        <w:rPr>
          <w:kern w:val="28"/>
          <w:lang w:val="fr-FR"/>
        </w:rPr>
        <w:t>de l</w:t>
      </w:r>
      <w:r w:rsidR="00F20C73">
        <w:rPr>
          <w:kern w:val="28"/>
          <w:lang w:val="fr-FR"/>
        </w:rPr>
        <w:t>’</w:t>
      </w:r>
      <w:r>
        <w:rPr>
          <w:kern w:val="28"/>
          <w:lang w:val="fr-FR"/>
        </w:rPr>
        <w:t>UPOV</w:t>
      </w:r>
      <w:r w:rsidR="00F20C73">
        <w:rPr>
          <w:kern w:val="28"/>
          <w:lang w:val="fr-FR"/>
        </w:rPr>
        <w:t>”</w:t>
      </w:r>
      <w:r w:rsidRPr="003F4ED8">
        <w:rPr>
          <w:kern w:val="28"/>
          <w:lang w:val="fr-FR"/>
        </w:rPr>
        <w:t>).</w:t>
      </w:r>
    </w:p>
    <w:p w:rsidR="00486E39" w:rsidRPr="003F4ED8" w:rsidRDefault="00486E39" w:rsidP="00064085">
      <w:pPr>
        <w:ind w:firstLine="567"/>
        <w:rPr>
          <w:kern w:val="28"/>
          <w:lang w:val="fr-FR"/>
        </w:rPr>
      </w:pPr>
    </w:p>
    <w:p w:rsidR="0020369A" w:rsidRPr="003F4ED8" w:rsidRDefault="0020369A" w:rsidP="00881DF5">
      <w:pPr>
        <w:rPr>
          <w:lang w:val="fr-FR"/>
        </w:rPr>
      </w:pPr>
      <w:r w:rsidRPr="003F4ED8">
        <w:rPr>
          <w:lang w:val="fr-FR"/>
        </w:rPr>
        <w:fldChar w:fldCharType="begin"/>
      </w:r>
      <w:r w:rsidRPr="003F4ED8">
        <w:rPr>
          <w:lang w:val="fr-FR"/>
        </w:rPr>
        <w:instrText xml:space="preserve"> AUTONUM  </w:instrText>
      </w:r>
      <w:r w:rsidRPr="003F4ED8">
        <w:rPr>
          <w:lang w:val="fr-FR"/>
        </w:rPr>
        <w:fldChar w:fldCharType="end"/>
      </w:r>
      <w:r w:rsidRPr="003F4ED8">
        <w:rPr>
          <w:lang w:val="fr-FR"/>
        </w:rPr>
        <w:tab/>
        <w:t>Le CAJ souhaitera peut</w:t>
      </w:r>
      <w:r w:rsidR="0014634A">
        <w:rPr>
          <w:lang w:val="fr-FR"/>
        </w:rPr>
        <w:noBreakHyphen/>
      </w:r>
      <w:r w:rsidRPr="003F4ED8">
        <w:rPr>
          <w:lang w:val="fr-FR"/>
        </w:rPr>
        <w:t>être se demander s</w:t>
      </w:r>
      <w:r w:rsidR="00F20C73">
        <w:rPr>
          <w:lang w:val="fr-FR"/>
        </w:rPr>
        <w:t>’</w:t>
      </w:r>
      <w:r w:rsidRPr="003F4ED8">
        <w:rPr>
          <w:lang w:val="fr-FR"/>
        </w:rPr>
        <w:t>il convient d</w:t>
      </w:r>
      <w:r w:rsidR="00F20C73">
        <w:rPr>
          <w:lang w:val="fr-FR"/>
        </w:rPr>
        <w:t>’</w:t>
      </w:r>
      <w:r w:rsidRPr="003F4ED8">
        <w:rPr>
          <w:lang w:val="fr-FR"/>
        </w:rPr>
        <w:t xml:space="preserve">élaborer dans le document UPOV/INF/15 </w:t>
      </w:r>
      <w:r>
        <w:rPr>
          <w:lang w:val="fr-FR"/>
        </w:rPr>
        <w:t xml:space="preserve">des orientations sur la </w:t>
      </w:r>
      <w:r w:rsidRPr="003F4ED8">
        <w:rPr>
          <w:lang w:val="fr-FR"/>
        </w:rPr>
        <w:t>possibilit</w:t>
      </w:r>
      <w:r>
        <w:rPr>
          <w:lang w:val="fr-FR"/>
        </w:rPr>
        <w:t>é de déposer des demandes par voie électronique</w:t>
      </w:r>
      <w:r w:rsidRPr="003F4ED8">
        <w:rPr>
          <w:lang w:val="fr-FR"/>
        </w:rPr>
        <w:t>.</w:t>
      </w:r>
    </w:p>
    <w:p w:rsidR="0020369A" w:rsidRPr="003F4ED8" w:rsidRDefault="0020369A" w:rsidP="009D070E">
      <w:pPr>
        <w:rPr>
          <w:snapToGrid w:val="0"/>
          <w:highlight w:val="yellow"/>
          <w:u w:val="single"/>
          <w:lang w:val="fr-FR"/>
        </w:rPr>
      </w:pPr>
    </w:p>
    <w:p w:rsidR="0020369A" w:rsidRPr="003F4ED8" w:rsidRDefault="0020369A" w:rsidP="00064085">
      <w:pPr>
        <w:pStyle w:val="DecisionParagraphs"/>
        <w:rPr>
          <w:snapToGrid w:val="0"/>
          <w:lang w:val="fr-FR"/>
        </w:rPr>
      </w:pPr>
      <w:r w:rsidRPr="003F4ED8">
        <w:rPr>
          <w:lang w:val="fr-FR"/>
        </w:rPr>
        <w:fldChar w:fldCharType="begin"/>
      </w:r>
      <w:r w:rsidRPr="003F4ED8">
        <w:rPr>
          <w:lang w:val="fr-FR"/>
        </w:rPr>
        <w:instrText xml:space="preserve"> AUTONUM  </w:instrText>
      </w:r>
      <w:r w:rsidRPr="003F4ED8">
        <w:rPr>
          <w:lang w:val="fr-FR"/>
        </w:rPr>
        <w:fldChar w:fldCharType="end"/>
      </w:r>
      <w:r w:rsidRPr="003F4ED8">
        <w:rPr>
          <w:rFonts w:eastAsia="SimSun"/>
          <w:lang w:val="fr-FR"/>
        </w:rPr>
        <w:tab/>
      </w:r>
      <w:r w:rsidRPr="003F4ED8">
        <w:rPr>
          <w:snapToGrid w:val="0"/>
          <w:lang w:val="fr-FR"/>
        </w:rPr>
        <w:t>Le CAJ est invité à</w:t>
      </w:r>
      <w:r w:rsidR="002067E8">
        <w:rPr>
          <w:snapToGrid w:val="0"/>
          <w:lang w:val="fr-FR"/>
        </w:rPr>
        <w:t> </w:t>
      </w:r>
      <w:r w:rsidRPr="003F4ED8">
        <w:rPr>
          <w:snapToGrid w:val="0"/>
          <w:lang w:val="fr-FR"/>
        </w:rPr>
        <w:t>:</w:t>
      </w:r>
    </w:p>
    <w:p w:rsidR="0020369A" w:rsidRPr="003F4ED8" w:rsidRDefault="0020369A" w:rsidP="00064085">
      <w:pPr>
        <w:pStyle w:val="DecisionParagraphs"/>
        <w:rPr>
          <w:snapToGrid w:val="0"/>
          <w:lang w:val="fr-FR"/>
        </w:rPr>
      </w:pPr>
    </w:p>
    <w:p w:rsidR="0020369A" w:rsidRPr="003F4ED8" w:rsidRDefault="0020369A" w:rsidP="00AB3724">
      <w:pPr>
        <w:pStyle w:val="DecisionParagraphs"/>
        <w:tabs>
          <w:tab w:val="left" w:pos="5954"/>
        </w:tabs>
        <w:rPr>
          <w:rFonts w:eastAsia="SimSun"/>
          <w:spacing w:val="-2"/>
          <w:lang w:val="fr-FR"/>
        </w:rPr>
      </w:pPr>
      <w:r w:rsidRPr="003F4ED8">
        <w:rPr>
          <w:snapToGrid w:val="0"/>
          <w:spacing w:val="-2"/>
          <w:lang w:val="fr-FR"/>
        </w:rPr>
        <w:tab/>
        <w:t>a)</w:t>
      </w:r>
      <w:r w:rsidRPr="003F4ED8">
        <w:rPr>
          <w:snapToGrid w:val="0"/>
          <w:spacing w:val="-2"/>
          <w:lang w:val="fr-FR"/>
        </w:rPr>
        <w:tab/>
        <w:t>prendre note</w:t>
      </w:r>
      <w:r w:rsidRPr="003F4ED8">
        <w:rPr>
          <w:rFonts w:eastAsia="SimSun"/>
          <w:spacing w:val="-2"/>
          <w:lang w:val="fr-FR"/>
        </w:rPr>
        <w:t xml:space="preserve"> des initiatives existantes telles qu</w:t>
      </w:r>
      <w:r w:rsidR="00F20C73">
        <w:rPr>
          <w:rFonts w:eastAsia="SimSun"/>
          <w:spacing w:val="-2"/>
          <w:lang w:val="fr-FR"/>
        </w:rPr>
        <w:t>’</w:t>
      </w:r>
      <w:r w:rsidRPr="003F4ED8">
        <w:rPr>
          <w:rFonts w:eastAsia="SimSun"/>
          <w:spacing w:val="-2"/>
          <w:lang w:val="fr-FR"/>
        </w:rPr>
        <w:t>elles sont décrites dans le paragraph</w:t>
      </w:r>
      <w:r>
        <w:rPr>
          <w:rFonts w:eastAsia="SimSun"/>
          <w:spacing w:val="-2"/>
          <w:lang w:val="fr-FR"/>
        </w:rPr>
        <w:t>e</w:t>
      </w:r>
      <w:r w:rsidRPr="003F4ED8">
        <w:rPr>
          <w:rFonts w:eastAsia="SimSun"/>
          <w:spacing w:val="-2"/>
          <w:lang w:val="fr-FR"/>
        </w:rPr>
        <w:t xml:space="preserve"> 9 </w:t>
      </w:r>
      <w:r>
        <w:rPr>
          <w:rFonts w:eastAsia="SimSun"/>
          <w:spacing w:val="-2"/>
          <w:lang w:val="fr-FR"/>
        </w:rPr>
        <w:t>ci</w:t>
      </w:r>
      <w:r w:rsidR="0014634A">
        <w:rPr>
          <w:rFonts w:eastAsia="SimSun"/>
          <w:spacing w:val="-2"/>
          <w:lang w:val="fr-FR"/>
        </w:rPr>
        <w:noBreakHyphen/>
      </w:r>
      <w:r>
        <w:rPr>
          <w:rFonts w:eastAsia="SimSun"/>
          <w:spacing w:val="-2"/>
          <w:lang w:val="fr-FR"/>
        </w:rPr>
        <w:t>dessus, concernant les demandes é</w:t>
      </w:r>
      <w:r w:rsidRPr="003F4ED8">
        <w:rPr>
          <w:rFonts w:eastAsia="SimSun"/>
          <w:spacing w:val="-2"/>
          <w:lang w:val="fr-FR"/>
        </w:rPr>
        <w:t>lectroni</w:t>
      </w:r>
      <w:r>
        <w:rPr>
          <w:rFonts w:eastAsia="SimSun"/>
          <w:spacing w:val="-2"/>
          <w:lang w:val="fr-FR"/>
        </w:rPr>
        <w:t>ques</w:t>
      </w:r>
      <w:r w:rsidRPr="003F4ED8">
        <w:rPr>
          <w:rFonts w:eastAsia="SimSun"/>
          <w:spacing w:val="-2"/>
          <w:lang w:val="fr-FR"/>
        </w:rPr>
        <w:t xml:space="preserve">; </w:t>
      </w:r>
      <w:r w:rsidR="002067E8">
        <w:rPr>
          <w:rFonts w:eastAsia="SimSun"/>
          <w:spacing w:val="-2"/>
          <w:lang w:val="fr-FR"/>
        </w:rPr>
        <w:t xml:space="preserve"> </w:t>
      </w:r>
      <w:r>
        <w:rPr>
          <w:rFonts w:eastAsia="SimSun"/>
          <w:spacing w:val="-2"/>
          <w:lang w:val="fr-FR"/>
        </w:rPr>
        <w:t>et</w:t>
      </w:r>
    </w:p>
    <w:p w:rsidR="0020369A" w:rsidRPr="003F4ED8" w:rsidRDefault="0020369A" w:rsidP="00AB3724">
      <w:pPr>
        <w:pStyle w:val="DecisionParagraphs"/>
        <w:tabs>
          <w:tab w:val="left" w:pos="5954"/>
        </w:tabs>
        <w:rPr>
          <w:rFonts w:eastAsia="SimSun"/>
          <w:lang w:val="fr-FR"/>
        </w:rPr>
      </w:pPr>
    </w:p>
    <w:p w:rsidR="0020369A" w:rsidRPr="003F4ED8" w:rsidRDefault="0020369A" w:rsidP="00AB3724">
      <w:pPr>
        <w:pStyle w:val="DecisionParagraphs"/>
        <w:tabs>
          <w:tab w:val="left" w:pos="5954"/>
        </w:tabs>
        <w:rPr>
          <w:lang w:val="fr-FR"/>
        </w:rPr>
      </w:pPr>
      <w:r w:rsidRPr="003F4ED8">
        <w:rPr>
          <w:rFonts w:eastAsia="SimSun"/>
          <w:lang w:val="fr-FR"/>
        </w:rPr>
        <w:tab/>
        <w:t>b)</w:t>
      </w:r>
      <w:r w:rsidRPr="003F4ED8">
        <w:rPr>
          <w:rFonts w:eastAsia="SimSun"/>
          <w:lang w:val="fr-FR"/>
        </w:rPr>
        <w:tab/>
        <w:t>se demander s</w:t>
      </w:r>
      <w:r w:rsidR="00F20C73">
        <w:rPr>
          <w:rFonts w:eastAsia="SimSun"/>
          <w:lang w:val="fr-FR"/>
        </w:rPr>
        <w:t>’</w:t>
      </w:r>
      <w:r w:rsidRPr="003F4ED8">
        <w:rPr>
          <w:rFonts w:eastAsia="SimSun"/>
          <w:lang w:val="fr-FR"/>
        </w:rPr>
        <w:t>il convient d</w:t>
      </w:r>
      <w:r w:rsidR="00F20C73">
        <w:rPr>
          <w:rFonts w:eastAsia="SimSun"/>
          <w:lang w:val="fr-FR"/>
        </w:rPr>
        <w:t>’</w:t>
      </w:r>
      <w:r w:rsidRPr="003F4ED8">
        <w:rPr>
          <w:rFonts w:eastAsia="SimSun"/>
          <w:lang w:val="fr-FR"/>
        </w:rPr>
        <w:t>élaborer dans le</w:t>
      </w:r>
      <w:r w:rsidRPr="003F4ED8">
        <w:rPr>
          <w:lang w:val="fr-FR"/>
        </w:rPr>
        <w:t xml:space="preserve"> document UPOV/INF/15</w:t>
      </w:r>
      <w:r>
        <w:rPr>
          <w:lang w:val="fr-FR"/>
        </w:rPr>
        <w:t xml:space="preserve"> des</w:t>
      </w:r>
      <w:r w:rsidRPr="003F4ED8">
        <w:rPr>
          <w:lang w:val="fr-FR"/>
        </w:rPr>
        <w:t xml:space="preserve"> </w:t>
      </w:r>
      <w:r>
        <w:rPr>
          <w:lang w:val="fr-FR"/>
        </w:rPr>
        <w:t xml:space="preserve">orientations sur la </w:t>
      </w:r>
      <w:r w:rsidRPr="003F4ED8">
        <w:rPr>
          <w:lang w:val="fr-FR"/>
        </w:rPr>
        <w:t>possibilit</w:t>
      </w:r>
      <w:r>
        <w:rPr>
          <w:lang w:val="fr-FR"/>
        </w:rPr>
        <w:t>é de déposer des demandes par voie électronique</w:t>
      </w:r>
      <w:r w:rsidRPr="003F4ED8">
        <w:rPr>
          <w:lang w:val="fr-FR"/>
        </w:rPr>
        <w:t>.</w:t>
      </w:r>
    </w:p>
    <w:p w:rsidR="00486E39" w:rsidRDefault="00486E39" w:rsidP="00486E39">
      <w:pPr>
        <w:rPr>
          <w:snapToGrid w:val="0"/>
          <w:lang w:val="fr-FR"/>
        </w:rPr>
      </w:pPr>
    </w:p>
    <w:p w:rsidR="0020369A" w:rsidRPr="00486E39" w:rsidRDefault="0020369A" w:rsidP="00486E39">
      <w:pPr>
        <w:rPr>
          <w:snapToGrid w:val="0"/>
          <w:lang w:val="fr-FR"/>
        </w:rPr>
      </w:pPr>
    </w:p>
    <w:p w:rsidR="0020369A" w:rsidRPr="003F4ED8" w:rsidRDefault="0020369A" w:rsidP="005C3E4B">
      <w:pPr>
        <w:pStyle w:val="Heading2"/>
      </w:pPr>
      <w:bookmarkStart w:id="24" w:name="_Toc381102833"/>
      <w:bookmarkStart w:id="25" w:name="_Toc381102861"/>
      <w:bookmarkStart w:id="26" w:name="_Toc381949566"/>
      <w:r w:rsidRPr="003F4ED8">
        <w:t>Correspond</w:t>
      </w:r>
      <w:r>
        <w:t>a</w:t>
      </w:r>
      <w:r w:rsidRPr="003F4ED8">
        <w:t>nce</w:t>
      </w:r>
      <w:bookmarkEnd w:id="24"/>
      <w:bookmarkEnd w:id="25"/>
      <w:bookmarkEnd w:id="26"/>
    </w:p>
    <w:p w:rsidR="0020369A" w:rsidRPr="003F4ED8" w:rsidRDefault="0020369A" w:rsidP="00987226">
      <w:pPr>
        <w:keepNext/>
        <w:rPr>
          <w:snapToGrid w:val="0"/>
          <w:lang w:val="fr-FR"/>
        </w:rPr>
      </w:pPr>
    </w:p>
    <w:tbl>
      <w:tblPr>
        <w:tblW w:w="0" w:type="auto"/>
        <w:jc w:val="center"/>
        <w:tblInd w:w="-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0A0" w:firstRow="1" w:lastRow="0" w:firstColumn="1" w:lastColumn="0" w:noHBand="0" w:noVBand="0"/>
      </w:tblPr>
      <w:tblGrid>
        <w:gridCol w:w="8788"/>
      </w:tblGrid>
      <w:tr w:rsidR="0020369A" w:rsidRPr="00A95847" w:rsidTr="00D879BD">
        <w:trPr>
          <w:cantSplit/>
          <w:jc w:val="center"/>
        </w:trPr>
        <w:tc>
          <w:tcPr>
            <w:tcW w:w="8788" w:type="dxa"/>
          </w:tcPr>
          <w:p w:rsidR="0020369A" w:rsidRPr="007C10E7" w:rsidRDefault="0020369A" w:rsidP="00C21485">
            <w:pPr>
              <w:ind w:right="567"/>
              <w:rPr>
                <w:sz w:val="18"/>
                <w:szCs w:val="18"/>
                <w:lang w:val="fr-FR"/>
              </w:rPr>
            </w:pPr>
            <w:r w:rsidRPr="007C10E7">
              <w:rPr>
                <w:sz w:val="18"/>
                <w:szCs w:val="18"/>
                <w:lang w:val="fr-FR"/>
              </w:rPr>
              <w:t>[</w:t>
            </w:r>
            <w:r w:rsidRPr="00DF4C14">
              <w:rPr>
                <w:sz w:val="18"/>
                <w:szCs w:val="18"/>
                <w:lang w:val="fr-FR"/>
              </w:rPr>
              <w:t>Extrait de la lettre de l</w:t>
            </w:r>
            <w:r w:rsidR="00F20C73">
              <w:rPr>
                <w:sz w:val="18"/>
                <w:szCs w:val="18"/>
                <w:lang w:val="fr-FR"/>
              </w:rPr>
              <w:t>’</w:t>
            </w:r>
            <w:r w:rsidRPr="00DF4C14">
              <w:rPr>
                <w:sz w:val="18"/>
                <w:szCs w:val="18"/>
                <w:lang w:val="fr-FR"/>
              </w:rPr>
              <w:t>ISF – (original</w:t>
            </w:r>
            <w:r w:rsidR="002067E8">
              <w:rPr>
                <w:sz w:val="18"/>
                <w:szCs w:val="18"/>
                <w:lang w:val="fr-FR"/>
              </w:rPr>
              <w:t> </w:t>
            </w:r>
            <w:r w:rsidRPr="00DF4C14">
              <w:rPr>
                <w:sz w:val="18"/>
                <w:szCs w:val="18"/>
                <w:lang w:val="fr-FR"/>
              </w:rPr>
              <w:t>: anglais</w:t>
            </w:r>
            <w:r>
              <w:rPr>
                <w:sz w:val="18"/>
                <w:szCs w:val="18"/>
                <w:lang w:val="fr-FR"/>
              </w:rPr>
              <w:t>)</w:t>
            </w:r>
            <w:r w:rsidRPr="007C10E7">
              <w:rPr>
                <w:sz w:val="18"/>
                <w:szCs w:val="18"/>
                <w:lang w:val="fr-FR"/>
              </w:rPr>
              <w:t>]</w:t>
            </w:r>
          </w:p>
          <w:p w:rsidR="0020369A" w:rsidRPr="00600235" w:rsidRDefault="0020369A" w:rsidP="004B0E07">
            <w:pPr>
              <w:rPr>
                <w:sz w:val="18"/>
                <w:szCs w:val="18"/>
                <w:lang w:val="fr-FR"/>
              </w:rPr>
            </w:pPr>
            <w:r w:rsidRPr="00600235">
              <w:rPr>
                <w:color w:val="0D0D0D"/>
                <w:sz w:val="18"/>
                <w:szCs w:val="18"/>
                <w:u w:val="single"/>
                <w:lang w:val="fr-FR"/>
              </w:rPr>
              <w:t>Correspondance</w:t>
            </w:r>
            <w:r w:rsidR="002067E8" w:rsidRPr="00982CBF">
              <w:rPr>
                <w:color w:val="0D0D0D"/>
                <w:sz w:val="18"/>
                <w:szCs w:val="18"/>
                <w:lang w:val="fr-FR"/>
              </w:rPr>
              <w:t> </w:t>
            </w:r>
            <w:r w:rsidRPr="00982CBF">
              <w:rPr>
                <w:color w:val="0D0D0D"/>
                <w:sz w:val="18"/>
                <w:lang w:val="fr-FR"/>
              </w:rPr>
              <w:t>:</w:t>
            </w:r>
            <w:r>
              <w:rPr>
                <w:color w:val="0D0D0D"/>
                <w:sz w:val="18"/>
                <w:szCs w:val="18"/>
                <w:lang w:val="fr-FR"/>
              </w:rPr>
              <w:t xml:space="preserve"> </w:t>
            </w:r>
            <w:r w:rsidRPr="00600235">
              <w:rPr>
                <w:color w:val="0D0D0D"/>
                <w:sz w:val="18"/>
                <w:szCs w:val="18"/>
                <w:lang w:val="fr-FR"/>
              </w:rPr>
              <w:t>Dans certains pays, l</w:t>
            </w:r>
            <w:r w:rsidR="00F20C73">
              <w:rPr>
                <w:color w:val="0D0D0D"/>
                <w:sz w:val="18"/>
                <w:szCs w:val="18"/>
                <w:lang w:val="fr-FR"/>
              </w:rPr>
              <w:t>’</w:t>
            </w:r>
            <w:r w:rsidRPr="00600235">
              <w:rPr>
                <w:color w:val="0D0D0D"/>
                <w:sz w:val="18"/>
                <w:szCs w:val="18"/>
                <w:lang w:val="fr-FR"/>
              </w:rPr>
              <w:t>Office des droits d</w:t>
            </w:r>
            <w:r w:rsidR="00F20C73">
              <w:rPr>
                <w:color w:val="0D0D0D"/>
                <w:sz w:val="18"/>
                <w:szCs w:val="18"/>
                <w:lang w:val="fr-FR"/>
              </w:rPr>
              <w:t>’</w:t>
            </w:r>
            <w:r w:rsidRPr="00600235">
              <w:rPr>
                <w:color w:val="0D0D0D"/>
                <w:sz w:val="18"/>
                <w:szCs w:val="18"/>
                <w:lang w:val="fr-FR"/>
              </w:rPr>
              <w:t>obtenteur enverra uniquement la correspondance à l</w:t>
            </w:r>
            <w:r w:rsidR="00F20C73">
              <w:rPr>
                <w:color w:val="0D0D0D"/>
                <w:sz w:val="18"/>
                <w:szCs w:val="18"/>
                <w:lang w:val="fr-FR"/>
              </w:rPr>
              <w:t>’</w:t>
            </w:r>
            <w:r w:rsidRPr="00600235">
              <w:rPr>
                <w:color w:val="0D0D0D"/>
                <w:sz w:val="18"/>
                <w:szCs w:val="18"/>
                <w:lang w:val="fr-FR"/>
              </w:rPr>
              <w:t xml:space="preserve">agent local et non pas au déposant, qui peut se </w:t>
            </w:r>
            <w:r>
              <w:rPr>
                <w:color w:val="0D0D0D"/>
                <w:sz w:val="18"/>
                <w:szCs w:val="18"/>
                <w:lang w:val="fr-FR"/>
              </w:rPr>
              <w:t>trouver dans un autre pays</w:t>
            </w:r>
            <w:r w:rsidRPr="00600235">
              <w:rPr>
                <w:color w:val="0D0D0D"/>
                <w:sz w:val="18"/>
                <w:szCs w:val="18"/>
                <w:lang w:val="fr-FR"/>
              </w:rPr>
              <w:t>.  Cela peut provoquer des retards indésirables et risqués lorsqu</w:t>
            </w:r>
            <w:r w:rsidR="00F20C73">
              <w:rPr>
                <w:color w:val="0D0D0D"/>
                <w:sz w:val="18"/>
                <w:szCs w:val="18"/>
                <w:lang w:val="fr-FR"/>
              </w:rPr>
              <w:t>’</w:t>
            </w:r>
            <w:r w:rsidRPr="00600235">
              <w:rPr>
                <w:color w:val="0D0D0D"/>
                <w:sz w:val="18"/>
                <w:szCs w:val="18"/>
                <w:lang w:val="fr-FR"/>
              </w:rPr>
              <w:t>un déposant doit envoyer sa réponse avant une certain</w:t>
            </w:r>
            <w:r>
              <w:rPr>
                <w:color w:val="0D0D0D"/>
                <w:sz w:val="18"/>
                <w:szCs w:val="18"/>
                <w:lang w:val="fr-FR"/>
              </w:rPr>
              <w:t>e</w:t>
            </w:r>
            <w:r w:rsidRPr="00600235">
              <w:rPr>
                <w:color w:val="0D0D0D"/>
                <w:sz w:val="18"/>
                <w:szCs w:val="18"/>
                <w:lang w:val="fr-FR"/>
              </w:rPr>
              <w:t xml:space="preserve"> </w:t>
            </w:r>
            <w:r>
              <w:rPr>
                <w:color w:val="0D0D0D"/>
                <w:sz w:val="18"/>
                <w:szCs w:val="18"/>
                <w:lang w:val="fr-FR"/>
              </w:rPr>
              <w:t>date</w:t>
            </w:r>
            <w:r w:rsidRPr="00600235">
              <w:rPr>
                <w:color w:val="0D0D0D"/>
                <w:sz w:val="18"/>
                <w:szCs w:val="18"/>
                <w:lang w:val="fr-FR"/>
              </w:rPr>
              <w:t>.  Les membres de l</w:t>
            </w:r>
            <w:r w:rsidR="00F20C73">
              <w:rPr>
                <w:color w:val="0D0D0D"/>
                <w:sz w:val="18"/>
                <w:szCs w:val="18"/>
                <w:lang w:val="fr-FR"/>
              </w:rPr>
              <w:t>’</w:t>
            </w:r>
            <w:r w:rsidRPr="00600235">
              <w:rPr>
                <w:color w:val="0D0D0D"/>
                <w:sz w:val="18"/>
                <w:szCs w:val="18"/>
                <w:lang w:val="fr-FR"/>
              </w:rPr>
              <w:t>ISF sont d</w:t>
            </w:r>
            <w:r w:rsidR="00F20C73">
              <w:rPr>
                <w:color w:val="0D0D0D"/>
                <w:sz w:val="18"/>
                <w:szCs w:val="18"/>
                <w:lang w:val="fr-FR"/>
              </w:rPr>
              <w:t>’</w:t>
            </w:r>
            <w:r w:rsidRPr="00600235">
              <w:rPr>
                <w:color w:val="0D0D0D"/>
                <w:sz w:val="18"/>
                <w:szCs w:val="18"/>
                <w:lang w:val="fr-FR"/>
              </w:rPr>
              <w:t>avis que cette correspondance devrait être envoyée à l</w:t>
            </w:r>
            <w:r w:rsidR="00F20C73">
              <w:rPr>
                <w:color w:val="0D0D0D"/>
                <w:sz w:val="18"/>
                <w:szCs w:val="18"/>
                <w:lang w:val="fr-FR"/>
              </w:rPr>
              <w:t>’</w:t>
            </w:r>
            <w:r w:rsidRPr="00600235">
              <w:rPr>
                <w:color w:val="0D0D0D"/>
                <w:sz w:val="18"/>
                <w:szCs w:val="18"/>
                <w:lang w:val="fr-FR"/>
              </w:rPr>
              <w:t xml:space="preserve">adresse donnée par le déposant et, de préférence, par courrier électronique.  </w:t>
            </w:r>
            <w:r>
              <w:rPr>
                <w:color w:val="0D0D0D"/>
                <w:sz w:val="18"/>
                <w:szCs w:val="18"/>
                <w:lang w:val="fr-FR"/>
              </w:rPr>
              <w:t>Qui plus est</w:t>
            </w:r>
            <w:r w:rsidRPr="00600235">
              <w:rPr>
                <w:color w:val="0D0D0D"/>
                <w:sz w:val="18"/>
                <w:szCs w:val="18"/>
                <w:lang w:val="fr-FR"/>
              </w:rPr>
              <w:t>, il est souvent difficile de trouver un agent local qui a une bonne connaissance des lois locales de protection des obtentions végétales</w:t>
            </w:r>
            <w:r>
              <w:rPr>
                <w:color w:val="0D0D0D"/>
                <w:sz w:val="18"/>
                <w:szCs w:val="18"/>
                <w:lang w:val="fr-FR"/>
              </w:rPr>
              <w:t xml:space="preserve">. </w:t>
            </w:r>
            <w:r w:rsidR="002067E8">
              <w:rPr>
                <w:color w:val="0D0D0D"/>
                <w:sz w:val="18"/>
                <w:szCs w:val="18"/>
                <w:lang w:val="fr-FR"/>
              </w:rPr>
              <w:t xml:space="preserve"> </w:t>
            </w:r>
            <w:r w:rsidR="00917A8B">
              <w:rPr>
                <w:color w:val="0D0D0D"/>
                <w:sz w:val="18"/>
                <w:szCs w:val="18"/>
                <w:lang w:val="fr-FR"/>
              </w:rPr>
              <w:t>Quoi qu</w:t>
            </w:r>
            <w:r w:rsidR="00F20C73">
              <w:rPr>
                <w:color w:val="0D0D0D"/>
                <w:sz w:val="18"/>
                <w:szCs w:val="18"/>
                <w:lang w:val="fr-FR"/>
              </w:rPr>
              <w:t>’</w:t>
            </w:r>
            <w:r w:rsidR="00917A8B">
              <w:rPr>
                <w:color w:val="0D0D0D"/>
                <w:sz w:val="18"/>
                <w:szCs w:val="18"/>
                <w:lang w:val="fr-FR"/>
              </w:rPr>
              <w:t>il en soit</w:t>
            </w:r>
            <w:r w:rsidRPr="00600235">
              <w:rPr>
                <w:color w:val="0D0D0D"/>
                <w:sz w:val="18"/>
                <w:szCs w:val="18"/>
                <w:lang w:val="fr-FR"/>
              </w:rPr>
              <w:t>, aussi bien l</w:t>
            </w:r>
            <w:r w:rsidR="00F20C73">
              <w:rPr>
                <w:color w:val="0D0D0D"/>
                <w:sz w:val="18"/>
                <w:szCs w:val="18"/>
                <w:lang w:val="fr-FR"/>
              </w:rPr>
              <w:t>’</w:t>
            </w:r>
            <w:r w:rsidRPr="00600235">
              <w:rPr>
                <w:color w:val="0D0D0D"/>
                <w:sz w:val="18"/>
                <w:szCs w:val="18"/>
                <w:lang w:val="fr-FR"/>
              </w:rPr>
              <w:t xml:space="preserve">agent local que le déposant doivent </w:t>
            </w:r>
            <w:r>
              <w:rPr>
                <w:color w:val="0D0D0D"/>
                <w:sz w:val="18"/>
                <w:szCs w:val="18"/>
                <w:lang w:val="fr-FR"/>
              </w:rPr>
              <w:t>être informés</w:t>
            </w:r>
            <w:r w:rsidRPr="00600235">
              <w:rPr>
                <w:color w:val="0D0D0D"/>
                <w:sz w:val="18"/>
                <w:szCs w:val="18"/>
                <w:lang w:val="fr-FR"/>
              </w:rPr>
              <w:t xml:space="preserve">.  </w:t>
            </w:r>
            <w:r>
              <w:rPr>
                <w:color w:val="0D0D0D"/>
                <w:sz w:val="18"/>
                <w:szCs w:val="18"/>
                <w:lang w:val="fr-FR"/>
              </w:rPr>
              <w:t>Dans les pays dont l</w:t>
            </w:r>
            <w:r w:rsidR="00F20C73">
              <w:rPr>
                <w:color w:val="0D0D0D"/>
                <w:sz w:val="18"/>
                <w:szCs w:val="18"/>
                <w:lang w:val="fr-FR"/>
              </w:rPr>
              <w:t>’</w:t>
            </w:r>
            <w:r>
              <w:rPr>
                <w:color w:val="0D0D0D"/>
                <w:sz w:val="18"/>
                <w:szCs w:val="18"/>
                <w:lang w:val="fr-FR"/>
              </w:rPr>
              <w:t>anglais n</w:t>
            </w:r>
            <w:r w:rsidR="00F20C73">
              <w:rPr>
                <w:color w:val="0D0D0D"/>
                <w:sz w:val="18"/>
                <w:szCs w:val="18"/>
                <w:lang w:val="fr-FR"/>
              </w:rPr>
              <w:t>’</w:t>
            </w:r>
            <w:r>
              <w:rPr>
                <w:color w:val="0D0D0D"/>
                <w:sz w:val="18"/>
                <w:szCs w:val="18"/>
                <w:lang w:val="fr-FR"/>
              </w:rPr>
              <w:t xml:space="preserve">est pas la langue </w:t>
            </w:r>
            <w:r w:rsidRPr="00600235">
              <w:rPr>
                <w:color w:val="0D0D0D"/>
                <w:sz w:val="18"/>
                <w:szCs w:val="18"/>
                <w:lang w:val="fr-FR"/>
              </w:rPr>
              <w:t xml:space="preserve">nationale, la capacité de correspondre en anglais devrait </w:t>
            </w:r>
            <w:r>
              <w:rPr>
                <w:color w:val="0D0D0D"/>
                <w:sz w:val="18"/>
                <w:szCs w:val="18"/>
                <w:lang w:val="fr-FR"/>
              </w:rPr>
              <w:t>être disponible</w:t>
            </w:r>
            <w:r w:rsidRPr="00600235">
              <w:rPr>
                <w:color w:val="0D0D0D"/>
                <w:sz w:val="18"/>
                <w:szCs w:val="18"/>
                <w:lang w:val="fr-FR"/>
              </w:rPr>
              <w:t>.</w:t>
            </w:r>
          </w:p>
        </w:tc>
      </w:tr>
    </w:tbl>
    <w:p w:rsidR="0020369A" w:rsidRPr="00600235" w:rsidRDefault="0020369A" w:rsidP="009D070E">
      <w:pPr>
        <w:rPr>
          <w:snapToGrid w:val="0"/>
          <w:lang w:val="fr-FR"/>
        </w:rPr>
      </w:pPr>
    </w:p>
    <w:p w:rsidR="0020369A" w:rsidRPr="003F4ED8" w:rsidRDefault="0020369A" w:rsidP="008E2023">
      <w:pPr>
        <w:rPr>
          <w:snapToGrid w:val="0"/>
          <w:lang w:val="fr-FR"/>
        </w:rPr>
      </w:pPr>
      <w:r w:rsidRPr="003F4ED8">
        <w:rPr>
          <w:snapToGrid w:val="0"/>
          <w:lang w:val="fr-FR"/>
        </w:rPr>
        <w:fldChar w:fldCharType="begin"/>
      </w:r>
      <w:r w:rsidRPr="003F4ED8">
        <w:rPr>
          <w:snapToGrid w:val="0"/>
          <w:lang w:val="fr-FR"/>
        </w:rPr>
        <w:instrText xml:space="preserve"> AUTONUM  </w:instrText>
      </w:r>
      <w:r w:rsidRPr="003F4ED8">
        <w:rPr>
          <w:snapToGrid w:val="0"/>
          <w:lang w:val="fr-FR"/>
        </w:rPr>
        <w:fldChar w:fldCharType="end"/>
      </w:r>
      <w:r w:rsidRPr="003F4ED8">
        <w:rPr>
          <w:snapToGrid w:val="0"/>
          <w:lang w:val="fr-FR"/>
        </w:rPr>
        <w:tab/>
        <w:t>Le document TGP/5 Section</w:t>
      </w:r>
      <w:r w:rsidR="002067E8">
        <w:rPr>
          <w:snapToGrid w:val="0"/>
          <w:lang w:val="fr-FR"/>
        </w:rPr>
        <w:t> </w:t>
      </w:r>
      <w:r w:rsidRPr="003F4ED8">
        <w:rPr>
          <w:snapToGrid w:val="0"/>
          <w:lang w:val="fr-FR"/>
        </w:rPr>
        <w:t xml:space="preserve">2 </w:t>
      </w:r>
      <w:r w:rsidR="00F20C73">
        <w:rPr>
          <w:snapToGrid w:val="0"/>
          <w:lang w:val="fr-FR"/>
        </w:rPr>
        <w:t>“</w:t>
      </w:r>
      <w:r w:rsidRPr="003F4ED8">
        <w:rPr>
          <w:snapToGrid w:val="0"/>
          <w:lang w:val="fr-FR"/>
        </w:rPr>
        <w:t>Formulaire type de l</w:t>
      </w:r>
      <w:r w:rsidR="00F20C73">
        <w:rPr>
          <w:snapToGrid w:val="0"/>
          <w:lang w:val="fr-FR"/>
        </w:rPr>
        <w:t>’</w:t>
      </w:r>
      <w:r w:rsidRPr="003F4ED8">
        <w:rPr>
          <w:snapToGrid w:val="0"/>
          <w:lang w:val="fr-FR"/>
        </w:rPr>
        <w:t>UPOV pour la demande de protection d</w:t>
      </w:r>
      <w:r w:rsidR="00F20C73">
        <w:rPr>
          <w:snapToGrid w:val="0"/>
          <w:lang w:val="fr-FR"/>
        </w:rPr>
        <w:t>’</w:t>
      </w:r>
      <w:r w:rsidRPr="003F4ED8">
        <w:rPr>
          <w:snapToGrid w:val="0"/>
          <w:lang w:val="fr-FR"/>
        </w:rPr>
        <w:t>une obtention végétale</w:t>
      </w:r>
      <w:r w:rsidR="00F20C73">
        <w:rPr>
          <w:snapToGrid w:val="0"/>
          <w:lang w:val="fr-FR"/>
        </w:rPr>
        <w:t>”</w:t>
      </w:r>
      <w:r w:rsidRPr="003F4ED8">
        <w:rPr>
          <w:snapToGrid w:val="0"/>
          <w:lang w:val="fr-FR"/>
        </w:rPr>
        <w:t xml:space="preserve"> </w:t>
      </w:r>
      <w:r>
        <w:rPr>
          <w:snapToGrid w:val="0"/>
          <w:lang w:val="fr-FR"/>
        </w:rPr>
        <w:t>contient ce qui suit pour ce qui est de la corresponda</w:t>
      </w:r>
      <w:r w:rsidRPr="003F4ED8">
        <w:rPr>
          <w:snapToGrid w:val="0"/>
          <w:lang w:val="fr-FR"/>
        </w:rPr>
        <w:t xml:space="preserve">nce (voir les </w:t>
      </w:r>
      <w:r w:rsidR="00C9078C">
        <w:rPr>
          <w:snapToGrid w:val="0"/>
          <w:lang w:val="fr-FR"/>
        </w:rPr>
        <w:t xml:space="preserve">points </w:t>
      </w:r>
      <w:r w:rsidRPr="003F4ED8">
        <w:rPr>
          <w:lang w:val="fr-FR"/>
        </w:rPr>
        <w:t xml:space="preserve">1 </w:t>
      </w:r>
      <w:r>
        <w:rPr>
          <w:lang w:val="fr-FR"/>
        </w:rPr>
        <w:t>et</w:t>
      </w:r>
      <w:r w:rsidRPr="003F4ED8">
        <w:rPr>
          <w:lang w:val="fr-FR"/>
        </w:rPr>
        <w:t xml:space="preserve"> 2</w:t>
      </w:r>
      <w:r w:rsidRPr="003F4ED8">
        <w:rPr>
          <w:snapToGrid w:val="0"/>
          <w:lang w:val="fr-FR"/>
        </w:rPr>
        <w:t xml:space="preserve"> </w:t>
      </w:r>
      <w:r>
        <w:rPr>
          <w:snapToGrid w:val="0"/>
          <w:lang w:val="fr-FR"/>
        </w:rPr>
        <w:t>qui sont reproduits ci</w:t>
      </w:r>
      <w:r w:rsidR="0014634A">
        <w:rPr>
          <w:snapToGrid w:val="0"/>
          <w:lang w:val="fr-FR"/>
        </w:rPr>
        <w:noBreakHyphen/>
      </w:r>
      <w:r>
        <w:rPr>
          <w:snapToGrid w:val="0"/>
          <w:lang w:val="fr-FR"/>
        </w:rPr>
        <w:t>dessous)</w:t>
      </w:r>
      <w:r w:rsidRPr="003F4ED8">
        <w:rPr>
          <w:snapToGrid w:val="0"/>
          <w:lang w:val="fr-FR"/>
        </w:rPr>
        <w:t>.</w:t>
      </w:r>
    </w:p>
    <w:p w:rsidR="0020369A" w:rsidRDefault="0020369A" w:rsidP="009D070E">
      <w:pPr>
        <w:rPr>
          <w:noProof/>
          <w:lang w:val="fr-FR"/>
        </w:rPr>
      </w:pPr>
    </w:p>
    <w:p w:rsidR="00C13D15" w:rsidRPr="00C13D15" w:rsidRDefault="00C13D15" w:rsidP="00C13D15">
      <w:pPr>
        <w:jc w:val="center"/>
        <w:rPr>
          <w:sz w:val="18"/>
          <w:szCs w:val="18"/>
          <w:lang w:val="fr-CH"/>
        </w:rPr>
      </w:pPr>
      <w:r w:rsidRPr="00C13D15">
        <w:rPr>
          <w:sz w:val="18"/>
          <w:szCs w:val="18"/>
          <w:lang w:val="fr-CH"/>
        </w:rPr>
        <w:t xml:space="preserve">FORMULAIRE TYPE </w:t>
      </w:r>
      <w:r w:rsidRPr="00C13D15">
        <w:rPr>
          <w:sz w:val="18"/>
          <w:szCs w:val="18"/>
        </w:rPr>
        <w:t>POUR LA</w:t>
      </w:r>
      <w:r w:rsidRPr="00C13D15">
        <w:rPr>
          <w:sz w:val="18"/>
          <w:szCs w:val="18"/>
          <w:lang w:val="fr-CH"/>
        </w:rPr>
        <w:t xml:space="preserve"> DEMANDE DE PROTECTION</w:t>
      </w:r>
      <w:r>
        <w:rPr>
          <w:sz w:val="18"/>
          <w:szCs w:val="18"/>
          <w:lang w:val="fr-CH"/>
        </w:rPr>
        <w:t xml:space="preserve"> </w:t>
      </w:r>
      <w:r w:rsidRPr="00C13D15">
        <w:rPr>
          <w:sz w:val="18"/>
          <w:szCs w:val="18"/>
          <w:lang w:val="fr-CH"/>
        </w:rPr>
        <w:t>D</w:t>
      </w:r>
      <w:r w:rsidR="00F20C73">
        <w:rPr>
          <w:sz w:val="18"/>
          <w:szCs w:val="18"/>
          <w:lang w:val="fr-CH"/>
        </w:rPr>
        <w:t>’</w:t>
      </w:r>
      <w:r w:rsidRPr="00C13D15">
        <w:rPr>
          <w:sz w:val="18"/>
          <w:szCs w:val="18"/>
          <w:lang w:val="fr-CH"/>
        </w:rPr>
        <w:t>UNE OBTENTION VÉGÉTALE</w:t>
      </w:r>
    </w:p>
    <w:p w:rsidR="00C13D15" w:rsidRPr="00C13D15" w:rsidRDefault="00C13D15" w:rsidP="00C13D15">
      <w:pPr>
        <w:rPr>
          <w:sz w:val="18"/>
          <w:szCs w:val="18"/>
          <w:lang w:val="fr-CH"/>
        </w:rPr>
      </w:pPr>
    </w:p>
    <w:tbl>
      <w:tblPr>
        <w:tblW w:w="10434" w:type="dxa"/>
        <w:tblInd w:w="-113" w:type="dxa"/>
        <w:tblCellMar>
          <w:left w:w="57" w:type="dxa"/>
          <w:right w:w="28" w:type="dxa"/>
        </w:tblCellMar>
        <w:tblLook w:val="01E0" w:firstRow="1" w:lastRow="1" w:firstColumn="1" w:lastColumn="1" w:noHBand="0" w:noVBand="0"/>
      </w:tblPr>
      <w:tblGrid>
        <w:gridCol w:w="3628"/>
        <w:gridCol w:w="937"/>
        <w:gridCol w:w="2363"/>
        <w:gridCol w:w="2274"/>
        <w:gridCol w:w="134"/>
        <w:gridCol w:w="1098"/>
      </w:tblGrid>
      <w:tr w:rsidR="00C13D15" w:rsidRPr="00C13D15" w:rsidTr="00223659">
        <w:tc>
          <w:tcPr>
            <w:tcW w:w="3628" w:type="dxa"/>
            <w:vAlign w:val="center"/>
          </w:tcPr>
          <w:p w:rsidR="00C13D15" w:rsidRPr="00C13D15" w:rsidRDefault="00C13D15" w:rsidP="00EA1A0B">
            <w:pPr>
              <w:jc w:val="left"/>
              <w:rPr>
                <w:sz w:val="12"/>
                <w:szCs w:val="12"/>
                <w:lang w:val="fr-CH"/>
              </w:rPr>
            </w:pPr>
            <w:r w:rsidRPr="00C13D15">
              <w:rPr>
                <w:sz w:val="12"/>
                <w:szCs w:val="12"/>
                <w:lang w:val="fr-CH"/>
              </w:rPr>
              <w:t>(Service où la demande est déposée)</w:t>
            </w:r>
          </w:p>
        </w:tc>
        <w:tc>
          <w:tcPr>
            <w:tcW w:w="3300" w:type="dxa"/>
            <w:gridSpan w:val="2"/>
            <w:vAlign w:val="center"/>
          </w:tcPr>
          <w:p w:rsidR="00C13D15" w:rsidRPr="00C13D15" w:rsidRDefault="00C13D15" w:rsidP="00EA1A0B">
            <w:pPr>
              <w:jc w:val="center"/>
              <w:rPr>
                <w:sz w:val="12"/>
                <w:szCs w:val="12"/>
                <w:lang w:val="fr-CH"/>
              </w:rPr>
            </w:pPr>
            <w:r w:rsidRPr="00C13D15">
              <w:rPr>
                <w:sz w:val="12"/>
                <w:szCs w:val="12"/>
                <w:lang w:val="fr-CH"/>
              </w:rPr>
              <w:t>NOTE : consulter d</w:t>
            </w:r>
            <w:r w:rsidR="00F20C73">
              <w:rPr>
                <w:sz w:val="12"/>
                <w:szCs w:val="12"/>
                <w:lang w:val="fr-CH"/>
              </w:rPr>
              <w:t>’</w:t>
            </w:r>
            <w:r w:rsidRPr="00C13D15">
              <w:rPr>
                <w:sz w:val="12"/>
                <w:szCs w:val="12"/>
                <w:lang w:val="fr-CH"/>
              </w:rPr>
              <w:t>abord les instructions</w:t>
            </w:r>
          </w:p>
        </w:tc>
        <w:tc>
          <w:tcPr>
            <w:tcW w:w="3506" w:type="dxa"/>
            <w:gridSpan w:val="3"/>
            <w:vAlign w:val="center"/>
          </w:tcPr>
          <w:p w:rsidR="00C13D15" w:rsidRPr="00C13D15" w:rsidRDefault="00C13D15" w:rsidP="00EA1A0B">
            <w:pPr>
              <w:jc w:val="right"/>
              <w:rPr>
                <w:sz w:val="12"/>
                <w:szCs w:val="12"/>
                <w:lang w:val="fr-CH"/>
              </w:rPr>
            </w:pPr>
            <w:r w:rsidRPr="00C13D15">
              <w:rPr>
                <w:sz w:val="12"/>
                <w:szCs w:val="12"/>
                <w:lang w:val="fr-CH"/>
              </w:rPr>
              <w:t>(Numéro du dossier)</w:t>
            </w:r>
            <w:r w:rsidRPr="00C13D15">
              <w:rPr>
                <w:sz w:val="12"/>
                <w:szCs w:val="12"/>
                <w:lang w:val="fr-CH"/>
              </w:rPr>
              <w:br/>
              <w:t>(Date de réception)</w:t>
            </w:r>
          </w:p>
        </w:tc>
      </w:tr>
      <w:tr w:rsidR="00C13D15" w:rsidRPr="00C13D15" w:rsidTr="00C9078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565" w:type="dxa"/>
            <w:gridSpan w:val="2"/>
            <w:vMerge w:val="restart"/>
          </w:tcPr>
          <w:p w:rsidR="00C13D15" w:rsidRPr="00C13D15" w:rsidRDefault="00C13D15" w:rsidP="00EA1A0B">
            <w:pPr>
              <w:tabs>
                <w:tab w:val="left" w:pos="567"/>
              </w:tabs>
              <w:spacing w:before="40"/>
              <w:rPr>
                <w:sz w:val="12"/>
                <w:szCs w:val="12"/>
                <w:lang w:val="pt-BR"/>
              </w:rPr>
            </w:pPr>
            <w:r w:rsidRPr="00C13D15">
              <w:rPr>
                <w:sz w:val="12"/>
                <w:szCs w:val="12"/>
                <w:lang w:val="pt-BR"/>
              </w:rPr>
              <w:t>1.(a)</w:t>
            </w:r>
            <w:r w:rsidRPr="00C13D15">
              <w:rPr>
                <w:sz w:val="12"/>
                <w:szCs w:val="12"/>
                <w:lang w:val="pt-BR"/>
              </w:rPr>
              <w:tab/>
              <w:t>Demandeur(s)</w:t>
            </w:r>
            <w:r w:rsidR="00F81A2C" w:rsidRPr="00F81A2C">
              <w:rPr>
                <w:sz w:val="14"/>
                <w:szCs w:val="14"/>
                <w:vertAlign w:val="superscript"/>
                <w:lang w:val="fr-CH"/>
              </w:rPr>
              <w:t>1</w:t>
            </w:r>
            <w:r w:rsidRPr="00C13D15">
              <w:rPr>
                <w:sz w:val="12"/>
                <w:szCs w:val="12"/>
                <w:lang w:val="pt-BR"/>
              </w:rPr>
              <w:t xml:space="preserve"> </w:t>
            </w:r>
          </w:p>
          <w:p w:rsidR="00C13D15" w:rsidRPr="00C13D15" w:rsidRDefault="00C13D15" w:rsidP="00EA1A0B">
            <w:pPr>
              <w:tabs>
                <w:tab w:val="left" w:pos="199"/>
                <w:tab w:val="left" w:pos="1334"/>
                <w:tab w:val="right" w:pos="4169"/>
              </w:tabs>
              <w:spacing w:before="120"/>
              <w:rPr>
                <w:snapToGrid w:val="0"/>
                <w:sz w:val="12"/>
                <w:szCs w:val="12"/>
              </w:rPr>
            </w:pPr>
            <w:r w:rsidRPr="00C13D15">
              <w:rPr>
                <w:color w:val="000000"/>
                <w:sz w:val="12"/>
                <w:szCs w:val="12"/>
              </w:rPr>
              <w:tab/>
            </w:r>
            <w:bookmarkStart w:id="27" w:name="OLE_LINK1"/>
            <w:bookmarkStart w:id="28" w:name="OLE_LINK2"/>
            <w:r w:rsidRPr="00C13D15">
              <w:rPr>
                <w:color w:val="000000"/>
                <w:sz w:val="12"/>
                <w:szCs w:val="12"/>
                <w:lang w:val="pt-BR"/>
              </w:rPr>
              <w:t>N</w:t>
            </w:r>
            <w:r w:rsidRPr="00C13D15">
              <w:rPr>
                <w:sz w:val="12"/>
                <w:szCs w:val="12"/>
                <w:lang w:val="pt-BR"/>
              </w:rPr>
              <w:t>om(s)</w:t>
            </w:r>
            <w:r w:rsidRPr="00C13D15">
              <w:rPr>
                <w:sz w:val="12"/>
                <w:szCs w:val="12"/>
              </w:rPr>
              <w:tab/>
            </w:r>
            <w:r w:rsidRPr="00C13D15">
              <w:rPr>
                <w:sz w:val="12"/>
                <w:szCs w:val="12"/>
                <w:u w:val="single"/>
              </w:rPr>
              <w:tab/>
            </w:r>
            <w:r w:rsidRPr="00C13D15">
              <w:rPr>
                <w:sz w:val="12"/>
                <w:szCs w:val="12"/>
                <w:u w:val="single"/>
              </w:rPr>
              <w:br/>
            </w:r>
            <w:r w:rsidRPr="00C13D15">
              <w:rPr>
                <w:snapToGrid w:val="0"/>
                <w:sz w:val="12"/>
                <w:szCs w:val="12"/>
              </w:rPr>
              <w:tab/>
              <w:t xml:space="preserve">   </w:t>
            </w:r>
            <w:r w:rsidRPr="00C13D15">
              <w:rPr>
                <w:i/>
                <w:snapToGrid w:val="0"/>
                <w:sz w:val="12"/>
                <w:szCs w:val="12"/>
              </w:rPr>
              <w:t>UPOV-A1: 1(a)(i)</w:t>
            </w:r>
            <w:r w:rsidR="00F81A2C" w:rsidRPr="00F81A2C">
              <w:rPr>
                <w:sz w:val="14"/>
                <w:szCs w:val="14"/>
                <w:vertAlign w:val="superscript"/>
              </w:rPr>
              <w:t>#</w:t>
            </w:r>
          </w:p>
          <w:p w:rsidR="00C13D15" w:rsidRPr="00C13D15" w:rsidRDefault="00C13D15" w:rsidP="00EA1A0B">
            <w:pPr>
              <w:tabs>
                <w:tab w:val="left" w:pos="199"/>
                <w:tab w:val="left" w:pos="1334"/>
                <w:tab w:val="right" w:pos="4169"/>
              </w:tabs>
              <w:rPr>
                <w:snapToGrid w:val="0"/>
                <w:sz w:val="12"/>
                <w:szCs w:val="12"/>
              </w:rPr>
            </w:pPr>
            <w:r w:rsidRPr="00C13D15">
              <w:rPr>
                <w:sz w:val="12"/>
                <w:szCs w:val="12"/>
              </w:rPr>
              <w:tab/>
            </w:r>
            <w:r w:rsidRPr="00C13D15">
              <w:rPr>
                <w:sz w:val="12"/>
                <w:szCs w:val="12"/>
                <w:lang w:val="pt-BR"/>
              </w:rPr>
              <w:t>Adresse(s)</w:t>
            </w:r>
            <w:r w:rsidRPr="00C13D15">
              <w:rPr>
                <w:sz w:val="12"/>
                <w:szCs w:val="12"/>
              </w:rPr>
              <w:tab/>
            </w:r>
            <w:r w:rsidRPr="00C13D15">
              <w:rPr>
                <w:sz w:val="12"/>
                <w:szCs w:val="12"/>
                <w:u w:val="single"/>
              </w:rPr>
              <w:t xml:space="preserve"> </w:t>
            </w:r>
            <w:r w:rsidRPr="00C13D15">
              <w:rPr>
                <w:sz w:val="12"/>
                <w:szCs w:val="12"/>
                <w:u w:val="single"/>
              </w:rPr>
              <w:tab/>
            </w:r>
            <w:r w:rsidRPr="00C13D15">
              <w:rPr>
                <w:sz w:val="12"/>
                <w:szCs w:val="12"/>
                <w:u w:val="single"/>
              </w:rPr>
              <w:br/>
            </w:r>
            <w:r w:rsidRPr="00C13D15">
              <w:rPr>
                <w:sz w:val="12"/>
                <w:szCs w:val="12"/>
              </w:rPr>
              <w:tab/>
              <w:t xml:space="preserve">  </w:t>
            </w:r>
            <w:r w:rsidRPr="00C13D15">
              <w:rPr>
                <w:snapToGrid w:val="0"/>
                <w:sz w:val="12"/>
                <w:szCs w:val="12"/>
              </w:rPr>
              <w:t xml:space="preserve"> </w:t>
            </w:r>
            <w:r w:rsidRPr="00C13D15">
              <w:rPr>
                <w:i/>
                <w:snapToGrid w:val="0"/>
                <w:sz w:val="12"/>
                <w:szCs w:val="12"/>
              </w:rPr>
              <w:t>UPOV-A1: 1(a)(ii)</w:t>
            </w:r>
          </w:p>
          <w:p w:rsidR="00C13D15" w:rsidRPr="00C13D15" w:rsidRDefault="00C13D15" w:rsidP="00EA1A0B">
            <w:pPr>
              <w:tabs>
                <w:tab w:val="left" w:pos="199"/>
                <w:tab w:val="left" w:pos="1334"/>
                <w:tab w:val="right" w:pos="4169"/>
              </w:tabs>
              <w:rPr>
                <w:sz w:val="12"/>
                <w:szCs w:val="12"/>
                <w:u w:val="single"/>
              </w:rPr>
            </w:pPr>
            <w:r w:rsidRPr="00C13D15">
              <w:rPr>
                <w:snapToGrid w:val="0"/>
                <w:sz w:val="12"/>
                <w:szCs w:val="12"/>
              </w:rPr>
              <w:tab/>
            </w:r>
            <w:r w:rsidRPr="00C13D15">
              <w:rPr>
                <w:sz w:val="12"/>
                <w:szCs w:val="12"/>
              </w:rPr>
              <w:tab/>
            </w:r>
            <w:r w:rsidRPr="00C13D15">
              <w:rPr>
                <w:sz w:val="12"/>
                <w:szCs w:val="12"/>
                <w:u w:val="single"/>
              </w:rPr>
              <w:tab/>
            </w:r>
          </w:p>
          <w:p w:rsidR="00C13D15" w:rsidRPr="00C13D15" w:rsidRDefault="00C13D15" w:rsidP="00EA1A0B">
            <w:pPr>
              <w:tabs>
                <w:tab w:val="left" w:pos="1334"/>
                <w:tab w:val="right" w:pos="4169"/>
              </w:tabs>
              <w:spacing w:before="120"/>
              <w:rPr>
                <w:sz w:val="12"/>
                <w:szCs w:val="12"/>
                <w:u w:val="single"/>
              </w:rPr>
            </w:pPr>
            <w:r w:rsidRPr="00C13D15">
              <w:rPr>
                <w:sz w:val="12"/>
                <w:szCs w:val="12"/>
              </w:rPr>
              <w:tab/>
            </w:r>
            <w:r w:rsidRPr="00C13D15">
              <w:rPr>
                <w:sz w:val="12"/>
                <w:szCs w:val="12"/>
                <w:u w:val="single"/>
              </w:rPr>
              <w:tab/>
            </w:r>
          </w:p>
          <w:p w:rsidR="00C13D15" w:rsidRPr="00C13D15" w:rsidRDefault="00C13D15" w:rsidP="00EA1A0B">
            <w:pPr>
              <w:tabs>
                <w:tab w:val="left" w:pos="199"/>
                <w:tab w:val="left" w:pos="2520"/>
                <w:tab w:val="right" w:pos="4169"/>
              </w:tabs>
              <w:spacing w:before="120"/>
              <w:rPr>
                <w:sz w:val="12"/>
                <w:szCs w:val="12"/>
              </w:rPr>
            </w:pPr>
            <w:r w:rsidRPr="00C13D15">
              <w:rPr>
                <w:color w:val="000000"/>
                <w:sz w:val="12"/>
                <w:szCs w:val="12"/>
              </w:rPr>
              <w:tab/>
            </w:r>
            <w:r w:rsidRPr="00C13D15">
              <w:rPr>
                <w:color w:val="000000"/>
                <w:sz w:val="12"/>
                <w:szCs w:val="12"/>
                <w:lang w:val="fr-CH"/>
              </w:rPr>
              <w:t>Numéro(s) de téléphone</w:t>
            </w:r>
            <w:r w:rsidRPr="00C13D15">
              <w:rPr>
                <w:color w:val="000000"/>
                <w:sz w:val="12"/>
                <w:szCs w:val="12"/>
              </w:rPr>
              <w:tab/>
            </w:r>
            <w:r w:rsidRPr="00C13D15">
              <w:rPr>
                <w:sz w:val="12"/>
                <w:szCs w:val="12"/>
                <w:u w:val="single"/>
              </w:rPr>
              <w:tab/>
            </w:r>
            <w:r w:rsidRPr="00C13D15">
              <w:rPr>
                <w:sz w:val="12"/>
                <w:szCs w:val="12"/>
                <w:u w:val="single"/>
              </w:rPr>
              <w:br/>
            </w:r>
            <w:r w:rsidRPr="00C13D15">
              <w:rPr>
                <w:snapToGrid w:val="0"/>
                <w:sz w:val="12"/>
                <w:szCs w:val="12"/>
              </w:rPr>
              <w:tab/>
              <w:t xml:space="preserve">   </w:t>
            </w:r>
            <w:r w:rsidRPr="00C13D15">
              <w:rPr>
                <w:i/>
                <w:snapToGrid w:val="0"/>
                <w:sz w:val="12"/>
                <w:szCs w:val="12"/>
              </w:rPr>
              <w:t>UPOV-A1: 1(a)(iii)</w:t>
            </w:r>
          </w:p>
          <w:p w:rsidR="00C13D15" w:rsidRPr="00C13D15" w:rsidRDefault="00C13D15" w:rsidP="00EA1A0B">
            <w:pPr>
              <w:tabs>
                <w:tab w:val="left" w:pos="199"/>
                <w:tab w:val="left" w:pos="2520"/>
                <w:tab w:val="right" w:pos="4169"/>
              </w:tabs>
              <w:rPr>
                <w:sz w:val="12"/>
                <w:szCs w:val="12"/>
                <w:u w:val="single"/>
              </w:rPr>
            </w:pPr>
            <w:r w:rsidRPr="00C13D15">
              <w:rPr>
                <w:color w:val="000000"/>
                <w:sz w:val="12"/>
                <w:szCs w:val="12"/>
              </w:rPr>
              <w:tab/>
            </w:r>
            <w:r w:rsidRPr="00C13D15">
              <w:rPr>
                <w:color w:val="000000"/>
                <w:sz w:val="12"/>
                <w:szCs w:val="12"/>
                <w:lang w:val="fr-CH"/>
              </w:rPr>
              <w:t>Numéro(s) de télécopieur</w:t>
            </w:r>
            <w:r w:rsidRPr="00C13D15">
              <w:rPr>
                <w:sz w:val="12"/>
                <w:szCs w:val="12"/>
              </w:rPr>
              <w:t xml:space="preserve">  </w:t>
            </w:r>
            <w:r w:rsidRPr="00C13D15">
              <w:rPr>
                <w:sz w:val="12"/>
                <w:szCs w:val="12"/>
              </w:rPr>
              <w:tab/>
            </w:r>
            <w:r w:rsidRPr="00C13D15">
              <w:rPr>
                <w:sz w:val="12"/>
                <w:szCs w:val="12"/>
                <w:u w:val="single"/>
              </w:rPr>
              <w:tab/>
            </w:r>
            <w:r w:rsidRPr="00C13D15">
              <w:rPr>
                <w:sz w:val="12"/>
                <w:szCs w:val="12"/>
                <w:u w:val="single"/>
              </w:rPr>
              <w:br/>
            </w:r>
            <w:r w:rsidRPr="00C13D15">
              <w:rPr>
                <w:snapToGrid w:val="0"/>
                <w:sz w:val="12"/>
                <w:szCs w:val="12"/>
              </w:rPr>
              <w:tab/>
              <w:t xml:space="preserve">  </w:t>
            </w:r>
            <w:r w:rsidRPr="00C13D15">
              <w:rPr>
                <w:i/>
                <w:snapToGrid w:val="0"/>
                <w:sz w:val="12"/>
                <w:szCs w:val="12"/>
              </w:rPr>
              <w:t xml:space="preserve"> UPOV-A1: 1(a)(iv)</w:t>
            </w:r>
          </w:p>
          <w:p w:rsidR="00C13D15" w:rsidRPr="00C13D15" w:rsidRDefault="00C13D15" w:rsidP="00EA1A0B">
            <w:pPr>
              <w:tabs>
                <w:tab w:val="left" w:pos="199"/>
                <w:tab w:val="left" w:pos="2520"/>
                <w:tab w:val="right" w:pos="4169"/>
              </w:tabs>
              <w:rPr>
                <w:sz w:val="12"/>
                <w:szCs w:val="12"/>
              </w:rPr>
            </w:pPr>
            <w:r w:rsidRPr="00C13D15">
              <w:rPr>
                <w:color w:val="000000"/>
                <w:sz w:val="12"/>
                <w:szCs w:val="12"/>
              </w:rPr>
              <w:tab/>
            </w:r>
            <w:r w:rsidRPr="00C13D15">
              <w:rPr>
                <w:color w:val="000000"/>
                <w:sz w:val="12"/>
                <w:szCs w:val="12"/>
                <w:lang w:val="fr-CH"/>
              </w:rPr>
              <w:t>Adresse(s) électronique(s)</w:t>
            </w:r>
            <w:r w:rsidRPr="00C13D15">
              <w:rPr>
                <w:color w:val="000000"/>
                <w:sz w:val="12"/>
                <w:szCs w:val="12"/>
              </w:rPr>
              <w:tab/>
            </w:r>
            <w:r w:rsidRPr="00C13D15">
              <w:rPr>
                <w:sz w:val="12"/>
                <w:szCs w:val="12"/>
                <w:u w:val="single"/>
              </w:rPr>
              <w:tab/>
            </w:r>
          </w:p>
          <w:bookmarkEnd w:id="27"/>
          <w:bookmarkEnd w:id="28"/>
          <w:p w:rsidR="00C13D15" w:rsidRPr="00C13D15" w:rsidRDefault="00C13D15" w:rsidP="00EA1A0B">
            <w:pPr>
              <w:tabs>
                <w:tab w:val="left" w:pos="199"/>
                <w:tab w:val="left" w:pos="1334"/>
              </w:tabs>
              <w:rPr>
                <w:i/>
                <w:sz w:val="12"/>
                <w:szCs w:val="12"/>
              </w:rPr>
            </w:pPr>
            <w:r w:rsidRPr="00C13D15">
              <w:rPr>
                <w:snapToGrid w:val="0"/>
                <w:sz w:val="12"/>
                <w:szCs w:val="12"/>
              </w:rPr>
              <w:tab/>
              <w:t xml:space="preserve">   </w:t>
            </w:r>
            <w:r w:rsidRPr="00C13D15">
              <w:rPr>
                <w:i/>
                <w:snapToGrid w:val="0"/>
                <w:sz w:val="12"/>
                <w:szCs w:val="12"/>
              </w:rPr>
              <w:t>UPOV-A1: 1(a)(v)</w:t>
            </w:r>
          </w:p>
          <w:p w:rsidR="00C13D15" w:rsidRPr="00C13D15" w:rsidRDefault="00C13D15" w:rsidP="00EA1A0B">
            <w:pPr>
              <w:tabs>
                <w:tab w:val="left" w:pos="199"/>
                <w:tab w:val="left" w:pos="567"/>
                <w:tab w:val="right" w:pos="4169"/>
              </w:tabs>
              <w:rPr>
                <w:sz w:val="12"/>
                <w:szCs w:val="12"/>
                <w:u w:val="single"/>
              </w:rPr>
            </w:pPr>
            <w:r w:rsidRPr="00C13D15">
              <w:rPr>
                <w:sz w:val="12"/>
                <w:szCs w:val="12"/>
              </w:rPr>
              <w:tab/>
              <w:t>(</w:t>
            </w:r>
            <w:r w:rsidRPr="00C13D15">
              <w:rPr>
                <w:sz w:val="12"/>
                <w:szCs w:val="12"/>
                <w:lang w:val="fr-CH"/>
              </w:rPr>
              <w:t xml:space="preserve">b) </w:t>
            </w:r>
            <w:r w:rsidRPr="00C13D15">
              <w:rPr>
                <w:sz w:val="12"/>
                <w:szCs w:val="12"/>
                <w:lang w:val="fr-CH"/>
              </w:rPr>
              <w:tab/>
              <w:t>nationalité(s) :</w:t>
            </w:r>
            <w:r w:rsidRPr="00C13D15">
              <w:rPr>
                <w:sz w:val="12"/>
                <w:szCs w:val="12"/>
              </w:rPr>
              <w:t xml:space="preserve"> </w:t>
            </w:r>
            <w:r w:rsidRPr="00C13D15">
              <w:rPr>
                <w:sz w:val="12"/>
                <w:szCs w:val="12"/>
                <w:u w:val="single"/>
              </w:rPr>
              <w:tab/>
            </w:r>
          </w:p>
          <w:p w:rsidR="00C13D15" w:rsidRPr="00C13D15" w:rsidRDefault="00C13D15" w:rsidP="00EA1A0B">
            <w:pPr>
              <w:tabs>
                <w:tab w:val="left" w:pos="199"/>
                <w:tab w:val="left" w:pos="1334"/>
              </w:tabs>
              <w:rPr>
                <w:i/>
                <w:sz w:val="12"/>
                <w:szCs w:val="12"/>
              </w:rPr>
            </w:pPr>
            <w:r w:rsidRPr="00C13D15">
              <w:rPr>
                <w:snapToGrid w:val="0"/>
                <w:sz w:val="12"/>
                <w:szCs w:val="12"/>
              </w:rPr>
              <w:tab/>
              <w:t xml:space="preserve">   </w:t>
            </w:r>
            <w:r w:rsidRPr="00C13D15">
              <w:rPr>
                <w:i/>
                <w:snapToGrid w:val="0"/>
                <w:sz w:val="12"/>
                <w:szCs w:val="12"/>
              </w:rPr>
              <w:t>UPOV-A1: 1(b)</w:t>
            </w:r>
          </w:p>
          <w:p w:rsidR="00C13D15" w:rsidRPr="00C13D15" w:rsidRDefault="00C13D15" w:rsidP="00EA1A0B">
            <w:pPr>
              <w:tabs>
                <w:tab w:val="left" w:pos="199"/>
                <w:tab w:val="left" w:pos="567"/>
                <w:tab w:val="right" w:pos="4169"/>
              </w:tabs>
              <w:rPr>
                <w:sz w:val="12"/>
                <w:szCs w:val="12"/>
              </w:rPr>
            </w:pPr>
            <w:r w:rsidRPr="00C13D15">
              <w:rPr>
                <w:sz w:val="12"/>
                <w:szCs w:val="12"/>
              </w:rPr>
              <w:tab/>
              <w:t>(</w:t>
            </w:r>
            <w:r w:rsidRPr="00C13D15">
              <w:rPr>
                <w:sz w:val="12"/>
                <w:szCs w:val="12"/>
                <w:lang w:val="fr-CH"/>
              </w:rPr>
              <w:t>c)</w:t>
            </w:r>
            <w:r w:rsidRPr="00C13D15">
              <w:rPr>
                <w:sz w:val="12"/>
                <w:szCs w:val="12"/>
                <w:lang w:val="fr-CH"/>
              </w:rPr>
              <w:tab/>
              <w:t xml:space="preserve">domicile (État) : </w:t>
            </w:r>
            <w:r w:rsidRPr="00C13D15">
              <w:rPr>
                <w:sz w:val="12"/>
                <w:szCs w:val="12"/>
                <w:u w:val="single"/>
              </w:rPr>
              <w:tab/>
            </w:r>
          </w:p>
          <w:p w:rsidR="00C13D15" w:rsidRPr="00C13D15" w:rsidRDefault="00C13D15" w:rsidP="00EA1A0B">
            <w:pPr>
              <w:tabs>
                <w:tab w:val="left" w:pos="199"/>
                <w:tab w:val="left" w:pos="1334"/>
              </w:tabs>
              <w:rPr>
                <w:i/>
                <w:sz w:val="12"/>
                <w:szCs w:val="12"/>
              </w:rPr>
            </w:pPr>
            <w:r w:rsidRPr="00C13D15">
              <w:rPr>
                <w:snapToGrid w:val="0"/>
                <w:sz w:val="12"/>
                <w:szCs w:val="12"/>
              </w:rPr>
              <w:tab/>
              <w:t xml:space="preserve">   </w:t>
            </w:r>
            <w:r w:rsidRPr="00C13D15">
              <w:rPr>
                <w:i/>
                <w:snapToGrid w:val="0"/>
                <w:sz w:val="12"/>
                <w:szCs w:val="12"/>
              </w:rPr>
              <w:t>UPOV-A1: 1(c)</w:t>
            </w:r>
          </w:p>
          <w:p w:rsidR="00C13D15" w:rsidRPr="00C13D15" w:rsidRDefault="00C13D15" w:rsidP="00EA1A0B">
            <w:pPr>
              <w:tabs>
                <w:tab w:val="left" w:pos="199"/>
                <w:tab w:val="left" w:pos="567"/>
                <w:tab w:val="left" w:pos="1900"/>
                <w:tab w:val="right" w:pos="4395"/>
              </w:tabs>
              <w:rPr>
                <w:sz w:val="12"/>
                <w:szCs w:val="12"/>
              </w:rPr>
            </w:pPr>
            <w:r w:rsidRPr="00C13D15">
              <w:rPr>
                <w:sz w:val="12"/>
                <w:szCs w:val="12"/>
              </w:rPr>
              <w:tab/>
              <w:t>(d)</w:t>
            </w:r>
            <w:r w:rsidRPr="00C13D15">
              <w:rPr>
                <w:sz w:val="12"/>
                <w:szCs w:val="12"/>
              </w:rPr>
              <w:tab/>
            </w:r>
            <w:r w:rsidRPr="00C13D15">
              <w:rPr>
                <w:sz w:val="12"/>
                <w:szCs w:val="12"/>
                <w:lang w:val="fr-CH"/>
              </w:rPr>
              <w:t xml:space="preserve"> siège pour les personnes morales (État) :</w:t>
            </w:r>
          </w:p>
          <w:p w:rsidR="00C13D15" w:rsidRPr="00C13D15" w:rsidRDefault="00C13D15" w:rsidP="00EA1A0B">
            <w:pPr>
              <w:tabs>
                <w:tab w:val="left" w:pos="199"/>
                <w:tab w:val="left" w:pos="1334"/>
              </w:tabs>
              <w:rPr>
                <w:i/>
                <w:sz w:val="12"/>
                <w:szCs w:val="12"/>
              </w:rPr>
            </w:pPr>
            <w:r w:rsidRPr="00C13D15">
              <w:rPr>
                <w:snapToGrid w:val="0"/>
                <w:sz w:val="12"/>
                <w:szCs w:val="12"/>
              </w:rPr>
              <w:tab/>
              <w:t xml:space="preserve">   </w:t>
            </w:r>
            <w:r w:rsidRPr="00C13D15">
              <w:rPr>
                <w:i/>
                <w:snapToGrid w:val="0"/>
                <w:sz w:val="12"/>
                <w:szCs w:val="12"/>
              </w:rPr>
              <w:t>UPOV-A1: 1(d)</w:t>
            </w:r>
          </w:p>
          <w:p w:rsidR="00C13D15" w:rsidRPr="00C13D15" w:rsidRDefault="00C13D15" w:rsidP="00EA1A0B">
            <w:pPr>
              <w:tabs>
                <w:tab w:val="left" w:pos="360"/>
                <w:tab w:val="left" w:pos="567"/>
                <w:tab w:val="left" w:pos="1900"/>
                <w:tab w:val="left" w:pos="4167"/>
              </w:tabs>
              <w:rPr>
                <w:sz w:val="12"/>
                <w:szCs w:val="12"/>
              </w:rPr>
            </w:pPr>
            <w:r w:rsidRPr="00C13D15">
              <w:rPr>
                <w:sz w:val="12"/>
                <w:szCs w:val="12"/>
              </w:rPr>
              <w:tab/>
            </w:r>
            <w:r w:rsidRPr="00C13D15">
              <w:rPr>
                <w:sz w:val="12"/>
                <w:szCs w:val="12"/>
                <w:u w:val="single"/>
              </w:rPr>
              <w:tab/>
            </w:r>
            <w:r w:rsidRPr="00C13D15">
              <w:rPr>
                <w:sz w:val="12"/>
                <w:szCs w:val="12"/>
                <w:u w:val="single"/>
              </w:rPr>
              <w:tab/>
            </w:r>
            <w:r w:rsidRPr="00C13D15">
              <w:rPr>
                <w:sz w:val="12"/>
                <w:szCs w:val="12"/>
                <w:u w:val="single"/>
              </w:rPr>
              <w:tab/>
            </w:r>
          </w:p>
          <w:p w:rsidR="00C9078C" w:rsidRDefault="00C13D15" w:rsidP="00EA1A0B">
            <w:pPr>
              <w:tabs>
                <w:tab w:val="left" w:pos="199"/>
                <w:tab w:val="left" w:pos="567"/>
                <w:tab w:val="left" w:pos="2042"/>
                <w:tab w:val="left" w:pos="2438"/>
                <w:tab w:val="left" w:pos="3538"/>
              </w:tabs>
              <w:spacing w:before="40"/>
              <w:ind w:left="567" w:hanging="567"/>
              <w:jc w:val="left"/>
              <w:rPr>
                <w:sz w:val="12"/>
                <w:szCs w:val="12"/>
                <w:lang w:val="fr-CH"/>
              </w:rPr>
            </w:pPr>
            <w:r w:rsidRPr="00C13D15">
              <w:rPr>
                <w:sz w:val="12"/>
                <w:szCs w:val="12"/>
              </w:rPr>
              <w:tab/>
              <w:t>(e)</w:t>
            </w:r>
            <w:r w:rsidRPr="00C13D15">
              <w:rPr>
                <w:sz w:val="12"/>
                <w:szCs w:val="12"/>
              </w:rPr>
              <w:tab/>
            </w:r>
            <w:r w:rsidRPr="00C13D15">
              <w:rPr>
                <w:sz w:val="12"/>
                <w:szCs w:val="12"/>
                <w:lang w:val="fr-CH"/>
              </w:rPr>
              <w:t>Il sera fait appel aux services d</w:t>
            </w:r>
            <w:r w:rsidR="00F20C73">
              <w:rPr>
                <w:sz w:val="12"/>
                <w:szCs w:val="12"/>
                <w:lang w:val="fr-CH"/>
              </w:rPr>
              <w:t>’</w:t>
            </w:r>
            <w:r w:rsidRPr="00C13D15">
              <w:rPr>
                <w:sz w:val="12"/>
                <w:szCs w:val="12"/>
                <w:lang w:val="fr-CH"/>
              </w:rPr>
              <w:t>un repré</w:t>
            </w:r>
            <w:r w:rsidRPr="00C13D15">
              <w:rPr>
                <w:sz w:val="12"/>
                <w:szCs w:val="12"/>
                <w:lang w:val="fr-CH"/>
              </w:rPr>
              <w:softHyphen/>
              <w:t>sentant/mandataire :</w:t>
            </w:r>
          </w:p>
          <w:p w:rsidR="00C13D15" w:rsidRPr="00C13D15" w:rsidRDefault="00C13D15" w:rsidP="00C9078C">
            <w:pPr>
              <w:tabs>
                <w:tab w:val="left" w:pos="199"/>
                <w:tab w:val="left" w:pos="567"/>
                <w:tab w:val="left" w:pos="2240"/>
                <w:tab w:val="left" w:pos="3515"/>
              </w:tabs>
              <w:spacing w:before="40"/>
              <w:ind w:left="1673"/>
              <w:jc w:val="left"/>
              <w:rPr>
                <w:sz w:val="12"/>
                <w:szCs w:val="12"/>
              </w:rPr>
            </w:pPr>
            <w:r w:rsidRPr="00C13D15">
              <w:rPr>
                <w:sz w:val="12"/>
                <w:szCs w:val="12"/>
                <w:lang w:val="fr-CH"/>
              </w:rPr>
              <w:tab/>
              <w:t>Oui □</w:t>
            </w:r>
            <w:r w:rsidRPr="00C13D15">
              <w:rPr>
                <w:sz w:val="12"/>
                <w:szCs w:val="12"/>
                <w:lang w:val="fr-CH"/>
              </w:rPr>
              <w:tab/>
              <w:t>Non □</w:t>
            </w:r>
          </w:p>
          <w:p w:rsidR="00C13D15" w:rsidRPr="00C13D15" w:rsidRDefault="00C13D15" w:rsidP="00C9078C">
            <w:pPr>
              <w:tabs>
                <w:tab w:val="left" w:pos="1888"/>
                <w:tab w:val="left" w:pos="3232"/>
              </w:tabs>
              <w:spacing w:after="40"/>
              <w:jc w:val="left"/>
              <w:rPr>
                <w:i/>
                <w:sz w:val="12"/>
                <w:szCs w:val="12"/>
                <w:lang w:val="es-AR"/>
              </w:rPr>
            </w:pPr>
            <w:r w:rsidRPr="00C13D15">
              <w:rPr>
                <w:snapToGrid w:val="0"/>
                <w:sz w:val="12"/>
                <w:szCs w:val="12"/>
              </w:rPr>
              <w:tab/>
              <w:t xml:space="preserve"> </w:t>
            </w:r>
            <w:r w:rsidRPr="00C13D15">
              <w:rPr>
                <w:i/>
                <w:snapToGrid w:val="0"/>
                <w:sz w:val="12"/>
                <w:szCs w:val="12"/>
                <w:lang w:val="es-AR"/>
              </w:rPr>
              <w:t>UPOV-A1: 1(e)(i)</w:t>
            </w:r>
            <w:r w:rsidR="00C9078C">
              <w:rPr>
                <w:i/>
                <w:snapToGrid w:val="0"/>
                <w:sz w:val="12"/>
                <w:szCs w:val="12"/>
                <w:lang w:val="es-AR"/>
              </w:rPr>
              <w:tab/>
            </w:r>
            <w:r w:rsidRPr="00C13D15">
              <w:rPr>
                <w:i/>
                <w:sz w:val="12"/>
                <w:szCs w:val="12"/>
                <w:lang w:val="es-AR"/>
              </w:rPr>
              <w:t xml:space="preserve"> </w:t>
            </w:r>
            <w:r w:rsidRPr="00C13D15">
              <w:rPr>
                <w:i/>
                <w:snapToGrid w:val="0"/>
                <w:sz w:val="12"/>
                <w:szCs w:val="12"/>
                <w:lang w:val="es-AR"/>
              </w:rPr>
              <w:t>UPOV-A1: 1(e)(ii)</w:t>
            </w:r>
          </w:p>
        </w:tc>
        <w:tc>
          <w:tcPr>
            <w:tcW w:w="4637" w:type="dxa"/>
            <w:gridSpan w:val="2"/>
            <w:vMerge w:val="restart"/>
          </w:tcPr>
          <w:p w:rsidR="00C13D15" w:rsidRPr="00C13D15" w:rsidRDefault="00C13D15" w:rsidP="00EA1A0B">
            <w:pPr>
              <w:tabs>
                <w:tab w:val="left" w:pos="482"/>
              </w:tabs>
              <w:spacing w:before="40"/>
              <w:rPr>
                <w:sz w:val="12"/>
                <w:szCs w:val="12"/>
              </w:rPr>
            </w:pPr>
            <w:r w:rsidRPr="00C13D15">
              <w:rPr>
                <w:sz w:val="12"/>
                <w:szCs w:val="12"/>
                <w:lang w:val="fr-CH"/>
              </w:rPr>
              <w:t>2.(a)</w:t>
            </w:r>
            <w:r w:rsidRPr="00C13D15">
              <w:rPr>
                <w:sz w:val="12"/>
                <w:szCs w:val="12"/>
                <w:lang w:val="fr-CH"/>
              </w:rPr>
              <w:tab/>
              <w:t>Nom et adresse auxquels la correspondance doit être envoyée (si autres qu</w:t>
            </w:r>
            <w:r w:rsidR="00F20C73">
              <w:rPr>
                <w:sz w:val="12"/>
                <w:szCs w:val="12"/>
                <w:lang w:val="fr-CH"/>
              </w:rPr>
              <w:t>’</w:t>
            </w:r>
            <w:r w:rsidRPr="00C13D15">
              <w:rPr>
                <w:sz w:val="12"/>
                <w:szCs w:val="12"/>
                <w:lang w:val="fr-CH"/>
              </w:rPr>
              <w:t>au 1.(a)):</w:t>
            </w:r>
          </w:p>
          <w:p w:rsidR="00C13D15" w:rsidRPr="00C13D15" w:rsidRDefault="00C13D15" w:rsidP="00EA1A0B">
            <w:pPr>
              <w:tabs>
                <w:tab w:val="left" w:pos="199"/>
                <w:tab w:val="left" w:pos="1334"/>
                <w:tab w:val="right" w:pos="4310"/>
              </w:tabs>
              <w:spacing w:before="120"/>
              <w:rPr>
                <w:sz w:val="12"/>
                <w:szCs w:val="12"/>
                <w:u w:val="single"/>
              </w:rPr>
            </w:pPr>
            <w:r w:rsidRPr="00C13D15">
              <w:rPr>
                <w:color w:val="000000"/>
                <w:sz w:val="12"/>
                <w:szCs w:val="12"/>
              </w:rPr>
              <w:tab/>
              <w:t>Nom</w:t>
            </w:r>
            <w:r w:rsidRPr="00C13D15">
              <w:rPr>
                <w:sz w:val="12"/>
                <w:szCs w:val="12"/>
              </w:rPr>
              <w:tab/>
            </w:r>
            <w:r w:rsidRPr="00C13D15">
              <w:rPr>
                <w:sz w:val="12"/>
                <w:szCs w:val="12"/>
                <w:u w:val="single"/>
              </w:rPr>
              <w:tab/>
            </w:r>
            <w:r w:rsidRPr="00C13D15">
              <w:rPr>
                <w:sz w:val="12"/>
                <w:szCs w:val="12"/>
                <w:u w:val="single"/>
              </w:rPr>
              <w:br/>
            </w:r>
            <w:r w:rsidRPr="00C13D15">
              <w:rPr>
                <w:snapToGrid w:val="0"/>
                <w:sz w:val="12"/>
                <w:szCs w:val="12"/>
              </w:rPr>
              <w:tab/>
              <w:t xml:space="preserve">   </w:t>
            </w:r>
            <w:r w:rsidRPr="00C13D15">
              <w:rPr>
                <w:i/>
                <w:snapToGrid w:val="0"/>
                <w:sz w:val="12"/>
                <w:szCs w:val="12"/>
              </w:rPr>
              <w:t>UPOV-A1: 2(a)(i)</w:t>
            </w:r>
          </w:p>
          <w:p w:rsidR="00C13D15" w:rsidRPr="00C13D15" w:rsidRDefault="00C13D15" w:rsidP="00EA1A0B">
            <w:pPr>
              <w:tabs>
                <w:tab w:val="left" w:pos="199"/>
                <w:tab w:val="left" w:pos="1334"/>
                <w:tab w:val="right" w:pos="4310"/>
              </w:tabs>
              <w:rPr>
                <w:i/>
                <w:snapToGrid w:val="0"/>
                <w:sz w:val="12"/>
                <w:szCs w:val="12"/>
              </w:rPr>
            </w:pPr>
            <w:r w:rsidRPr="00C13D15">
              <w:rPr>
                <w:sz w:val="12"/>
                <w:szCs w:val="12"/>
              </w:rPr>
              <w:tab/>
              <w:t>Adresse</w:t>
            </w:r>
            <w:r w:rsidRPr="00C13D15">
              <w:rPr>
                <w:sz w:val="12"/>
                <w:szCs w:val="12"/>
              </w:rPr>
              <w:tab/>
            </w:r>
            <w:r w:rsidRPr="00C13D15">
              <w:rPr>
                <w:sz w:val="12"/>
                <w:szCs w:val="12"/>
                <w:u w:val="single"/>
              </w:rPr>
              <w:tab/>
            </w:r>
            <w:r w:rsidRPr="00C13D15">
              <w:rPr>
                <w:sz w:val="12"/>
                <w:szCs w:val="12"/>
                <w:u w:val="single"/>
              </w:rPr>
              <w:br/>
            </w:r>
            <w:r w:rsidRPr="00C13D15">
              <w:rPr>
                <w:snapToGrid w:val="0"/>
                <w:sz w:val="12"/>
                <w:szCs w:val="12"/>
              </w:rPr>
              <w:tab/>
              <w:t xml:space="preserve">   </w:t>
            </w:r>
            <w:r w:rsidRPr="00C13D15">
              <w:rPr>
                <w:i/>
                <w:snapToGrid w:val="0"/>
                <w:sz w:val="12"/>
                <w:szCs w:val="12"/>
              </w:rPr>
              <w:t>UPOV-A1: 2(a)(ii)</w:t>
            </w:r>
          </w:p>
          <w:p w:rsidR="00C13D15" w:rsidRPr="00C13D15" w:rsidRDefault="00C13D15" w:rsidP="00EA1A0B">
            <w:pPr>
              <w:tabs>
                <w:tab w:val="left" w:pos="199"/>
                <w:tab w:val="left" w:pos="1334"/>
                <w:tab w:val="right" w:pos="4310"/>
              </w:tabs>
              <w:rPr>
                <w:sz w:val="12"/>
                <w:szCs w:val="12"/>
              </w:rPr>
            </w:pPr>
            <w:r w:rsidRPr="00C13D15">
              <w:rPr>
                <w:i/>
                <w:snapToGrid w:val="0"/>
                <w:sz w:val="12"/>
                <w:szCs w:val="12"/>
              </w:rPr>
              <w:tab/>
            </w:r>
            <w:r w:rsidRPr="00C13D15">
              <w:rPr>
                <w:i/>
                <w:snapToGrid w:val="0"/>
                <w:sz w:val="12"/>
                <w:szCs w:val="12"/>
              </w:rPr>
              <w:tab/>
            </w:r>
            <w:r w:rsidRPr="00C13D15">
              <w:rPr>
                <w:sz w:val="12"/>
                <w:szCs w:val="12"/>
                <w:u w:val="single"/>
              </w:rPr>
              <w:tab/>
            </w:r>
          </w:p>
          <w:p w:rsidR="00C13D15" w:rsidRPr="00C13D15" w:rsidRDefault="00C13D15" w:rsidP="00EA1A0B">
            <w:pPr>
              <w:tabs>
                <w:tab w:val="left" w:pos="1334"/>
                <w:tab w:val="right" w:pos="4310"/>
              </w:tabs>
              <w:spacing w:before="120"/>
              <w:rPr>
                <w:sz w:val="12"/>
                <w:szCs w:val="12"/>
                <w:u w:val="single"/>
              </w:rPr>
            </w:pPr>
            <w:r w:rsidRPr="00C13D15">
              <w:rPr>
                <w:sz w:val="12"/>
                <w:szCs w:val="12"/>
              </w:rPr>
              <w:tab/>
            </w:r>
            <w:r w:rsidRPr="00C13D15">
              <w:rPr>
                <w:sz w:val="12"/>
                <w:szCs w:val="12"/>
                <w:u w:val="single"/>
              </w:rPr>
              <w:tab/>
            </w:r>
          </w:p>
          <w:p w:rsidR="00C13D15" w:rsidRPr="00C13D15" w:rsidRDefault="00C13D15" w:rsidP="00EA1A0B">
            <w:pPr>
              <w:tabs>
                <w:tab w:val="left" w:pos="199"/>
                <w:tab w:val="left" w:pos="1334"/>
                <w:tab w:val="right" w:pos="4310"/>
              </w:tabs>
              <w:spacing w:before="120"/>
              <w:rPr>
                <w:sz w:val="12"/>
                <w:szCs w:val="12"/>
              </w:rPr>
            </w:pPr>
            <w:r w:rsidRPr="00C13D15">
              <w:rPr>
                <w:color w:val="000000"/>
                <w:sz w:val="12"/>
                <w:szCs w:val="12"/>
              </w:rPr>
              <w:tab/>
            </w:r>
            <w:r w:rsidRPr="00C13D15">
              <w:rPr>
                <w:color w:val="000000"/>
                <w:sz w:val="12"/>
                <w:szCs w:val="12"/>
                <w:lang w:val="fr-CH"/>
              </w:rPr>
              <w:t>Numéro(s) de téléphone</w:t>
            </w:r>
            <w:r w:rsidRPr="00C13D15">
              <w:rPr>
                <w:color w:val="000000"/>
                <w:sz w:val="12"/>
                <w:szCs w:val="12"/>
              </w:rPr>
              <w:t xml:space="preserve">  </w:t>
            </w:r>
            <w:r w:rsidRPr="00C13D15">
              <w:rPr>
                <w:sz w:val="12"/>
                <w:szCs w:val="12"/>
                <w:u w:val="single"/>
              </w:rPr>
              <w:tab/>
            </w:r>
            <w:r w:rsidRPr="00C13D15">
              <w:rPr>
                <w:sz w:val="12"/>
                <w:szCs w:val="12"/>
                <w:u w:val="single"/>
              </w:rPr>
              <w:br/>
            </w:r>
            <w:r w:rsidRPr="00C13D15">
              <w:rPr>
                <w:snapToGrid w:val="0"/>
                <w:sz w:val="12"/>
                <w:szCs w:val="12"/>
              </w:rPr>
              <w:tab/>
              <w:t xml:space="preserve">   </w:t>
            </w:r>
            <w:r w:rsidRPr="00C13D15">
              <w:rPr>
                <w:i/>
                <w:snapToGrid w:val="0"/>
                <w:sz w:val="12"/>
                <w:szCs w:val="12"/>
              </w:rPr>
              <w:t>UPOV-A1: 2(a)(iii)</w:t>
            </w:r>
          </w:p>
          <w:p w:rsidR="00C13D15" w:rsidRPr="00C13D15" w:rsidRDefault="00C13D15" w:rsidP="00EA1A0B">
            <w:pPr>
              <w:tabs>
                <w:tab w:val="left" w:pos="199"/>
                <w:tab w:val="left" w:pos="1334"/>
                <w:tab w:val="right" w:pos="4310"/>
              </w:tabs>
              <w:rPr>
                <w:sz w:val="12"/>
                <w:szCs w:val="12"/>
                <w:u w:val="single"/>
              </w:rPr>
            </w:pPr>
            <w:r w:rsidRPr="00C13D15">
              <w:rPr>
                <w:color w:val="000000"/>
                <w:sz w:val="12"/>
                <w:szCs w:val="12"/>
              </w:rPr>
              <w:tab/>
            </w:r>
            <w:r w:rsidRPr="00C13D15">
              <w:rPr>
                <w:color w:val="000000"/>
                <w:sz w:val="12"/>
                <w:szCs w:val="12"/>
                <w:lang w:val="fr-CH"/>
              </w:rPr>
              <w:t>Numéro(s) de télécopieur</w:t>
            </w:r>
            <w:r w:rsidRPr="00C13D15">
              <w:rPr>
                <w:color w:val="000000"/>
                <w:sz w:val="12"/>
                <w:szCs w:val="12"/>
              </w:rPr>
              <w:t xml:space="preserve"> </w:t>
            </w:r>
            <w:r w:rsidRPr="00C13D15">
              <w:rPr>
                <w:sz w:val="12"/>
                <w:szCs w:val="12"/>
                <w:u w:val="single"/>
              </w:rPr>
              <w:tab/>
            </w:r>
            <w:r w:rsidRPr="00C13D15">
              <w:rPr>
                <w:sz w:val="12"/>
                <w:szCs w:val="12"/>
                <w:u w:val="single"/>
              </w:rPr>
              <w:br/>
            </w:r>
            <w:r w:rsidRPr="00C13D15">
              <w:rPr>
                <w:snapToGrid w:val="0"/>
                <w:sz w:val="12"/>
                <w:szCs w:val="12"/>
              </w:rPr>
              <w:tab/>
              <w:t xml:space="preserve">   </w:t>
            </w:r>
            <w:r w:rsidRPr="00C13D15">
              <w:rPr>
                <w:i/>
                <w:snapToGrid w:val="0"/>
                <w:sz w:val="12"/>
                <w:szCs w:val="12"/>
              </w:rPr>
              <w:t>UPOV-A1: 2(a)(iv)</w:t>
            </w:r>
          </w:p>
          <w:p w:rsidR="00C13D15" w:rsidRPr="00C13D15" w:rsidRDefault="00C13D15" w:rsidP="00EA1A0B">
            <w:pPr>
              <w:tabs>
                <w:tab w:val="left" w:pos="199"/>
                <w:tab w:val="left" w:pos="1334"/>
                <w:tab w:val="right" w:pos="4310"/>
              </w:tabs>
              <w:rPr>
                <w:sz w:val="12"/>
                <w:szCs w:val="12"/>
                <w:u w:val="single"/>
              </w:rPr>
            </w:pPr>
            <w:r w:rsidRPr="00C13D15">
              <w:rPr>
                <w:color w:val="000000"/>
                <w:sz w:val="12"/>
                <w:szCs w:val="12"/>
              </w:rPr>
              <w:tab/>
            </w:r>
            <w:r w:rsidRPr="00C13D15">
              <w:rPr>
                <w:color w:val="000000"/>
                <w:sz w:val="12"/>
                <w:szCs w:val="12"/>
                <w:lang w:val="fr-CH"/>
              </w:rPr>
              <w:t xml:space="preserve">Adresse(s) électronique(s) </w:t>
            </w:r>
            <w:r w:rsidRPr="00C13D15">
              <w:rPr>
                <w:sz w:val="12"/>
                <w:szCs w:val="12"/>
                <w:u w:val="single"/>
              </w:rPr>
              <w:tab/>
            </w:r>
          </w:p>
          <w:p w:rsidR="00C13D15" w:rsidRPr="00C13D15" w:rsidRDefault="00C13D15" w:rsidP="00EA1A0B">
            <w:pPr>
              <w:tabs>
                <w:tab w:val="left" w:pos="199"/>
                <w:tab w:val="left" w:pos="1334"/>
                <w:tab w:val="right" w:pos="4310"/>
              </w:tabs>
              <w:rPr>
                <w:sz w:val="12"/>
                <w:szCs w:val="12"/>
              </w:rPr>
            </w:pPr>
            <w:r w:rsidRPr="00C13D15">
              <w:rPr>
                <w:snapToGrid w:val="0"/>
                <w:sz w:val="12"/>
                <w:szCs w:val="12"/>
              </w:rPr>
              <w:tab/>
              <w:t xml:space="preserve">   </w:t>
            </w:r>
            <w:r w:rsidRPr="00C13D15">
              <w:rPr>
                <w:i/>
                <w:snapToGrid w:val="0"/>
                <w:sz w:val="12"/>
                <w:szCs w:val="12"/>
              </w:rPr>
              <w:t>UPOV-A1: 2(a)(v)</w:t>
            </w:r>
          </w:p>
          <w:p w:rsidR="00C13D15" w:rsidRPr="00C13D15" w:rsidRDefault="00C13D15" w:rsidP="00EA1A0B">
            <w:pPr>
              <w:tabs>
                <w:tab w:val="left" w:pos="198"/>
                <w:tab w:val="left" w:pos="482"/>
              </w:tabs>
              <w:spacing w:before="120"/>
              <w:rPr>
                <w:sz w:val="12"/>
                <w:szCs w:val="12"/>
              </w:rPr>
            </w:pPr>
            <w:r w:rsidRPr="00C13D15">
              <w:rPr>
                <w:sz w:val="12"/>
                <w:szCs w:val="12"/>
                <w:lang w:val="fr-CH"/>
              </w:rPr>
              <w:t xml:space="preserve">  (b)</w:t>
            </w:r>
            <w:r w:rsidRPr="00C13D15">
              <w:rPr>
                <w:sz w:val="12"/>
                <w:szCs w:val="12"/>
                <w:lang w:val="fr-CH"/>
              </w:rPr>
              <w:tab/>
              <w:t>Le nom et l</w:t>
            </w:r>
            <w:r w:rsidR="00F20C73">
              <w:rPr>
                <w:sz w:val="12"/>
                <w:szCs w:val="12"/>
                <w:lang w:val="fr-CH"/>
              </w:rPr>
              <w:t>’</w:t>
            </w:r>
            <w:r w:rsidRPr="00C13D15">
              <w:rPr>
                <w:sz w:val="12"/>
                <w:szCs w:val="12"/>
                <w:lang w:val="fr-CH"/>
              </w:rPr>
              <w:t>adresse sont ceux :</w:t>
            </w:r>
          </w:p>
          <w:p w:rsidR="00C13D15" w:rsidRPr="00C13D15" w:rsidRDefault="00C13D15" w:rsidP="00EA1A0B">
            <w:pPr>
              <w:tabs>
                <w:tab w:val="left" w:pos="482"/>
                <w:tab w:val="left" w:pos="908"/>
              </w:tabs>
              <w:ind w:right="-85"/>
              <w:rPr>
                <w:sz w:val="12"/>
                <w:szCs w:val="12"/>
              </w:rPr>
            </w:pPr>
            <w:r w:rsidRPr="00C13D15">
              <w:rPr>
                <w:sz w:val="12"/>
                <w:szCs w:val="12"/>
                <w:lang w:val="fr-CH"/>
              </w:rPr>
              <w:tab/>
              <w:t>□</w:t>
            </w:r>
            <w:r w:rsidRPr="00C13D15">
              <w:rPr>
                <w:sz w:val="12"/>
                <w:szCs w:val="12"/>
                <w:lang w:val="fr-CH"/>
              </w:rPr>
              <w:tab/>
              <w:t>de l</w:t>
            </w:r>
            <w:r w:rsidR="00F20C73">
              <w:rPr>
                <w:sz w:val="12"/>
                <w:szCs w:val="12"/>
                <w:lang w:val="fr-CH"/>
              </w:rPr>
              <w:t>’</w:t>
            </w:r>
            <w:r w:rsidRPr="00C13D15">
              <w:rPr>
                <w:sz w:val="12"/>
                <w:szCs w:val="12"/>
                <w:lang w:val="fr-CH"/>
              </w:rPr>
              <w:t>un des demandeurs</w:t>
            </w:r>
          </w:p>
          <w:p w:rsidR="00C13D15" w:rsidRPr="00C13D15" w:rsidRDefault="00C13D15" w:rsidP="00EA1A0B">
            <w:pPr>
              <w:tabs>
                <w:tab w:val="left" w:pos="908"/>
                <w:tab w:val="left" w:pos="1334"/>
                <w:tab w:val="right" w:pos="4310"/>
              </w:tabs>
              <w:rPr>
                <w:sz w:val="12"/>
                <w:szCs w:val="12"/>
              </w:rPr>
            </w:pPr>
            <w:r w:rsidRPr="00C13D15">
              <w:rPr>
                <w:snapToGrid w:val="0"/>
                <w:sz w:val="12"/>
                <w:szCs w:val="12"/>
              </w:rPr>
              <w:tab/>
              <w:t xml:space="preserve">   </w:t>
            </w:r>
            <w:r w:rsidRPr="00C13D15">
              <w:rPr>
                <w:i/>
                <w:snapToGrid w:val="0"/>
                <w:sz w:val="12"/>
                <w:szCs w:val="12"/>
              </w:rPr>
              <w:t>UPOV-A1: 2(b)(i)</w:t>
            </w:r>
          </w:p>
          <w:p w:rsidR="00C13D15" w:rsidRPr="00C13D15" w:rsidRDefault="00C13D15" w:rsidP="00EA1A0B">
            <w:pPr>
              <w:tabs>
                <w:tab w:val="left" w:pos="482"/>
                <w:tab w:val="left" w:pos="908"/>
              </w:tabs>
              <w:ind w:right="-85"/>
              <w:rPr>
                <w:sz w:val="12"/>
                <w:szCs w:val="12"/>
              </w:rPr>
            </w:pPr>
            <w:r w:rsidRPr="00C13D15">
              <w:rPr>
                <w:sz w:val="12"/>
                <w:szCs w:val="12"/>
                <w:lang w:val="fr-CH"/>
              </w:rPr>
              <w:tab/>
              <w:t>□</w:t>
            </w:r>
            <w:r w:rsidRPr="00C13D15">
              <w:rPr>
                <w:sz w:val="12"/>
                <w:szCs w:val="12"/>
                <w:lang w:val="fr-CH"/>
              </w:rPr>
              <w:tab/>
              <w:t>du représentant/mandataire</w:t>
            </w:r>
          </w:p>
          <w:p w:rsidR="00C13D15" w:rsidRPr="00C13D15" w:rsidRDefault="00C13D15" w:rsidP="00EA1A0B">
            <w:pPr>
              <w:tabs>
                <w:tab w:val="left" w:pos="908"/>
                <w:tab w:val="left" w:pos="1334"/>
                <w:tab w:val="right" w:pos="4310"/>
              </w:tabs>
              <w:rPr>
                <w:sz w:val="12"/>
                <w:szCs w:val="12"/>
              </w:rPr>
            </w:pPr>
            <w:r w:rsidRPr="00C13D15">
              <w:rPr>
                <w:snapToGrid w:val="0"/>
                <w:sz w:val="12"/>
                <w:szCs w:val="12"/>
              </w:rPr>
              <w:tab/>
              <w:t xml:space="preserve">   </w:t>
            </w:r>
            <w:r w:rsidRPr="00C13D15">
              <w:rPr>
                <w:i/>
                <w:snapToGrid w:val="0"/>
                <w:sz w:val="12"/>
                <w:szCs w:val="12"/>
              </w:rPr>
              <w:t>UPOV-A1: 2(b)(ii)</w:t>
            </w:r>
          </w:p>
          <w:p w:rsidR="00C13D15" w:rsidRPr="00C13D15" w:rsidRDefault="00C13D15" w:rsidP="00EA1A0B">
            <w:pPr>
              <w:tabs>
                <w:tab w:val="left" w:pos="482"/>
                <w:tab w:val="left" w:pos="908"/>
              </w:tabs>
              <w:spacing w:after="120"/>
              <w:rPr>
                <w:strike/>
                <w:sz w:val="12"/>
                <w:szCs w:val="12"/>
              </w:rPr>
            </w:pPr>
          </w:p>
        </w:tc>
        <w:tc>
          <w:tcPr>
            <w:tcW w:w="134" w:type="dxa"/>
            <w:vMerge w:val="restart"/>
            <w:tcBorders>
              <w:top w:val="nil"/>
              <w:bottom w:val="nil"/>
              <w:right w:val="nil"/>
            </w:tcBorders>
          </w:tcPr>
          <w:p w:rsidR="00C13D15" w:rsidRPr="00C13D15" w:rsidRDefault="00C13D15" w:rsidP="00EA1A0B">
            <w:pPr>
              <w:tabs>
                <w:tab w:val="left" w:pos="482"/>
              </w:tabs>
              <w:spacing w:before="40"/>
              <w:rPr>
                <w:sz w:val="12"/>
                <w:szCs w:val="12"/>
                <w:lang w:val="fr-CH"/>
              </w:rPr>
            </w:pPr>
          </w:p>
        </w:tc>
        <w:tc>
          <w:tcPr>
            <w:tcW w:w="1098" w:type="dxa"/>
            <w:tcBorders>
              <w:top w:val="nil"/>
              <w:left w:val="nil"/>
              <w:bottom w:val="single" w:sz="6" w:space="0" w:color="000000"/>
              <w:right w:val="nil"/>
            </w:tcBorders>
          </w:tcPr>
          <w:p w:rsidR="00C13D15" w:rsidRPr="00C13D15" w:rsidRDefault="00C13D15" w:rsidP="00EA1A0B">
            <w:pPr>
              <w:tabs>
                <w:tab w:val="left" w:pos="482"/>
              </w:tabs>
              <w:spacing w:before="40"/>
              <w:rPr>
                <w:sz w:val="12"/>
                <w:szCs w:val="12"/>
                <w:lang w:val="fr-CH"/>
              </w:rPr>
            </w:pPr>
          </w:p>
        </w:tc>
      </w:tr>
      <w:tr w:rsidR="00C13D15" w:rsidRPr="00C13D15" w:rsidTr="00C9078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565" w:type="dxa"/>
            <w:gridSpan w:val="2"/>
            <w:vMerge/>
          </w:tcPr>
          <w:p w:rsidR="00C13D15" w:rsidRPr="00C13D15" w:rsidRDefault="00C13D15" w:rsidP="00EA1A0B">
            <w:pPr>
              <w:tabs>
                <w:tab w:val="left" w:pos="567"/>
              </w:tabs>
              <w:spacing w:before="40"/>
              <w:rPr>
                <w:sz w:val="12"/>
                <w:szCs w:val="12"/>
                <w:lang w:val="pt-BR"/>
              </w:rPr>
            </w:pPr>
          </w:p>
        </w:tc>
        <w:tc>
          <w:tcPr>
            <w:tcW w:w="4637" w:type="dxa"/>
            <w:gridSpan w:val="2"/>
            <w:vMerge/>
          </w:tcPr>
          <w:p w:rsidR="00C13D15" w:rsidRPr="00C13D15" w:rsidRDefault="00C13D15" w:rsidP="00EA1A0B">
            <w:pPr>
              <w:tabs>
                <w:tab w:val="left" w:pos="482"/>
              </w:tabs>
              <w:spacing w:before="40"/>
              <w:rPr>
                <w:sz w:val="12"/>
                <w:szCs w:val="12"/>
                <w:lang w:val="fr-CH"/>
              </w:rPr>
            </w:pPr>
          </w:p>
        </w:tc>
        <w:tc>
          <w:tcPr>
            <w:tcW w:w="134" w:type="dxa"/>
            <w:vMerge/>
            <w:tcBorders>
              <w:bottom w:val="nil"/>
              <w:right w:val="single" w:sz="6" w:space="0" w:color="000000"/>
            </w:tcBorders>
          </w:tcPr>
          <w:p w:rsidR="00C13D15" w:rsidRPr="00C13D15" w:rsidRDefault="00C13D15" w:rsidP="00EA1A0B">
            <w:pPr>
              <w:tabs>
                <w:tab w:val="left" w:pos="482"/>
              </w:tabs>
              <w:spacing w:before="40"/>
              <w:rPr>
                <w:sz w:val="12"/>
                <w:szCs w:val="12"/>
                <w:lang w:val="fr-CH"/>
              </w:rPr>
            </w:pPr>
          </w:p>
        </w:tc>
        <w:tc>
          <w:tcPr>
            <w:tcW w:w="1098" w:type="dxa"/>
            <w:tcBorders>
              <w:left w:val="single" w:sz="6" w:space="0" w:color="000000"/>
              <w:bottom w:val="single" w:sz="6" w:space="0" w:color="000000"/>
            </w:tcBorders>
          </w:tcPr>
          <w:p w:rsidR="00C13D15" w:rsidRPr="00C13D15" w:rsidRDefault="00C13D15" w:rsidP="00EA1A0B">
            <w:pPr>
              <w:tabs>
                <w:tab w:val="left" w:pos="482"/>
              </w:tabs>
              <w:spacing w:before="120" w:after="120"/>
              <w:jc w:val="center"/>
              <w:rPr>
                <w:sz w:val="12"/>
                <w:szCs w:val="12"/>
                <w:lang w:val="fr-CH"/>
              </w:rPr>
            </w:pPr>
            <w:r w:rsidRPr="00C13D15">
              <w:rPr>
                <w:sz w:val="12"/>
                <w:szCs w:val="12"/>
                <w:lang w:val="fr-CH"/>
              </w:rPr>
              <w:t>RÉSERVÉ À</w:t>
            </w:r>
            <w:r w:rsidRPr="00C13D15">
              <w:rPr>
                <w:sz w:val="12"/>
                <w:szCs w:val="12"/>
                <w:lang w:val="fr-CH"/>
              </w:rPr>
              <w:br/>
              <w:t>L</w:t>
            </w:r>
            <w:r w:rsidR="00F20C73">
              <w:rPr>
                <w:sz w:val="12"/>
                <w:szCs w:val="12"/>
                <w:lang w:val="fr-CH"/>
              </w:rPr>
              <w:t>’</w:t>
            </w:r>
            <w:r w:rsidRPr="00C13D15">
              <w:rPr>
                <w:sz w:val="12"/>
                <w:szCs w:val="12"/>
                <w:lang w:val="fr-CH"/>
              </w:rPr>
              <w:t>ADMINIS</w:t>
            </w:r>
            <w:r w:rsidRPr="00C13D15">
              <w:rPr>
                <w:sz w:val="12"/>
                <w:szCs w:val="12"/>
                <w:lang w:val="fr-CH"/>
              </w:rPr>
              <w:softHyphen/>
              <w:t>TRATION</w:t>
            </w:r>
          </w:p>
        </w:tc>
      </w:tr>
      <w:tr w:rsidR="00C13D15" w:rsidRPr="00C13D15" w:rsidTr="00C9078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565" w:type="dxa"/>
            <w:gridSpan w:val="2"/>
            <w:vMerge/>
          </w:tcPr>
          <w:p w:rsidR="00C13D15" w:rsidRPr="00C13D15" w:rsidRDefault="00C13D15" w:rsidP="00EA1A0B">
            <w:pPr>
              <w:tabs>
                <w:tab w:val="left" w:pos="567"/>
              </w:tabs>
              <w:spacing w:before="40"/>
              <w:rPr>
                <w:sz w:val="12"/>
                <w:szCs w:val="12"/>
                <w:lang w:val="pt-BR"/>
              </w:rPr>
            </w:pPr>
          </w:p>
        </w:tc>
        <w:tc>
          <w:tcPr>
            <w:tcW w:w="4637" w:type="dxa"/>
            <w:gridSpan w:val="2"/>
            <w:vMerge/>
          </w:tcPr>
          <w:p w:rsidR="00C13D15" w:rsidRPr="00C13D15" w:rsidRDefault="00C13D15" w:rsidP="00EA1A0B">
            <w:pPr>
              <w:tabs>
                <w:tab w:val="left" w:pos="482"/>
              </w:tabs>
              <w:spacing w:before="40"/>
              <w:rPr>
                <w:sz w:val="12"/>
                <w:szCs w:val="12"/>
                <w:lang w:val="fr-CH"/>
              </w:rPr>
            </w:pPr>
          </w:p>
        </w:tc>
        <w:tc>
          <w:tcPr>
            <w:tcW w:w="134" w:type="dxa"/>
            <w:vMerge/>
            <w:tcBorders>
              <w:bottom w:val="nil"/>
              <w:right w:val="nil"/>
            </w:tcBorders>
          </w:tcPr>
          <w:p w:rsidR="00C13D15" w:rsidRPr="00C13D15" w:rsidRDefault="00C13D15" w:rsidP="00EA1A0B">
            <w:pPr>
              <w:tabs>
                <w:tab w:val="left" w:pos="482"/>
              </w:tabs>
              <w:spacing w:before="40"/>
              <w:rPr>
                <w:sz w:val="12"/>
                <w:szCs w:val="12"/>
                <w:lang w:val="fr-CH"/>
              </w:rPr>
            </w:pPr>
          </w:p>
        </w:tc>
        <w:tc>
          <w:tcPr>
            <w:tcW w:w="1098" w:type="dxa"/>
            <w:tcBorders>
              <w:left w:val="nil"/>
              <w:bottom w:val="nil"/>
              <w:right w:val="nil"/>
            </w:tcBorders>
          </w:tcPr>
          <w:p w:rsidR="00C13D15" w:rsidRPr="00C13D15" w:rsidRDefault="00C13D15" w:rsidP="00EA1A0B">
            <w:pPr>
              <w:tabs>
                <w:tab w:val="left" w:pos="482"/>
              </w:tabs>
              <w:spacing w:before="40"/>
              <w:rPr>
                <w:sz w:val="12"/>
                <w:szCs w:val="12"/>
                <w:lang w:val="fr-CH"/>
              </w:rPr>
            </w:pPr>
          </w:p>
        </w:tc>
      </w:tr>
    </w:tbl>
    <w:p w:rsidR="00C13D15" w:rsidRPr="003F4ED8" w:rsidRDefault="00C13D15" w:rsidP="009D070E">
      <w:pPr>
        <w:rPr>
          <w:noProof/>
          <w:lang w:val="fr-FR"/>
        </w:rPr>
      </w:pPr>
    </w:p>
    <w:p w:rsidR="0020369A" w:rsidRPr="005C3CAA" w:rsidRDefault="0020369A" w:rsidP="001D17EA">
      <w:pPr>
        <w:rPr>
          <w:lang w:val="fr-FR"/>
        </w:rPr>
      </w:pPr>
      <w:r w:rsidRPr="005C3CAA">
        <w:rPr>
          <w:snapToGrid w:val="0"/>
          <w:lang w:val="fr-FR"/>
        </w:rPr>
        <w:lastRenderedPageBreak/>
        <w:fldChar w:fldCharType="begin"/>
      </w:r>
      <w:r w:rsidRPr="005C3CAA">
        <w:rPr>
          <w:snapToGrid w:val="0"/>
          <w:lang w:val="fr-FR"/>
        </w:rPr>
        <w:instrText xml:space="preserve"> AUTONUM  </w:instrText>
      </w:r>
      <w:r w:rsidRPr="005C3CAA">
        <w:rPr>
          <w:snapToGrid w:val="0"/>
          <w:lang w:val="fr-FR"/>
        </w:rPr>
        <w:fldChar w:fldCharType="end"/>
      </w:r>
      <w:r w:rsidRPr="005C3CAA">
        <w:rPr>
          <w:snapToGrid w:val="0"/>
          <w:lang w:val="fr-FR"/>
        </w:rPr>
        <w:tab/>
      </w:r>
      <w:r w:rsidRPr="005C3CAA">
        <w:rPr>
          <w:lang w:val="fr-FR"/>
        </w:rPr>
        <w:t>Le CAJ souhaitera peut</w:t>
      </w:r>
      <w:r w:rsidR="0014634A">
        <w:rPr>
          <w:lang w:val="fr-FR"/>
        </w:rPr>
        <w:noBreakHyphen/>
      </w:r>
      <w:r w:rsidRPr="005C3CAA">
        <w:rPr>
          <w:lang w:val="fr-FR"/>
        </w:rPr>
        <w:t>être se demander s</w:t>
      </w:r>
      <w:r w:rsidR="00F20C73">
        <w:rPr>
          <w:lang w:val="fr-FR"/>
        </w:rPr>
        <w:t>’</w:t>
      </w:r>
      <w:r w:rsidRPr="005C3CAA">
        <w:rPr>
          <w:lang w:val="fr-FR"/>
        </w:rPr>
        <w:t>il convient d</w:t>
      </w:r>
      <w:r w:rsidR="00F20C73">
        <w:rPr>
          <w:lang w:val="fr-FR"/>
        </w:rPr>
        <w:t>’</w:t>
      </w:r>
      <w:r w:rsidRPr="005C3CAA">
        <w:rPr>
          <w:lang w:val="fr-FR"/>
        </w:rPr>
        <w:t xml:space="preserve">élaborer </w:t>
      </w:r>
      <w:r>
        <w:rPr>
          <w:snapToGrid w:val="0"/>
          <w:lang w:val="fr-FR"/>
        </w:rPr>
        <w:t>dans le</w:t>
      </w:r>
      <w:r w:rsidRPr="005C3CAA">
        <w:rPr>
          <w:snapToGrid w:val="0"/>
          <w:lang w:val="fr-FR"/>
        </w:rPr>
        <w:t xml:space="preserve"> document TGP/5 Section</w:t>
      </w:r>
      <w:r w:rsidR="002067E8">
        <w:rPr>
          <w:snapToGrid w:val="0"/>
          <w:lang w:val="fr-FR"/>
        </w:rPr>
        <w:t> </w:t>
      </w:r>
      <w:r w:rsidRPr="005C3CAA">
        <w:rPr>
          <w:snapToGrid w:val="0"/>
          <w:lang w:val="fr-FR"/>
        </w:rPr>
        <w:t xml:space="preserve">2 </w:t>
      </w:r>
      <w:r>
        <w:rPr>
          <w:snapToGrid w:val="0"/>
          <w:lang w:val="fr-FR"/>
        </w:rPr>
        <w:t>et/ou dans le</w:t>
      </w:r>
      <w:r w:rsidRPr="005C3CAA">
        <w:rPr>
          <w:snapToGrid w:val="0"/>
          <w:lang w:val="fr-FR"/>
        </w:rPr>
        <w:t xml:space="preserve"> document UPOV/INF/15</w:t>
      </w:r>
      <w:r>
        <w:rPr>
          <w:snapToGrid w:val="0"/>
          <w:lang w:val="fr-FR"/>
        </w:rPr>
        <w:t xml:space="preserve"> </w:t>
      </w:r>
      <w:r w:rsidRPr="005C3CAA">
        <w:rPr>
          <w:lang w:val="fr-FR"/>
        </w:rPr>
        <w:t xml:space="preserve">des orientations supplémentaires </w:t>
      </w:r>
      <w:r>
        <w:rPr>
          <w:lang w:val="fr-FR"/>
        </w:rPr>
        <w:t>pour l</w:t>
      </w:r>
      <w:r w:rsidR="00F20C73">
        <w:rPr>
          <w:lang w:val="fr-FR"/>
        </w:rPr>
        <w:t>’</w:t>
      </w:r>
      <w:r>
        <w:rPr>
          <w:lang w:val="fr-FR"/>
        </w:rPr>
        <w:t>examen des</w:t>
      </w:r>
      <w:r w:rsidRPr="005C3CAA">
        <w:rPr>
          <w:lang w:val="fr-FR"/>
        </w:rPr>
        <w:t xml:space="preserve"> questions soulevées par l</w:t>
      </w:r>
      <w:r w:rsidR="00F20C73">
        <w:rPr>
          <w:lang w:val="fr-FR"/>
        </w:rPr>
        <w:t>’</w:t>
      </w:r>
      <w:r w:rsidRPr="005C3CAA">
        <w:rPr>
          <w:lang w:val="fr-FR"/>
        </w:rPr>
        <w:t>ISF ayant trait à la</w:t>
      </w:r>
      <w:r w:rsidRPr="005C3CAA">
        <w:rPr>
          <w:snapToGrid w:val="0"/>
          <w:lang w:val="fr-FR"/>
        </w:rPr>
        <w:t xml:space="preserve"> correspondance</w:t>
      </w:r>
      <w:r w:rsidRPr="005C3CAA">
        <w:rPr>
          <w:lang w:val="fr-FR"/>
        </w:rPr>
        <w:t>.</w:t>
      </w:r>
    </w:p>
    <w:p w:rsidR="0020369A" w:rsidRPr="005C3CAA" w:rsidRDefault="0020369A" w:rsidP="00B55B77">
      <w:pPr>
        <w:rPr>
          <w:snapToGrid w:val="0"/>
          <w:lang w:val="fr-FR"/>
        </w:rPr>
      </w:pPr>
    </w:p>
    <w:p w:rsidR="0020369A" w:rsidRPr="005C3CAA" w:rsidRDefault="0020369A" w:rsidP="004A5477">
      <w:pPr>
        <w:pStyle w:val="DecisionParagraphs"/>
        <w:keepNext/>
        <w:rPr>
          <w:snapToGrid w:val="0"/>
          <w:lang w:val="fr-FR"/>
        </w:rPr>
      </w:pPr>
      <w:r w:rsidRPr="005C3CAA">
        <w:rPr>
          <w:snapToGrid w:val="0"/>
          <w:lang w:val="fr-FR"/>
        </w:rPr>
        <w:fldChar w:fldCharType="begin"/>
      </w:r>
      <w:r w:rsidRPr="005C3CAA">
        <w:rPr>
          <w:snapToGrid w:val="0"/>
          <w:lang w:val="fr-FR"/>
        </w:rPr>
        <w:instrText xml:space="preserve"> AUTONUM  </w:instrText>
      </w:r>
      <w:r w:rsidRPr="005C3CAA">
        <w:rPr>
          <w:snapToGrid w:val="0"/>
          <w:lang w:val="fr-FR"/>
        </w:rPr>
        <w:fldChar w:fldCharType="end"/>
      </w:r>
      <w:r w:rsidRPr="005C3CAA">
        <w:rPr>
          <w:snapToGrid w:val="0"/>
          <w:lang w:val="fr-FR"/>
        </w:rPr>
        <w:tab/>
        <w:t>Le CAJ est invité à</w:t>
      </w:r>
      <w:r w:rsidR="002067E8">
        <w:rPr>
          <w:snapToGrid w:val="0"/>
          <w:lang w:val="fr-FR"/>
        </w:rPr>
        <w:t> </w:t>
      </w:r>
      <w:r w:rsidRPr="005C3CAA">
        <w:rPr>
          <w:snapToGrid w:val="0"/>
          <w:lang w:val="fr-FR"/>
        </w:rPr>
        <w:t>:</w:t>
      </w:r>
    </w:p>
    <w:p w:rsidR="0020369A" w:rsidRPr="005C3CAA" w:rsidRDefault="0020369A" w:rsidP="004A5477">
      <w:pPr>
        <w:pStyle w:val="DecisionParagraphs"/>
        <w:keepNext/>
        <w:rPr>
          <w:snapToGrid w:val="0"/>
          <w:lang w:val="fr-FR"/>
        </w:rPr>
      </w:pPr>
    </w:p>
    <w:p w:rsidR="0020369A" w:rsidRPr="005C3CAA" w:rsidRDefault="0020369A" w:rsidP="00C0469A">
      <w:pPr>
        <w:pStyle w:val="DecisionParagraphs"/>
        <w:tabs>
          <w:tab w:val="left" w:pos="5954"/>
        </w:tabs>
        <w:rPr>
          <w:color w:val="0D0D0D"/>
          <w:lang w:val="fr-FR"/>
        </w:rPr>
      </w:pPr>
      <w:r w:rsidRPr="005C3CAA">
        <w:rPr>
          <w:snapToGrid w:val="0"/>
          <w:lang w:val="fr-FR"/>
        </w:rPr>
        <w:tab/>
        <w:t>a)</w:t>
      </w:r>
      <w:r w:rsidRPr="005C3CAA">
        <w:rPr>
          <w:snapToGrid w:val="0"/>
          <w:lang w:val="fr-FR"/>
        </w:rPr>
        <w:tab/>
        <w:t>prendre note des orientations qui figurent dans le document TGP/5 Section</w:t>
      </w:r>
      <w:r w:rsidR="002067E8">
        <w:rPr>
          <w:snapToGrid w:val="0"/>
          <w:lang w:val="fr-FR"/>
        </w:rPr>
        <w:t> </w:t>
      </w:r>
      <w:r w:rsidRPr="005C3CAA">
        <w:rPr>
          <w:snapToGrid w:val="0"/>
          <w:lang w:val="fr-FR"/>
        </w:rPr>
        <w:t xml:space="preserve">2 </w:t>
      </w:r>
      <w:r w:rsidR="00F20C73">
        <w:rPr>
          <w:snapToGrid w:val="0"/>
          <w:lang w:val="fr-FR"/>
        </w:rPr>
        <w:t>“</w:t>
      </w:r>
      <w:r w:rsidRPr="005C3CAA">
        <w:rPr>
          <w:snapToGrid w:val="0"/>
          <w:lang w:val="fr-FR"/>
        </w:rPr>
        <w:t xml:space="preserve"> </w:t>
      </w:r>
      <w:r w:rsidRPr="003F4ED8">
        <w:rPr>
          <w:snapToGrid w:val="0"/>
          <w:lang w:val="fr-FR"/>
        </w:rPr>
        <w:t>Formulaire type de l</w:t>
      </w:r>
      <w:r w:rsidR="00F20C73">
        <w:rPr>
          <w:snapToGrid w:val="0"/>
          <w:lang w:val="fr-FR"/>
        </w:rPr>
        <w:t>’</w:t>
      </w:r>
      <w:r w:rsidRPr="003F4ED8">
        <w:rPr>
          <w:snapToGrid w:val="0"/>
          <w:lang w:val="fr-FR"/>
        </w:rPr>
        <w:t>UPOV pour la demande de protection d</w:t>
      </w:r>
      <w:r w:rsidR="00F20C73">
        <w:rPr>
          <w:snapToGrid w:val="0"/>
          <w:lang w:val="fr-FR"/>
        </w:rPr>
        <w:t>’</w:t>
      </w:r>
      <w:r w:rsidRPr="003F4ED8">
        <w:rPr>
          <w:snapToGrid w:val="0"/>
          <w:lang w:val="fr-FR"/>
        </w:rPr>
        <w:t>une obtention végétale</w:t>
      </w:r>
      <w:r w:rsidR="00F20C73">
        <w:rPr>
          <w:snapToGrid w:val="0"/>
          <w:lang w:val="fr-FR"/>
        </w:rPr>
        <w:t>”</w:t>
      </w:r>
      <w:r w:rsidRPr="005C3CAA">
        <w:rPr>
          <w:snapToGrid w:val="0"/>
          <w:lang w:val="fr-FR"/>
        </w:rPr>
        <w:t xml:space="preserve">, </w:t>
      </w:r>
      <w:r>
        <w:rPr>
          <w:snapToGrid w:val="0"/>
          <w:lang w:val="fr-FR"/>
        </w:rPr>
        <w:t>pour ce qui est de la</w:t>
      </w:r>
      <w:r w:rsidRPr="005C3CAA">
        <w:rPr>
          <w:snapToGrid w:val="0"/>
          <w:lang w:val="fr-FR"/>
        </w:rPr>
        <w:t xml:space="preserve"> correspond</w:t>
      </w:r>
      <w:r>
        <w:rPr>
          <w:snapToGrid w:val="0"/>
          <w:lang w:val="fr-FR"/>
        </w:rPr>
        <w:t>a</w:t>
      </w:r>
      <w:r w:rsidRPr="005C3CAA">
        <w:rPr>
          <w:snapToGrid w:val="0"/>
          <w:lang w:val="fr-FR"/>
        </w:rPr>
        <w:t>nce</w:t>
      </w:r>
      <w:r w:rsidRPr="005C3CAA">
        <w:rPr>
          <w:color w:val="0D0D0D"/>
          <w:lang w:val="fr-FR"/>
        </w:rPr>
        <w:t>;</w:t>
      </w:r>
      <w:r w:rsidR="002067E8">
        <w:rPr>
          <w:color w:val="0D0D0D"/>
          <w:lang w:val="fr-FR"/>
        </w:rPr>
        <w:t xml:space="preserve"> </w:t>
      </w:r>
      <w:r w:rsidRPr="005C3CAA">
        <w:rPr>
          <w:color w:val="0D0D0D"/>
          <w:lang w:val="fr-FR"/>
        </w:rPr>
        <w:t xml:space="preserve"> </w:t>
      </w:r>
      <w:r>
        <w:rPr>
          <w:color w:val="0D0D0D"/>
          <w:lang w:val="fr-FR"/>
        </w:rPr>
        <w:t>et</w:t>
      </w:r>
    </w:p>
    <w:p w:rsidR="0020369A" w:rsidRPr="005C3CAA" w:rsidRDefault="0020369A" w:rsidP="00C0469A">
      <w:pPr>
        <w:pStyle w:val="DecisionParagraphs"/>
        <w:tabs>
          <w:tab w:val="left" w:pos="5954"/>
        </w:tabs>
        <w:rPr>
          <w:color w:val="0D0D0D"/>
          <w:lang w:val="fr-FR"/>
        </w:rPr>
      </w:pPr>
    </w:p>
    <w:p w:rsidR="0020369A" w:rsidRPr="005C3CAA" w:rsidRDefault="0020369A" w:rsidP="00C0469A">
      <w:pPr>
        <w:pStyle w:val="DecisionParagraphs"/>
        <w:tabs>
          <w:tab w:val="left" w:pos="5954"/>
        </w:tabs>
        <w:rPr>
          <w:lang w:val="fr-FR"/>
        </w:rPr>
      </w:pPr>
      <w:r w:rsidRPr="005C3CAA">
        <w:rPr>
          <w:lang w:val="fr-FR"/>
        </w:rPr>
        <w:tab/>
        <w:t>b)</w:t>
      </w:r>
      <w:r w:rsidRPr="005C3CAA">
        <w:rPr>
          <w:lang w:val="fr-FR"/>
        </w:rPr>
        <w:tab/>
        <w:t>se demander s</w:t>
      </w:r>
      <w:r w:rsidR="00F20C73">
        <w:rPr>
          <w:lang w:val="fr-FR"/>
        </w:rPr>
        <w:t>’</w:t>
      </w:r>
      <w:r w:rsidRPr="005C3CAA">
        <w:rPr>
          <w:lang w:val="fr-FR"/>
        </w:rPr>
        <w:t>il convient d</w:t>
      </w:r>
      <w:r w:rsidR="00F20C73">
        <w:rPr>
          <w:lang w:val="fr-FR"/>
        </w:rPr>
        <w:t>’</w:t>
      </w:r>
      <w:r w:rsidRPr="005C3CAA">
        <w:rPr>
          <w:lang w:val="fr-FR"/>
        </w:rPr>
        <w:t xml:space="preserve">élaborer </w:t>
      </w:r>
      <w:r>
        <w:rPr>
          <w:snapToGrid w:val="0"/>
          <w:lang w:val="fr-FR"/>
        </w:rPr>
        <w:t>dans le</w:t>
      </w:r>
      <w:r w:rsidRPr="005C3CAA">
        <w:rPr>
          <w:snapToGrid w:val="0"/>
          <w:lang w:val="fr-FR"/>
        </w:rPr>
        <w:t xml:space="preserve"> document TGP/5 Section</w:t>
      </w:r>
      <w:r w:rsidR="002067E8">
        <w:rPr>
          <w:snapToGrid w:val="0"/>
          <w:lang w:val="fr-FR"/>
        </w:rPr>
        <w:t> </w:t>
      </w:r>
      <w:r w:rsidRPr="005C3CAA">
        <w:rPr>
          <w:snapToGrid w:val="0"/>
          <w:lang w:val="fr-FR"/>
        </w:rPr>
        <w:t xml:space="preserve">2 </w:t>
      </w:r>
      <w:r>
        <w:rPr>
          <w:snapToGrid w:val="0"/>
          <w:lang w:val="fr-FR"/>
        </w:rPr>
        <w:t>et/ou dans le</w:t>
      </w:r>
      <w:r w:rsidRPr="005C3CAA">
        <w:rPr>
          <w:snapToGrid w:val="0"/>
          <w:lang w:val="fr-FR"/>
        </w:rPr>
        <w:t xml:space="preserve"> document UPOV/INF/15</w:t>
      </w:r>
      <w:r>
        <w:rPr>
          <w:snapToGrid w:val="0"/>
          <w:lang w:val="fr-FR"/>
        </w:rPr>
        <w:t xml:space="preserve"> </w:t>
      </w:r>
      <w:r w:rsidRPr="005C3CAA">
        <w:rPr>
          <w:lang w:val="fr-FR"/>
        </w:rPr>
        <w:t>des orientations supplémentaires ayant trait à la</w:t>
      </w:r>
      <w:r w:rsidRPr="005C3CAA">
        <w:rPr>
          <w:snapToGrid w:val="0"/>
          <w:lang w:val="fr-FR"/>
        </w:rPr>
        <w:t xml:space="preserve"> correspondance</w:t>
      </w:r>
      <w:bookmarkStart w:id="29" w:name="_Toc381102834"/>
      <w:bookmarkStart w:id="30" w:name="_Toc381102862"/>
      <w:r w:rsidRPr="005C3CAA">
        <w:rPr>
          <w:lang w:val="fr-FR"/>
        </w:rPr>
        <w:t>.</w:t>
      </w:r>
    </w:p>
    <w:p w:rsidR="0020369A" w:rsidRPr="005C3CAA" w:rsidRDefault="0020369A" w:rsidP="00EE0680">
      <w:pPr>
        <w:pStyle w:val="DecisionParagraphs"/>
        <w:rPr>
          <w:lang w:val="fr-FR"/>
        </w:rPr>
      </w:pPr>
    </w:p>
    <w:p w:rsidR="0020369A" w:rsidRPr="005C3CAA" w:rsidRDefault="0020369A" w:rsidP="00EE0680">
      <w:pPr>
        <w:pStyle w:val="DecisionParagraphs"/>
        <w:rPr>
          <w:lang w:val="fr-FR"/>
        </w:rPr>
      </w:pPr>
    </w:p>
    <w:p w:rsidR="0020369A" w:rsidRPr="0099105A" w:rsidRDefault="0020369A" w:rsidP="005C3E4B">
      <w:pPr>
        <w:pStyle w:val="Heading2"/>
      </w:pPr>
      <w:bookmarkStart w:id="31" w:name="_Toc381949567"/>
      <w:r>
        <w:t>Matériel</w:t>
      </w:r>
      <w:bookmarkEnd w:id="29"/>
      <w:bookmarkEnd w:id="30"/>
      <w:bookmarkEnd w:id="31"/>
    </w:p>
    <w:p w:rsidR="0020369A" w:rsidRDefault="0020369A" w:rsidP="00C66028">
      <w:pPr>
        <w:pStyle w:val="Heading3"/>
      </w:pPr>
    </w:p>
    <w:tbl>
      <w:tblPr>
        <w:tblW w:w="0" w:type="auto"/>
        <w:jc w:val="center"/>
        <w:tblInd w:w="-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0A0" w:firstRow="1" w:lastRow="0" w:firstColumn="1" w:lastColumn="0" w:noHBand="0" w:noVBand="0"/>
      </w:tblPr>
      <w:tblGrid>
        <w:gridCol w:w="8788"/>
      </w:tblGrid>
      <w:tr w:rsidR="0020369A" w:rsidRPr="00B6646F" w:rsidTr="00045613">
        <w:trPr>
          <w:cantSplit/>
          <w:jc w:val="center"/>
        </w:trPr>
        <w:tc>
          <w:tcPr>
            <w:tcW w:w="8788" w:type="dxa"/>
          </w:tcPr>
          <w:p w:rsidR="0020369A" w:rsidRPr="00107021" w:rsidRDefault="0020369A" w:rsidP="00C21485">
            <w:pPr>
              <w:ind w:right="567"/>
              <w:rPr>
                <w:sz w:val="18"/>
                <w:szCs w:val="18"/>
                <w:lang w:val="fr-FR"/>
              </w:rPr>
            </w:pPr>
            <w:r w:rsidRPr="00107021">
              <w:rPr>
                <w:sz w:val="18"/>
                <w:szCs w:val="18"/>
                <w:lang w:val="fr-FR"/>
              </w:rPr>
              <w:t>[</w:t>
            </w:r>
            <w:r w:rsidRPr="00DF4C14">
              <w:rPr>
                <w:sz w:val="18"/>
                <w:szCs w:val="18"/>
                <w:lang w:val="fr-FR"/>
              </w:rPr>
              <w:t>Extrait de la lettre de l</w:t>
            </w:r>
            <w:r w:rsidR="00F20C73">
              <w:rPr>
                <w:sz w:val="18"/>
                <w:szCs w:val="18"/>
                <w:lang w:val="fr-FR"/>
              </w:rPr>
              <w:t>’</w:t>
            </w:r>
            <w:r w:rsidRPr="00DF4C14">
              <w:rPr>
                <w:sz w:val="18"/>
                <w:szCs w:val="18"/>
                <w:lang w:val="fr-FR"/>
              </w:rPr>
              <w:t>ISF – (original</w:t>
            </w:r>
            <w:r w:rsidR="002067E8">
              <w:rPr>
                <w:sz w:val="18"/>
                <w:szCs w:val="18"/>
                <w:lang w:val="fr-FR"/>
              </w:rPr>
              <w:t> </w:t>
            </w:r>
            <w:r w:rsidRPr="00DF4C14">
              <w:rPr>
                <w:sz w:val="18"/>
                <w:szCs w:val="18"/>
                <w:lang w:val="fr-FR"/>
              </w:rPr>
              <w:t>: anglais</w:t>
            </w:r>
            <w:r w:rsidRPr="00107021">
              <w:rPr>
                <w:sz w:val="18"/>
                <w:szCs w:val="18"/>
                <w:lang w:val="fr-FR"/>
              </w:rPr>
              <w:t>)]</w:t>
            </w:r>
          </w:p>
          <w:p w:rsidR="0020369A" w:rsidRPr="0052515F" w:rsidRDefault="0020369A" w:rsidP="0054760F">
            <w:pPr>
              <w:rPr>
                <w:color w:val="0D0D0D"/>
                <w:sz w:val="18"/>
                <w:szCs w:val="18"/>
                <w:lang w:val="fr-FR"/>
              </w:rPr>
            </w:pPr>
            <w:r w:rsidRPr="0052515F">
              <w:rPr>
                <w:color w:val="0D0D0D"/>
                <w:sz w:val="18"/>
                <w:szCs w:val="18"/>
                <w:u w:val="single"/>
                <w:lang w:val="fr-FR"/>
              </w:rPr>
              <w:t>Confidentialité du matériel</w:t>
            </w:r>
            <w:r w:rsidR="002067E8" w:rsidRPr="00982CBF">
              <w:rPr>
                <w:color w:val="0D0D0D"/>
                <w:sz w:val="18"/>
                <w:szCs w:val="18"/>
                <w:lang w:val="fr-FR"/>
              </w:rPr>
              <w:t> </w:t>
            </w:r>
            <w:r w:rsidRPr="00982CBF">
              <w:rPr>
                <w:color w:val="0D0D0D"/>
                <w:sz w:val="18"/>
                <w:lang w:val="fr-FR"/>
              </w:rPr>
              <w:t>:</w:t>
            </w:r>
            <w:r w:rsidRPr="0052515F">
              <w:rPr>
                <w:color w:val="0D0D0D"/>
                <w:sz w:val="18"/>
                <w:szCs w:val="18"/>
                <w:lang w:val="fr-FR"/>
              </w:rPr>
              <w:t xml:space="preserve"> Dans certains pays, lorsqu</w:t>
            </w:r>
            <w:r w:rsidR="00F20C73">
              <w:rPr>
                <w:color w:val="0D0D0D"/>
                <w:sz w:val="18"/>
                <w:szCs w:val="18"/>
                <w:lang w:val="fr-FR"/>
              </w:rPr>
              <w:t>’</w:t>
            </w:r>
            <w:r w:rsidRPr="0052515F">
              <w:rPr>
                <w:color w:val="0D0D0D"/>
                <w:sz w:val="18"/>
                <w:szCs w:val="18"/>
                <w:lang w:val="fr-FR"/>
              </w:rPr>
              <w:t>une demande de droits d</w:t>
            </w:r>
            <w:r w:rsidR="00F20C73">
              <w:rPr>
                <w:color w:val="0D0D0D"/>
                <w:sz w:val="18"/>
                <w:szCs w:val="18"/>
                <w:lang w:val="fr-FR"/>
              </w:rPr>
              <w:t>’</w:t>
            </w:r>
            <w:r w:rsidRPr="0052515F">
              <w:rPr>
                <w:color w:val="0D0D0D"/>
                <w:sz w:val="18"/>
                <w:szCs w:val="18"/>
                <w:lang w:val="fr-FR"/>
              </w:rPr>
              <w:t>obtenteur est déposée pour une espèce hybride, les services exigent du déposant qu</w:t>
            </w:r>
            <w:r w:rsidR="00F20C73">
              <w:rPr>
                <w:color w:val="0D0D0D"/>
                <w:sz w:val="18"/>
                <w:szCs w:val="18"/>
                <w:lang w:val="fr-FR"/>
              </w:rPr>
              <w:t>’</w:t>
            </w:r>
            <w:r w:rsidRPr="0052515F">
              <w:rPr>
                <w:color w:val="0D0D0D"/>
                <w:sz w:val="18"/>
                <w:szCs w:val="18"/>
                <w:lang w:val="fr-FR"/>
              </w:rPr>
              <w:t>il f</w:t>
            </w:r>
            <w:r>
              <w:rPr>
                <w:color w:val="0D0D0D"/>
                <w:sz w:val="18"/>
                <w:szCs w:val="18"/>
                <w:lang w:val="fr-FR"/>
              </w:rPr>
              <w:t xml:space="preserve">ournisse des semences (ou, le cas échéant, du </w:t>
            </w:r>
            <w:r w:rsidRPr="0052515F">
              <w:rPr>
                <w:color w:val="0D0D0D"/>
                <w:sz w:val="18"/>
                <w:szCs w:val="18"/>
                <w:lang w:val="fr-FR"/>
              </w:rPr>
              <w:t>matérie</w:t>
            </w:r>
            <w:r>
              <w:rPr>
                <w:color w:val="0D0D0D"/>
                <w:sz w:val="18"/>
                <w:szCs w:val="18"/>
                <w:lang w:val="fr-FR"/>
              </w:rPr>
              <w:t>l multiplié par voie végétative</w:t>
            </w:r>
            <w:r w:rsidRPr="0052515F">
              <w:rPr>
                <w:color w:val="0D0D0D"/>
                <w:sz w:val="18"/>
                <w:szCs w:val="18"/>
                <w:lang w:val="fr-FR"/>
              </w:rPr>
              <w:t xml:space="preserve">) </w:t>
            </w:r>
            <w:r>
              <w:rPr>
                <w:color w:val="0D0D0D"/>
                <w:sz w:val="18"/>
                <w:szCs w:val="18"/>
                <w:lang w:val="fr-FR"/>
              </w:rPr>
              <w:t xml:space="preserve">des lignées </w:t>
            </w:r>
            <w:r w:rsidRPr="0052515F">
              <w:rPr>
                <w:color w:val="0D0D0D"/>
                <w:sz w:val="18"/>
                <w:szCs w:val="18"/>
                <w:lang w:val="fr-FR"/>
              </w:rPr>
              <w:t>parent</w:t>
            </w:r>
            <w:r>
              <w:rPr>
                <w:color w:val="0D0D0D"/>
                <w:sz w:val="18"/>
                <w:szCs w:val="18"/>
                <w:lang w:val="fr-FR"/>
              </w:rPr>
              <w:t>ales également même si le matériel en question n</w:t>
            </w:r>
            <w:r w:rsidR="00F20C73">
              <w:rPr>
                <w:color w:val="0D0D0D"/>
                <w:sz w:val="18"/>
                <w:szCs w:val="18"/>
                <w:lang w:val="fr-FR"/>
              </w:rPr>
              <w:t>’</w:t>
            </w:r>
            <w:r>
              <w:rPr>
                <w:color w:val="0D0D0D"/>
                <w:sz w:val="18"/>
                <w:szCs w:val="18"/>
                <w:lang w:val="fr-FR"/>
              </w:rPr>
              <w:t>est pas souvent utilisé pour l</w:t>
            </w:r>
            <w:r w:rsidR="00F20C73">
              <w:rPr>
                <w:color w:val="0D0D0D"/>
                <w:sz w:val="18"/>
                <w:szCs w:val="18"/>
                <w:lang w:val="fr-FR"/>
              </w:rPr>
              <w:t>’</w:t>
            </w:r>
            <w:r>
              <w:rPr>
                <w:color w:val="0D0D0D"/>
                <w:sz w:val="18"/>
                <w:szCs w:val="18"/>
                <w:lang w:val="fr-FR"/>
              </w:rPr>
              <w:t>examen de la variété</w:t>
            </w:r>
            <w:r w:rsidRPr="0052515F">
              <w:rPr>
                <w:color w:val="0D0D0D"/>
                <w:sz w:val="18"/>
                <w:szCs w:val="18"/>
                <w:lang w:val="fr-FR"/>
              </w:rPr>
              <w:t>.  Les membres de l</w:t>
            </w:r>
            <w:r w:rsidR="00F20C73">
              <w:rPr>
                <w:color w:val="0D0D0D"/>
                <w:sz w:val="18"/>
                <w:szCs w:val="18"/>
                <w:lang w:val="fr-FR"/>
              </w:rPr>
              <w:t>’</w:t>
            </w:r>
            <w:r w:rsidRPr="0052515F">
              <w:rPr>
                <w:color w:val="0D0D0D"/>
                <w:sz w:val="18"/>
                <w:szCs w:val="18"/>
                <w:lang w:val="fr-FR"/>
              </w:rPr>
              <w:t>ISF insistent pour dire qu</w:t>
            </w:r>
            <w:r w:rsidR="00F20C73">
              <w:rPr>
                <w:color w:val="0D0D0D"/>
                <w:sz w:val="18"/>
                <w:szCs w:val="18"/>
                <w:lang w:val="fr-FR"/>
              </w:rPr>
              <w:t>’</w:t>
            </w:r>
            <w:r w:rsidRPr="0052515F">
              <w:rPr>
                <w:color w:val="0D0D0D"/>
                <w:sz w:val="18"/>
                <w:szCs w:val="18"/>
                <w:lang w:val="fr-FR"/>
              </w:rPr>
              <w:t xml:space="preserve">il ne devrait en aucun cas </w:t>
            </w:r>
            <w:r>
              <w:rPr>
                <w:color w:val="0D0D0D"/>
                <w:sz w:val="18"/>
                <w:szCs w:val="18"/>
                <w:lang w:val="fr-FR"/>
              </w:rPr>
              <w:t>être obligatoire de fournir des lignées</w:t>
            </w:r>
            <w:r w:rsidRPr="0052515F">
              <w:rPr>
                <w:color w:val="0D0D0D"/>
                <w:sz w:val="18"/>
                <w:szCs w:val="18"/>
                <w:lang w:val="fr-FR"/>
              </w:rPr>
              <w:t xml:space="preserve"> parental</w:t>
            </w:r>
            <w:r>
              <w:rPr>
                <w:color w:val="0D0D0D"/>
                <w:sz w:val="18"/>
                <w:szCs w:val="18"/>
                <w:lang w:val="fr-FR"/>
              </w:rPr>
              <w:t xml:space="preserve">es pour les demandes </w:t>
            </w:r>
            <w:r w:rsidRPr="0052515F">
              <w:rPr>
                <w:color w:val="0D0D0D"/>
                <w:sz w:val="18"/>
                <w:szCs w:val="18"/>
                <w:lang w:val="fr-FR"/>
              </w:rPr>
              <w:t>hybrid</w:t>
            </w:r>
            <w:r>
              <w:rPr>
                <w:color w:val="0D0D0D"/>
                <w:sz w:val="18"/>
                <w:szCs w:val="18"/>
                <w:lang w:val="fr-FR"/>
              </w:rPr>
              <w:t>es</w:t>
            </w:r>
            <w:r w:rsidRPr="0052515F">
              <w:rPr>
                <w:color w:val="0D0D0D"/>
                <w:sz w:val="18"/>
                <w:szCs w:val="18"/>
                <w:lang w:val="fr-FR"/>
              </w:rPr>
              <w:t>.</w:t>
            </w:r>
          </w:p>
          <w:p w:rsidR="0020369A" w:rsidRPr="0052515F" w:rsidRDefault="0020369A" w:rsidP="0054760F">
            <w:pPr>
              <w:rPr>
                <w:color w:val="0D0D0D"/>
                <w:sz w:val="18"/>
                <w:szCs w:val="18"/>
                <w:lang w:val="fr-FR"/>
              </w:rPr>
            </w:pPr>
          </w:p>
          <w:p w:rsidR="0020369A" w:rsidRPr="006964CE" w:rsidRDefault="0020369A" w:rsidP="0054760F">
            <w:pPr>
              <w:rPr>
                <w:color w:val="0D0D0D"/>
                <w:sz w:val="18"/>
                <w:szCs w:val="18"/>
                <w:lang w:val="fr-FR"/>
              </w:rPr>
            </w:pPr>
            <w:r w:rsidRPr="00D46F61">
              <w:rPr>
                <w:color w:val="0D0D0D"/>
                <w:sz w:val="18"/>
                <w:szCs w:val="18"/>
                <w:lang w:val="fr-FR"/>
              </w:rPr>
              <w:t>Dans certains pays, la confidentialité de l</w:t>
            </w:r>
            <w:r w:rsidR="00F20C73">
              <w:rPr>
                <w:color w:val="0D0D0D"/>
                <w:sz w:val="18"/>
                <w:szCs w:val="18"/>
                <w:lang w:val="fr-FR"/>
              </w:rPr>
              <w:t>’</w:t>
            </w:r>
            <w:r w:rsidRPr="00D46F61">
              <w:rPr>
                <w:color w:val="0D0D0D"/>
                <w:sz w:val="18"/>
                <w:szCs w:val="18"/>
                <w:lang w:val="fr-FR"/>
              </w:rPr>
              <w:t>information ou de la semence fournie n</w:t>
            </w:r>
            <w:r w:rsidR="00F20C73">
              <w:rPr>
                <w:color w:val="0D0D0D"/>
                <w:sz w:val="18"/>
                <w:szCs w:val="18"/>
                <w:lang w:val="fr-FR"/>
              </w:rPr>
              <w:t>’</w:t>
            </w:r>
            <w:r w:rsidRPr="00D46F61">
              <w:rPr>
                <w:color w:val="0D0D0D"/>
                <w:sz w:val="18"/>
                <w:szCs w:val="18"/>
                <w:lang w:val="fr-FR"/>
              </w:rPr>
              <w:t>est pas garantie par les services des droits d</w:t>
            </w:r>
            <w:r w:rsidR="00F20C73">
              <w:rPr>
                <w:color w:val="0D0D0D"/>
                <w:sz w:val="18"/>
                <w:szCs w:val="18"/>
                <w:lang w:val="fr-FR"/>
              </w:rPr>
              <w:t>’</w:t>
            </w:r>
            <w:r w:rsidRPr="00D46F61">
              <w:rPr>
                <w:color w:val="0D0D0D"/>
                <w:sz w:val="18"/>
                <w:szCs w:val="18"/>
                <w:lang w:val="fr-FR"/>
              </w:rPr>
              <w:t xml:space="preserve">obtenteur. </w:t>
            </w:r>
            <w:r>
              <w:rPr>
                <w:color w:val="0D0D0D"/>
                <w:sz w:val="18"/>
                <w:szCs w:val="18"/>
                <w:lang w:val="fr-FR"/>
              </w:rPr>
              <w:t xml:space="preserve"> Dans ces conditions, plus grand est le risque de voir les lignées parentales devenir disponibles en public</w:t>
            </w:r>
            <w:r w:rsidRPr="00D46F61">
              <w:rPr>
                <w:color w:val="0D0D0D"/>
                <w:sz w:val="18"/>
                <w:szCs w:val="18"/>
                <w:lang w:val="fr-FR"/>
              </w:rPr>
              <w:t xml:space="preserve">. </w:t>
            </w:r>
            <w:r w:rsidR="002067E8">
              <w:rPr>
                <w:color w:val="0D0D0D"/>
                <w:sz w:val="18"/>
                <w:szCs w:val="18"/>
                <w:lang w:val="fr-FR"/>
              </w:rPr>
              <w:t xml:space="preserve"> </w:t>
            </w:r>
            <w:r>
              <w:rPr>
                <w:color w:val="0D0D0D"/>
                <w:sz w:val="18"/>
                <w:szCs w:val="18"/>
                <w:lang w:val="fr-FR"/>
              </w:rPr>
              <w:t>Une demande de fournir des semences de lignées</w:t>
            </w:r>
            <w:r w:rsidRPr="006964CE">
              <w:rPr>
                <w:color w:val="0D0D0D"/>
                <w:sz w:val="18"/>
                <w:szCs w:val="18"/>
                <w:lang w:val="fr-FR"/>
              </w:rPr>
              <w:t xml:space="preserve"> parentales est une importante raison pour laquelle les </w:t>
            </w:r>
            <w:r>
              <w:rPr>
                <w:color w:val="0D0D0D"/>
                <w:sz w:val="18"/>
                <w:szCs w:val="18"/>
                <w:lang w:val="fr-FR"/>
              </w:rPr>
              <w:t>entreprises semen</w:t>
            </w:r>
            <w:r w:rsidR="00917A8B">
              <w:rPr>
                <w:color w:val="0D0D0D"/>
                <w:sz w:val="18"/>
                <w:szCs w:val="18"/>
                <w:lang w:val="fr-FR"/>
              </w:rPr>
              <w:t>cières peuvent décider de ne pa</w:t>
            </w:r>
            <w:r>
              <w:rPr>
                <w:color w:val="0D0D0D"/>
                <w:sz w:val="18"/>
                <w:szCs w:val="18"/>
                <w:lang w:val="fr-FR"/>
              </w:rPr>
              <w:t>s déposer une demande dans ces pays</w:t>
            </w:r>
            <w:r w:rsidRPr="006964CE">
              <w:rPr>
                <w:color w:val="0D0D0D"/>
                <w:sz w:val="18"/>
                <w:szCs w:val="18"/>
                <w:lang w:val="fr-FR"/>
              </w:rPr>
              <w:t>.</w:t>
            </w:r>
          </w:p>
          <w:p w:rsidR="0020369A" w:rsidRPr="006964CE" w:rsidRDefault="0020369A" w:rsidP="0054760F">
            <w:pPr>
              <w:rPr>
                <w:color w:val="0D0D0D"/>
                <w:sz w:val="18"/>
                <w:szCs w:val="18"/>
                <w:lang w:val="fr-FR"/>
              </w:rPr>
            </w:pPr>
          </w:p>
          <w:p w:rsidR="0020369A" w:rsidRPr="00CD76B9" w:rsidRDefault="0020369A" w:rsidP="0054760F">
            <w:pPr>
              <w:rPr>
                <w:sz w:val="18"/>
                <w:szCs w:val="18"/>
                <w:lang w:val="fr-FR"/>
              </w:rPr>
            </w:pPr>
            <w:r>
              <w:rPr>
                <w:color w:val="0C0C0C"/>
                <w:sz w:val="18"/>
                <w:szCs w:val="18"/>
                <w:lang w:val="fr-FR"/>
              </w:rPr>
              <w:t>Conformément au document</w:t>
            </w:r>
            <w:r w:rsidRPr="009F7559">
              <w:rPr>
                <w:color w:val="0C0C0C"/>
                <w:sz w:val="18"/>
                <w:szCs w:val="18"/>
                <w:lang w:val="fr-FR"/>
              </w:rPr>
              <w:t xml:space="preserve"> TGP/4/</w:t>
            </w:r>
            <w:r w:rsidRPr="009F7559">
              <w:rPr>
                <w:color w:val="0C0C0C"/>
                <w:spacing w:val="-1"/>
                <w:sz w:val="18"/>
                <w:szCs w:val="18"/>
                <w:lang w:val="fr-FR"/>
              </w:rPr>
              <w:t>1</w:t>
            </w:r>
            <w:r w:rsidRPr="009F7559">
              <w:rPr>
                <w:color w:val="363636"/>
                <w:sz w:val="18"/>
                <w:szCs w:val="18"/>
                <w:lang w:val="fr-FR"/>
              </w:rPr>
              <w:t>, les services de protection des obtentions végétales prennent toutes les mesures nécessaires pour protéger les droits du déposant.</w:t>
            </w:r>
            <w:r w:rsidR="002067E8">
              <w:rPr>
                <w:color w:val="363636"/>
                <w:sz w:val="18"/>
                <w:szCs w:val="18"/>
                <w:lang w:val="fr-FR"/>
              </w:rPr>
              <w:t xml:space="preserve"> </w:t>
            </w:r>
            <w:r>
              <w:rPr>
                <w:color w:val="363636"/>
                <w:sz w:val="18"/>
                <w:szCs w:val="18"/>
                <w:lang w:val="fr-FR"/>
              </w:rPr>
              <w:t xml:space="preserve"> </w:t>
            </w:r>
            <w:r w:rsidRPr="00CD76B9">
              <w:rPr>
                <w:color w:val="363636"/>
                <w:sz w:val="18"/>
                <w:szCs w:val="18"/>
                <w:lang w:val="fr-FR"/>
              </w:rPr>
              <w:t>Selon l</w:t>
            </w:r>
            <w:r w:rsidR="00F20C73">
              <w:rPr>
                <w:color w:val="363636"/>
                <w:sz w:val="18"/>
                <w:szCs w:val="18"/>
                <w:lang w:val="fr-FR"/>
              </w:rPr>
              <w:t>’</w:t>
            </w:r>
            <w:r w:rsidRPr="00CD76B9">
              <w:rPr>
                <w:color w:val="0C0C0C"/>
                <w:sz w:val="18"/>
                <w:szCs w:val="18"/>
                <w:lang w:val="fr-FR"/>
              </w:rPr>
              <w:t>IS</w:t>
            </w:r>
            <w:r w:rsidRPr="00CD76B9">
              <w:rPr>
                <w:color w:val="0C0C0C"/>
                <w:spacing w:val="1"/>
                <w:sz w:val="18"/>
                <w:szCs w:val="18"/>
                <w:lang w:val="fr-FR"/>
              </w:rPr>
              <w:t>F</w:t>
            </w:r>
            <w:r w:rsidRPr="00CD76B9">
              <w:rPr>
                <w:color w:val="494949"/>
                <w:sz w:val="18"/>
                <w:szCs w:val="18"/>
                <w:lang w:val="fr-FR"/>
              </w:rPr>
              <w:t xml:space="preserve">, </w:t>
            </w:r>
            <w:r>
              <w:rPr>
                <w:color w:val="494949"/>
                <w:sz w:val="18"/>
                <w:szCs w:val="18"/>
                <w:lang w:val="fr-FR"/>
              </w:rPr>
              <w:t>cela consiste nota</w:t>
            </w:r>
            <w:r w:rsidRPr="00CD76B9">
              <w:rPr>
                <w:color w:val="494949"/>
                <w:sz w:val="18"/>
                <w:szCs w:val="18"/>
                <w:lang w:val="fr-FR"/>
              </w:rPr>
              <w:t xml:space="preserve">mment à traiter le </w:t>
            </w:r>
            <w:r w:rsidRPr="00CD76B9">
              <w:rPr>
                <w:color w:val="0C0C0C"/>
                <w:sz w:val="18"/>
                <w:szCs w:val="18"/>
                <w:lang w:val="fr-FR"/>
              </w:rPr>
              <w:t>maté</w:t>
            </w:r>
            <w:r>
              <w:rPr>
                <w:color w:val="0C0C0C"/>
                <w:sz w:val="18"/>
                <w:szCs w:val="18"/>
                <w:lang w:val="fr-FR"/>
              </w:rPr>
              <w:t>rie</w:t>
            </w:r>
            <w:r w:rsidRPr="00CD76B9">
              <w:rPr>
                <w:color w:val="0C0C0C"/>
                <w:sz w:val="18"/>
                <w:szCs w:val="18"/>
                <w:lang w:val="fr-FR"/>
              </w:rPr>
              <w:t>l avec la plus grande confidentialité et à utiliser un accord de transfert de m</w:t>
            </w:r>
            <w:r>
              <w:rPr>
                <w:color w:val="0C0C0C"/>
                <w:sz w:val="18"/>
                <w:szCs w:val="18"/>
                <w:lang w:val="fr-FR"/>
              </w:rPr>
              <w:t>atérie</w:t>
            </w:r>
            <w:r w:rsidRPr="00CD76B9">
              <w:rPr>
                <w:color w:val="0C0C0C"/>
                <w:sz w:val="18"/>
                <w:szCs w:val="18"/>
                <w:lang w:val="fr-FR"/>
              </w:rPr>
              <w:t xml:space="preserve">l </w:t>
            </w:r>
            <w:r>
              <w:rPr>
                <w:color w:val="0C0C0C"/>
                <w:sz w:val="18"/>
                <w:szCs w:val="18"/>
                <w:lang w:val="fr-FR"/>
              </w:rPr>
              <w:t>entre l</w:t>
            </w:r>
            <w:r w:rsidR="00F20C73">
              <w:rPr>
                <w:color w:val="0C0C0C"/>
                <w:sz w:val="18"/>
                <w:szCs w:val="18"/>
                <w:lang w:val="fr-FR"/>
              </w:rPr>
              <w:t>’</w:t>
            </w:r>
            <w:r>
              <w:rPr>
                <w:color w:val="0C0C0C"/>
                <w:sz w:val="18"/>
                <w:szCs w:val="18"/>
                <w:lang w:val="fr-FR"/>
              </w:rPr>
              <w:t>office des droits d</w:t>
            </w:r>
            <w:r w:rsidR="00F20C73">
              <w:rPr>
                <w:color w:val="0C0C0C"/>
                <w:sz w:val="18"/>
                <w:szCs w:val="18"/>
                <w:lang w:val="fr-FR"/>
              </w:rPr>
              <w:t>’</w:t>
            </w:r>
            <w:r>
              <w:rPr>
                <w:color w:val="0C0C0C"/>
                <w:sz w:val="18"/>
                <w:szCs w:val="18"/>
                <w:lang w:val="fr-FR"/>
              </w:rPr>
              <w:t>obtenteur et le déposant qui devrait alors garantir le traitement co</w:t>
            </w:r>
            <w:r w:rsidRPr="00CD76B9">
              <w:rPr>
                <w:color w:val="0C0C0C"/>
                <w:sz w:val="18"/>
                <w:szCs w:val="18"/>
                <w:lang w:val="fr-FR"/>
              </w:rPr>
              <w:t>nfidenti</w:t>
            </w:r>
            <w:r>
              <w:rPr>
                <w:color w:val="0C0C0C"/>
                <w:sz w:val="18"/>
                <w:szCs w:val="18"/>
                <w:lang w:val="fr-FR"/>
              </w:rPr>
              <w:t>e</w:t>
            </w:r>
            <w:r w:rsidRPr="00CD76B9">
              <w:rPr>
                <w:color w:val="0C0C0C"/>
                <w:sz w:val="18"/>
                <w:szCs w:val="18"/>
                <w:lang w:val="fr-FR"/>
              </w:rPr>
              <w:t xml:space="preserve">l </w:t>
            </w:r>
            <w:r>
              <w:rPr>
                <w:color w:val="0C0C0C"/>
                <w:sz w:val="18"/>
                <w:szCs w:val="18"/>
                <w:lang w:val="fr-FR"/>
              </w:rPr>
              <w:t>de ce</w:t>
            </w:r>
            <w:r w:rsidRPr="00CD76B9">
              <w:rPr>
                <w:color w:val="0C0C0C"/>
                <w:sz w:val="18"/>
                <w:szCs w:val="18"/>
                <w:lang w:val="fr-FR"/>
              </w:rPr>
              <w:t xml:space="preserve"> </w:t>
            </w:r>
            <w:r>
              <w:rPr>
                <w:color w:val="0C0C0C"/>
                <w:sz w:val="18"/>
                <w:szCs w:val="18"/>
                <w:lang w:val="fr-FR"/>
              </w:rPr>
              <w:t>maté</w:t>
            </w:r>
            <w:r w:rsidRPr="00CD76B9">
              <w:rPr>
                <w:color w:val="0C0C0C"/>
                <w:sz w:val="18"/>
                <w:szCs w:val="18"/>
                <w:lang w:val="fr-FR"/>
              </w:rPr>
              <w:t>ri</w:t>
            </w:r>
            <w:r>
              <w:rPr>
                <w:color w:val="0C0C0C"/>
                <w:sz w:val="18"/>
                <w:szCs w:val="18"/>
                <w:lang w:val="fr-FR"/>
              </w:rPr>
              <w:t>e</w:t>
            </w:r>
            <w:r w:rsidRPr="00CD76B9">
              <w:rPr>
                <w:color w:val="0C0C0C"/>
                <w:sz w:val="18"/>
                <w:szCs w:val="18"/>
                <w:lang w:val="fr-FR"/>
              </w:rPr>
              <w:t xml:space="preserve">l. </w:t>
            </w:r>
            <w:r w:rsidR="002067E8">
              <w:rPr>
                <w:color w:val="0C0C0C"/>
                <w:sz w:val="18"/>
                <w:szCs w:val="18"/>
                <w:lang w:val="fr-FR"/>
              </w:rPr>
              <w:t xml:space="preserve"> </w:t>
            </w:r>
            <w:r w:rsidRPr="00CD76B9">
              <w:rPr>
                <w:color w:val="0C0C0C"/>
                <w:sz w:val="18"/>
                <w:szCs w:val="18"/>
                <w:lang w:val="fr-FR"/>
              </w:rPr>
              <w:t>Une fois garantie la confidentialité</w:t>
            </w:r>
            <w:r w:rsidRPr="00CD76B9">
              <w:rPr>
                <w:color w:val="363636"/>
                <w:sz w:val="18"/>
                <w:szCs w:val="18"/>
                <w:lang w:val="fr-FR"/>
              </w:rPr>
              <w:t>, la taille de l</w:t>
            </w:r>
            <w:r w:rsidR="00F20C73">
              <w:rPr>
                <w:color w:val="363636"/>
                <w:sz w:val="18"/>
                <w:szCs w:val="18"/>
                <w:lang w:val="fr-FR"/>
              </w:rPr>
              <w:t>’</w:t>
            </w:r>
            <w:r w:rsidRPr="00CD76B9">
              <w:rPr>
                <w:color w:val="363636"/>
                <w:sz w:val="18"/>
                <w:szCs w:val="18"/>
                <w:lang w:val="fr-FR"/>
              </w:rPr>
              <w:t xml:space="preserve">échantillon des semences </w:t>
            </w:r>
            <w:r>
              <w:rPr>
                <w:color w:val="363636"/>
                <w:sz w:val="18"/>
                <w:szCs w:val="18"/>
                <w:lang w:val="fr-FR"/>
              </w:rPr>
              <w:t xml:space="preserve">demandé </w:t>
            </w:r>
            <w:r w:rsidRPr="00CD76B9">
              <w:rPr>
                <w:color w:val="363636"/>
                <w:sz w:val="18"/>
                <w:szCs w:val="18"/>
                <w:lang w:val="fr-FR"/>
              </w:rPr>
              <w:t xml:space="preserve">doit encore </w:t>
            </w:r>
            <w:r>
              <w:rPr>
                <w:color w:val="363636"/>
                <w:sz w:val="18"/>
                <w:szCs w:val="18"/>
                <w:lang w:val="fr-FR"/>
              </w:rPr>
              <w:t>être raisonnable</w:t>
            </w:r>
            <w:r w:rsidRPr="00CD76B9">
              <w:rPr>
                <w:color w:val="262626"/>
                <w:sz w:val="18"/>
                <w:szCs w:val="18"/>
                <w:lang w:val="fr-FR"/>
              </w:rPr>
              <w:t xml:space="preserve">. </w:t>
            </w:r>
            <w:r w:rsidR="002067E8">
              <w:rPr>
                <w:color w:val="262626"/>
                <w:sz w:val="18"/>
                <w:szCs w:val="18"/>
                <w:lang w:val="fr-FR"/>
              </w:rPr>
              <w:t xml:space="preserve"> </w:t>
            </w:r>
            <w:r w:rsidRPr="00CD76B9">
              <w:rPr>
                <w:color w:val="262626"/>
                <w:sz w:val="18"/>
                <w:szCs w:val="18"/>
                <w:lang w:val="fr-FR"/>
              </w:rPr>
              <w:t xml:space="preserve">Dans les pays où </w:t>
            </w:r>
            <w:r w:rsidRPr="00CD76B9">
              <w:rPr>
                <w:color w:val="363636"/>
                <w:sz w:val="18"/>
                <w:szCs w:val="18"/>
                <w:lang w:val="fr-FR"/>
              </w:rPr>
              <w:t>la taille de l</w:t>
            </w:r>
            <w:r w:rsidR="00F20C73">
              <w:rPr>
                <w:color w:val="363636"/>
                <w:sz w:val="18"/>
                <w:szCs w:val="18"/>
                <w:lang w:val="fr-FR"/>
              </w:rPr>
              <w:t>’</w:t>
            </w:r>
            <w:r w:rsidRPr="00CD76B9">
              <w:rPr>
                <w:color w:val="363636"/>
                <w:sz w:val="18"/>
                <w:szCs w:val="18"/>
                <w:lang w:val="fr-FR"/>
              </w:rPr>
              <w:t xml:space="preserve">échantillon des semences </w:t>
            </w:r>
            <w:r>
              <w:rPr>
                <w:color w:val="363636"/>
                <w:sz w:val="18"/>
                <w:szCs w:val="18"/>
                <w:lang w:val="fr-FR"/>
              </w:rPr>
              <w:t xml:space="preserve">demandé est trop grande, </w:t>
            </w:r>
            <w:r w:rsidRPr="006964CE">
              <w:rPr>
                <w:color w:val="0D0D0D"/>
                <w:sz w:val="18"/>
                <w:szCs w:val="18"/>
                <w:lang w:val="fr-FR"/>
              </w:rPr>
              <w:t xml:space="preserve">les </w:t>
            </w:r>
            <w:r>
              <w:rPr>
                <w:color w:val="0D0D0D"/>
                <w:sz w:val="18"/>
                <w:szCs w:val="18"/>
                <w:lang w:val="fr-FR"/>
              </w:rPr>
              <w:t>entreprises semencières ont alors une autre raison pour envisager de ne pas déposer une demande</w:t>
            </w:r>
            <w:r w:rsidRPr="00CD76B9">
              <w:rPr>
                <w:color w:val="494949"/>
                <w:w w:val="90"/>
                <w:sz w:val="18"/>
                <w:szCs w:val="18"/>
                <w:lang w:val="fr-FR"/>
              </w:rPr>
              <w:t>.</w:t>
            </w:r>
          </w:p>
          <w:p w:rsidR="0020369A" w:rsidRPr="00CD76B9" w:rsidRDefault="0020369A" w:rsidP="0054760F">
            <w:pPr>
              <w:rPr>
                <w:sz w:val="18"/>
                <w:szCs w:val="18"/>
                <w:lang w:val="fr-FR"/>
              </w:rPr>
            </w:pPr>
          </w:p>
          <w:p w:rsidR="0020369A" w:rsidRPr="00B6646F" w:rsidRDefault="0020369A" w:rsidP="0054760F">
            <w:pPr>
              <w:rPr>
                <w:color w:val="0D0D0D"/>
                <w:sz w:val="18"/>
                <w:szCs w:val="18"/>
                <w:u w:val="single"/>
                <w:lang w:val="fr-FR"/>
              </w:rPr>
            </w:pPr>
            <w:r w:rsidRPr="00B6646F">
              <w:rPr>
                <w:color w:val="0C0C0C"/>
                <w:sz w:val="18"/>
                <w:szCs w:val="18"/>
                <w:lang w:val="fr-FR"/>
              </w:rPr>
              <w:t>Lorsque des organisations chargées de la procédure d</w:t>
            </w:r>
            <w:r w:rsidR="00F20C73">
              <w:rPr>
                <w:color w:val="0C0C0C"/>
                <w:sz w:val="18"/>
                <w:szCs w:val="18"/>
                <w:lang w:val="fr-FR"/>
              </w:rPr>
              <w:t>’</w:t>
            </w:r>
            <w:r w:rsidRPr="00B6646F">
              <w:rPr>
                <w:color w:val="0C0C0C"/>
                <w:sz w:val="18"/>
                <w:szCs w:val="18"/>
                <w:lang w:val="fr-FR"/>
              </w:rPr>
              <w:t>examen des droits d</w:t>
            </w:r>
            <w:r w:rsidR="00F20C73">
              <w:rPr>
                <w:color w:val="0C0C0C"/>
                <w:sz w:val="18"/>
                <w:szCs w:val="18"/>
                <w:lang w:val="fr-FR"/>
              </w:rPr>
              <w:t>’</w:t>
            </w:r>
            <w:r w:rsidRPr="00B6646F">
              <w:rPr>
                <w:color w:val="0C0C0C"/>
                <w:sz w:val="18"/>
                <w:szCs w:val="18"/>
                <w:lang w:val="fr-FR"/>
              </w:rPr>
              <w:t>obtenteur créent elles</w:t>
            </w:r>
            <w:r w:rsidR="0014634A">
              <w:rPr>
                <w:color w:val="0C0C0C"/>
                <w:sz w:val="18"/>
                <w:szCs w:val="18"/>
                <w:lang w:val="fr-FR"/>
              </w:rPr>
              <w:noBreakHyphen/>
            </w:r>
            <w:r w:rsidRPr="00B6646F">
              <w:rPr>
                <w:color w:val="0C0C0C"/>
                <w:sz w:val="18"/>
                <w:szCs w:val="18"/>
                <w:lang w:val="fr-FR"/>
              </w:rPr>
              <w:t>mêmes des variétés de la même espèce que celles d</w:t>
            </w:r>
            <w:r w:rsidR="00F20C73">
              <w:rPr>
                <w:color w:val="0C0C0C"/>
                <w:sz w:val="18"/>
                <w:szCs w:val="18"/>
                <w:lang w:val="fr-FR"/>
              </w:rPr>
              <w:t>’</w:t>
            </w:r>
            <w:r w:rsidRPr="00B6646F">
              <w:rPr>
                <w:color w:val="0C0C0C"/>
                <w:sz w:val="18"/>
                <w:szCs w:val="18"/>
                <w:lang w:val="fr-FR"/>
              </w:rPr>
              <w:t>autres déposants</w:t>
            </w:r>
            <w:r w:rsidRPr="00B6646F">
              <w:rPr>
                <w:color w:val="494949"/>
                <w:sz w:val="18"/>
                <w:szCs w:val="18"/>
                <w:lang w:val="fr-FR"/>
              </w:rPr>
              <w:t xml:space="preserve">, des mesures claires et rigoureuses devraient </w:t>
            </w:r>
            <w:r>
              <w:rPr>
                <w:color w:val="494949"/>
                <w:sz w:val="18"/>
                <w:szCs w:val="18"/>
                <w:lang w:val="fr-FR"/>
              </w:rPr>
              <w:t>être prises pour garantir la</w:t>
            </w:r>
            <w:r w:rsidRPr="00B6646F">
              <w:rPr>
                <w:color w:val="0C0C0C"/>
                <w:sz w:val="18"/>
                <w:szCs w:val="18"/>
                <w:lang w:val="fr-FR"/>
              </w:rPr>
              <w:t xml:space="preserve"> confiden</w:t>
            </w:r>
            <w:r w:rsidRPr="00B6646F">
              <w:rPr>
                <w:color w:val="0C0C0C"/>
                <w:spacing w:val="3"/>
                <w:sz w:val="18"/>
                <w:szCs w:val="18"/>
                <w:lang w:val="fr-FR"/>
              </w:rPr>
              <w:t>t</w:t>
            </w:r>
            <w:r w:rsidRPr="00B6646F">
              <w:rPr>
                <w:color w:val="262626"/>
                <w:spacing w:val="1"/>
                <w:sz w:val="18"/>
                <w:szCs w:val="18"/>
                <w:lang w:val="fr-FR"/>
              </w:rPr>
              <w:t>i</w:t>
            </w:r>
            <w:r w:rsidRPr="00B6646F">
              <w:rPr>
                <w:color w:val="0C0C0C"/>
                <w:sz w:val="18"/>
                <w:szCs w:val="18"/>
                <w:lang w:val="fr-FR"/>
              </w:rPr>
              <w:t>alit</w:t>
            </w:r>
            <w:r>
              <w:rPr>
                <w:color w:val="0C0C0C"/>
                <w:sz w:val="18"/>
                <w:szCs w:val="18"/>
                <w:lang w:val="fr-FR"/>
              </w:rPr>
              <w:t>é</w:t>
            </w:r>
            <w:r w:rsidRPr="00B6646F">
              <w:rPr>
                <w:color w:val="0C0C0C"/>
                <w:sz w:val="18"/>
                <w:szCs w:val="18"/>
                <w:lang w:val="fr-FR"/>
              </w:rPr>
              <w:t xml:space="preserve"> </w:t>
            </w:r>
            <w:r>
              <w:rPr>
                <w:color w:val="0C0C0C"/>
                <w:sz w:val="18"/>
                <w:szCs w:val="18"/>
                <w:lang w:val="fr-FR"/>
              </w:rPr>
              <w:t>du matériel du déposant</w:t>
            </w:r>
            <w:r w:rsidRPr="00B6646F">
              <w:rPr>
                <w:color w:val="0C0C0C"/>
                <w:w w:val="103"/>
                <w:sz w:val="18"/>
                <w:szCs w:val="18"/>
                <w:lang w:val="fr-FR"/>
              </w:rPr>
              <w:t>.</w:t>
            </w:r>
          </w:p>
        </w:tc>
      </w:tr>
    </w:tbl>
    <w:p w:rsidR="0020369A" w:rsidRPr="00B6646F" w:rsidRDefault="0020369A" w:rsidP="0028357E">
      <w:pPr>
        <w:keepNext/>
        <w:rPr>
          <w:i/>
          <w:iCs/>
          <w:snapToGrid w:val="0"/>
          <w:lang w:val="fr-FR"/>
        </w:rPr>
      </w:pPr>
    </w:p>
    <w:tbl>
      <w:tblPr>
        <w:tblW w:w="0" w:type="auto"/>
        <w:jc w:val="center"/>
        <w:tblInd w:w="-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0A0" w:firstRow="1" w:lastRow="0" w:firstColumn="1" w:lastColumn="0" w:noHBand="0" w:noVBand="0"/>
      </w:tblPr>
      <w:tblGrid>
        <w:gridCol w:w="8788"/>
      </w:tblGrid>
      <w:tr w:rsidR="0020369A" w:rsidRPr="00B113EE" w:rsidTr="00045613">
        <w:trPr>
          <w:cantSplit/>
          <w:jc w:val="center"/>
        </w:trPr>
        <w:tc>
          <w:tcPr>
            <w:tcW w:w="8788" w:type="dxa"/>
          </w:tcPr>
          <w:p w:rsidR="0020369A" w:rsidRPr="00107021" w:rsidRDefault="0020369A" w:rsidP="00C21485">
            <w:pPr>
              <w:ind w:right="567"/>
              <w:rPr>
                <w:sz w:val="18"/>
                <w:szCs w:val="18"/>
                <w:lang w:val="fr-FR"/>
              </w:rPr>
            </w:pPr>
            <w:r w:rsidRPr="00107021">
              <w:rPr>
                <w:sz w:val="18"/>
                <w:szCs w:val="18"/>
                <w:lang w:val="fr-FR"/>
              </w:rPr>
              <w:t>[</w:t>
            </w:r>
            <w:r w:rsidRPr="00DF4C14">
              <w:rPr>
                <w:sz w:val="18"/>
                <w:szCs w:val="18"/>
                <w:lang w:val="fr-FR"/>
              </w:rPr>
              <w:t>Extrait de la lettre de l</w:t>
            </w:r>
            <w:r w:rsidR="00F20C73">
              <w:rPr>
                <w:sz w:val="18"/>
                <w:szCs w:val="18"/>
                <w:lang w:val="fr-FR"/>
              </w:rPr>
              <w:t>’</w:t>
            </w:r>
            <w:r w:rsidRPr="00DF4C14">
              <w:rPr>
                <w:sz w:val="18"/>
                <w:szCs w:val="18"/>
                <w:lang w:val="fr-FR"/>
              </w:rPr>
              <w:t>ISF – (original</w:t>
            </w:r>
            <w:r w:rsidR="002067E8">
              <w:rPr>
                <w:sz w:val="18"/>
                <w:szCs w:val="18"/>
                <w:lang w:val="fr-FR"/>
              </w:rPr>
              <w:t> </w:t>
            </w:r>
            <w:r w:rsidRPr="00DF4C14">
              <w:rPr>
                <w:sz w:val="18"/>
                <w:szCs w:val="18"/>
                <w:lang w:val="fr-FR"/>
              </w:rPr>
              <w:t>: anglais</w:t>
            </w:r>
            <w:r w:rsidRPr="00107021">
              <w:rPr>
                <w:sz w:val="18"/>
                <w:szCs w:val="18"/>
                <w:lang w:val="fr-FR"/>
              </w:rPr>
              <w:t>)]</w:t>
            </w:r>
          </w:p>
          <w:p w:rsidR="0020369A" w:rsidRPr="00B113EE" w:rsidRDefault="0020369A" w:rsidP="00917A8B">
            <w:pPr>
              <w:rPr>
                <w:color w:val="0D0D0D"/>
                <w:sz w:val="18"/>
                <w:szCs w:val="18"/>
                <w:u w:val="single"/>
                <w:lang w:val="fr-FR"/>
              </w:rPr>
            </w:pPr>
            <w:r w:rsidRPr="00B113EE">
              <w:rPr>
                <w:color w:val="0D0D0D"/>
                <w:sz w:val="18"/>
                <w:szCs w:val="18"/>
                <w:u w:val="single"/>
                <w:lang w:val="fr-FR"/>
              </w:rPr>
              <w:t>R</w:t>
            </w:r>
            <w:r>
              <w:rPr>
                <w:color w:val="0D0D0D"/>
                <w:sz w:val="18"/>
                <w:szCs w:val="18"/>
                <w:u w:val="single"/>
                <w:lang w:val="fr-FR"/>
              </w:rPr>
              <w:t>ègles régissa</w:t>
            </w:r>
            <w:r w:rsidRPr="00B113EE">
              <w:rPr>
                <w:color w:val="0D0D0D"/>
                <w:sz w:val="18"/>
                <w:szCs w:val="18"/>
                <w:u w:val="single"/>
                <w:lang w:val="fr-FR"/>
              </w:rPr>
              <w:t>nt l</w:t>
            </w:r>
            <w:r w:rsidR="00F20C73">
              <w:rPr>
                <w:color w:val="0D0D0D"/>
                <w:sz w:val="18"/>
                <w:szCs w:val="18"/>
                <w:u w:val="single"/>
                <w:lang w:val="fr-FR"/>
              </w:rPr>
              <w:t>’</w:t>
            </w:r>
            <w:r w:rsidRPr="00B113EE">
              <w:rPr>
                <w:color w:val="0D0D0D"/>
                <w:sz w:val="18"/>
                <w:szCs w:val="18"/>
                <w:u w:val="single"/>
                <w:lang w:val="fr-FR"/>
              </w:rPr>
              <w:t>échange de matériel</w:t>
            </w:r>
            <w:r w:rsidR="002067E8" w:rsidRPr="00982CBF">
              <w:rPr>
                <w:color w:val="0D0D0D"/>
                <w:sz w:val="18"/>
                <w:szCs w:val="18"/>
                <w:lang w:val="fr-FR"/>
              </w:rPr>
              <w:t> :</w:t>
            </w:r>
            <w:r w:rsidRPr="00B113EE">
              <w:rPr>
                <w:color w:val="0D0D0D"/>
                <w:sz w:val="18"/>
                <w:szCs w:val="18"/>
                <w:lang w:val="fr-FR"/>
              </w:rPr>
              <w:t xml:space="preserve"> Dans nombre de pays, il n</w:t>
            </w:r>
            <w:r w:rsidR="00F20C73">
              <w:rPr>
                <w:color w:val="0D0D0D"/>
                <w:sz w:val="18"/>
                <w:szCs w:val="18"/>
                <w:lang w:val="fr-FR"/>
              </w:rPr>
              <w:t>’</w:t>
            </w:r>
            <w:r w:rsidRPr="00B113EE">
              <w:rPr>
                <w:color w:val="0D0D0D"/>
                <w:sz w:val="18"/>
                <w:szCs w:val="18"/>
                <w:lang w:val="fr-FR"/>
              </w:rPr>
              <w:t>y a aucune règle ou ligne di</w:t>
            </w:r>
            <w:r>
              <w:rPr>
                <w:color w:val="0D0D0D"/>
                <w:sz w:val="18"/>
                <w:szCs w:val="18"/>
                <w:lang w:val="fr-FR"/>
              </w:rPr>
              <w:t>rectrice formelle pour l</w:t>
            </w:r>
            <w:r w:rsidR="00F20C73">
              <w:rPr>
                <w:color w:val="0D0D0D"/>
                <w:sz w:val="18"/>
                <w:szCs w:val="18"/>
                <w:lang w:val="fr-FR"/>
              </w:rPr>
              <w:t>’</w:t>
            </w:r>
            <w:r>
              <w:rPr>
                <w:color w:val="0D0D0D"/>
                <w:sz w:val="18"/>
                <w:szCs w:val="18"/>
                <w:lang w:val="fr-FR"/>
              </w:rPr>
              <w:t>échange de matériel végétal ou de semences entre les offices d</w:t>
            </w:r>
            <w:r w:rsidR="00F20C73">
              <w:rPr>
                <w:color w:val="0D0D0D"/>
                <w:sz w:val="18"/>
                <w:szCs w:val="18"/>
                <w:lang w:val="fr-FR"/>
              </w:rPr>
              <w:t>’</w:t>
            </w:r>
            <w:r w:rsidRPr="00B113EE">
              <w:rPr>
                <w:color w:val="0D0D0D"/>
                <w:sz w:val="18"/>
                <w:szCs w:val="18"/>
                <w:lang w:val="fr-FR"/>
              </w:rPr>
              <w:t>exam</w:t>
            </w:r>
            <w:r>
              <w:rPr>
                <w:color w:val="0D0D0D"/>
                <w:sz w:val="18"/>
                <w:szCs w:val="18"/>
                <w:lang w:val="fr-FR"/>
              </w:rPr>
              <w:t>e</w:t>
            </w:r>
            <w:r w:rsidRPr="00B113EE">
              <w:rPr>
                <w:color w:val="0D0D0D"/>
                <w:sz w:val="18"/>
                <w:szCs w:val="18"/>
                <w:lang w:val="fr-FR"/>
              </w:rPr>
              <w:t>n.  Les membres de l</w:t>
            </w:r>
            <w:r w:rsidR="00F20C73">
              <w:rPr>
                <w:color w:val="0D0D0D"/>
                <w:sz w:val="18"/>
                <w:szCs w:val="18"/>
                <w:lang w:val="fr-FR"/>
              </w:rPr>
              <w:t>’</w:t>
            </w:r>
            <w:r w:rsidRPr="00B113EE">
              <w:rPr>
                <w:color w:val="0D0D0D"/>
                <w:sz w:val="18"/>
                <w:szCs w:val="18"/>
                <w:lang w:val="fr-FR"/>
              </w:rPr>
              <w:t>ISF sont d</w:t>
            </w:r>
            <w:r w:rsidR="00F20C73">
              <w:rPr>
                <w:color w:val="0D0D0D"/>
                <w:sz w:val="18"/>
                <w:szCs w:val="18"/>
                <w:lang w:val="fr-FR"/>
              </w:rPr>
              <w:t>’</w:t>
            </w:r>
            <w:r w:rsidRPr="00B113EE">
              <w:rPr>
                <w:color w:val="0D0D0D"/>
                <w:sz w:val="18"/>
                <w:szCs w:val="18"/>
                <w:lang w:val="fr-FR"/>
              </w:rPr>
              <w:t>avis qu</w:t>
            </w:r>
            <w:r w:rsidR="00F20C73">
              <w:rPr>
                <w:color w:val="0D0D0D"/>
                <w:sz w:val="18"/>
                <w:szCs w:val="18"/>
                <w:lang w:val="fr-FR"/>
              </w:rPr>
              <w:t>’</w:t>
            </w:r>
            <w:r w:rsidRPr="00B113EE">
              <w:rPr>
                <w:color w:val="0D0D0D"/>
                <w:sz w:val="18"/>
                <w:szCs w:val="18"/>
                <w:lang w:val="fr-FR"/>
              </w:rPr>
              <w:t xml:space="preserve">une bonne traçabilité est très importante. </w:t>
            </w:r>
            <w:r w:rsidR="002067E8">
              <w:rPr>
                <w:color w:val="0D0D0D"/>
                <w:sz w:val="18"/>
                <w:szCs w:val="18"/>
                <w:lang w:val="fr-FR"/>
              </w:rPr>
              <w:t xml:space="preserve"> </w:t>
            </w:r>
            <w:r>
              <w:rPr>
                <w:color w:val="0D0D0D"/>
                <w:sz w:val="18"/>
                <w:szCs w:val="18"/>
                <w:lang w:val="fr-FR"/>
              </w:rPr>
              <w:t>Il arrive souvent que les obtenteurs ne savent pas ce qu</w:t>
            </w:r>
            <w:r w:rsidR="00F20C73">
              <w:rPr>
                <w:color w:val="0D0D0D"/>
                <w:sz w:val="18"/>
                <w:szCs w:val="18"/>
                <w:lang w:val="fr-FR"/>
              </w:rPr>
              <w:t>’</w:t>
            </w:r>
            <w:r>
              <w:rPr>
                <w:color w:val="0D0D0D"/>
                <w:sz w:val="18"/>
                <w:szCs w:val="18"/>
                <w:lang w:val="fr-FR"/>
              </w:rPr>
              <w:t>i</w:t>
            </w:r>
            <w:r w:rsidR="00917A8B">
              <w:rPr>
                <w:color w:val="0D0D0D"/>
                <w:sz w:val="18"/>
                <w:szCs w:val="18"/>
                <w:lang w:val="fr-FR"/>
              </w:rPr>
              <w:t>l</w:t>
            </w:r>
            <w:r>
              <w:rPr>
                <w:color w:val="0D0D0D"/>
                <w:sz w:val="18"/>
                <w:szCs w:val="18"/>
                <w:lang w:val="fr-FR"/>
              </w:rPr>
              <w:t xml:space="preserve"> advient de leur</w:t>
            </w:r>
            <w:r w:rsidRPr="00B113EE">
              <w:rPr>
                <w:color w:val="0D0D0D"/>
                <w:sz w:val="18"/>
                <w:szCs w:val="18"/>
                <w:lang w:val="fr-FR"/>
              </w:rPr>
              <w:t xml:space="preserve"> maté</w:t>
            </w:r>
            <w:r>
              <w:rPr>
                <w:color w:val="0D0D0D"/>
                <w:sz w:val="18"/>
                <w:szCs w:val="18"/>
                <w:lang w:val="fr-FR"/>
              </w:rPr>
              <w:t>rie</w:t>
            </w:r>
            <w:r w:rsidRPr="00B113EE">
              <w:rPr>
                <w:color w:val="0D0D0D"/>
                <w:sz w:val="18"/>
                <w:szCs w:val="18"/>
                <w:lang w:val="fr-FR"/>
              </w:rPr>
              <w:t xml:space="preserve">l </w:t>
            </w:r>
            <w:r>
              <w:rPr>
                <w:color w:val="0D0D0D"/>
                <w:sz w:val="18"/>
                <w:szCs w:val="18"/>
                <w:lang w:val="fr-FR"/>
              </w:rPr>
              <w:t>une fois leur demande terminée</w:t>
            </w:r>
            <w:r w:rsidRPr="00B113EE">
              <w:rPr>
                <w:color w:val="0D0D0D"/>
                <w:sz w:val="18"/>
                <w:szCs w:val="18"/>
                <w:lang w:val="fr-FR"/>
              </w:rPr>
              <w:t>.  Au minimum, l</w:t>
            </w:r>
            <w:r w:rsidR="00F20C73">
              <w:rPr>
                <w:color w:val="0D0D0D"/>
                <w:sz w:val="18"/>
                <w:szCs w:val="18"/>
                <w:lang w:val="fr-FR"/>
              </w:rPr>
              <w:t>’</w:t>
            </w:r>
            <w:r w:rsidRPr="00B113EE">
              <w:rPr>
                <w:color w:val="0D0D0D"/>
                <w:sz w:val="18"/>
                <w:szCs w:val="18"/>
                <w:lang w:val="fr-FR"/>
              </w:rPr>
              <w:t>obtenteur devrait être notifié et idéalement tenu de donner son autori</w:t>
            </w:r>
            <w:r>
              <w:rPr>
                <w:color w:val="0D0D0D"/>
                <w:sz w:val="18"/>
                <w:szCs w:val="18"/>
                <w:lang w:val="fr-FR"/>
              </w:rPr>
              <w:t>s</w:t>
            </w:r>
            <w:r w:rsidRPr="00B113EE">
              <w:rPr>
                <w:color w:val="0D0D0D"/>
                <w:sz w:val="18"/>
                <w:szCs w:val="18"/>
                <w:lang w:val="fr-FR"/>
              </w:rPr>
              <w:t xml:space="preserve">ation </w:t>
            </w:r>
            <w:r w:rsidR="00917A8B">
              <w:rPr>
                <w:color w:val="0D0D0D"/>
                <w:sz w:val="18"/>
                <w:szCs w:val="18"/>
                <w:lang w:val="fr-FR"/>
              </w:rPr>
              <w:t>avant que le</w:t>
            </w:r>
            <w:r>
              <w:rPr>
                <w:color w:val="0D0D0D"/>
                <w:sz w:val="18"/>
                <w:szCs w:val="18"/>
                <w:lang w:val="fr-FR"/>
              </w:rPr>
              <w:t xml:space="preserve"> matérie</w:t>
            </w:r>
            <w:r w:rsidRPr="00B113EE">
              <w:rPr>
                <w:color w:val="0D0D0D"/>
                <w:sz w:val="18"/>
                <w:szCs w:val="18"/>
                <w:lang w:val="fr-FR"/>
              </w:rPr>
              <w:t xml:space="preserve">l </w:t>
            </w:r>
            <w:r>
              <w:rPr>
                <w:color w:val="0D0D0D"/>
                <w:sz w:val="18"/>
                <w:szCs w:val="18"/>
                <w:lang w:val="fr-FR"/>
              </w:rPr>
              <w:t>de sa variété ne soit envoyé à d</w:t>
            </w:r>
            <w:r w:rsidR="00F20C73">
              <w:rPr>
                <w:color w:val="0D0D0D"/>
                <w:sz w:val="18"/>
                <w:szCs w:val="18"/>
                <w:lang w:val="fr-FR"/>
              </w:rPr>
              <w:t>’</w:t>
            </w:r>
            <w:r>
              <w:rPr>
                <w:color w:val="0D0D0D"/>
                <w:sz w:val="18"/>
                <w:szCs w:val="18"/>
                <w:lang w:val="fr-FR"/>
              </w:rPr>
              <w:t>autres services</w:t>
            </w:r>
            <w:r w:rsidRPr="00B113EE">
              <w:rPr>
                <w:color w:val="0D0D0D"/>
                <w:sz w:val="18"/>
                <w:szCs w:val="18"/>
                <w:lang w:val="fr-FR"/>
              </w:rPr>
              <w:t xml:space="preserve">.  </w:t>
            </w:r>
            <w:r>
              <w:rPr>
                <w:color w:val="0D0D0D"/>
                <w:sz w:val="18"/>
                <w:szCs w:val="18"/>
                <w:lang w:val="fr-FR"/>
              </w:rPr>
              <w:t>Ces règles d</w:t>
            </w:r>
            <w:r w:rsidR="00F20C73">
              <w:rPr>
                <w:color w:val="0D0D0D"/>
                <w:sz w:val="18"/>
                <w:szCs w:val="18"/>
                <w:lang w:val="fr-FR"/>
              </w:rPr>
              <w:t>’</w:t>
            </w:r>
            <w:r>
              <w:rPr>
                <w:color w:val="0D0D0D"/>
                <w:sz w:val="18"/>
                <w:szCs w:val="18"/>
                <w:lang w:val="fr-FR"/>
              </w:rPr>
              <w:t>é</w:t>
            </w:r>
            <w:r w:rsidRPr="00B113EE">
              <w:rPr>
                <w:color w:val="0D0D0D"/>
                <w:sz w:val="18"/>
                <w:szCs w:val="18"/>
                <w:lang w:val="fr-FR"/>
              </w:rPr>
              <w:t>change sont particulièrement cruciales pour les lignées parental</w:t>
            </w:r>
            <w:r>
              <w:rPr>
                <w:color w:val="0D0D0D"/>
                <w:sz w:val="18"/>
                <w:szCs w:val="18"/>
                <w:lang w:val="fr-FR"/>
              </w:rPr>
              <w:t>es</w:t>
            </w:r>
            <w:r w:rsidRPr="00B113EE">
              <w:rPr>
                <w:color w:val="0D0D0D"/>
                <w:sz w:val="18"/>
                <w:szCs w:val="18"/>
                <w:lang w:val="fr-FR"/>
              </w:rPr>
              <w:t xml:space="preserve">.  </w:t>
            </w:r>
            <w:r>
              <w:rPr>
                <w:color w:val="0D0D0D"/>
                <w:sz w:val="18"/>
                <w:szCs w:val="18"/>
                <w:lang w:val="fr-FR"/>
              </w:rPr>
              <w:t>Des règles claires et</w:t>
            </w:r>
            <w:r w:rsidRPr="00B113EE">
              <w:rPr>
                <w:color w:val="0D0D0D"/>
                <w:sz w:val="18"/>
                <w:szCs w:val="18"/>
                <w:lang w:val="fr-FR"/>
              </w:rPr>
              <w:t xml:space="preserve"> harmonisées liées à un accord préalable contribueraient à préserver l</w:t>
            </w:r>
            <w:r w:rsidR="00F20C73">
              <w:rPr>
                <w:color w:val="0D0D0D"/>
                <w:sz w:val="18"/>
                <w:szCs w:val="18"/>
                <w:lang w:val="fr-FR"/>
              </w:rPr>
              <w:t>’</w:t>
            </w:r>
            <w:r w:rsidRPr="00B113EE">
              <w:rPr>
                <w:color w:val="0D0D0D"/>
                <w:sz w:val="18"/>
                <w:szCs w:val="18"/>
                <w:lang w:val="fr-FR"/>
              </w:rPr>
              <w:t>intégrit</w:t>
            </w:r>
            <w:r>
              <w:rPr>
                <w:color w:val="0D0D0D"/>
                <w:sz w:val="18"/>
                <w:szCs w:val="18"/>
                <w:lang w:val="fr-FR"/>
              </w:rPr>
              <w:t>é et la sécurité des matériels végétaux ou semenciers</w:t>
            </w:r>
            <w:r w:rsidRPr="00B113EE">
              <w:rPr>
                <w:color w:val="0D0D0D"/>
                <w:sz w:val="18"/>
                <w:szCs w:val="18"/>
                <w:lang w:val="fr-FR"/>
              </w:rPr>
              <w:t xml:space="preserve">. </w:t>
            </w:r>
            <w:r w:rsidR="002067E8">
              <w:rPr>
                <w:color w:val="0D0D0D"/>
                <w:sz w:val="18"/>
                <w:szCs w:val="18"/>
                <w:lang w:val="fr-FR"/>
              </w:rPr>
              <w:t xml:space="preserve"> </w:t>
            </w:r>
            <w:r w:rsidRPr="00B113EE">
              <w:rPr>
                <w:color w:val="0D0D0D"/>
                <w:sz w:val="18"/>
                <w:szCs w:val="18"/>
                <w:lang w:val="fr-FR"/>
              </w:rPr>
              <w:t>L</w:t>
            </w:r>
            <w:r w:rsidR="00F20C73">
              <w:rPr>
                <w:color w:val="0D0D0D"/>
                <w:sz w:val="18"/>
                <w:szCs w:val="18"/>
                <w:lang w:val="fr-FR"/>
              </w:rPr>
              <w:t>’</w:t>
            </w:r>
            <w:r w:rsidRPr="00B113EE">
              <w:rPr>
                <w:color w:val="0D0D0D"/>
                <w:sz w:val="18"/>
                <w:szCs w:val="18"/>
                <w:lang w:val="fr-FR"/>
              </w:rPr>
              <w:t>absence de règles formelles pour l</w:t>
            </w:r>
            <w:r w:rsidR="00F20C73">
              <w:rPr>
                <w:color w:val="0D0D0D"/>
                <w:sz w:val="18"/>
                <w:szCs w:val="18"/>
                <w:lang w:val="fr-FR"/>
              </w:rPr>
              <w:t>’</w:t>
            </w:r>
            <w:r w:rsidRPr="00B113EE">
              <w:rPr>
                <w:color w:val="0D0D0D"/>
                <w:sz w:val="18"/>
                <w:szCs w:val="18"/>
                <w:lang w:val="fr-FR"/>
              </w:rPr>
              <w:t xml:space="preserve">échange de matériel </w:t>
            </w:r>
            <w:r>
              <w:rPr>
                <w:color w:val="0D0D0D"/>
                <w:sz w:val="18"/>
                <w:szCs w:val="18"/>
                <w:lang w:val="fr-FR"/>
              </w:rPr>
              <w:t>sape le désir de quelques entreprises de déposer des demandes de droits d</w:t>
            </w:r>
            <w:r w:rsidR="00F20C73">
              <w:rPr>
                <w:color w:val="0D0D0D"/>
                <w:sz w:val="18"/>
                <w:szCs w:val="18"/>
                <w:lang w:val="fr-FR"/>
              </w:rPr>
              <w:t>’</w:t>
            </w:r>
            <w:r>
              <w:rPr>
                <w:color w:val="0D0D0D"/>
                <w:sz w:val="18"/>
                <w:szCs w:val="18"/>
                <w:lang w:val="fr-FR"/>
              </w:rPr>
              <w:t>obtenteur dans ces pays</w:t>
            </w:r>
            <w:r w:rsidRPr="00B113EE">
              <w:rPr>
                <w:color w:val="0D0D0D"/>
                <w:sz w:val="18"/>
                <w:szCs w:val="18"/>
                <w:lang w:val="fr-FR"/>
              </w:rPr>
              <w:t>.</w:t>
            </w:r>
          </w:p>
        </w:tc>
      </w:tr>
    </w:tbl>
    <w:p w:rsidR="0020369A" w:rsidRPr="00B113EE" w:rsidRDefault="0020369A" w:rsidP="00F40B28">
      <w:pPr>
        <w:rPr>
          <w:snapToGrid w:val="0"/>
          <w:lang w:val="fr-FR"/>
        </w:rPr>
      </w:pPr>
    </w:p>
    <w:tbl>
      <w:tblPr>
        <w:tblW w:w="0" w:type="auto"/>
        <w:jc w:val="center"/>
        <w:tblInd w:w="-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0A0" w:firstRow="1" w:lastRow="0" w:firstColumn="1" w:lastColumn="0" w:noHBand="0" w:noVBand="0"/>
      </w:tblPr>
      <w:tblGrid>
        <w:gridCol w:w="8788"/>
      </w:tblGrid>
      <w:tr w:rsidR="0020369A" w:rsidRPr="0052515F" w:rsidTr="00045613">
        <w:trPr>
          <w:cantSplit/>
          <w:jc w:val="center"/>
        </w:trPr>
        <w:tc>
          <w:tcPr>
            <w:tcW w:w="8788" w:type="dxa"/>
          </w:tcPr>
          <w:p w:rsidR="0020369A" w:rsidRPr="00107021" w:rsidRDefault="0020369A" w:rsidP="00C21485">
            <w:pPr>
              <w:ind w:right="567"/>
              <w:rPr>
                <w:sz w:val="18"/>
                <w:szCs w:val="18"/>
                <w:lang w:val="fr-FR"/>
              </w:rPr>
            </w:pPr>
            <w:r w:rsidRPr="00107021">
              <w:rPr>
                <w:sz w:val="18"/>
                <w:szCs w:val="18"/>
                <w:lang w:val="fr-FR"/>
              </w:rPr>
              <w:lastRenderedPageBreak/>
              <w:t>[</w:t>
            </w:r>
            <w:r w:rsidRPr="00DF4C14">
              <w:rPr>
                <w:sz w:val="18"/>
                <w:szCs w:val="18"/>
                <w:lang w:val="fr-FR"/>
              </w:rPr>
              <w:t>Extrait de la lettre de l</w:t>
            </w:r>
            <w:r w:rsidR="00F20C73">
              <w:rPr>
                <w:sz w:val="18"/>
                <w:szCs w:val="18"/>
                <w:lang w:val="fr-FR"/>
              </w:rPr>
              <w:t>’</w:t>
            </w:r>
            <w:r w:rsidRPr="00DF4C14">
              <w:rPr>
                <w:sz w:val="18"/>
                <w:szCs w:val="18"/>
                <w:lang w:val="fr-FR"/>
              </w:rPr>
              <w:t>ISF – (original</w:t>
            </w:r>
            <w:r w:rsidR="002067E8">
              <w:rPr>
                <w:sz w:val="18"/>
                <w:szCs w:val="18"/>
                <w:lang w:val="fr-FR"/>
              </w:rPr>
              <w:t> </w:t>
            </w:r>
            <w:r w:rsidRPr="00DF4C14">
              <w:rPr>
                <w:sz w:val="18"/>
                <w:szCs w:val="18"/>
                <w:lang w:val="fr-FR"/>
              </w:rPr>
              <w:t>: anglais</w:t>
            </w:r>
            <w:r w:rsidRPr="00107021">
              <w:rPr>
                <w:sz w:val="18"/>
                <w:szCs w:val="18"/>
                <w:lang w:val="fr-FR"/>
              </w:rPr>
              <w:t>)]</w:t>
            </w:r>
          </w:p>
          <w:p w:rsidR="0020369A" w:rsidRPr="00753832" w:rsidRDefault="0020369A" w:rsidP="00140E1A">
            <w:pPr>
              <w:rPr>
                <w:color w:val="424242"/>
                <w:w w:val="90"/>
                <w:sz w:val="18"/>
                <w:szCs w:val="18"/>
                <w:lang w:val="fr-FR"/>
              </w:rPr>
            </w:pPr>
            <w:r w:rsidRPr="00753832">
              <w:rPr>
                <w:color w:val="0C0C0C"/>
                <w:sz w:val="18"/>
                <w:szCs w:val="18"/>
                <w:u w:val="single" w:color="000000"/>
                <w:lang w:val="fr-FR"/>
              </w:rPr>
              <w:t>Disponibilité du matérie</w:t>
            </w:r>
            <w:r w:rsidRPr="00753832">
              <w:rPr>
                <w:color w:val="0C0C0C"/>
                <w:spacing w:val="-1"/>
                <w:sz w:val="18"/>
                <w:szCs w:val="18"/>
                <w:u w:val="single" w:color="000000"/>
                <w:lang w:val="fr-FR"/>
              </w:rPr>
              <w:t>l</w:t>
            </w:r>
            <w:r w:rsidR="002067E8" w:rsidRPr="00982CBF">
              <w:rPr>
                <w:color w:val="0C0C0C"/>
                <w:spacing w:val="-1"/>
                <w:sz w:val="18"/>
                <w:szCs w:val="18"/>
                <w:lang w:val="fr-FR"/>
              </w:rPr>
              <w:t> </w:t>
            </w:r>
            <w:r w:rsidRPr="00982CBF">
              <w:rPr>
                <w:color w:val="0C0C0C"/>
                <w:spacing w:val="-1"/>
                <w:sz w:val="18"/>
                <w:lang w:val="fr-FR"/>
              </w:rPr>
              <w:t>:</w:t>
            </w:r>
            <w:r w:rsidRPr="00753832">
              <w:rPr>
                <w:color w:val="424242"/>
                <w:sz w:val="18"/>
                <w:szCs w:val="18"/>
                <w:u w:color="000000"/>
                <w:lang w:val="fr-FR"/>
              </w:rPr>
              <w:t xml:space="preserve"> </w:t>
            </w:r>
            <w:r w:rsidRPr="00753832">
              <w:rPr>
                <w:color w:val="0C0C0C"/>
                <w:sz w:val="18"/>
                <w:szCs w:val="18"/>
                <w:lang w:val="fr-FR"/>
              </w:rPr>
              <w:t>Certains pays exigent du déposant qu</w:t>
            </w:r>
            <w:r w:rsidR="00F20C73">
              <w:rPr>
                <w:color w:val="0C0C0C"/>
                <w:sz w:val="18"/>
                <w:szCs w:val="18"/>
                <w:lang w:val="fr-FR"/>
              </w:rPr>
              <w:t>’</w:t>
            </w:r>
            <w:r w:rsidRPr="00753832">
              <w:rPr>
                <w:color w:val="0C0C0C"/>
                <w:sz w:val="18"/>
                <w:szCs w:val="18"/>
                <w:lang w:val="fr-FR"/>
              </w:rPr>
              <w:t>il mette du mat</w:t>
            </w:r>
            <w:r>
              <w:rPr>
                <w:color w:val="0C0C0C"/>
                <w:sz w:val="18"/>
                <w:szCs w:val="18"/>
                <w:lang w:val="fr-FR"/>
              </w:rPr>
              <w:t>ériel de la variété protégée à la disposition du public.</w:t>
            </w:r>
            <w:r w:rsidR="002067E8">
              <w:rPr>
                <w:color w:val="0C0C0C"/>
                <w:sz w:val="18"/>
                <w:szCs w:val="18"/>
                <w:lang w:val="fr-FR"/>
              </w:rPr>
              <w:t xml:space="preserve"> </w:t>
            </w:r>
            <w:r>
              <w:rPr>
                <w:color w:val="0C0C0C"/>
                <w:sz w:val="18"/>
                <w:szCs w:val="18"/>
                <w:lang w:val="fr-FR"/>
              </w:rPr>
              <w:t xml:space="preserve"> </w:t>
            </w:r>
            <w:r w:rsidRPr="00753832">
              <w:rPr>
                <w:color w:val="0C0C0C"/>
                <w:sz w:val="18"/>
                <w:szCs w:val="18"/>
                <w:lang w:val="fr-FR"/>
              </w:rPr>
              <w:t>Cela risque de poser un problème dans le cas des lignées parentales</w:t>
            </w:r>
            <w:r w:rsidRPr="00753832">
              <w:rPr>
                <w:color w:val="424242"/>
                <w:sz w:val="18"/>
                <w:szCs w:val="18"/>
                <w:lang w:val="fr-FR"/>
              </w:rPr>
              <w:t>, un concurrent pouvant en effet solliciter du m</w:t>
            </w:r>
            <w:r>
              <w:rPr>
                <w:color w:val="0C0C0C"/>
                <w:sz w:val="18"/>
                <w:szCs w:val="18"/>
                <w:lang w:val="fr-FR"/>
              </w:rPr>
              <w:t>atérie</w:t>
            </w:r>
            <w:r w:rsidRPr="00753832">
              <w:rPr>
                <w:color w:val="0C0C0C"/>
                <w:sz w:val="18"/>
                <w:szCs w:val="18"/>
                <w:lang w:val="fr-FR"/>
              </w:rPr>
              <w:t xml:space="preserve">l </w:t>
            </w:r>
            <w:r>
              <w:rPr>
                <w:color w:val="0C0C0C"/>
                <w:sz w:val="18"/>
                <w:szCs w:val="18"/>
                <w:lang w:val="fr-FR"/>
              </w:rPr>
              <w:t>de la lignée parentale protégée</w:t>
            </w:r>
            <w:r w:rsidRPr="00753832">
              <w:rPr>
                <w:color w:val="2A2A2B"/>
                <w:sz w:val="18"/>
                <w:szCs w:val="18"/>
                <w:lang w:val="fr-FR"/>
              </w:rPr>
              <w:t>.  D</w:t>
            </w:r>
            <w:r w:rsidR="00F20C73">
              <w:rPr>
                <w:color w:val="2A2A2B"/>
                <w:sz w:val="18"/>
                <w:szCs w:val="18"/>
                <w:lang w:val="fr-FR"/>
              </w:rPr>
              <w:t>’</w:t>
            </w:r>
            <w:r w:rsidRPr="00753832">
              <w:rPr>
                <w:color w:val="2A2A2B"/>
                <w:sz w:val="18"/>
                <w:szCs w:val="18"/>
                <w:lang w:val="fr-FR"/>
              </w:rPr>
              <w:t>après l</w:t>
            </w:r>
            <w:r w:rsidR="00F20C73">
              <w:rPr>
                <w:color w:val="2A2A2B"/>
                <w:sz w:val="18"/>
                <w:szCs w:val="18"/>
                <w:lang w:val="fr-FR"/>
              </w:rPr>
              <w:t>’</w:t>
            </w:r>
            <w:r w:rsidRPr="00753832">
              <w:rPr>
                <w:color w:val="2A2A2B"/>
                <w:sz w:val="18"/>
                <w:szCs w:val="18"/>
                <w:lang w:val="fr-FR"/>
              </w:rPr>
              <w:t>enquête menée, les entreprises sem</w:t>
            </w:r>
            <w:r>
              <w:rPr>
                <w:color w:val="2A2A2B"/>
                <w:sz w:val="18"/>
                <w:szCs w:val="18"/>
                <w:lang w:val="fr-FR"/>
              </w:rPr>
              <w:t>encières éprouvent une très gran</w:t>
            </w:r>
            <w:r w:rsidRPr="00753832">
              <w:rPr>
                <w:color w:val="2A2A2B"/>
                <w:sz w:val="18"/>
                <w:szCs w:val="18"/>
                <w:lang w:val="fr-FR"/>
              </w:rPr>
              <w:t>de ré</w:t>
            </w:r>
            <w:r>
              <w:rPr>
                <w:color w:val="2A2A2B"/>
                <w:sz w:val="18"/>
                <w:szCs w:val="18"/>
                <w:lang w:val="fr-FR"/>
              </w:rPr>
              <w:t>ticence à fournir à d</w:t>
            </w:r>
            <w:r w:rsidR="00F20C73">
              <w:rPr>
                <w:color w:val="2A2A2B"/>
                <w:sz w:val="18"/>
                <w:szCs w:val="18"/>
                <w:lang w:val="fr-FR"/>
              </w:rPr>
              <w:t>’</w:t>
            </w:r>
            <w:r>
              <w:rPr>
                <w:color w:val="2A2A2B"/>
                <w:sz w:val="18"/>
                <w:szCs w:val="18"/>
                <w:lang w:val="fr-FR"/>
              </w:rPr>
              <w:t>autres du matériel de lignées parentales ou se refuseraient à honorer une telle requête</w:t>
            </w:r>
            <w:r w:rsidRPr="00753832">
              <w:rPr>
                <w:color w:val="424242"/>
                <w:sz w:val="18"/>
                <w:szCs w:val="18"/>
                <w:lang w:val="fr-FR"/>
              </w:rPr>
              <w:t xml:space="preserve">. </w:t>
            </w:r>
            <w:r w:rsidR="002067E8">
              <w:rPr>
                <w:color w:val="424242"/>
                <w:sz w:val="18"/>
                <w:szCs w:val="18"/>
                <w:lang w:val="fr-FR"/>
              </w:rPr>
              <w:t xml:space="preserve"> </w:t>
            </w:r>
            <w:r>
              <w:rPr>
                <w:color w:val="424242"/>
                <w:sz w:val="18"/>
                <w:szCs w:val="18"/>
                <w:lang w:val="fr-FR"/>
              </w:rPr>
              <w:t xml:space="preserve">Le matériel ne devrait pas être mis à la disposition du public sans le </w:t>
            </w:r>
            <w:r w:rsidRPr="00753832">
              <w:rPr>
                <w:color w:val="0C0C0C"/>
                <w:sz w:val="18"/>
                <w:szCs w:val="18"/>
                <w:lang w:val="fr-FR"/>
              </w:rPr>
              <w:t xml:space="preserve">consentement des obtenteurs.  Aucune disposition de la </w:t>
            </w:r>
            <w:r w:rsidR="00A039B4">
              <w:rPr>
                <w:color w:val="0C0C0C"/>
                <w:sz w:val="18"/>
                <w:szCs w:val="18"/>
                <w:lang w:val="fr-FR"/>
              </w:rPr>
              <w:t>Convention UPOV</w:t>
            </w:r>
            <w:r w:rsidRPr="00753832">
              <w:rPr>
                <w:color w:val="0C0C0C"/>
                <w:sz w:val="18"/>
                <w:szCs w:val="18"/>
                <w:lang w:val="fr-FR"/>
              </w:rPr>
              <w:t xml:space="preserve"> ne stipule que du </w:t>
            </w:r>
            <w:r>
              <w:rPr>
                <w:color w:val="0C0C0C"/>
                <w:sz w:val="18"/>
                <w:szCs w:val="18"/>
                <w:lang w:val="fr-FR"/>
              </w:rPr>
              <w:t xml:space="preserve">matériel protégé doit </w:t>
            </w:r>
            <w:r>
              <w:rPr>
                <w:color w:val="424242"/>
                <w:sz w:val="18"/>
                <w:szCs w:val="18"/>
                <w:lang w:val="fr-FR"/>
              </w:rPr>
              <w:t>être mis à la disposition du public</w:t>
            </w:r>
            <w:r w:rsidRPr="00753832">
              <w:rPr>
                <w:color w:val="2A2A2B"/>
                <w:sz w:val="18"/>
                <w:szCs w:val="18"/>
                <w:lang w:val="fr-FR"/>
              </w:rPr>
              <w:t xml:space="preserve">.  Pour quelques entreprises, cette exigence est un motif pour ne </w:t>
            </w:r>
            <w:r>
              <w:rPr>
                <w:color w:val="2A2A2B"/>
                <w:sz w:val="18"/>
                <w:szCs w:val="18"/>
                <w:lang w:val="fr-FR"/>
              </w:rPr>
              <w:t>pas déposer une demande de droits d</w:t>
            </w:r>
            <w:r w:rsidR="00F20C73">
              <w:rPr>
                <w:color w:val="2A2A2B"/>
                <w:sz w:val="18"/>
                <w:szCs w:val="18"/>
                <w:lang w:val="fr-FR"/>
              </w:rPr>
              <w:t>’</w:t>
            </w:r>
            <w:r>
              <w:rPr>
                <w:color w:val="2A2A2B"/>
                <w:sz w:val="18"/>
                <w:szCs w:val="18"/>
                <w:lang w:val="fr-FR"/>
              </w:rPr>
              <w:t>obtenteur dans ces pays</w:t>
            </w:r>
            <w:r w:rsidRPr="00753832">
              <w:rPr>
                <w:color w:val="424242"/>
                <w:w w:val="90"/>
                <w:sz w:val="18"/>
                <w:szCs w:val="18"/>
                <w:lang w:val="fr-FR"/>
              </w:rPr>
              <w:t>.</w:t>
            </w:r>
          </w:p>
          <w:p w:rsidR="0020369A" w:rsidRPr="00753832" w:rsidRDefault="0020369A" w:rsidP="00140E1A">
            <w:pPr>
              <w:rPr>
                <w:color w:val="424242"/>
                <w:w w:val="90"/>
                <w:sz w:val="18"/>
                <w:szCs w:val="18"/>
                <w:lang w:val="fr-FR"/>
              </w:rPr>
            </w:pPr>
          </w:p>
          <w:p w:rsidR="0020369A" w:rsidRPr="0052515F" w:rsidRDefault="0020369A" w:rsidP="00140E1A">
            <w:pPr>
              <w:rPr>
                <w:color w:val="0D0D0D"/>
                <w:sz w:val="18"/>
                <w:szCs w:val="18"/>
                <w:u w:val="single"/>
                <w:lang w:val="fr-FR"/>
              </w:rPr>
            </w:pPr>
            <w:r w:rsidRPr="0052515F">
              <w:rPr>
                <w:color w:val="0C0C0C"/>
                <w:sz w:val="18"/>
                <w:szCs w:val="18"/>
                <w:lang w:val="fr-FR"/>
              </w:rPr>
              <w:t>Le matériel qui est mis à la disposition du public doit être limité au matéri</w:t>
            </w:r>
            <w:r>
              <w:rPr>
                <w:color w:val="0C0C0C"/>
                <w:sz w:val="18"/>
                <w:szCs w:val="18"/>
                <w:lang w:val="fr-FR"/>
              </w:rPr>
              <w:t>e</w:t>
            </w:r>
            <w:r w:rsidRPr="0052515F">
              <w:rPr>
                <w:color w:val="0C0C0C"/>
                <w:sz w:val="18"/>
                <w:szCs w:val="18"/>
                <w:lang w:val="fr-FR"/>
              </w:rPr>
              <w:t xml:space="preserve">l </w:t>
            </w:r>
            <w:r>
              <w:rPr>
                <w:color w:val="0C0C0C"/>
                <w:sz w:val="18"/>
                <w:szCs w:val="18"/>
                <w:lang w:val="fr-FR"/>
              </w:rPr>
              <w:t>qui est mis à disposition dans le commerce</w:t>
            </w:r>
            <w:r w:rsidRPr="0052515F">
              <w:rPr>
                <w:color w:val="424242"/>
                <w:w w:val="90"/>
                <w:sz w:val="18"/>
                <w:szCs w:val="18"/>
                <w:lang w:val="fr-FR"/>
              </w:rPr>
              <w:t>.</w:t>
            </w:r>
          </w:p>
        </w:tc>
      </w:tr>
    </w:tbl>
    <w:p w:rsidR="0020369A" w:rsidRPr="0052515F" w:rsidRDefault="0020369A" w:rsidP="0099105A">
      <w:pPr>
        <w:rPr>
          <w:lang w:val="fr-FR"/>
        </w:rPr>
      </w:pPr>
    </w:p>
    <w:p w:rsidR="0020369A" w:rsidRPr="009F7559" w:rsidRDefault="0020369A" w:rsidP="0099105A">
      <w:pPr>
        <w:rPr>
          <w:lang w:val="fr-FR"/>
        </w:rPr>
      </w:pPr>
      <w:r w:rsidRPr="009F7559">
        <w:rPr>
          <w:lang w:val="fr-FR"/>
        </w:rPr>
        <w:fldChar w:fldCharType="begin"/>
      </w:r>
      <w:r w:rsidRPr="009F7559">
        <w:rPr>
          <w:lang w:val="fr-FR"/>
        </w:rPr>
        <w:instrText xml:space="preserve"> AUTONUM  </w:instrText>
      </w:r>
      <w:r w:rsidRPr="009F7559">
        <w:rPr>
          <w:lang w:val="fr-FR"/>
        </w:rPr>
        <w:fldChar w:fldCharType="end"/>
      </w:r>
      <w:r w:rsidRPr="009F7559">
        <w:rPr>
          <w:lang w:val="fr-FR"/>
        </w:rPr>
        <w:tab/>
        <w:t>Les orientations existantes et les approches possibles concernant les</w:t>
      </w:r>
      <w:r>
        <w:rPr>
          <w:lang w:val="fr-FR"/>
        </w:rPr>
        <w:t xml:space="preserve"> exigences en matière de matériel</w:t>
      </w:r>
      <w:r w:rsidRPr="009F7559">
        <w:rPr>
          <w:lang w:val="fr-FR"/>
        </w:rPr>
        <w:t xml:space="preserve"> sont présentées dans les paragraphes suivants.</w:t>
      </w:r>
    </w:p>
    <w:p w:rsidR="0020369A" w:rsidRPr="009F7559" w:rsidRDefault="0020369A" w:rsidP="006F2B56">
      <w:pPr>
        <w:spacing w:line="360" w:lineRule="auto"/>
        <w:rPr>
          <w:lang w:val="fr-FR"/>
        </w:rPr>
      </w:pPr>
    </w:p>
    <w:p w:rsidR="0020369A" w:rsidRPr="0098047B" w:rsidRDefault="0020369A" w:rsidP="006F2B56">
      <w:pPr>
        <w:pStyle w:val="Heading3"/>
        <w:rPr>
          <w:lang w:val="fr-FR"/>
        </w:rPr>
      </w:pPr>
      <w:bookmarkStart w:id="32" w:name="_Toc381949568"/>
      <w:r w:rsidRPr="0098047B">
        <w:rPr>
          <w:lang w:val="fr-FR"/>
        </w:rPr>
        <w:t>a)</w:t>
      </w:r>
      <w:r w:rsidRPr="0098047B">
        <w:rPr>
          <w:lang w:val="fr-FR"/>
        </w:rPr>
        <w:tab/>
        <w:t>Fourniture de lignées parentales pour les deman</w:t>
      </w:r>
      <w:r>
        <w:rPr>
          <w:lang w:val="fr-FR"/>
        </w:rPr>
        <w:t xml:space="preserve">des </w:t>
      </w:r>
      <w:r w:rsidRPr="0098047B">
        <w:rPr>
          <w:lang w:val="fr-FR"/>
        </w:rPr>
        <w:t>concern</w:t>
      </w:r>
      <w:r>
        <w:rPr>
          <w:lang w:val="fr-FR"/>
        </w:rPr>
        <w:t>ant les</w:t>
      </w:r>
      <w:r w:rsidRPr="0098047B">
        <w:rPr>
          <w:lang w:val="fr-FR"/>
        </w:rPr>
        <w:t xml:space="preserve"> hybrid</w:t>
      </w:r>
      <w:r>
        <w:rPr>
          <w:lang w:val="fr-FR"/>
        </w:rPr>
        <w:t>e</w:t>
      </w:r>
      <w:r w:rsidRPr="0098047B">
        <w:rPr>
          <w:lang w:val="fr-FR"/>
        </w:rPr>
        <w:t>s</w:t>
      </w:r>
      <w:bookmarkEnd w:id="32"/>
    </w:p>
    <w:p w:rsidR="0020369A" w:rsidRPr="0098047B" w:rsidRDefault="0020369A" w:rsidP="00EA2439">
      <w:pPr>
        <w:ind w:firstLine="567"/>
        <w:rPr>
          <w:i/>
          <w:iCs/>
          <w:color w:val="0D0D0D"/>
          <w:lang w:val="fr-FR"/>
        </w:rPr>
      </w:pPr>
    </w:p>
    <w:p w:rsidR="0020369A" w:rsidRPr="009F7559" w:rsidRDefault="0020369A" w:rsidP="00B76373">
      <w:pPr>
        <w:rPr>
          <w:color w:val="0D0D0D"/>
          <w:lang w:val="fr-FR"/>
        </w:rPr>
      </w:pPr>
      <w:r w:rsidRPr="009F7559">
        <w:rPr>
          <w:color w:val="0D0D0D"/>
          <w:lang w:val="fr-FR"/>
        </w:rPr>
        <w:fldChar w:fldCharType="begin"/>
      </w:r>
      <w:r w:rsidRPr="009F7559">
        <w:rPr>
          <w:color w:val="0D0D0D"/>
          <w:lang w:val="fr-FR"/>
        </w:rPr>
        <w:instrText xml:space="preserve"> AUTONUM  </w:instrText>
      </w:r>
      <w:r w:rsidRPr="009F7559">
        <w:rPr>
          <w:color w:val="0D0D0D"/>
          <w:lang w:val="fr-FR"/>
        </w:rPr>
        <w:fldChar w:fldCharType="end"/>
      </w:r>
      <w:r w:rsidRPr="009F7559">
        <w:rPr>
          <w:color w:val="0D0D0D"/>
          <w:lang w:val="fr-FR"/>
        </w:rPr>
        <w:tab/>
      </w:r>
      <w:r>
        <w:rPr>
          <w:color w:val="0D0D0D"/>
          <w:lang w:val="fr-FR"/>
        </w:rPr>
        <w:t>Des orientations sur les lignées p</w:t>
      </w:r>
      <w:r w:rsidRPr="009F7559">
        <w:rPr>
          <w:color w:val="0D0D0D"/>
          <w:lang w:val="fr-FR"/>
        </w:rPr>
        <w:t>arent</w:t>
      </w:r>
      <w:r>
        <w:rPr>
          <w:color w:val="0D0D0D"/>
          <w:lang w:val="fr-FR"/>
        </w:rPr>
        <w:t>ales en rapport avec les demandes concernant les</w:t>
      </w:r>
      <w:r w:rsidRPr="009F7559">
        <w:rPr>
          <w:color w:val="0D0D0D"/>
          <w:lang w:val="fr-FR"/>
        </w:rPr>
        <w:t xml:space="preserve"> hybrid</w:t>
      </w:r>
      <w:r>
        <w:rPr>
          <w:color w:val="0D0D0D"/>
          <w:lang w:val="fr-FR"/>
        </w:rPr>
        <w:t>e</w:t>
      </w:r>
      <w:r w:rsidRPr="009F7559">
        <w:rPr>
          <w:color w:val="0D0D0D"/>
          <w:lang w:val="fr-FR"/>
        </w:rPr>
        <w:t xml:space="preserve">s </w:t>
      </w:r>
      <w:r>
        <w:rPr>
          <w:color w:val="0D0D0D"/>
          <w:lang w:val="fr-FR"/>
        </w:rPr>
        <w:t>sont données dans l</w:t>
      </w:r>
      <w:r w:rsidR="00F20C73">
        <w:rPr>
          <w:color w:val="0D0D0D"/>
          <w:lang w:val="fr-FR"/>
        </w:rPr>
        <w:t>’“</w:t>
      </w:r>
      <w:r w:rsidRPr="009F7559">
        <w:rPr>
          <w:color w:val="0D0D0D"/>
          <w:lang w:val="fr-FR"/>
        </w:rPr>
        <w:t>Introduction générale à l</w:t>
      </w:r>
      <w:r w:rsidR="00F20C73">
        <w:rPr>
          <w:color w:val="0D0D0D"/>
          <w:lang w:val="fr-FR"/>
        </w:rPr>
        <w:t>’</w:t>
      </w:r>
      <w:r w:rsidRPr="009F7559">
        <w:rPr>
          <w:color w:val="0D0D0D"/>
          <w:lang w:val="fr-FR"/>
        </w:rPr>
        <w:t>examen de la distinction, de l</w:t>
      </w:r>
      <w:r w:rsidR="00F20C73">
        <w:rPr>
          <w:color w:val="0D0D0D"/>
          <w:lang w:val="fr-FR"/>
        </w:rPr>
        <w:t>’</w:t>
      </w:r>
      <w:r w:rsidRPr="009F7559">
        <w:rPr>
          <w:color w:val="0D0D0D"/>
          <w:lang w:val="fr-FR"/>
        </w:rPr>
        <w:t>homogénéité et de la stabilité et à l</w:t>
      </w:r>
      <w:r w:rsidR="00F20C73">
        <w:rPr>
          <w:color w:val="0D0D0D"/>
          <w:lang w:val="fr-FR"/>
        </w:rPr>
        <w:t>’</w:t>
      </w:r>
      <w:r w:rsidRPr="009F7559">
        <w:rPr>
          <w:color w:val="0D0D0D"/>
          <w:lang w:val="fr-FR"/>
        </w:rPr>
        <w:t>harmonisation des descriptions des obtentions végétales</w:t>
      </w:r>
      <w:r w:rsidR="00F20C73">
        <w:rPr>
          <w:color w:val="0D0D0D"/>
          <w:lang w:val="fr-FR"/>
        </w:rPr>
        <w:t>”</w:t>
      </w:r>
      <w:r w:rsidRPr="009F7559">
        <w:rPr>
          <w:color w:val="0D0D0D"/>
          <w:lang w:val="fr-FR"/>
        </w:rPr>
        <w:t xml:space="preserve"> (voir </w:t>
      </w:r>
      <w:r w:rsidR="00F20C73">
        <w:rPr>
          <w:color w:val="0D0D0D"/>
          <w:lang w:val="fr-FR"/>
        </w:rPr>
        <w:t>“</w:t>
      </w:r>
      <w:r w:rsidRPr="009F7559">
        <w:rPr>
          <w:color w:val="0D0D0D"/>
          <w:lang w:val="fr-FR"/>
        </w:rPr>
        <w:t>Introduction</w:t>
      </w:r>
      <w:r>
        <w:rPr>
          <w:color w:val="0D0D0D"/>
          <w:lang w:val="fr-FR"/>
        </w:rPr>
        <w:t xml:space="preserve"> générale</w:t>
      </w:r>
      <w:r w:rsidR="00F20C73">
        <w:rPr>
          <w:color w:val="0D0D0D"/>
          <w:lang w:val="fr-FR"/>
        </w:rPr>
        <w:t>”</w:t>
      </w:r>
      <w:r w:rsidRPr="009F7559">
        <w:rPr>
          <w:color w:val="0D0D0D"/>
          <w:lang w:val="fr-FR"/>
        </w:rPr>
        <w:t xml:space="preserve">, document TG/1/3) </w:t>
      </w:r>
      <w:r>
        <w:rPr>
          <w:color w:val="0D0D0D"/>
          <w:lang w:val="fr-FR"/>
        </w:rPr>
        <w:t>et dans le doc</w:t>
      </w:r>
      <w:r w:rsidRPr="009F7559">
        <w:rPr>
          <w:color w:val="0D0D0D"/>
          <w:lang w:val="fr-FR"/>
        </w:rPr>
        <w:t xml:space="preserve">ument TGP/7/3 </w:t>
      </w:r>
      <w:r w:rsidR="00F20C73">
        <w:rPr>
          <w:color w:val="0D0D0D"/>
          <w:lang w:val="fr-FR"/>
        </w:rPr>
        <w:t>“</w:t>
      </w:r>
      <w:r>
        <w:rPr>
          <w:color w:val="0D0D0D"/>
          <w:lang w:val="fr-FR"/>
        </w:rPr>
        <w:t>Élaboration des principes directeurs d</w:t>
      </w:r>
      <w:r w:rsidR="00F20C73">
        <w:rPr>
          <w:color w:val="0D0D0D"/>
          <w:lang w:val="fr-FR"/>
        </w:rPr>
        <w:t>’</w:t>
      </w:r>
      <w:r>
        <w:rPr>
          <w:color w:val="0D0D0D"/>
          <w:lang w:val="fr-FR"/>
        </w:rPr>
        <w:t>examen</w:t>
      </w:r>
      <w:r w:rsidR="00F20C73">
        <w:rPr>
          <w:color w:val="0D0D0D"/>
          <w:lang w:val="fr-FR"/>
        </w:rPr>
        <w:t>”</w:t>
      </w:r>
      <w:r>
        <w:rPr>
          <w:color w:val="0D0D0D"/>
          <w:lang w:val="fr-FR"/>
        </w:rPr>
        <w:t xml:space="preserve"> </w:t>
      </w:r>
      <w:r w:rsidRPr="009F7559">
        <w:rPr>
          <w:color w:val="0D0D0D"/>
          <w:lang w:val="fr-FR"/>
        </w:rPr>
        <w:t>(</w:t>
      </w:r>
      <w:r>
        <w:rPr>
          <w:color w:val="0D0D0D"/>
          <w:lang w:val="fr-FR"/>
        </w:rPr>
        <w:t>voir</w:t>
      </w:r>
      <w:r w:rsidRPr="009F7559">
        <w:rPr>
          <w:color w:val="0D0D0D"/>
          <w:lang w:val="fr-FR"/>
        </w:rPr>
        <w:t xml:space="preserve"> </w:t>
      </w:r>
      <w:hyperlink r:id="rId11" w:history="1">
        <w:r w:rsidR="00EA1A0B" w:rsidRPr="009160A4">
          <w:rPr>
            <w:rStyle w:val="Hyperlink"/>
            <w:lang w:val="fr-FR"/>
          </w:rPr>
          <w:t>http://www.upov.int/resource/fr/dus_guidance.html</w:t>
        </w:r>
      </w:hyperlink>
      <w:r w:rsidRPr="009F7559">
        <w:rPr>
          <w:color w:val="0D0D0D"/>
          <w:lang w:val="fr-FR"/>
        </w:rPr>
        <w:t>).</w:t>
      </w:r>
    </w:p>
    <w:p w:rsidR="0020369A" w:rsidRPr="009F7559" w:rsidRDefault="0020369A" w:rsidP="00B76373">
      <w:pPr>
        <w:rPr>
          <w:color w:val="0D0D0D"/>
          <w:u w:val="single"/>
          <w:lang w:val="fr-FR"/>
        </w:rPr>
      </w:pPr>
    </w:p>
    <w:p w:rsidR="0020369A" w:rsidRPr="00F633F2" w:rsidRDefault="0020369A" w:rsidP="00B76373">
      <w:pPr>
        <w:rPr>
          <w:color w:val="0D0D0D"/>
          <w:lang w:val="fr-FR"/>
        </w:rPr>
      </w:pPr>
      <w:r w:rsidRPr="00F633F2">
        <w:rPr>
          <w:color w:val="0D0D0D"/>
          <w:lang w:val="fr-FR"/>
        </w:rPr>
        <w:t>[Extrait de l</w:t>
      </w:r>
      <w:r w:rsidR="00F20C73">
        <w:rPr>
          <w:color w:val="0D0D0D"/>
          <w:lang w:val="fr-FR"/>
        </w:rPr>
        <w:t>’</w:t>
      </w:r>
      <w:r w:rsidRPr="00F633F2">
        <w:rPr>
          <w:color w:val="0D0D0D"/>
          <w:lang w:val="fr-FR"/>
        </w:rPr>
        <w:t>Introduction générale]</w:t>
      </w:r>
    </w:p>
    <w:p w:rsidR="0020369A" w:rsidRPr="00F633F2" w:rsidRDefault="0020369A" w:rsidP="00B76373">
      <w:pPr>
        <w:rPr>
          <w:color w:val="0D0D0D"/>
          <w:u w:val="single"/>
          <w:lang w:val="fr-FR"/>
        </w:rPr>
      </w:pPr>
    </w:p>
    <w:p w:rsidR="0020369A" w:rsidRPr="00F633F2" w:rsidRDefault="00F20C73" w:rsidP="00A86F1B">
      <w:pPr>
        <w:ind w:left="567"/>
        <w:rPr>
          <w:sz w:val="18"/>
          <w:szCs w:val="18"/>
          <w:u w:val="single"/>
          <w:lang w:val="fr-FR"/>
        </w:rPr>
      </w:pPr>
      <w:bookmarkStart w:id="33" w:name="_Toc498511374"/>
      <w:bookmarkStart w:id="34" w:name="_Toc7923422"/>
      <w:r>
        <w:rPr>
          <w:lang w:val="fr-FR"/>
        </w:rPr>
        <w:t>“</w:t>
      </w:r>
      <w:r w:rsidR="0020369A">
        <w:rPr>
          <w:sz w:val="18"/>
          <w:szCs w:val="18"/>
          <w:u w:val="single"/>
          <w:lang w:val="fr-FR"/>
        </w:rPr>
        <w:t>7.3.2</w:t>
      </w:r>
      <w:r w:rsidR="0020369A">
        <w:rPr>
          <w:sz w:val="18"/>
          <w:szCs w:val="18"/>
          <w:u w:val="single"/>
          <w:lang w:val="fr-FR"/>
        </w:rPr>
        <w:tab/>
        <w:t>Variété</w:t>
      </w:r>
      <w:r w:rsidR="0020369A" w:rsidRPr="00F633F2">
        <w:rPr>
          <w:sz w:val="18"/>
          <w:szCs w:val="18"/>
          <w:u w:val="single"/>
          <w:lang w:val="fr-FR"/>
        </w:rPr>
        <w:t>s</w:t>
      </w:r>
      <w:bookmarkEnd w:id="33"/>
      <w:bookmarkEnd w:id="34"/>
      <w:r w:rsidR="0020369A">
        <w:rPr>
          <w:sz w:val="18"/>
          <w:szCs w:val="18"/>
          <w:u w:val="single"/>
          <w:lang w:val="fr-FR"/>
        </w:rPr>
        <w:t xml:space="preserve"> hybrides</w:t>
      </w:r>
    </w:p>
    <w:p w:rsidR="0020369A" w:rsidRPr="00F633F2" w:rsidRDefault="0020369A" w:rsidP="004723F6">
      <w:pPr>
        <w:rPr>
          <w:lang w:val="fr-FR"/>
        </w:rPr>
      </w:pPr>
    </w:p>
    <w:p w:rsidR="0020369A" w:rsidRPr="00C6153A" w:rsidRDefault="00F20C73" w:rsidP="004723F6">
      <w:pPr>
        <w:ind w:left="567" w:right="567"/>
        <w:rPr>
          <w:sz w:val="18"/>
          <w:szCs w:val="18"/>
          <w:lang w:val="fr-FR"/>
        </w:rPr>
      </w:pPr>
      <w:r>
        <w:rPr>
          <w:sz w:val="18"/>
          <w:szCs w:val="18"/>
          <w:lang w:val="fr-FR"/>
        </w:rPr>
        <w:t>“</w:t>
      </w:r>
      <w:r w:rsidR="0020369A" w:rsidRPr="00C6153A">
        <w:rPr>
          <w:sz w:val="18"/>
          <w:szCs w:val="18"/>
          <w:lang w:val="fr-FR"/>
        </w:rPr>
        <w:t>En plus d</w:t>
      </w:r>
      <w:r>
        <w:rPr>
          <w:sz w:val="18"/>
          <w:szCs w:val="18"/>
          <w:lang w:val="fr-FR"/>
        </w:rPr>
        <w:t>’</w:t>
      </w:r>
      <w:r w:rsidR="0020369A" w:rsidRPr="00C6153A">
        <w:rPr>
          <w:sz w:val="18"/>
          <w:szCs w:val="18"/>
          <w:lang w:val="fr-FR"/>
        </w:rPr>
        <w:t>un examen de la variété hybride elle</w:t>
      </w:r>
      <w:r w:rsidR="0020369A" w:rsidRPr="00C6153A">
        <w:rPr>
          <w:rFonts w:ascii="MS Mincho" w:eastAsia="MS Mincho" w:hAnsi="MS Mincho" w:cs="MS Mincho" w:hint="eastAsia"/>
          <w:sz w:val="18"/>
          <w:szCs w:val="18"/>
          <w:lang w:val="fr-FR"/>
        </w:rPr>
        <w:t>‑</w:t>
      </w:r>
      <w:r w:rsidR="0020369A" w:rsidRPr="00C6153A">
        <w:rPr>
          <w:sz w:val="18"/>
          <w:szCs w:val="18"/>
          <w:lang w:val="fr-FR"/>
        </w:rPr>
        <w:t>même, la stabilité d</w:t>
      </w:r>
      <w:r>
        <w:rPr>
          <w:sz w:val="18"/>
          <w:szCs w:val="18"/>
          <w:lang w:val="fr-FR"/>
        </w:rPr>
        <w:t>’</w:t>
      </w:r>
      <w:r w:rsidR="0020369A" w:rsidRPr="00C6153A">
        <w:rPr>
          <w:sz w:val="18"/>
          <w:szCs w:val="18"/>
          <w:lang w:val="fr-FR"/>
        </w:rPr>
        <w:t>une variété hybride peut aussi être évaluée par l</w:t>
      </w:r>
      <w:r>
        <w:rPr>
          <w:sz w:val="18"/>
          <w:szCs w:val="18"/>
          <w:lang w:val="fr-FR"/>
        </w:rPr>
        <w:t>’</w:t>
      </w:r>
      <w:r w:rsidR="0020369A" w:rsidRPr="00C6153A">
        <w:rPr>
          <w:sz w:val="18"/>
          <w:szCs w:val="18"/>
          <w:lang w:val="fr-FR"/>
        </w:rPr>
        <w:t>examen de l</w:t>
      </w:r>
      <w:r>
        <w:rPr>
          <w:sz w:val="18"/>
          <w:szCs w:val="18"/>
          <w:lang w:val="fr-FR"/>
        </w:rPr>
        <w:t>’</w:t>
      </w:r>
      <w:r w:rsidR="0020369A" w:rsidRPr="00C6153A">
        <w:rPr>
          <w:sz w:val="18"/>
          <w:szCs w:val="18"/>
          <w:lang w:val="fr-FR"/>
        </w:rPr>
        <w:t>homogénéité et de la stabilité de ses lignées parentales</w:t>
      </w:r>
      <w:r>
        <w:rPr>
          <w:sz w:val="18"/>
          <w:szCs w:val="18"/>
          <w:lang w:val="fr-FR"/>
        </w:rPr>
        <w:t>”</w:t>
      </w:r>
      <w:r w:rsidR="0020369A" w:rsidRPr="00C6153A">
        <w:rPr>
          <w:sz w:val="18"/>
          <w:szCs w:val="18"/>
          <w:lang w:val="fr-FR"/>
        </w:rPr>
        <w:t>.</w:t>
      </w:r>
    </w:p>
    <w:p w:rsidR="0020369A" w:rsidRPr="00C6153A" w:rsidRDefault="0020369A" w:rsidP="00B76373">
      <w:pPr>
        <w:rPr>
          <w:color w:val="0D0D0D"/>
          <w:u w:val="single"/>
          <w:lang w:val="fr-FR"/>
        </w:rPr>
      </w:pPr>
    </w:p>
    <w:p w:rsidR="0020369A" w:rsidRPr="00C6153A" w:rsidRDefault="0020369A" w:rsidP="00B76373">
      <w:pPr>
        <w:rPr>
          <w:color w:val="0D0D0D"/>
          <w:lang w:val="fr-FR"/>
        </w:rPr>
      </w:pPr>
      <w:r w:rsidRPr="00C6153A">
        <w:rPr>
          <w:color w:val="0D0D0D"/>
          <w:lang w:val="fr-FR"/>
        </w:rPr>
        <w:t>[Extraits du document TGP/7/3]</w:t>
      </w:r>
    </w:p>
    <w:p w:rsidR="0020369A" w:rsidRPr="00C6153A" w:rsidRDefault="0020369A" w:rsidP="00B76373">
      <w:pPr>
        <w:rPr>
          <w:color w:val="0D0D0D"/>
          <w:u w:val="single"/>
          <w:lang w:val="fr-FR"/>
        </w:rPr>
      </w:pPr>
    </w:p>
    <w:p w:rsidR="0020369A" w:rsidRPr="00C6153A" w:rsidRDefault="00F20C73" w:rsidP="00A86F1B">
      <w:pPr>
        <w:ind w:left="567"/>
        <w:rPr>
          <w:i/>
          <w:iCs/>
          <w:sz w:val="18"/>
          <w:szCs w:val="18"/>
          <w:u w:val="single"/>
          <w:lang w:val="fr-FR"/>
        </w:rPr>
      </w:pPr>
      <w:bookmarkStart w:id="35" w:name="_Toc309114863"/>
      <w:r>
        <w:rPr>
          <w:lang w:val="fr-FR"/>
        </w:rPr>
        <w:t>“</w:t>
      </w:r>
      <w:r w:rsidR="0020369A" w:rsidRPr="00C6153A">
        <w:rPr>
          <w:sz w:val="18"/>
          <w:szCs w:val="18"/>
          <w:u w:val="single"/>
          <w:lang w:val="fr-FR"/>
        </w:rPr>
        <w:t>ASW 7(a) (Chapitre</w:t>
      </w:r>
      <w:r w:rsidR="002067E8">
        <w:rPr>
          <w:sz w:val="18"/>
          <w:szCs w:val="18"/>
          <w:u w:val="single"/>
          <w:lang w:val="fr-FR"/>
        </w:rPr>
        <w:t> </w:t>
      </w:r>
      <w:r w:rsidR="0020369A" w:rsidRPr="00C6153A">
        <w:rPr>
          <w:sz w:val="18"/>
          <w:szCs w:val="18"/>
          <w:u w:val="single"/>
          <w:lang w:val="fr-FR"/>
        </w:rPr>
        <w:t>4.1.1) – Distinction</w:t>
      </w:r>
      <w:r w:rsidR="002067E8">
        <w:rPr>
          <w:sz w:val="18"/>
          <w:szCs w:val="18"/>
          <w:u w:val="single"/>
          <w:lang w:val="fr-FR"/>
        </w:rPr>
        <w:t> </w:t>
      </w:r>
      <w:r w:rsidR="0020369A" w:rsidRPr="00C6153A">
        <w:rPr>
          <w:sz w:val="18"/>
          <w:szCs w:val="18"/>
          <w:u w:val="single"/>
          <w:lang w:val="fr-FR"/>
        </w:rPr>
        <w:t>: formule parentale</w:t>
      </w:r>
      <w:bookmarkEnd w:id="35"/>
    </w:p>
    <w:p w:rsidR="0020369A" w:rsidRPr="00C6153A" w:rsidRDefault="0020369A" w:rsidP="001613B4">
      <w:pPr>
        <w:rPr>
          <w:lang w:val="fr-FR"/>
        </w:rPr>
      </w:pPr>
    </w:p>
    <w:p w:rsidR="0020369A" w:rsidRPr="00C6153A" w:rsidRDefault="00F20C73" w:rsidP="001613B4">
      <w:pPr>
        <w:ind w:left="567" w:right="708"/>
        <w:rPr>
          <w:color w:val="000000"/>
          <w:sz w:val="18"/>
          <w:szCs w:val="18"/>
          <w:lang w:val="fr-FR"/>
        </w:rPr>
      </w:pPr>
      <w:r>
        <w:rPr>
          <w:color w:val="000000"/>
          <w:sz w:val="18"/>
          <w:szCs w:val="18"/>
          <w:lang w:val="fr-FR"/>
        </w:rPr>
        <w:t>“</w:t>
      </w:r>
      <w:r w:rsidR="0020369A" w:rsidRPr="00C6153A">
        <w:rPr>
          <w:color w:val="000000"/>
          <w:sz w:val="18"/>
          <w:szCs w:val="18"/>
          <w:lang w:val="fr-FR"/>
        </w:rPr>
        <w:t>Pour établir la distinction des hybrides, il est possible d</w:t>
      </w:r>
      <w:r>
        <w:rPr>
          <w:color w:val="000000"/>
          <w:sz w:val="18"/>
          <w:szCs w:val="18"/>
          <w:lang w:val="fr-FR"/>
        </w:rPr>
        <w:t>’</w:t>
      </w:r>
      <w:r w:rsidR="0020369A" w:rsidRPr="00C6153A">
        <w:rPr>
          <w:color w:val="000000"/>
          <w:sz w:val="18"/>
          <w:szCs w:val="18"/>
          <w:lang w:val="fr-FR"/>
        </w:rPr>
        <w:t>utiliser les lignées parentales et la formule, en observant les recommandations suivantes :</w:t>
      </w:r>
    </w:p>
    <w:p w:rsidR="0020369A" w:rsidRPr="00C6153A" w:rsidRDefault="0020369A" w:rsidP="001613B4">
      <w:pPr>
        <w:ind w:left="567" w:right="708"/>
        <w:rPr>
          <w:color w:val="000000"/>
          <w:sz w:val="18"/>
          <w:szCs w:val="18"/>
          <w:lang w:val="fr-FR"/>
        </w:rPr>
      </w:pPr>
    </w:p>
    <w:p w:rsidR="00A039B4" w:rsidRDefault="0020369A" w:rsidP="006F75D2">
      <w:pPr>
        <w:numPr>
          <w:ilvl w:val="0"/>
          <w:numId w:val="9"/>
        </w:numPr>
        <w:ind w:right="708"/>
        <w:rPr>
          <w:color w:val="000000"/>
          <w:sz w:val="18"/>
          <w:szCs w:val="18"/>
          <w:lang w:val="fr-FR"/>
        </w:rPr>
      </w:pPr>
      <w:r w:rsidRPr="006F75D2">
        <w:rPr>
          <w:color w:val="000000"/>
          <w:sz w:val="18"/>
          <w:szCs w:val="18"/>
          <w:lang w:val="fr-FR"/>
        </w:rPr>
        <w:t>description des lignées parentales conformément aux principes directeurs d</w:t>
      </w:r>
      <w:r w:rsidR="00F20C73">
        <w:rPr>
          <w:color w:val="000000"/>
          <w:sz w:val="18"/>
          <w:szCs w:val="18"/>
          <w:lang w:val="fr-FR"/>
        </w:rPr>
        <w:t>’</w:t>
      </w:r>
      <w:r w:rsidRPr="006F75D2">
        <w:rPr>
          <w:color w:val="000000"/>
          <w:sz w:val="18"/>
          <w:szCs w:val="18"/>
          <w:lang w:val="fr-FR"/>
        </w:rPr>
        <w:t>examen;</w:t>
      </w:r>
    </w:p>
    <w:p w:rsidR="0020369A" w:rsidRPr="006F75D2" w:rsidRDefault="0020369A" w:rsidP="001613B4">
      <w:pPr>
        <w:ind w:left="567" w:right="708"/>
        <w:rPr>
          <w:color w:val="000000"/>
          <w:sz w:val="18"/>
          <w:szCs w:val="18"/>
          <w:lang w:val="fr-FR"/>
        </w:rPr>
      </w:pPr>
    </w:p>
    <w:p w:rsidR="0020369A" w:rsidRPr="006F75D2" w:rsidRDefault="0020369A" w:rsidP="006F75D2">
      <w:pPr>
        <w:numPr>
          <w:ilvl w:val="0"/>
          <w:numId w:val="9"/>
        </w:numPr>
        <w:ind w:right="708"/>
        <w:rPr>
          <w:color w:val="000000"/>
          <w:sz w:val="18"/>
          <w:szCs w:val="18"/>
          <w:lang w:val="fr-FR"/>
        </w:rPr>
      </w:pPr>
      <w:r w:rsidRPr="006F75D2">
        <w:rPr>
          <w:color w:val="000000"/>
          <w:sz w:val="18"/>
          <w:szCs w:val="18"/>
          <w:lang w:val="fr-FR"/>
        </w:rPr>
        <w:t>vérification de l</w:t>
      </w:r>
      <w:r w:rsidR="00F20C73">
        <w:rPr>
          <w:color w:val="000000"/>
          <w:sz w:val="18"/>
          <w:szCs w:val="18"/>
          <w:lang w:val="fr-FR"/>
        </w:rPr>
        <w:t>’</w:t>
      </w:r>
      <w:r w:rsidRPr="006F75D2">
        <w:rPr>
          <w:color w:val="000000"/>
          <w:sz w:val="18"/>
          <w:szCs w:val="18"/>
          <w:lang w:val="fr-FR"/>
        </w:rPr>
        <w:t>originalité de ces lignées parentales par rapport à la collection de référence, sur la base des caractères décrits dans la section</w:t>
      </w:r>
      <w:r w:rsidR="002067E8">
        <w:rPr>
          <w:color w:val="000000"/>
          <w:sz w:val="18"/>
          <w:szCs w:val="18"/>
          <w:lang w:val="fr-FR"/>
        </w:rPr>
        <w:t> </w:t>
      </w:r>
      <w:r w:rsidRPr="006F75D2">
        <w:rPr>
          <w:color w:val="000000"/>
          <w:sz w:val="18"/>
          <w:szCs w:val="18"/>
          <w:lang w:val="fr-FR"/>
        </w:rPr>
        <w:t>7 afin de réaliser un criblage des lignées endogames les plus proches;</w:t>
      </w:r>
    </w:p>
    <w:p w:rsidR="0020369A" w:rsidRPr="006F75D2" w:rsidRDefault="0020369A" w:rsidP="001613B4">
      <w:pPr>
        <w:ind w:left="567" w:right="708"/>
        <w:rPr>
          <w:color w:val="000000"/>
          <w:sz w:val="18"/>
          <w:szCs w:val="18"/>
          <w:lang w:val="fr-FR"/>
        </w:rPr>
      </w:pPr>
    </w:p>
    <w:p w:rsidR="0020369A" w:rsidRPr="006F75D2" w:rsidRDefault="0020369A" w:rsidP="006F75D2">
      <w:pPr>
        <w:numPr>
          <w:ilvl w:val="0"/>
          <w:numId w:val="9"/>
        </w:numPr>
        <w:ind w:right="708" w:hanging="783"/>
        <w:rPr>
          <w:color w:val="000000"/>
          <w:sz w:val="18"/>
          <w:szCs w:val="18"/>
          <w:lang w:val="fr-FR"/>
        </w:rPr>
      </w:pPr>
      <w:r w:rsidRPr="006F75D2">
        <w:rPr>
          <w:color w:val="000000"/>
          <w:sz w:val="18"/>
          <w:szCs w:val="18"/>
          <w:lang w:val="fr-FR"/>
        </w:rPr>
        <w:t>vérification de l</w:t>
      </w:r>
      <w:r w:rsidR="00F20C73">
        <w:rPr>
          <w:color w:val="000000"/>
          <w:sz w:val="18"/>
          <w:szCs w:val="18"/>
          <w:lang w:val="fr-FR"/>
        </w:rPr>
        <w:t>’</w:t>
      </w:r>
      <w:r w:rsidRPr="006F75D2">
        <w:rPr>
          <w:color w:val="000000"/>
          <w:sz w:val="18"/>
          <w:szCs w:val="18"/>
          <w:lang w:val="fr-FR"/>
        </w:rPr>
        <w:t xml:space="preserve">originalité de la formule des hybrides par rapport à celle des hybrides notoirement connus, compte tenu des lignées endogames les plus proches; </w:t>
      </w:r>
      <w:r w:rsidR="002067E8">
        <w:rPr>
          <w:color w:val="000000"/>
          <w:sz w:val="18"/>
          <w:szCs w:val="18"/>
          <w:lang w:val="fr-FR"/>
        </w:rPr>
        <w:t xml:space="preserve"> </w:t>
      </w:r>
      <w:r>
        <w:rPr>
          <w:color w:val="000000"/>
          <w:sz w:val="18"/>
          <w:szCs w:val="18"/>
          <w:lang w:val="fr-FR"/>
        </w:rPr>
        <w:t>et</w:t>
      </w:r>
    </w:p>
    <w:p w:rsidR="0020369A" w:rsidRPr="006F75D2" w:rsidRDefault="0020369A" w:rsidP="001613B4">
      <w:pPr>
        <w:ind w:left="567" w:right="708"/>
        <w:rPr>
          <w:color w:val="000000"/>
          <w:sz w:val="18"/>
          <w:szCs w:val="18"/>
          <w:lang w:val="fr-FR"/>
        </w:rPr>
      </w:pPr>
    </w:p>
    <w:p w:rsidR="0020369A" w:rsidRPr="006F75D2" w:rsidRDefault="0020369A" w:rsidP="001613B4">
      <w:pPr>
        <w:numPr>
          <w:ilvl w:val="0"/>
          <w:numId w:val="9"/>
        </w:numPr>
        <w:ind w:left="567" w:right="708" w:firstLine="0"/>
        <w:rPr>
          <w:color w:val="000000"/>
          <w:sz w:val="18"/>
          <w:szCs w:val="18"/>
          <w:lang w:val="fr-FR"/>
        </w:rPr>
      </w:pPr>
      <w:r w:rsidRPr="006F75D2">
        <w:rPr>
          <w:color w:val="000000"/>
          <w:sz w:val="18"/>
          <w:szCs w:val="18"/>
          <w:lang w:val="fr-FR"/>
        </w:rPr>
        <w:t>établissement de la distinction au niveau des hybrides pour les variétés à formule semblable.</w:t>
      </w:r>
    </w:p>
    <w:p w:rsidR="0020369A" w:rsidRPr="006F75D2" w:rsidRDefault="0020369A" w:rsidP="001613B4">
      <w:pPr>
        <w:ind w:left="567" w:right="708"/>
        <w:rPr>
          <w:sz w:val="18"/>
          <w:szCs w:val="18"/>
          <w:lang w:val="fr-FR"/>
        </w:rPr>
      </w:pPr>
    </w:p>
    <w:p w:rsidR="00A039B4" w:rsidRDefault="00F20C73" w:rsidP="001613B4">
      <w:pPr>
        <w:ind w:left="567" w:right="708"/>
        <w:rPr>
          <w:sz w:val="18"/>
          <w:szCs w:val="18"/>
          <w:lang w:val="fr-FR"/>
        </w:rPr>
      </w:pPr>
      <w:r>
        <w:rPr>
          <w:sz w:val="18"/>
          <w:szCs w:val="18"/>
          <w:lang w:val="fr-FR"/>
        </w:rPr>
        <w:t>“</w:t>
      </w:r>
      <w:r w:rsidR="0020369A" w:rsidRPr="006F75D2">
        <w:rPr>
          <w:sz w:val="18"/>
          <w:szCs w:val="18"/>
          <w:lang w:val="fr-FR"/>
        </w:rPr>
        <w:t xml:space="preserve">Des indications supplémentaires figurent dans les documents TGP/9 </w:t>
      </w:r>
      <w:r>
        <w:rPr>
          <w:sz w:val="18"/>
          <w:szCs w:val="18"/>
          <w:lang w:val="fr-FR"/>
        </w:rPr>
        <w:t>“</w:t>
      </w:r>
      <w:r w:rsidR="0020369A" w:rsidRPr="006F75D2">
        <w:rPr>
          <w:sz w:val="18"/>
          <w:szCs w:val="18"/>
          <w:lang w:val="fr-FR"/>
        </w:rPr>
        <w:t>Examen de la distinction</w:t>
      </w:r>
      <w:r>
        <w:rPr>
          <w:sz w:val="18"/>
          <w:szCs w:val="18"/>
          <w:lang w:val="fr-FR"/>
        </w:rPr>
        <w:t>”</w:t>
      </w:r>
      <w:r w:rsidR="0020369A" w:rsidRPr="006F75D2">
        <w:rPr>
          <w:sz w:val="18"/>
          <w:szCs w:val="18"/>
          <w:lang w:val="fr-FR"/>
        </w:rPr>
        <w:t xml:space="preserve"> et TGP/8 </w:t>
      </w:r>
      <w:r>
        <w:rPr>
          <w:sz w:val="18"/>
          <w:szCs w:val="18"/>
          <w:lang w:val="fr-FR"/>
        </w:rPr>
        <w:t>“</w:t>
      </w:r>
      <w:r w:rsidR="0020369A" w:rsidRPr="006F75D2">
        <w:rPr>
          <w:sz w:val="18"/>
          <w:szCs w:val="18"/>
          <w:lang w:val="fr-FR"/>
        </w:rPr>
        <w:t>Protocole d</w:t>
      </w:r>
      <w:r>
        <w:rPr>
          <w:sz w:val="18"/>
          <w:szCs w:val="18"/>
          <w:lang w:val="fr-FR"/>
        </w:rPr>
        <w:t>’</w:t>
      </w:r>
      <w:r w:rsidR="0020369A" w:rsidRPr="006F75D2">
        <w:rPr>
          <w:sz w:val="18"/>
          <w:szCs w:val="18"/>
          <w:lang w:val="fr-FR"/>
        </w:rPr>
        <w:t>essai et techniques utilisés dans l</w:t>
      </w:r>
      <w:r>
        <w:rPr>
          <w:sz w:val="18"/>
          <w:szCs w:val="18"/>
          <w:lang w:val="fr-FR"/>
        </w:rPr>
        <w:t>’</w:t>
      </w:r>
      <w:r w:rsidR="0020369A" w:rsidRPr="006F75D2">
        <w:rPr>
          <w:sz w:val="18"/>
          <w:szCs w:val="18"/>
          <w:lang w:val="fr-FR"/>
        </w:rPr>
        <w:t>examen de la Distinction, de l</w:t>
      </w:r>
      <w:r>
        <w:rPr>
          <w:sz w:val="18"/>
          <w:szCs w:val="18"/>
          <w:lang w:val="fr-FR"/>
        </w:rPr>
        <w:t>’</w:t>
      </w:r>
      <w:r w:rsidR="0020369A" w:rsidRPr="006F75D2">
        <w:rPr>
          <w:sz w:val="18"/>
          <w:szCs w:val="18"/>
          <w:lang w:val="fr-FR"/>
        </w:rPr>
        <w:t>Homogénéité et de la Stabilité</w:t>
      </w:r>
      <w:r>
        <w:rPr>
          <w:sz w:val="18"/>
          <w:szCs w:val="18"/>
          <w:lang w:val="fr-FR"/>
        </w:rPr>
        <w:t>”</w:t>
      </w:r>
      <w:r w:rsidR="0020369A" w:rsidRPr="006F75D2">
        <w:rPr>
          <w:sz w:val="18"/>
          <w:szCs w:val="18"/>
          <w:lang w:val="fr-FR"/>
        </w:rPr>
        <w:t>.</w:t>
      </w:r>
    </w:p>
    <w:p w:rsidR="0020369A" w:rsidRPr="00F633F2" w:rsidRDefault="0020369A" w:rsidP="001613B4">
      <w:pPr>
        <w:ind w:right="708"/>
        <w:rPr>
          <w:sz w:val="18"/>
          <w:szCs w:val="18"/>
          <w:lang w:val="fr-FR"/>
        </w:rPr>
      </w:pPr>
    </w:p>
    <w:p w:rsidR="0020369A" w:rsidRPr="00F633F2" w:rsidRDefault="0020369A" w:rsidP="001613B4">
      <w:pPr>
        <w:ind w:right="708" w:firstLine="567"/>
        <w:rPr>
          <w:sz w:val="18"/>
          <w:szCs w:val="18"/>
          <w:lang w:val="fr-FR"/>
        </w:rPr>
      </w:pPr>
      <w:r w:rsidRPr="00F633F2">
        <w:rPr>
          <w:sz w:val="18"/>
          <w:szCs w:val="18"/>
          <w:lang w:val="fr-FR"/>
        </w:rPr>
        <w:t>[…]</w:t>
      </w:r>
    </w:p>
    <w:p w:rsidR="0020369A" w:rsidRPr="00F633F2" w:rsidRDefault="0020369A" w:rsidP="001613B4">
      <w:pPr>
        <w:ind w:right="708"/>
        <w:rPr>
          <w:sz w:val="18"/>
          <w:szCs w:val="18"/>
          <w:lang w:val="fr-FR"/>
        </w:rPr>
      </w:pPr>
    </w:p>
    <w:p w:rsidR="0020369A" w:rsidRDefault="00F20C73" w:rsidP="006F75D2">
      <w:pPr>
        <w:ind w:left="567"/>
        <w:rPr>
          <w:i/>
          <w:iCs/>
          <w:sz w:val="18"/>
          <w:szCs w:val="18"/>
          <w:lang w:val="fr-FR"/>
        </w:rPr>
      </w:pPr>
      <w:bookmarkStart w:id="36" w:name="_Toc309114877"/>
      <w:r>
        <w:rPr>
          <w:lang w:val="fr-FR"/>
        </w:rPr>
        <w:t>“</w:t>
      </w:r>
      <w:r w:rsidR="0020369A" w:rsidRPr="006F75D2">
        <w:rPr>
          <w:i/>
          <w:iCs/>
          <w:sz w:val="18"/>
          <w:szCs w:val="18"/>
          <w:lang w:val="fr-FR"/>
        </w:rPr>
        <w:t>e)</w:t>
      </w:r>
      <w:r w:rsidR="0020369A" w:rsidRPr="006F75D2">
        <w:rPr>
          <w:i/>
          <w:iCs/>
          <w:sz w:val="18"/>
          <w:szCs w:val="18"/>
          <w:lang w:val="fr-FR"/>
        </w:rPr>
        <w:tab/>
        <w:t>Évaluation de l</w:t>
      </w:r>
      <w:r>
        <w:rPr>
          <w:i/>
          <w:iCs/>
          <w:sz w:val="18"/>
          <w:szCs w:val="18"/>
          <w:lang w:val="fr-FR"/>
        </w:rPr>
        <w:t>’</w:t>
      </w:r>
      <w:r w:rsidR="0020369A" w:rsidRPr="006F75D2">
        <w:rPr>
          <w:i/>
          <w:iCs/>
          <w:sz w:val="18"/>
          <w:szCs w:val="18"/>
          <w:lang w:val="fr-FR"/>
        </w:rPr>
        <w:t>homogénéité en cas d</w:t>
      </w:r>
      <w:r>
        <w:rPr>
          <w:i/>
          <w:iCs/>
          <w:sz w:val="18"/>
          <w:szCs w:val="18"/>
          <w:lang w:val="fr-FR"/>
        </w:rPr>
        <w:t>’</w:t>
      </w:r>
      <w:r w:rsidR="0020369A" w:rsidRPr="006F75D2">
        <w:rPr>
          <w:i/>
          <w:iCs/>
          <w:sz w:val="18"/>
          <w:szCs w:val="18"/>
          <w:lang w:val="fr-FR"/>
        </w:rPr>
        <w:t>utilisation de la formule parentale</w:t>
      </w:r>
      <w:bookmarkEnd w:id="36"/>
    </w:p>
    <w:p w:rsidR="0020369A" w:rsidRPr="006F75D2" w:rsidRDefault="0020369A" w:rsidP="006F75D2">
      <w:pPr>
        <w:ind w:left="567"/>
        <w:rPr>
          <w:sz w:val="18"/>
          <w:szCs w:val="18"/>
          <w:lang w:val="fr-FR"/>
        </w:rPr>
      </w:pPr>
    </w:p>
    <w:p w:rsidR="0020369A" w:rsidRPr="006F75D2" w:rsidRDefault="00F20C73" w:rsidP="001613B4">
      <w:pPr>
        <w:ind w:left="567" w:right="567"/>
        <w:rPr>
          <w:sz w:val="18"/>
          <w:szCs w:val="18"/>
          <w:lang w:val="fr-FR"/>
        </w:rPr>
      </w:pPr>
      <w:r>
        <w:rPr>
          <w:sz w:val="18"/>
          <w:szCs w:val="18"/>
          <w:lang w:val="fr-FR"/>
        </w:rPr>
        <w:t>“</w:t>
      </w:r>
      <w:r w:rsidR="0020369A" w:rsidRPr="006F75D2">
        <w:rPr>
          <w:sz w:val="18"/>
          <w:szCs w:val="18"/>
          <w:lang w:val="fr-FR"/>
        </w:rPr>
        <w:t>Lorsque l</w:t>
      </w:r>
      <w:r>
        <w:rPr>
          <w:sz w:val="18"/>
          <w:szCs w:val="18"/>
          <w:lang w:val="fr-FR"/>
        </w:rPr>
        <w:t>’</w:t>
      </w:r>
      <w:r w:rsidR="0020369A" w:rsidRPr="006F75D2">
        <w:rPr>
          <w:sz w:val="18"/>
          <w:szCs w:val="18"/>
          <w:lang w:val="fr-FR"/>
        </w:rPr>
        <w:t>évaluation d</w:t>
      </w:r>
      <w:r>
        <w:rPr>
          <w:sz w:val="18"/>
          <w:szCs w:val="18"/>
          <w:lang w:val="fr-FR"/>
        </w:rPr>
        <w:t>’</w:t>
      </w:r>
      <w:r w:rsidR="0020369A" w:rsidRPr="006F75D2">
        <w:rPr>
          <w:sz w:val="18"/>
          <w:szCs w:val="18"/>
          <w:lang w:val="fr-FR"/>
        </w:rPr>
        <w:t>une variété hybride fait appel aux lignées parentales, l</w:t>
      </w:r>
      <w:r>
        <w:rPr>
          <w:sz w:val="18"/>
          <w:szCs w:val="18"/>
          <w:lang w:val="fr-FR"/>
        </w:rPr>
        <w:t>’</w:t>
      </w:r>
      <w:r w:rsidR="0020369A" w:rsidRPr="006F75D2">
        <w:rPr>
          <w:sz w:val="18"/>
          <w:szCs w:val="18"/>
          <w:lang w:val="fr-FR"/>
        </w:rPr>
        <w:t>homogénéité de la variété hybride devra, outre l</w:t>
      </w:r>
      <w:r>
        <w:rPr>
          <w:sz w:val="18"/>
          <w:szCs w:val="18"/>
          <w:lang w:val="fr-FR"/>
        </w:rPr>
        <w:t>’</w:t>
      </w:r>
      <w:r w:rsidR="0020369A" w:rsidRPr="006F75D2">
        <w:rPr>
          <w:sz w:val="18"/>
          <w:szCs w:val="18"/>
          <w:lang w:val="fr-FR"/>
        </w:rPr>
        <w:t>examen de la variété hybride elle</w:t>
      </w:r>
      <w:r w:rsidR="0020369A" w:rsidRPr="006F75D2">
        <w:rPr>
          <w:rFonts w:ascii="MS Mincho" w:eastAsia="MS Mincho" w:hAnsi="MS Mincho" w:cs="MS Mincho" w:hint="eastAsia"/>
          <w:sz w:val="18"/>
          <w:szCs w:val="18"/>
          <w:lang w:val="fr-FR"/>
        </w:rPr>
        <w:t>‑</w:t>
      </w:r>
      <w:r w:rsidR="0020369A" w:rsidRPr="006F75D2">
        <w:rPr>
          <w:sz w:val="18"/>
          <w:szCs w:val="18"/>
          <w:lang w:val="fr-FR"/>
        </w:rPr>
        <w:t>même, être également évaluée au moyen d</w:t>
      </w:r>
      <w:r>
        <w:rPr>
          <w:sz w:val="18"/>
          <w:szCs w:val="18"/>
          <w:lang w:val="fr-FR"/>
        </w:rPr>
        <w:t>’</w:t>
      </w:r>
      <w:r w:rsidR="0020369A" w:rsidRPr="006F75D2">
        <w:rPr>
          <w:sz w:val="18"/>
          <w:szCs w:val="18"/>
          <w:lang w:val="fr-FR"/>
        </w:rPr>
        <w:t>un examen de l</w:t>
      </w:r>
      <w:r>
        <w:rPr>
          <w:sz w:val="18"/>
          <w:szCs w:val="18"/>
          <w:lang w:val="fr-FR"/>
        </w:rPr>
        <w:t>’</w:t>
      </w:r>
      <w:r w:rsidR="0020369A" w:rsidRPr="006F75D2">
        <w:rPr>
          <w:sz w:val="18"/>
          <w:szCs w:val="18"/>
          <w:lang w:val="fr-FR"/>
        </w:rPr>
        <w:t>homogénéité de ses lignées pare</w:t>
      </w:r>
      <w:r w:rsidR="0020369A">
        <w:rPr>
          <w:sz w:val="18"/>
          <w:szCs w:val="18"/>
          <w:lang w:val="fr-FR"/>
        </w:rPr>
        <w:t>ntales</w:t>
      </w:r>
      <w:r>
        <w:rPr>
          <w:sz w:val="18"/>
          <w:szCs w:val="18"/>
          <w:lang w:val="fr-FR"/>
        </w:rPr>
        <w:t>”</w:t>
      </w:r>
      <w:r w:rsidR="0020369A">
        <w:rPr>
          <w:sz w:val="18"/>
          <w:szCs w:val="18"/>
          <w:lang w:val="fr-FR"/>
        </w:rPr>
        <w:t>.</w:t>
      </w:r>
    </w:p>
    <w:p w:rsidR="0020369A" w:rsidRPr="006F75D2" w:rsidRDefault="0020369A" w:rsidP="001613B4">
      <w:pPr>
        <w:jc w:val="left"/>
        <w:rPr>
          <w:lang w:val="fr-FR"/>
        </w:rPr>
      </w:pPr>
    </w:p>
    <w:p w:rsidR="0020369A" w:rsidRPr="00F633F2" w:rsidRDefault="0020369A" w:rsidP="001613B4">
      <w:pPr>
        <w:ind w:right="708" w:firstLine="567"/>
        <w:rPr>
          <w:sz w:val="18"/>
          <w:szCs w:val="18"/>
          <w:lang w:val="fr-FR"/>
        </w:rPr>
      </w:pPr>
      <w:r w:rsidRPr="00F633F2">
        <w:rPr>
          <w:sz w:val="18"/>
          <w:szCs w:val="18"/>
          <w:lang w:val="fr-FR"/>
        </w:rPr>
        <w:t>[…]</w:t>
      </w:r>
    </w:p>
    <w:p w:rsidR="0020369A" w:rsidRPr="00F633F2" w:rsidRDefault="0020369A" w:rsidP="001613B4">
      <w:pPr>
        <w:ind w:right="708"/>
        <w:rPr>
          <w:color w:val="000000"/>
          <w:sz w:val="18"/>
          <w:szCs w:val="18"/>
          <w:lang w:val="fr-FR"/>
        </w:rPr>
      </w:pPr>
    </w:p>
    <w:p w:rsidR="0020369A" w:rsidRPr="006F75D2" w:rsidRDefault="00F20C73" w:rsidP="00F40B28">
      <w:pPr>
        <w:keepNext/>
        <w:ind w:left="567"/>
        <w:rPr>
          <w:sz w:val="18"/>
          <w:szCs w:val="18"/>
          <w:u w:val="single"/>
          <w:lang w:val="fr-FR"/>
        </w:rPr>
      </w:pPr>
      <w:bookmarkStart w:id="37" w:name="_Toc309114882"/>
      <w:r>
        <w:rPr>
          <w:lang w:val="fr-FR"/>
        </w:rPr>
        <w:lastRenderedPageBreak/>
        <w:t>“</w:t>
      </w:r>
      <w:r w:rsidR="0020369A" w:rsidRPr="006F75D2">
        <w:rPr>
          <w:sz w:val="18"/>
          <w:szCs w:val="18"/>
          <w:u w:val="single"/>
          <w:lang w:val="fr-FR"/>
        </w:rPr>
        <w:t>ASW 10 (Chapitre</w:t>
      </w:r>
      <w:r w:rsidR="002067E8">
        <w:rPr>
          <w:sz w:val="18"/>
          <w:szCs w:val="18"/>
          <w:u w:val="single"/>
          <w:lang w:val="fr-FR"/>
        </w:rPr>
        <w:t> </w:t>
      </w:r>
      <w:r w:rsidR="0020369A" w:rsidRPr="006F75D2">
        <w:rPr>
          <w:sz w:val="18"/>
          <w:szCs w:val="18"/>
          <w:u w:val="single"/>
          <w:lang w:val="fr-FR"/>
        </w:rPr>
        <w:t>4.3.3 du modèle) – Détermination de la stabilité : variétés hybrides</w:t>
      </w:r>
      <w:bookmarkEnd w:id="37"/>
    </w:p>
    <w:p w:rsidR="0020369A" w:rsidRPr="006F75D2" w:rsidRDefault="0020369A" w:rsidP="00F40B28">
      <w:pPr>
        <w:keepNext/>
        <w:ind w:left="567" w:right="567"/>
        <w:rPr>
          <w:sz w:val="18"/>
          <w:szCs w:val="18"/>
          <w:lang w:val="fr-FR"/>
        </w:rPr>
      </w:pPr>
    </w:p>
    <w:p w:rsidR="00A039B4" w:rsidRDefault="00F20C73" w:rsidP="001613B4">
      <w:pPr>
        <w:ind w:left="567" w:right="567"/>
        <w:rPr>
          <w:sz w:val="18"/>
          <w:szCs w:val="18"/>
          <w:lang w:val="fr-FR"/>
        </w:rPr>
      </w:pPr>
      <w:r>
        <w:rPr>
          <w:sz w:val="18"/>
          <w:szCs w:val="18"/>
          <w:lang w:val="fr-FR"/>
        </w:rPr>
        <w:t>“</w:t>
      </w:r>
      <w:r w:rsidR="0020369A" w:rsidRPr="006755B5">
        <w:rPr>
          <w:sz w:val="18"/>
          <w:szCs w:val="18"/>
          <w:lang w:val="fr-FR"/>
        </w:rPr>
        <w:t>Lorsqu</w:t>
      </w:r>
      <w:r>
        <w:rPr>
          <w:sz w:val="18"/>
          <w:szCs w:val="18"/>
          <w:lang w:val="fr-FR"/>
        </w:rPr>
        <w:t>’</w:t>
      </w:r>
      <w:r w:rsidR="0020369A" w:rsidRPr="006755B5">
        <w:rPr>
          <w:sz w:val="18"/>
          <w:szCs w:val="18"/>
          <w:lang w:val="fr-FR"/>
        </w:rPr>
        <w:t>il y a lieu, ou en cas de doute, la stabilité d</w:t>
      </w:r>
      <w:r>
        <w:rPr>
          <w:sz w:val="18"/>
          <w:szCs w:val="18"/>
          <w:lang w:val="fr-FR"/>
        </w:rPr>
        <w:t>’</w:t>
      </w:r>
      <w:r w:rsidR="0020369A" w:rsidRPr="006755B5">
        <w:rPr>
          <w:sz w:val="18"/>
          <w:szCs w:val="18"/>
          <w:lang w:val="fr-FR"/>
        </w:rPr>
        <w:t>une variété hybride peut, outre l</w:t>
      </w:r>
      <w:r>
        <w:rPr>
          <w:sz w:val="18"/>
          <w:szCs w:val="18"/>
          <w:lang w:val="fr-FR"/>
        </w:rPr>
        <w:t>’</w:t>
      </w:r>
      <w:r w:rsidR="0020369A" w:rsidRPr="006755B5">
        <w:rPr>
          <w:sz w:val="18"/>
          <w:szCs w:val="18"/>
          <w:lang w:val="fr-FR"/>
        </w:rPr>
        <w:t>examen de la variété hybride elle</w:t>
      </w:r>
      <w:r w:rsidR="0020369A" w:rsidRPr="006755B5">
        <w:rPr>
          <w:rFonts w:ascii="MS Mincho" w:eastAsia="MS Mincho" w:hAnsi="MS Mincho" w:cs="MS Mincho" w:hint="eastAsia"/>
          <w:sz w:val="18"/>
          <w:szCs w:val="18"/>
          <w:lang w:val="fr-FR"/>
        </w:rPr>
        <w:t>‑</w:t>
      </w:r>
      <w:r w:rsidR="0020369A" w:rsidRPr="006755B5">
        <w:rPr>
          <w:sz w:val="18"/>
          <w:szCs w:val="18"/>
          <w:lang w:val="fr-FR"/>
        </w:rPr>
        <w:t>même, être déterminée également par examen de l</w:t>
      </w:r>
      <w:r>
        <w:rPr>
          <w:sz w:val="18"/>
          <w:szCs w:val="18"/>
          <w:lang w:val="fr-FR"/>
        </w:rPr>
        <w:t>’</w:t>
      </w:r>
      <w:r w:rsidR="0020369A" w:rsidRPr="006755B5">
        <w:rPr>
          <w:sz w:val="18"/>
          <w:szCs w:val="18"/>
          <w:lang w:val="fr-FR"/>
        </w:rPr>
        <w:t>homogénéité et de la stab</w:t>
      </w:r>
      <w:r w:rsidR="0020369A">
        <w:rPr>
          <w:sz w:val="18"/>
          <w:szCs w:val="18"/>
          <w:lang w:val="fr-FR"/>
        </w:rPr>
        <w:t>ilité de ses lignées parentales</w:t>
      </w:r>
      <w:r>
        <w:rPr>
          <w:sz w:val="18"/>
          <w:szCs w:val="18"/>
          <w:lang w:val="fr-FR"/>
        </w:rPr>
        <w:t>”</w:t>
      </w:r>
      <w:r w:rsidR="0020369A">
        <w:rPr>
          <w:sz w:val="18"/>
          <w:szCs w:val="18"/>
          <w:lang w:val="fr-FR"/>
        </w:rPr>
        <w:t>.</w:t>
      </w:r>
    </w:p>
    <w:p w:rsidR="0020369A" w:rsidRPr="00F633F2" w:rsidRDefault="0020369A" w:rsidP="001613B4">
      <w:pPr>
        <w:ind w:left="567" w:right="567"/>
        <w:rPr>
          <w:sz w:val="18"/>
          <w:szCs w:val="18"/>
          <w:lang w:val="fr-FR"/>
        </w:rPr>
      </w:pPr>
    </w:p>
    <w:p w:rsidR="0020369A" w:rsidRPr="00F633F2" w:rsidRDefault="0020369A" w:rsidP="001613B4">
      <w:pPr>
        <w:ind w:left="567" w:right="567"/>
        <w:rPr>
          <w:sz w:val="18"/>
          <w:szCs w:val="18"/>
          <w:lang w:val="fr-FR"/>
        </w:rPr>
      </w:pPr>
      <w:r w:rsidRPr="00F633F2">
        <w:rPr>
          <w:sz w:val="18"/>
          <w:szCs w:val="18"/>
          <w:lang w:val="fr-FR"/>
        </w:rPr>
        <w:t>[…]</w:t>
      </w:r>
    </w:p>
    <w:p w:rsidR="0020369A" w:rsidRPr="00F633F2" w:rsidRDefault="0020369A" w:rsidP="001613B4">
      <w:pPr>
        <w:ind w:left="567" w:right="567"/>
        <w:rPr>
          <w:sz w:val="18"/>
          <w:szCs w:val="18"/>
          <w:lang w:val="fr-FR"/>
        </w:rPr>
      </w:pPr>
    </w:p>
    <w:p w:rsidR="0020369A" w:rsidRPr="006755B5" w:rsidRDefault="00F20C73" w:rsidP="00EA1A0B">
      <w:pPr>
        <w:ind w:left="567" w:right="567"/>
        <w:rPr>
          <w:sz w:val="18"/>
          <w:szCs w:val="18"/>
          <w:u w:val="single"/>
          <w:lang w:val="fr-FR"/>
        </w:rPr>
      </w:pPr>
      <w:bookmarkStart w:id="38" w:name="_Toc27819153"/>
      <w:bookmarkStart w:id="39" w:name="_Toc27819334"/>
      <w:bookmarkStart w:id="40" w:name="_Toc27819515"/>
      <w:bookmarkStart w:id="41" w:name="_Toc309114888"/>
      <w:r>
        <w:rPr>
          <w:lang w:val="fr-FR"/>
        </w:rPr>
        <w:t>“</w:t>
      </w:r>
      <w:r w:rsidR="00917A8B">
        <w:rPr>
          <w:sz w:val="18"/>
          <w:szCs w:val="18"/>
          <w:u w:val="single"/>
          <w:lang w:val="fr-FR"/>
        </w:rPr>
        <w:t xml:space="preserve">ASW 13 </w:t>
      </w:r>
      <w:r w:rsidR="0020369A" w:rsidRPr="006755B5">
        <w:rPr>
          <w:sz w:val="18"/>
          <w:szCs w:val="18"/>
          <w:u w:val="single"/>
          <w:lang w:val="fr-FR"/>
        </w:rPr>
        <w:t>(Chapitre</w:t>
      </w:r>
      <w:r w:rsidR="002067E8">
        <w:rPr>
          <w:sz w:val="18"/>
          <w:szCs w:val="18"/>
          <w:u w:val="single"/>
          <w:lang w:val="fr-FR"/>
        </w:rPr>
        <w:t> </w:t>
      </w:r>
      <w:r w:rsidR="0020369A" w:rsidRPr="006755B5">
        <w:rPr>
          <w:sz w:val="18"/>
          <w:szCs w:val="18"/>
          <w:u w:val="single"/>
          <w:lang w:val="fr-FR"/>
        </w:rPr>
        <w:t xml:space="preserve">10 du modèle : </w:t>
      </w:r>
      <w:r w:rsidR="002067E8">
        <w:rPr>
          <w:sz w:val="18"/>
          <w:szCs w:val="18"/>
          <w:u w:val="single"/>
          <w:lang w:val="fr-FR"/>
        </w:rPr>
        <w:t>titre</w:t>
      </w:r>
      <w:r w:rsidR="0020369A" w:rsidRPr="006755B5">
        <w:rPr>
          <w:sz w:val="18"/>
          <w:szCs w:val="18"/>
          <w:u w:val="single"/>
          <w:lang w:val="fr-FR"/>
        </w:rPr>
        <w:t xml:space="preserve"> du questionnaire technique) – Questionnaire technique portant sur des variétés hybrides</w:t>
      </w:r>
      <w:bookmarkEnd w:id="38"/>
      <w:bookmarkEnd w:id="39"/>
      <w:bookmarkEnd w:id="40"/>
      <w:bookmarkEnd w:id="41"/>
    </w:p>
    <w:p w:rsidR="0020369A" w:rsidRPr="006755B5" w:rsidRDefault="0020369A" w:rsidP="00EA1A0B">
      <w:pPr>
        <w:ind w:left="567" w:right="567"/>
        <w:rPr>
          <w:sz w:val="18"/>
          <w:szCs w:val="18"/>
          <w:lang w:val="fr-FR"/>
        </w:rPr>
      </w:pPr>
    </w:p>
    <w:p w:rsidR="00A039B4" w:rsidRDefault="00F20C73" w:rsidP="00EA1A0B">
      <w:pPr>
        <w:ind w:left="567" w:right="567"/>
        <w:rPr>
          <w:sz w:val="18"/>
          <w:szCs w:val="18"/>
          <w:lang w:val="fr-FR"/>
        </w:rPr>
      </w:pPr>
      <w:r>
        <w:rPr>
          <w:sz w:val="18"/>
          <w:szCs w:val="18"/>
          <w:lang w:val="fr-FR"/>
        </w:rPr>
        <w:t>“</w:t>
      </w:r>
      <w:r w:rsidR="0020369A" w:rsidRPr="006755B5">
        <w:rPr>
          <w:sz w:val="18"/>
          <w:szCs w:val="18"/>
          <w:lang w:val="fr-FR"/>
        </w:rPr>
        <w:t>Lorsque la formule parentale peut être utilisée pour l</w:t>
      </w:r>
      <w:r>
        <w:rPr>
          <w:sz w:val="18"/>
          <w:szCs w:val="18"/>
          <w:lang w:val="fr-FR"/>
        </w:rPr>
        <w:t>’</w:t>
      </w:r>
      <w:r w:rsidR="0020369A" w:rsidRPr="006755B5">
        <w:rPr>
          <w:sz w:val="18"/>
          <w:szCs w:val="18"/>
          <w:lang w:val="fr-FR"/>
        </w:rPr>
        <w:t>évaluation de la distinction (voir ASW 7(a) (Chapitre</w:t>
      </w:r>
      <w:r w:rsidR="002067E8">
        <w:rPr>
          <w:sz w:val="18"/>
          <w:szCs w:val="18"/>
          <w:lang w:val="fr-FR"/>
        </w:rPr>
        <w:t> </w:t>
      </w:r>
      <w:r w:rsidR="0020369A" w:rsidRPr="006755B5">
        <w:rPr>
          <w:sz w:val="18"/>
          <w:szCs w:val="18"/>
          <w:lang w:val="fr-FR"/>
        </w:rPr>
        <w:t>4.1.1) – Distinction : formule parentale), le texte ci</w:t>
      </w:r>
      <w:r w:rsidR="0020369A" w:rsidRPr="006755B5">
        <w:rPr>
          <w:rFonts w:ascii="MS Mincho" w:eastAsia="MS Mincho" w:hAnsi="MS Mincho" w:cs="MS Mincho" w:hint="eastAsia"/>
          <w:sz w:val="18"/>
          <w:szCs w:val="18"/>
          <w:lang w:val="fr-FR"/>
        </w:rPr>
        <w:t>‑</w:t>
      </w:r>
      <w:r w:rsidR="0020369A" w:rsidRPr="006755B5">
        <w:rPr>
          <w:sz w:val="18"/>
          <w:szCs w:val="18"/>
          <w:lang w:val="fr-FR"/>
        </w:rPr>
        <w:t>après peut être ajouté</w:t>
      </w:r>
      <w:r w:rsidR="002067E8">
        <w:rPr>
          <w:sz w:val="18"/>
          <w:szCs w:val="18"/>
          <w:lang w:val="fr-FR"/>
        </w:rPr>
        <w:t> </w:t>
      </w:r>
      <w:r w:rsidR="0020369A" w:rsidRPr="006755B5">
        <w:rPr>
          <w:sz w:val="18"/>
          <w:szCs w:val="18"/>
          <w:lang w:val="fr-FR"/>
        </w:rPr>
        <w:t>:</w:t>
      </w:r>
    </w:p>
    <w:p w:rsidR="0020369A" w:rsidRPr="006755B5" w:rsidRDefault="0020369A" w:rsidP="004723F6">
      <w:pPr>
        <w:ind w:left="567"/>
        <w:rPr>
          <w:sz w:val="18"/>
          <w:szCs w:val="18"/>
          <w:lang w:val="fr-FR"/>
        </w:rPr>
      </w:pPr>
    </w:p>
    <w:p w:rsidR="00A039B4" w:rsidRDefault="00F20C73" w:rsidP="00EA1A0B">
      <w:pPr>
        <w:ind w:left="567" w:right="567"/>
        <w:rPr>
          <w:sz w:val="18"/>
          <w:szCs w:val="18"/>
          <w:lang w:val="fr-FR"/>
        </w:rPr>
      </w:pPr>
      <w:r>
        <w:rPr>
          <w:sz w:val="18"/>
          <w:szCs w:val="18"/>
          <w:lang w:val="fr-FR"/>
        </w:rPr>
        <w:t>“</w:t>
      </w:r>
      <w:r w:rsidR="0020369A" w:rsidRPr="006755B5">
        <w:rPr>
          <w:sz w:val="18"/>
          <w:szCs w:val="18"/>
          <w:lang w:val="fr-FR"/>
        </w:rPr>
        <w:t>Si la demande de certificat d</w:t>
      </w:r>
      <w:r>
        <w:rPr>
          <w:sz w:val="18"/>
          <w:szCs w:val="18"/>
          <w:lang w:val="fr-FR"/>
        </w:rPr>
        <w:t>’</w:t>
      </w:r>
      <w:r w:rsidR="0020369A" w:rsidRPr="006755B5">
        <w:rPr>
          <w:sz w:val="18"/>
          <w:szCs w:val="18"/>
          <w:lang w:val="fr-FR"/>
        </w:rPr>
        <w:t>obtention végétale porte sur une variété hybride et si l</w:t>
      </w:r>
      <w:r>
        <w:rPr>
          <w:sz w:val="18"/>
          <w:szCs w:val="18"/>
          <w:lang w:val="fr-FR"/>
        </w:rPr>
        <w:t>’</w:t>
      </w:r>
      <w:r w:rsidR="0020369A" w:rsidRPr="006755B5">
        <w:rPr>
          <w:sz w:val="18"/>
          <w:szCs w:val="18"/>
          <w:lang w:val="fr-FR"/>
        </w:rPr>
        <w:t>examen requiert la remise des lignées parentales, le présent questionnaire doit être rempli pour chacune des lignées parentales en plus de la variété hybride</w:t>
      </w:r>
      <w:r>
        <w:rPr>
          <w:sz w:val="18"/>
          <w:szCs w:val="18"/>
          <w:lang w:val="fr-FR"/>
        </w:rPr>
        <w:t>”</w:t>
      </w:r>
      <w:r w:rsidR="0020369A">
        <w:rPr>
          <w:sz w:val="18"/>
          <w:szCs w:val="18"/>
          <w:lang w:val="fr-FR"/>
        </w:rPr>
        <w:t>.</w:t>
      </w:r>
    </w:p>
    <w:p w:rsidR="0020369A" w:rsidRPr="006755B5" w:rsidRDefault="0020369A" w:rsidP="00B76373">
      <w:pPr>
        <w:rPr>
          <w:color w:val="0D0D0D"/>
          <w:lang w:val="fr-FR"/>
        </w:rPr>
      </w:pPr>
    </w:p>
    <w:p w:rsidR="0020369A" w:rsidRPr="00AD5729" w:rsidRDefault="0020369A" w:rsidP="00B76373">
      <w:pPr>
        <w:rPr>
          <w:color w:val="0D0D0D"/>
          <w:lang w:val="fr-FR"/>
        </w:rPr>
      </w:pPr>
      <w:r w:rsidRPr="00AD5729">
        <w:rPr>
          <w:color w:val="0D0D0D"/>
          <w:lang w:val="fr-FR"/>
        </w:rPr>
        <w:fldChar w:fldCharType="begin"/>
      </w:r>
      <w:r w:rsidRPr="00AD5729">
        <w:rPr>
          <w:color w:val="0D0D0D"/>
          <w:lang w:val="fr-FR"/>
        </w:rPr>
        <w:instrText xml:space="preserve"> AUTONUM  </w:instrText>
      </w:r>
      <w:r w:rsidRPr="00AD5729">
        <w:rPr>
          <w:color w:val="0D0D0D"/>
          <w:lang w:val="fr-FR"/>
        </w:rPr>
        <w:fldChar w:fldCharType="end"/>
      </w:r>
      <w:r w:rsidRPr="00AD5729">
        <w:rPr>
          <w:color w:val="0D0D0D"/>
          <w:lang w:val="fr-FR"/>
        </w:rPr>
        <w:tab/>
        <w:t>Le CAJ souhaitera peut</w:t>
      </w:r>
      <w:r w:rsidR="0014634A">
        <w:rPr>
          <w:color w:val="0D0D0D"/>
          <w:lang w:val="fr-FR"/>
        </w:rPr>
        <w:noBreakHyphen/>
      </w:r>
      <w:r w:rsidRPr="00AD5729">
        <w:rPr>
          <w:color w:val="0D0D0D"/>
          <w:lang w:val="fr-FR"/>
        </w:rPr>
        <w:t>être se demander s</w:t>
      </w:r>
      <w:r w:rsidR="00F20C73">
        <w:rPr>
          <w:color w:val="0D0D0D"/>
          <w:lang w:val="fr-FR"/>
        </w:rPr>
        <w:t>’</w:t>
      </w:r>
      <w:r w:rsidRPr="00AD5729">
        <w:rPr>
          <w:color w:val="0D0D0D"/>
          <w:lang w:val="fr-FR"/>
        </w:rPr>
        <w:t>il convient d</w:t>
      </w:r>
      <w:r w:rsidR="00F20C73">
        <w:rPr>
          <w:color w:val="0D0D0D"/>
          <w:lang w:val="fr-FR"/>
        </w:rPr>
        <w:t>’</w:t>
      </w:r>
      <w:r w:rsidRPr="00AD5729">
        <w:rPr>
          <w:color w:val="0D0D0D"/>
          <w:lang w:val="fr-FR"/>
        </w:rPr>
        <w:t>élaborer des orientations supplémentaires sur les lignées parentales en rapport avec les demandes concernant les hybrid</w:t>
      </w:r>
      <w:r>
        <w:rPr>
          <w:color w:val="0D0D0D"/>
          <w:lang w:val="fr-FR"/>
        </w:rPr>
        <w:t>e</w:t>
      </w:r>
      <w:r w:rsidRPr="00AD5729">
        <w:rPr>
          <w:color w:val="0D0D0D"/>
          <w:lang w:val="fr-FR"/>
        </w:rPr>
        <w:t xml:space="preserve">s </w:t>
      </w:r>
      <w:r>
        <w:rPr>
          <w:color w:val="0D0D0D"/>
          <w:lang w:val="fr-FR"/>
        </w:rPr>
        <w:t>et/ou d</w:t>
      </w:r>
      <w:r w:rsidR="00F20C73">
        <w:rPr>
          <w:color w:val="0D0D0D"/>
          <w:lang w:val="fr-FR"/>
        </w:rPr>
        <w:t>’</w:t>
      </w:r>
      <w:r>
        <w:rPr>
          <w:color w:val="0D0D0D"/>
          <w:lang w:val="fr-FR"/>
        </w:rPr>
        <w:t>ajouter une référence aux orientations existantes sur les lignées parentales dans le</w:t>
      </w:r>
      <w:r w:rsidRPr="00AD5729">
        <w:rPr>
          <w:color w:val="0D0D0D"/>
          <w:lang w:val="fr-FR"/>
        </w:rPr>
        <w:t xml:space="preserve"> </w:t>
      </w:r>
      <w:r w:rsidRPr="00AD5729">
        <w:rPr>
          <w:lang w:val="fr-FR"/>
        </w:rPr>
        <w:t xml:space="preserve">document </w:t>
      </w:r>
      <w:r w:rsidRPr="00AD5729">
        <w:rPr>
          <w:snapToGrid w:val="0"/>
          <w:lang w:val="fr-FR"/>
        </w:rPr>
        <w:t>UPOV/INF/15</w:t>
      </w:r>
      <w:r w:rsidRPr="00AD5729">
        <w:rPr>
          <w:color w:val="0D0D0D"/>
          <w:lang w:val="fr-FR"/>
        </w:rPr>
        <w:t>.</w:t>
      </w:r>
    </w:p>
    <w:p w:rsidR="0020369A" w:rsidRPr="00AD5729" w:rsidRDefault="0020369A" w:rsidP="00B76373">
      <w:pPr>
        <w:rPr>
          <w:color w:val="0D0D0D"/>
          <w:lang w:val="fr-FR"/>
        </w:rPr>
      </w:pPr>
    </w:p>
    <w:p w:rsidR="0020369A" w:rsidRPr="00AD5729" w:rsidRDefault="0020369A" w:rsidP="00C4212E">
      <w:pPr>
        <w:pStyle w:val="DecisionParagraphs"/>
        <w:keepNext/>
        <w:rPr>
          <w:snapToGrid w:val="0"/>
          <w:lang w:val="fr-FR"/>
        </w:rPr>
      </w:pPr>
      <w:r w:rsidRPr="00AD5729">
        <w:rPr>
          <w:snapToGrid w:val="0"/>
          <w:lang w:val="fr-FR"/>
        </w:rPr>
        <w:fldChar w:fldCharType="begin"/>
      </w:r>
      <w:r w:rsidRPr="00AD5729">
        <w:rPr>
          <w:snapToGrid w:val="0"/>
          <w:lang w:val="fr-FR"/>
        </w:rPr>
        <w:instrText xml:space="preserve"> AUTONUM  </w:instrText>
      </w:r>
      <w:r w:rsidRPr="00AD5729">
        <w:rPr>
          <w:snapToGrid w:val="0"/>
          <w:lang w:val="fr-FR"/>
        </w:rPr>
        <w:fldChar w:fldCharType="end"/>
      </w:r>
      <w:r w:rsidRPr="00AD5729">
        <w:rPr>
          <w:snapToGrid w:val="0"/>
          <w:lang w:val="fr-FR"/>
        </w:rPr>
        <w:tab/>
        <w:t>Le CAJ est invité à</w:t>
      </w:r>
      <w:r w:rsidR="002067E8">
        <w:rPr>
          <w:snapToGrid w:val="0"/>
          <w:lang w:val="fr-FR"/>
        </w:rPr>
        <w:t> </w:t>
      </w:r>
      <w:r w:rsidRPr="00AD5729">
        <w:rPr>
          <w:snapToGrid w:val="0"/>
          <w:lang w:val="fr-FR"/>
        </w:rPr>
        <w:t>:</w:t>
      </w:r>
    </w:p>
    <w:p w:rsidR="0020369A" w:rsidRPr="00AD5729" w:rsidRDefault="0020369A" w:rsidP="00C4212E">
      <w:pPr>
        <w:pStyle w:val="DecisionParagraphs"/>
        <w:keepNext/>
        <w:rPr>
          <w:snapToGrid w:val="0"/>
          <w:lang w:val="fr-FR"/>
        </w:rPr>
      </w:pPr>
    </w:p>
    <w:p w:rsidR="0020369A" w:rsidRPr="00AD5729" w:rsidRDefault="0020369A" w:rsidP="00A20855">
      <w:pPr>
        <w:pStyle w:val="DecisionParagraphs"/>
        <w:tabs>
          <w:tab w:val="left" w:pos="5954"/>
        </w:tabs>
        <w:rPr>
          <w:color w:val="0D0D0D"/>
          <w:lang w:val="fr-FR"/>
        </w:rPr>
      </w:pPr>
      <w:r w:rsidRPr="00AD5729">
        <w:rPr>
          <w:snapToGrid w:val="0"/>
          <w:lang w:val="fr-FR"/>
        </w:rPr>
        <w:tab/>
        <w:t>a)</w:t>
      </w:r>
      <w:r w:rsidRPr="00AD5729">
        <w:rPr>
          <w:snapToGrid w:val="0"/>
          <w:lang w:val="fr-FR"/>
        </w:rPr>
        <w:tab/>
        <w:t xml:space="preserve">prendre note des orientations existantes </w:t>
      </w:r>
      <w:r>
        <w:rPr>
          <w:snapToGrid w:val="0"/>
          <w:lang w:val="fr-FR"/>
        </w:rPr>
        <w:t xml:space="preserve">sur les </w:t>
      </w:r>
      <w:r w:rsidRPr="00AD5729">
        <w:rPr>
          <w:snapToGrid w:val="0"/>
          <w:lang w:val="fr-FR"/>
        </w:rPr>
        <w:t xml:space="preserve">lignées </w:t>
      </w:r>
      <w:r w:rsidRPr="00AD5729">
        <w:rPr>
          <w:color w:val="0D0D0D"/>
          <w:lang w:val="fr-FR"/>
        </w:rPr>
        <w:t>parentales</w:t>
      </w:r>
      <w:r>
        <w:rPr>
          <w:color w:val="0D0D0D"/>
          <w:lang w:val="fr-FR"/>
        </w:rPr>
        <w:t xml:space="preserve"> en rapport avec les demandes concernant les</w:t>
      </w:r>
      <w:r w:rsidRPr="00AD5729">
        <w:rPr>
          <w:color w:val="0D0D0D"/>
          <w:lang w:val="fr-FR"/>
        </w:rPr>
        <w:t xml:space="preserve"> hybrid</w:t>
      </w:r>
      <w:r>
        <w:rPr>
          <w:color w:val="0D0D0D"/>
          <w:lang w:val="fr-FR"/>
        </w:rPr>
        <w:t>e</w:t>
      </w:r>
      <w:r w:rsidRPr="00AD5729">
        <w:rPr>
          <w:color w:val="0D0D0D"/>
          <w:lang w:val="fr-FR"/>
        </w:rPr>
        <w:t xml:space="preserve">s, </w:t>
      </w:r>
      <w:r>
        <w:rPr>
          <w:color w:val="0D0D0D"/>
          <w:lang w:val="fr-FR"/>
        </w:rPr>
        <w:t>telles qu</w:t>
      </w:r>
      <w:r w:rsidR="00F20C73">
        <w:rPr>
          <w:color w:val="0D0D0D"/>
          <w:lang w:val="fr-FR"/>
        </w:rPr>
        <w:t>’</w:t>
      </w:r>
      <w:r>
        <w:rPr>
          <w:color w:val="0D0D0D"/>
          <w:lang w:val="fr-FR"/>
        </w:rPr>
        <w:t>elles figurent dans le</w:t>
      </w:r>
      <w:r w:rsidRPr="00AD5729">
        <w:rPr>
          <w:color w:val="0D0D0D"/>
          <w:lang w:val="fr-FR"/>
        </w:rPr>
        <w:t xml:space="preserve"> paragraph</w:t>
      </w:r>
      <w:r>
        <w:rPr>
          <w:color w:val="0D0D0D"/>
          <w:lang w:val="fr-FR"/>
        </w:rPr>
        <w:t>e</w:t>
      </w:r>
      <w:r w:rsidR="002067E8">
        <w:rPr>
          <w:color w:val="0D0D0D"/>
          <w:lang w:val="fr-FR"/>
        </w:rPr>
        <w:t> </w:t>
      </w:r>
      <w:r w:rsidRPr="00AD5729">
        <w:rPr>
          <w:color w:val="0D0D0D"/>
          <w:lang w:val="fr-FR"/>
        </w:rPr>
        <w:t xml:space="preserve">16 </w:t>
      </w:r>
      <w:r>
        <w:rPr>
          <w:color w:val="0D0D0D"/>
          <w:lang w:val="fr-FR"/>
        </w:rPr>
        <w:t>ci</w:t>
      </w:r>
      <w:r w:rsidR="0014634A">
        <w:rPr>
          <w:color w:val="0D0D0D"/>
          <w:lang w:val="fr-FR"/>
        </w:rPr>
        <w:noBreakHyphen/>
      </w:r>
      <w:r>
        <w:rPr>
          <w:color w:val="0D0D0D"/>
          <w:lang w:val="fr-FR"/>
        </w:rPr>
        <w:t>dessus</w:t>
      </w:r>
      <w:r w:rsidRPr="00AD5729">
        <w:rPr>
          <w:color w:val="0D0D0D"/>
          <w:lang w:val="fr-FR"/>
        </w:rPr>
        <w:t>;</w:t>
      </w:r>
      <w:r w:rsidR="002067E8">
        <w:rPr>
          <w:color w:val="0D0D0D"/>
          <w:lang w:val="fr-FR"/>
        </w:rPr>
        <w:t xml:space="preserve"> </w:t>
      </w:r>
      <w:r w:rsidRPr="00AD5729">
        <w:rPr>
          <w:color w:val="0D0D0D"/>
          <w:lang w:val="fr-FR"/>
        </w:rPr>
        <w:t xml:space="preserve"> </w:t>
      </w:r>
      <w:r>
        <w:rPr>
          <w:color w:val="0D0D0D"/>
          <w:lang w:val="fr-FR"/>
        </w:rPr>
        <w:t>et</w:t>
      </w:r>
    </w:p>
    <w:p w:rsidR="0020369A" w:rsidRPr="00AD5729" w:rsidRDefault="0020369A" w:rsidP="00A20855">
      <w:pPr>
        <w:pStyle w:val="DecisionParagraphs"/>
        <w:tabs>
          <w:tab w:val="left" w:pos="5954"/>
        </w:tabs>
        <w:ind w:left="0"/>
        <w:rPr>
          <w:color w:val="0D0D0D"/>
          <w:lang w:val="fr-FR"/>
        </w:rPr>
      </w:pPr>
    </w:p>
    <w:p w:rsidR="00A039B4" w:rsidRDefault="0020369A" w:rsidP="00A20855">
      <w:pPr>
        <w:pStyle w:val="DecisionParagraphs"/>
        <w:tabs>
          <w:tab w:val="left" w:pos="5954"/>
        </w:tabs>
        <w:rPr>
          <w:color w:val="0D0D0D"/>
          <w:lang w:val="fr-FR"/>
        </w:rPr>
      </w:pPr>
      <w:r w:rsidRPr="00AD5729">
        <w:rPr>
          <w:lang w:val="fr-FR"/>
        </w:rPr>
        <w:tab/>
        <w:t>b)</w:t>
      </w:r>
      <w:r w:rsidRPr="00AD5729">
        <w:rPr>
          <w:lang w:val="fr-FR"/>
        </w:rPr>
        <w:tab/>
      </w:r>
      <w:r w:rsidRPr="00AD5729">
        <w:rPr>
          <w:color w:val="0D0D0D"/>
          <w:lang w:val="fr-FR"/>
        </w:rPr>
        <w:t>se demander s</w:t>
      </w:r>
      <w:r w:rsidR="00F20C73">
        <w:rPr>
          <w:color w:val="0D0D0D"/>
          <w:lang w:val="fr-FR"/>
        </w:rPr>
        <w:t>’</w:t>
      </w:r>
      <w:r w:rsidRPr="00AD5729">
        <w:rPr>
          <w:color w:val="0D0D0D"/>
          <w:lang w:val="fr-FR"/>
        </w:rPr>
        <w:t>il convient d</w:t>
      </w:r>
      <w:r w:rsidR="00F20C73">
        <w:rPr>
          <w:color w:val="0D0D0D"/>
          <w:lang w:val="fr-FR"/>
        </w:rPr>
        <w:t>’</w:t>
      </w:r>
      <w:r w:rsidRPr="00AD5729">
        <w:rPr>
          <w:color w:val="0D0D0D"/>
          <w:lang w:val="fr-FR"/>
        </w:rPr>
        <w:t>élaborer des orientations supplémentaires sur les lignées parentales en rapport avec les demandes concernant les hybrid</w:t>
      </w:r>
      <w:r>
        <w:rPr>
          <w:color w:val="0D0D0D"/>
          <w:lang w:val="fr-FR"/>
        </w:rPr>
        <w:t>e</w:t>
      </w:r>
      <w:r w:rsidRPr="00AD5729">
        <w:rPr>
          <w:color w:val="0D0D0D"/>
          <w:lang w:val="fr-FR"/>
        </w:rPr>
        <w:t xml:space="preserve">s </w:t>
      </w:r>
      <w:r>
        <w:rPr>
          <w:color w:val="0D0D0D"/>
          <w:lang w:val="fr-FR"/>
        </w:rPr>
        <w:t>et/ou d</w:t>
      </w:r>
      <w:r w:rsidR="00F20C73">
        <w:rPr>
          <w:color w:val="0D0D0D"/>
          <w:lang w:val="fr-FR"/>
        </w:rPr>
        <w:t>’</w:t>
      </w:r>
      <w:r>
        <w:rPr>
          <w:color w:val="0D0D0D"/>
          <w:lang w:val="fr-FR"/>
        </w:rPr>
        <w:t>ajouter une référence aux orientations existantes sur les lignées parentales dans le</w:t>
      </w:r>
      <w:r w:rsidRPr="00AD5729">
        <w:rPr>
          <w:color w:val="0D0D0D"/>
          <w:lang w:val="fr-FR"/>
        </w:rPr>
        <w:t xml:space="preserve"> </w:t>
      </w:r>
      <w:r w:rsidRPr="00AD5729">
        <w:rPr>
          <w:lang w:val="fr-FR"/>
        </w:rPr>
        <w:t xml:space="preserve">document </w:t>
      </w:r>
      <w:r w:rsidRPr="00AD5729">
        <w:rPr>
          <w:snapToGrid w:val="0"/>
          <w:lang w:val="fr-FR"/>
        </w:rPr>
        <w:t>UPOV/INF/15</w:t>
      </w:r>
      <w:r w:rsidRPr="00AD5729">
        <w:rPr>
          <w:color w:val="0D0D0D"/>
          <w:lang w:val="fr-FR"/>
        </w:rPr>
        <w:t>.</w:t>
      </w:r>
    </w:p>
    <w:p w:rsidR="0020369A" w:rsidRPr="00AD5729" w:rsidRDefault="0020369A" w:rsidP="006359A2">
      <w:pPr>
        <w:spacing w:line="360" w:lineRule="auto"/>
        <w:rPr>
          <w:lang w:val="fr-FR"/>
        </w:rPr>
      </w:pPr>
    </w:p>
    <w:p w:rsidR="0020369A" w:rsidRPr="00AD5729" w:rsidRDefault="0020369A" w:rsidP="00C66028">
      <w:pPr>
        <w:pStyle w:val="Heading3"/>
        <w:rPr>
          <w:lang w:val="fr-FR"/>
        </w:rPr>
      </w:pPr>
      <w:bookmarkStart w:id="42" w:name="_Toc381102835"/>
      <w:bookmarkStart w:id="43" w:name="_Toc381102863"/>
      <w:bookmarkStart w:id="44" w:name="_Toc381949569"/>
      <w:r w:rsidRPr="00AD5729">
        <w:rPr>
          <w:lang w:val="fr-FR"/>
        </w:rPr>
        <w:t>b)</w:t>
      </w:r>
      <w:r w:rsidRPr="00AD5729">
        <w:rPr>
          <w:lang w:val="fr-FR"/>
        </w:rPr>
        <w:tab/>
        <w:t>Disponibilité et échange de matériel</w:t>
      </w:r>
      <w:bookmarkEnd w:id="42"/>
      <w:bookmarkEnd w:id="43"/>
      <w:bookmarkEnd w:id="44"/>
    </w:p>
    <w:p w:rsidR="0020369A" w:rsidRPr="00AD5729" w:rsidRDefault="0020369A" w:rsidP="003B69A1">
      <w:pPr>
        <w:keepNext/>
        <w:rPr>
          <w:lang w:val="fr-FR"/>
        </w:rPr>
      </w:pPr>
    </w:p>
    <w:p w:rsidR="0020369A" w:rsidRPr="00070EC4" w:rsidRDefault="0020369A" w:rsidP="00B76373">
      <w:pPr>
        <w:rPr>
          <w:i/>
          <w:iCs/>
          <w:color w:val="0C0C0C"/>
          <w:lang w:val="fr-FR"/>
        </w:rPr>
      </w:pPr>
      <w:r w:rsidRPr="00070EC4">
        <w:rPr>
          <w:lang w:val="fr-FR"/>
        </w:rPr>
        <w:fldChar w:fldCharType="begin"/>
      </w:r>
      <w:r w:rsidRPr="00070EC4">
        <w:rPr>
          <w:lang w:val="fr-FR"/>
        </w:rPr>
        <w:instrText xml:space="preserve"> AUTONUM  </w:instrText>
      </w:r>
      <w:r w:rsidRPr="00070EC4">
        <w:rPr>
          <w:lang w:val="fr-FR"/>
        </w:rPr>
        <w:fldChar w:fldCharType="end"/>
      </w:r>
      <w:r w:rsidRPr="00070EC4">
        <w:rPr>
          <w:lang w:val="fr-FR"/>
        </w:rPr>
        <w:tab/>
        <w:t xml:space="preserve">Des orientations sur le </w:t>
      </w:r>
      <w:r w:rsidRPr="00070EC4">
        <w:rPr>
          <w:snapToGrid w:val="0"/>
          <w:lang w:val="fr-FR"/>
        </w:rPr>
        <w:t>matériel fourni par l</w:t>
      </w:r>
      <w:r w:rsidR="00F20C73">
        <w:rPr>
          <w:snapToGrid w:val="0"/>
          <w:lang w:val="fr-FR"/>
        </w:rPr>
        <w:t>’</w:t>
      </w:r>
      <w:r w:rsidRPr="00070EC4">
        <w:rPr>
          <w:snapToGrid w:val="0"/>
          <w:lang w:val="fr-FR"/>
        </w:rPr>
        <w:t>obtenteur</w:t>
      </w:r>
      <w:r w:rsidRPr="00070EC4">
        <w:rPr>
          <w:lang w:val="fr-FR"/>
        </w:rPr>
        <w:t xml:space="preserve"> à des fins d</w:t>
      </w:r>
      <w:r w:rsidR="00F20C73">
        <w:rPr>
          <w:lang w:val="fr-FR"/>
        </w:rPr>
        <w:t>’</w:t>
      </w:r>
      <w:r w:rsidRPr="00070EC4">
        <w:rPr>
          <w:lang w:val="fr-FR"/>
        </w:rPr>
        <w:t>examen figurent dans</w:t>
      </w:r>
      <w:r w:rsidR="002067E8">
        <w:rPr>
          <w:lang w:val="fr-FR"/>
        </w:rPr>
        <w:t> </w:t>
      </w:r>
      <w:r w:rsidRPr="00070EC4">
        <w:rPr>
          <w:lang w:val="fr-FR"/>
        </w:rPr>
        <w:t>:</w:t>
      </w:r>
    </w:p>
    <w:p w:rsidR="0020369A" w:rsidRPr="00070EC4" w:rsidRDefault="0020369A" w:rsidP="00EA2439">
      <w:pPr>
        <w:ind w:firstLine="567"/>
        <w:rPr>
          <w:i/>
          <w:iCs/>
          <w:color w:val="0C0C0C"/>
          <w:lang w:val="fr-FR"/>
        </w:rPr>
      </w:pPr>
    </w:p>
    <w:p w:rsidR="0020369A" w:rsidRPr="00070EC4" w:rsidRDefault="0020369A" w:rsidP="00B76373">
      <w:pPr>
        <w:ind w:firstLine="567"/>
        <w:rPr>
          <w:snapToGrid w:val="0"/>
          <w:lang w:val="fr-FR"/>
        </w:rPr>
      </w:pPr>
      <w:r w:rsidRPr="00070EC4">
        <w:rPr>
          <w:snapToGrid w:val="0"/>
          <w:lang w:val="fr-FR"/>
        </w:rPr>
        <w:t>i)</w:t>
      </w:r>
      <w:r w:rsidRPr="00070EC4">
        <w:rPr>
          <w:snapToGrid w:val="0"/>
          <w:lang w:val="fr-FR"/>
        </w:rPr>
        <w:tab/>
        <w:t xml:space="preserve">TGP/5 </w:t>
      </w:r>
      <w:r w:rsidR="00F20C73">
        <w:rPr>
          <w:snapToGrid w:val="0"/>
          <w:lang w:val="fr-FR"/>
        </w:rPr>
        <w:t>“</w:t>
      </w:r>
      <w:r w:rsidRPr="00070EC4">
        <w:rPr>
          <w:snapToGrid w:val="0"/>
          <w:lang w:val="fr-FR"/>
        </w:rPr>
        <w:t>Expérience et coopération en matière d</w:t>
      </w:r>
      <w:r w:rsidR="00F20C73">
        <w:rPr>
          <w:snapToGrid w:val="0"/>
          <w:lang w:val="fr-FR"/>
        </w:rPr>
        <w:t>’</w:t>
      </w:r>
      <w:r w:rsidRPr="00070EC4">
        <w:rPr>
          <w:snapToGrid w:val="0"/>
          <w:lang w:val="fr-FR"/>
        </w:rPr>
        <w:t>examen</w:t>
      </w:r>
      <w:r w:rsidR="002067E8">
        <w:rPr>
          <w:snapToGrid w:val="0"/>
          <w:lang w:val="fr-FR"/>
        </w:rPr>
        <w:t> </w:t>
      </w:r>
      <w:r w:rsidRPr="00070EC4">
        <w:rPr>
          <w:snapToGrid w:val="0"/>
          <w:lang w:val="fr-FR"/>
        </w:rPr>
        <w:t>DHS</w:t>
      </w:r>
      <w:r w:rsidR="00F20C73">
        <w:rPr>
          <w:snapToGrid w:val="0"/>
          <w:lang w:val="fr-FR"/>
        </w:rPr>
        <w:t>”</w:t>
      </w:r>
      <w:r w:rsidRPr="00070EC4">
        <w:rPr>
          <w:snapToGrid w:val="0"/>
          <w:lang w:val="fr-FR"/>
        </w:rPr>
        <w:t xml:space="preserve">, section 11 </w:t>
      </w:r>
      <w:r w:rsidR="00F20C73">
        <w:rPr>
          <w:snapToGrid w:val="0"/>
          <w:lang w:val="fr-FR"/>
        </w:rPr>
        <w:t>“</w:t>
      </w:r>
      <w:r w:rsidRPr="00070EC4">
        <w:rPr>
          <w:snapToGrid w:val="0"/>
          <w:lang w:val="fr-FR"/>
        </w:rPr>
        <w:t>Exemples de politiques et de contrats en ce qui concerne le matériel fourni par l</w:t>
      </w:r>
      <w:r w:rsidR="00F20C73">
        <w:rPr>
          <w:snapToGrid w:val="0"/>
          <w:lang w:val="fr-FR"/>
        </w:rPr>
        <w:t>’</w:t>
      </w:r>
      <w:r w:rsidRPr="00070EC4">
        <w:rPr>
          <w:snapToGrid w:val="0"/>
          <w:lang w:val="fr-FR"/>
        </w:rPr>
        <w:t>obtenteur</w:t>
      </w:r>
      <w:r w:rsidR="00F20C73">
        <w:rPr>
          <w:snapToGrid w:val="0"/>
          <w:lang w:val="fr-FR"/>
        </w:rPr>
        <w:t>”</w:t>
      </w:r>
      <w:r w:rsidRPr="00070EC4">
        <w:rPr>
          <w:snapToGrid w:val="0"/>
          <w:lang w:val="fr-FR"/>
        </w:rPr>
        <w:t xml:space="preserve"> (</w:t>
      </w:r>
      <w:r>
        <w:rPr>
          <w:snapToGrid w:val="0"/>
          <w:lang w:val="fr-FR"/>
        </w:rPr>
        <w:t>voir les extraits pertinents ci</w:t>
      </w:r>
      <w:r w:rsidR="0014634A">
        <w:rPr>
          <w:snapToGrid w:val="0"/>
          <w:lang w:val="fr-FR"/>
        </w:rPr>
        <w:noBreakHyphen/>
      </w:r>
      <w:r>
        <w:rPr>
          <w:snapToGrid w:val="0"/>
          <w:lang w:val="fr-FR"/>
        </w:rPr>
        <w:t>dessous qui sont également disponibles à l</w:t>
      </w:r>
      <w:r w:rsidR="00F20C73">
        <w:rPr>
          <w:snapToGrid w:val="0"/>
          <w:lang w:val="fr-FR"/>
        </w:rPr>
        <w:t>’</w:t>
      </w:r>
      <w:r>
        <w:rPr>
          <w:snapToGrid w:val="0"/>
          <w:lang w:val="fr-FR"/>
        </w:rPr>
        <w:t>adresse suivante :</w:t>
      </w:r>
      <w:r w:rsidR="004A5477" w:rsidRPr="004A5477">
        <w:t xml:space="preserve"> </w:t>
      </w:r>
      <w:hyperlink r:id="rId12" w:history="1">
        <w:r w:rsidR="004A5477" w:rsidRPr="009160A4">
          <w:rPr>
            <w:rStyle w:val="Hyperlink"/>
            <w:snapToGrid w:val="0"/>
            <w:lang w:val="fr-FR"/>
          </w:rPr>
          <w:t>http://www.upov.int/tgp/en/</w:t>
        </w:r>
      </w:hyperlink>
      <w:r w:rsidRPr="00070EC4">
        <w:rPr>
          <w:snapToGrid w:val="0"/>
          <w:lang w:val="fr-FR"/>
        </w:rPr>
        <w:t>).</w:t>
      </w:r>
    </w:p>
    <w:p w:rsidR="0020369A" w:rsidRPr="00070EC4" w:rsidRDefault="0020369A" w:rsidP="00A80B59">
      <w:pPr>
        <w:ind w:left="567" w:right="567"/>
        <w:rPr>
          <w:snapToGrid w:val="0"/>
          <w:sz w:val="18"/>
          <w:szCs w:val="18"/>
          <w:lang w:val="fr-FR"/>
        </w:rPr>
      </w:pPr>
    </w:p>
    <w:p w:rsidR="00A039B4" w:rsidRDefault="00F20C73" w:rsidP="00A80B59">
      <w:pPr>
        <w:ind w:left="567" w:right="567"/>
        <w:rPr>
          <w:snapToGrid w:val="0"/>
          <w:sz w:val="18"/>
          <w:szCs w:val="18"/>
          <w:lang w:val="fr-FR"/>
        </w:rPr>
      </w:pPr>
      <w:r>
        <w:rPr>
          <w:snapToGrid w:val="0"/>
          <w:sz w:val="18"/>
          <w:szCs w:val="18"/>
          <w:lang w:val="fr-FR"/>
        </w:rPr>
        <w:t>“</w:t>
      </w:r>
      <w:r w:rsidR="0020369A" w:rsidRPr="00070EC4">
        <w:rPr>
          <w:snapToGrid w:val="0"/>
          <w:sz w:val="18"/>
          <w:szCs w:val="18"/>
          <w:lang w:val="fr-FR"/>
        </w:rPr>
        <w:t>1.3</w:t>
      </w:r>
      <w:r w:rsidR="0020369A" w:rsidRPr="00070EC4">
        <w:rPr>
          <w:snapToGrid w:val="0"/>
          <w:sz w:val="18"/>
          <w:szCs w:val="18"/>
          <w:lang w:val="fr-FR"/>
        </w:rPr>
        <w:tab/>
        <w:t>Le présent document [document TGP/5, Section</w:t>
      </w:r>
      <w:r w:rsidR="002067E8">
        <w:rPr>
          <w:snapToGrid w:val="0"/>
          <w:sz w:val="18"/>
          <w:szCs w:val="18"/>
          <w:lang w:val="fr-FR"/>
        </w:rPr>
        <w:t> </w:t>
      </w:r>
      <w:r w:rsidR="0020369A" w:rsidRPr="00070EC4">
        <w:rPr>
          <w:snapToGrid w:val="0"/>
          <w:sz w:val="18"/>
          <w:szCs w:val="18"/>
          <w:lang w:val="fr-FR"/>
        </w:rPr>
        <w:t xml:space="preserve">11] donne des exemples de politiques suivies par les services dans lesquels la question de la sauvegarde des intérêts légitimes de </w:t>
      </w:r>
      <w:r w:rsidR="0020369A">
        <w:rPr>
          <w:snapToGrid w:val="0"/>
          <w:sz w:val="18"/>
          <w:szCs w:val="18"/>
          <w:lang w:val="fr-FR"/>
        </w:rPr>
        <w:t>l</w:t>
      </w:r>
      <w:r>
        <w:rPr>
          <w:snapToGrid w:val="0"/>
          <w:sz w:val="18"/>
          <w:szCs w:val="18"/>
          <w:lang w:val="fr-FR"/>
        </w:rPr>
        <w:t>’</w:t>
      </w:r>
      <w:r w:rsidR="0020369A">
        <w:rPr>
          <w:snapToGrid w:val="0"/>
          <w:sz w:val="18"/>
          <w:szCs w:val="18"/>
          <w:lang w:val="fr-FR"/>
        </w:rPr>
        <w:t>obtenteur est prise en compte</w:t>
      </w:r>
      <w:r>
        <w:rPr>
          <w:snapToGrid w:val="0"/>
          <w:sz w:val="18"/>
          <w:szCs w:val="18"/>
          <w:lang w:val="fr-FR"/>
        </w:rPr>
        <w:t>”</w:t>
      </w:r>
      <w:r w:rsidR="0020369A">
        <w:rPr>
          <w:snapToGrid w:val="0"/>
          <w:sz w:val="18"/>
          <w:szCs w:val="18"/>
          <w:lang w:val="fr-FR"/>
        </w:rPr>
        <w:t>.</w:t>
      </w:r>
    </w:p>
    <w:p w:rsidR="0020369A" w:rsidRPr="00F633F2" w:rsidRDefault="0020369A" w:rsidP="00A80B59">
      <w:pPr>
        <w:ind w:left="567" w:right="567"/>
        <w:rPr>
          <w:snapToGrid w:val="0"/>
          <w:sz w:val="18"/>
          <w:szCs w:val="18"/>
          <w:lang w:val="fr-FR"/>
        </w:rPr>
      </w:pPr>
      <w:r w:rsidRPr="00F633F2">
        <w:rPr>
          <w:snapToGrid w:val="0"/>
          <w:sz w:val="18"/>
          <w:szCs w:val="18"/>
          <w:lang w:val="fr-FR"/>
        </w:rPr>
        <w:t>[…]</w:t>
      </w:r>
    </w:p>
    <w:p w:rsidR="0020369A" w:rsidRPr="00F633F2" w:rsidRDefault="0020369A" w:rsidP="00A80B59">
      <w:pPr>
        <w:ind w:left="567" w:right="567"/>
        <w:rPr>
          <w:snapToGrid w:val="0"/>
          <w:sz w:val="18"/>
          <w:szCs w:val="18"/>
          <w:lang w:val="fr-FR"/>
        </w:rPr>
      </w:pPr>
    </w:p>
    <w:p w:rsidR="0020369A" w:rsidRPr="00070EC4" w:rsidRDefault="00F20C73" w:rsidP="00A80B59">
      <w:pPr>
        <w:ind w:left="567" w:right="567"/>
        <w:rPr>
          <w:snapToGrid w:val="0"/>
          <w:sz w:val="18"/>
          <w:szCs w:val="18"/>
          <w:lang w:val="fr-FR"/>
        </w:rPr>
      </w:pPr>
      <w:r>
        <w:rPr>
          <w:snapToGrid w:val="0"/>
          <w:sz w:val="18"/>
          <w:szCs w:val="18"/>
          <w:lang w:val="fr-FR"/>
        </w:rPr>
        <w:t>“</w:t>
      </w:r>
      <w:r w:rsidR="0020369A">
        <w:rPr>
          <w:snapToGrid w:val="0"/>
          <w:sz w:val="18"/>
          <w:szCs w:val="18"/>
          <w:lang w:val="fr-FR"/>
        </w:rPr>
        <w:t>L</w:t>
      </w:r>
      <w:r>
        <w:rPr>
          <w:snapToGrid w:val="0"/>
          <w:sz w:val="18"/>
          <w:szCs w:val="18"/>
          <w:lang w:val="fr-FR"/>
        </w:rPr>
        <w:t>’</w:t>
      </w:r>
      <w:r w:rsidR="0020369A">
        <w:rPr>
          <w:snapToGrid w:val="0"/>
          <w:sz w:val="18"/>
          <w:szCs w:val="18"/>
          <w:lang w:val="fr-FR"/>
        </w:rPr>
        <w:t>a</w:t>
      </w:r>
      <w:r w:rsidR="0020369A" w:rsidRPr="00070EC4">
        <w:rPr>
          <w:snapToGrid w:val="0"/>
          <w:sz w:val="18"/>
          <w:szCs w:val="18"/>
          <w:lang w:val="fr-FR"/>
        </w:rPr>
        <w:t>nnex</w:t>
      </w:r>
      <w:r w:rsidR="0020369A">
        <w:rPr>
          <w:snapToGrid w:val="0"/>
          <w:sz w:val="18"/>
          <w:szCs w:val="18"/>
          <w:lang w:val="fr-FR"/>
        </w:rPr>
        <w:t>e</w:t>
      </w:r>
      <w:r w:rsidR="0020369A" w:rsidRPr="00070EC4">
        <w:rPr>
          <w:snapToGrid w:val="0"/>
          <w:sz w:val="18"/>
          <w:szCs w:val="18"/>
          <w:lang w:val="fr-FR"/>
        </w:rPr>
        <w:t xml:space="preserve"> I </w:t>
      </w:r>
      <w:r w:rsidR="0020369A">
        <w:rPr>
          <w:snapToGrid w:val="0"/>
          <w:sz w:val="18"/>
          <w:szCs w:val="18"/>
          <w:lang w:val="fr-FR"/>
        </w:rPr>
        <w:t>du présent</w:t>
      </w:r>
      <w:r w:rsidR="0020369A" w:rsidRPr="00070EC4">
        <w:rPr>
          <w:snapToGrid w:val="0"/>
          <w:sz w:val="18"/>
          <w:szCs w:val="18"/>
          <w:lang w:val="fr-FR"/>
        </w:rPr>
        <w:t xml:space="preserve"> document [document TGP/5, Section</w:t>
      </w:r>
      <w:r w:rsidR="002067E8">
        <w:rPr>
          <w:snapToGrid w:val="0"/>
          <w:sz w:val="18"/>
          <w:szCs w:val="18"/>
          <w:lang w:val="fr-FR"/>
        </w:rPr>
        <w:t> </w:t>
      </w:r>
      <w:r w:rsidR="0020369A" w:rsidRPr="00070EC4">
        <w:rPr>
          <w:snapToGrid w:val="0"/>
          <w:sz w:val="18"/>
          <w:szCs w:val="18"/>
          <w:lang w:val="fr-FR"/>
        </w:rPr>
        <w:t>11] donne un exemple de contrat entre la société Seminis Vegeta</w:t>
      </w:r>
      <w:r w:rsidR="0020369A">
        <w:rPr>
          <w:snapToGrid w:val="0"/>
          <w:sz w:val="18"/>
          <w:szCs w:val="18"/>
          <w:lang w:val="fr-FR"/>
        </w:rPr>
        <w:t>ble Seeds, Inc. et IP Australia</w:t>
      </w:r>
      <w:r>
        <w:rPr>
          <w:snapToGrid w:val="0"/>
          <w:sz w:val="18"/>
          <w:szCs w:val="18"/>
          <w:lang w:val="fr-FR"/>
        </w:rPr>
        <w:t>”</w:t>
      </w:r>
      <w:r w:rsidR="0020369A">
        <w:rPr>
          <w:snapToGrid w:val="0"/>
          <w:sz w:val="18"/>
          <w:szCs w:val="18"/>
          <w:lang w:val="fr-FR"/>
        </w:rPr>
        <w:t>.</w:t>
      </w:r>
    </w:p>
    <w:p w:rsidR="0020369A" w:rsidRPr="00070EC4" w:rsidRDefault="0020369A" w:rsidP="00A80B59">
      <w:pPr>
        <w:ind w:left="567" w:right="567"/>
        <w:rPr>
          <w:snapToGrid w:val="0"/>
          <w:sz w:val="18"/>
          <w:szCs w:val="18"/>
          <w:lang w:val="fr-FR"/>
        </w:rPr>
      </w:pPr>
    </w:p>
    <w:p w:rsidR="0020369A" w:rsidRPr="00070EC4" w:rsidRDefault="00F20C73" w:rsidP="00A80B59">
      <w:pPr>
        <w:ind w:left="567" w:right="567"/>
        <w:rPr>
          <w:snapToGrid w:val="0"/>
          <w:sz w:val="18"/>
          <w:szCs w:val="18"/>
          <w:lang w:val="fr-FR"/>
        </w:rPr>
      </w:pPr>
      <w:r>
        <w:rPr>
          <w:snapToGrid w:val="0"/>
          <w:sz w:val="18"/>
          <w:szCs w:val="18"/>
          <w:lang w:val="fr-FR"/>
        </w:rPr>
        <w:t>“</w:t>
      </w:r>
      <w:r w:rsidR="0020369A" w:rsidRPr="00070EC4">
        <w:rPr>
          <w:snapToGrid w:val="0"/>
          <w:sz w:val="18"/>
          <w:szCs w:val="18"/>
          <w:lang w:val="fr-FR"/>
        </w:rPr>
        <w:t>L</w:t>
      </w:r>
      <w:r>
        <w:rPr>
          <w:snapToGrid w:val="0"/>
          <w:sz w:val="18"/>
          <w:szCs w:val="18"/>
          <w:lang w:val="fr-FR"/>
        </w:rPr>
        <w:t>’</w:t>
      </w:r>
      <w:r w:rsidR="0020369A" w:rsidRPr="00070EC4">
        <w:rPr>
          <w:snapToGrid w:val="0"/>
          <w:sz w:val="18"/>
          <w:szCs w:val="18"/>
          <w:lang w:val="fr-FR"/>
        </w:rPr>
        <w:t>annexe II du présent document expose la politique de l</w:t>
      </w:r>
      <w:r>
        <w:rPr>
          <w:snapToGrid w:val="0"/>
          <w:sz w:val="18"/>
          <w:szCs w:val="18"/>
          <w:lang w:val="fr-FR"/>
        </w:rPr>
        <w:t>’</w:t>
      </w:r>
      <w:r w:rsidR="0020369A" w:rsidRPr="00070EC4">
        <w:rPr>
          <w:snapToGrid w:val="0"/>
          <w:sz w:val="18"/>
          <w:szCs w:val="18"/>
          <w:lang w:val="fr-FR"/>
        </w:rPr>
        <w:t>Office communautaire des variétés végétales (OCVV) en ce qui concerne le matériel végétal soumis à des fins d</w:t>
      </w:r>
      <w:r>
        <w:rPr>
          <w:snapToGrid w:val="0"/>
          <w:sz w:val="18"/>
          <w:szCs w:val="18"/>
          <w:lang w:val="fr-FR"/>
        </w:rPr>
        <w:t>’</w:t>
      </w:r>
      <w:r w:rsidR="0020369A" w:rsidRPr="00070EC4">
        <w:rPr>
          <w:snapToGrid w:val="0"/>
          <w:sz w:val="18"/>
          <w:szCs w:val="18"/>
          <w:lang w:val="fr-FR"/>
        </w:rPr>
        <w:t>examen</w:t>
      </w:r>
      <w:r w:rsidR="002067E8">
        <w:rPr>
          <w:snapToGrid w:val="0"/>
          <w:sz w:val="18"/>
          <w:szCs w:val="18"/>
          <w:lang w:val="fr-FR"/>
        </w:rPr>
        <w:t> </w:t>
      </w:r>
      <w:r w:rsidR="0020369A" w:rsidRPr="00070EC4">
        <w:rPr>
          <w:snapToGrid w:val="0"/>
          <w:sz w:val="18"/>
          <w:szCs w:val="18"/>
          <w:lang w:val="fr-FR"/>
        </w:rPr>
        <w:t>DHS dans le cadre de demandes de protection communautaire d</w:t>
      </w:r>
      <w:r>
        <w:rPr>
          <w:snapToGrid w:val="0"/>
          <w:sz w:val="18"/>
          <w:szCs w:val="18"/>
          <w:lang w:val="fr-FR"/>
        </w:rPr>
        <w:t>’</w:t>
      </w:r>
      <w:r w:rsidR="0020369A" w:rsidRPr="00070EC4">
        <w:rPr>
          <w:snapToGrid w:val="0"/>
          <w:sz w:val="18"/>
          <w:szCs w:val="18"/>
          <w:lang w:val="fr-FR"/>
        </w:rPr>
        <w:t>obtentions végétales</w:t>
      </w:r>
      <w:r>
        <w:rPr>
          <w:snapToGrid w:val="0"/>
          <w:sz w:val="18"/>
          <w:szCs w:val="18"/>
          <w:lang w:val="fr-FR"/>
        </w:rPr>
        <w:t>”</w:t>
      </w:r>
      <w:r w:rsidR="0020369A">
        <w:rPr>
          <w:snapToGrid w:val="0"/>
          <w:sz w:val="18"/>
          <w:szCs w:val="18"/>
          <w:lang w:val="fr-FR"/>
        </w:rPr>
        <w:t>.</w:t>
      </w:r>
    </w:p>
    <w:p w:rsidR="0020369A" w:rsidRPr="00070EC4" w:rsidRDefault="0020369A" w:rsidP="00A80B59">
      <w:pPr>
        <w:ind w:left="567" w:right="567"/>
        <w:rPr>
          <w:snapToGrid w:val="0"/>
          <w:sz w:val="18"/>
          <w:szCs w:val="18"/>
          <w:lang w:val="fr-FR"/>
        </w:rPr>
      </w:pPr>
    </w:p>
    <w:p w:rsidR="00A039B4" w:rsidRDefault="0020369A" w:rsidP="008A2480">
      <w:pPr>
        <w:ind w:firstLine="567"/>
        <w:rPr>
          <w:snapToGrid w:val="0"/>
          <w:lang w:val="fr-FR"/>
        </w:rPr>
      </w:pPr>
      <w:r w:rsidRPr="00070EC4">
        <w:rPr>
          <w:snapToGrid w:val="0"/>
          <w:lang w:val="fr-FR"/>
        </w:rPr>
        <w:t>ii)</w:t>
      </w:r>
      <w:r w:rsidRPr="00070EC4">
        <w:rPr>
          <w:snapToGrid w:val="0"/>
          <w:lang w:val="fr-FR"/>
        </w:rPr>
        <w:tab/>
        <w:t xml:space="preserve">TGP/4 </w:t>
      </w:r>
      <w:r w:rsidR="00F20C73">
        <w:rPr>
          <w:snapToGrid w:val="0"/>
          <w:lang w:val="fr-FR"/>
        </w:rPr>
        <w:t>““</w:t>
      </w:r>
      <w:r w:rsidRPr="00070EC4">
        <w:rPr>
          <w:snapToGrid w:val="0"/>
          <w:lang w:val="fr-FR"/>
        </w:rPr>
        <w:t>Constitution et maintien des collections de variétés</w:t>
      </w:r>
      <w:r w:rsidR="00F20C73">
        <w:rPr>
          <w:snapToGrid w:val="0"/>
          <w:lang w:val="fr-FR"/>
        </w:rPr>
        <w:t>”</w:t>
      </w:r>
      <w:r w:rsidRPr="00070EC4">
        <w:rPr>
          <w:snapToGrid w:val="0"/>
          <w:lang w:val="fr-FR"/>
        </w:rPr>
        <w:t xml:space="preserve">, section 3.1.2 </w:t>
      </w:r>
      <w:r w:rsidR="00F20C73">
        <w:rPr>
          <w:snapToGrid w:val="0"/>
          <w:lang w:val="fr-FR"/>
        </w:rPr>
        <w:t>“</w:t>
      </w:r>
      <w:r w:rsidRPr="00070EC4">
        <w:rPr>
          <w:snapToGrid w:val="0"/>
          <w:lang w:val="fr-FR"/>
        </w:rPr>
        <w:t>Matériel végétal vivant</w:t>
      </w:r>
      <w:r w:rsidR="00F20C73">
        <w:rPr>
          <w:snapToGrid w:val="0"/>
          <w:lang w:val="fr-FR"/>
        </w:rPr>
        <w:t>”</w:t>
      </w:r>
      <w:r>
        <w:rPr>
          <w:snapToGrid w:val="0"/>
          <w:lang w:val="fr-FR"/>
        </w:rPr>
        <w:t>.</w:t>
      </w:r>
    </w:p>
    <w:p w:rsidR="0020369A" w:rsidRPr="00070EC4" w:rsidRDefault="0020369A" w:rsidP="003B69A1">
      <w:pPr>
        <w:ind w:firstLine="567"/>
        <w:rPr>
          <w:snapToGrid w:val="0"/>
          <w:lang w:val="fr-FR"/>
        </w:rPr>
      </w:pPr>
    </w:p>
    <w:p w:rsidR="0020369A" w:rsidRPr="00B75B8F" w:rsidRDefault="00F20C73" w:rsidP="003B69A1">
      <w:pPr>
        <w:ind w:left="567" w:right="567"/>
        <w:rPr>
          <w:snapToGrid w:val="0"/>
          <w:sz w:val="18"/>
          <w:szCs w:val="18"/>
          <w:lang w:val="fr-FR"/>
        </w:rPr>
      </w:pPr>
      <w:r>
        <w:rPr>
          <w:snapToGrid w:val="0"/>
          <w:sz w:val="18"/>
          <w:szCs w:val="18"/>
          <w:lang w:val="fr-FR"/>
        </w:rPr>
        <w:t>“</w:t>
      </w:r>
      <w:r w:rsidR="0020369A" w:rsidRPr="00B75B8F">
        <w:rPr>
          <w:snapToGrid w:val="0"/>
          <w:sz w:val="18"/>
          <w:szCs w:val="18"/>
          <w:lang w:val="fr-FR"/>
        </w:rPr>
        <w:t>3.1.2.2.2 Aux fins de l</w:t>
      </w:r>
      <w:r>
        <w:rPr>
          <w:snapToGrid w:val="0"/>
          <w:sz w:val="18"/>
          <w:szCs w:val="18"/>
          <w:lang w:val="fr-FR"/>
        </w:rPr>
        <w:t>’</w:t>
      </w:r>
      <w:r w:rsidR="0020369A" w:rsidRPr="00B75B8F">
        <w:rPr>
          <w:snapToGrid w:val="0"/>
          <w:sz w:val="18"/>
          <w:szCs w:val="18"/>
          <w:lang w:val="fr-FR"/>
        </w:rPr>
        <w:t>examen</w:t>
      </w:r>
      <w:r w:rsidR="002067E8">
        <w:rPr>
          <w:snapToGrid w:val="0"/>
          <w:sz w:val="18"/>
          <w:szCs w:val="18"/>
          <w:lang w:val="fr-FR"/>
        </w:rPr>
        <w:t> </w:t>
      </w:r>
      <w:r w:rsidR="0020369A" w:rsidRPr="00B75B8F">
        <w:rPr>
          <w:snapToGrid w:val="0"/>
          <w:sz w:val="18"/>
          <w:szCs w:val="18"/>
          <w:lang w:val="fr-FR"/>
        </w:rPr>
        <w:t>DHS, l</w:t>
      </w:r>
      <w:r>
        <w:rPr>
          <w:snapToGrid w:val="0"/>
          <w:sz w:val="18"/>
          <w:szCs w:val="18"/>
          <w:lang w:val="fr-FR"/>
        </w:rPr>
        <w:t>’</w:t>
      </w:r>
      <w:r w:rsidR="0020369A" w:rsidRPr="00B75B8F">
        <w:rPr>
          <w:snapToGrid w:val="0"/>
          <w:sz w:val="18"/>
          <w:szCs w:val="18"/>
          <w:lang w:val="fr-FR"/>
        </w:rPr>
        <w:t>UPOV encourage la coopération entre les collecteurs de variétés (voir la section 3.2), en particulier l</w:t>
      </w:r>
      <w:r>
        <w:rPr>
          <w:snapToGrid w:val="0"/>
          <w:sz w:val="18"/>
          <w:szCs w:val="18"/>
          <w:lang w:val="fr-FR"/>
        </w:rPr>
        <w:t>’</w:t>
      </w:r>
      <w:r w:rsidR="0020369A" w:rsidRPr="00B75B8F">
        <w:rPr>
          <w:snapToGrid w:val="0"/>
          <w:sz w:val="18"/>
          <w:szCs w:val="18"/>
          <w:lang w:val="fr-FR"/>
        </w:rPr>
        <w:t>échange de renseignements et de matériel végétal vivant pour l</w:t>
      </w:r>
      <w:r>
        <w:rPr>
          <w:snapToGrid w:val="0"/>
          <w:sz w:val="18"/>
          <w:szCs w:val="18"/>
          <w:lang w:val="fr-FR"/>
        </w:rPr>
        <w:t>’</w:t>
      </w:r>
      <w:r w:rsidR="0020369A" w:rsidRPr="00B75B8F">
        <w:rPr>
          <w:snapToGrid w:val="0"/>
          <w:sz w:val="18"/>
          <w:szCs w:val="18"/>
          <w:lang w:val="fr-FR"/>
        </w:rPr>
        <w:t>examen de la distinction.  Toutefois, dans le cas particulier des lignées parentales fournies dans le cadre de l</w:t>
      </w:r>
      <w:r>
        <w:rPr>
          <w:snapToGrid w:val="0"/>
          <w:sz w:val="18"/>
          <w:szCs w:val="18"/>
          <w:lang w:val="fr-FR"/>
        </w:rPr>
        <w:t>’</w:t>
      </w:r>
      <w:r w:rsidR="0020369A" w:rsidRPr="00B75B8F">
        <w:rPr>
          <w:snapToGrid w:val="0"/>
          <w:sz w:val="18"/>
          <w:szCs w:val="18"/>
          <w:lang w:val="fr-FR"/>
        </w:rPr>
        <w:t>examen d</w:t>
      </w:r>
      <w:r>
        <w:rPr>
          <w:snapToGrid w:val="0"/>
          <w:sz w:val="18"/>
          <w:szCs w:val="18"/>
          <w:lang w:val="fr-FR"/>
        </w:rPr>
        <w:t>’</w:t>
      </w:r>
      <w:r w:rsidR="0020369A" w:rsidRPr="00B75B8F">
        <w:rPr>
          <w:snapToGrid w:val="0"/>
          <w:sz w:val="18"/>
          <w:szCs w:val="18"/>
          <w:lang w:val="fr-FR"/>
        </w:rPr>
        <w:t>une variété candidate hybride, du matériel végétal vivant ne doit être mis à la disposition d</w:t>
      </w:r>
      <w:r>
        <w:rPr>
          <w:snapToGrid w:val="0"/>
          <w:sz w:val="18"/>
          <w:szCs w:val="18"/>
          <w:lang w:val="fr-FR"/>
        </w:rPr>
        <w:t>’</w:t>
      </w:r>
      <w:r w:rsidR="0020369A" w:rsidRPr="00B75B8F">
        <w:rPr>
          <w:snapToGrid w:val="0"/>
          <w:sz w:val="18"/>
          <w:szCs w:val="18"/>
          <w:lang w:val="fr-FR"/>
        </w:rPr>
        <w:t>autres collecteurs de variétés que sous réserve de la sauvegarde de l</w:t>
      </w:r>
      <w:r>
        <w:rPr>
          <w:snapToGrid w:val="0"/>
          <w:sz w:val="18"/>
          <w:szCs w:val="18"/>
          <w:lang w:val="fr-FR"/>
        </w:rPr>
        <w:t>’</w:t>
      </w:r>
      <w:r w:rsidR="0020369A" w:rsidRPr="00B75B8F">
        <w:rPr>
          <w:snapToGrid w:val="0"/>
          <w:sz w:val="18"/>
          <w:szCs w:val="18"/>
          <w:lang w:val="fr-FR"/>
        </w:rPr>
        <w:t>intérêt légitime de l</w:t>
      </w:r>
      <w:r>
        <w:rPr>
          <w:snapToGrid w:val="0"/>
          <w:sz w:val="18"/>
          <w:szCs w:val="18"/>
          <w:lang w:val="fr-FR"/>
        </w:rPr>
        <w:t>’</w:t>
      </w:r>
      <w:r w:rsidR="0020369A" w:rsidRPr="00B75B8F">
        <w:rPr>
          <w:snapToGrid w:val="0"/>
          <w:sz w:val="18"/>
          <w:szCs w:val="18"/>
          <w:lang w:val="fr-FR"/>
        </w:rPr>
        <w:t xml:space="preserve">obtenteur.  On trouvera dans le document TGP/5 intitulé </w:t>
      </w:r>
      <w:r>
        <w:rPr>
          <w:snapToGrid w:val="0"/>
          <w:sz w:val="18"/>
          <w:szCs w:val="18"/>
          <w:lang w:val="fr-FR"/>
        </w:rPr>
        <w:t>“</w:t>
      </w:r>
      <w:r w:rsidR="0020369A" w:rsidRPr="00B75B8F">
        <w:rPr>
          <w:snapToGrid w:val="0"/>
          <w:sz w:val="18"/>
          <w:szCs w:val="18"/>
          <w:lang w:val="fr-FR"/>
        </w:rPr>
        <w:t>Expérience et coopération en matière d</w:t>
      </w:r>
      <w:r>
        <w:rPr>
          <w:snapToGrid w:val="0"/>
          <w:sz w:val="18"/>
          <w:szCs w:val="18"/>
          <w:lang w:val="fr-FR"/>
        </w:rPr>
        <w:t>’</w:t>
      </w:r>
      <w:r w:rsidR="0020369A" w:rsidRPr="00B75B8F">
        <w:rPr>
          <w:snapToGrid w:val="0"/>
          <w:sz w:val="18"/>
          <w:szCs w:val="18"/>
          <w:lang w:val="fr-FR"/>
        </w:rPr>
        <w:t>examen DHS</w:t>
      </w:r>
      <w:r>
        <w:rPr>
          <w:snapToGrid w:val="0"/>
          <w:sz w:val="18"/>
          <w:szCs w:val="18"/>
          <w:lang w:val="fr-FR"/>
        </w:rPr>
        <w:t>”</w:t>
      </w:r>
      <w:r w:rsidR="0020369A" w:rsidRPr="00B75B8F">
        <w:rPr>
          <w:snapToGrid w:val="0"/>
          <w:sz w:val="18"/>
          <w:szCs w:val="18"/>
          <w:lang w:val="fr-FR"/>
        </w:rPr>
        <w:t xml:space="preserve"> </w:t>
      </w:r>
      <w:r w:rsidR="0020369A" w:rsidRPr="00B75B8F">
        <w:rPr>
          <w:snapToGrid w:val="0"/>
          <w:sz w:val="18"/>
          <w:szCs w:val="18"/>
          <w:lang w:val="fr-FR"/>
        </w:rPr>
        <w:lastRenderedPageBreak/>
        <w:t>(document TGP/5) des exemples de politiques et de contrats en ce qui concerne le matériel fourni par l</w:t>
      </w:r>
      <w:r>
        <w:rPr>
          <w:snapToGrid w:val="0"/>
          <w:sz w:val="18"/>
          <w:szCs w:val="18"/>
          <w:lang w:val="fr-FR"/>
        </w:rPr>
        <w:t>’</w:t>
      </w:r>
      <w:r w:rsidR="0020369A" w:rsidRPr="00B75B8F">
        <w:rPr>
          <w:snapToGrid w:val="0"/>
          <w:sz w:val="18"/>
          <w:szCs w:val="18"/>
          <w:lang w:val="fr-FR"/>
        </w:rPr>
        <w:t>obtenteur</w:t>
      </w:r>
      <w:r>
        <w:rPr>
          <w:snapToGrid w:val="0"/>
          <w:sz w:val="18"/>
          <w:szCs w:val="18"/>
          <w:lang w:val="fr-FR"/>
        </w:rPr>
        <w:t>”</w:t>
      </w:r>
      <w:r w:rsidR="0020369A" w:rsidRPr="00B75B8F">
        <w:rPr>
          <w:snapToGrid w:val="0"/>
          <w:sz w:val="18"/>
          <w:szCs w:val="18"/>
          <w:lang w:val="fr-FR"/>
        </w:rPr>
        <w:t>.</w:t>
      </w:r>
    </w:p>
    <w:p w:rsidR="0020369A" w:rsidRPr="00B75B8F" w:rsidRDefault="0020369A" w:rsidP="003B69A1">
      <w:pPr>
        <w:rPr>
          <w:snapToGrid w:val="0"/>
          <w:lang w:val="fr-FR"/>
        </w:rPr>
      </w:pPr>
    </w:p>
    <w:p w:rsidR="0020369A" w:rsidRPr="00B75B8F" w:rsidRDefault="0020369A" w:rsidP="003B69A1">
      <w:pPr>
        <w:ind w:firstLine="567"/>
        <w:rPr>
          <w:snapToGrid w:val="0"/>
          <w:lang w:val="fr-FR"/>
        </w:rPr>
      </w:pPr>
      <w:r w:rsidRPr="00B75B8F">
        <w:rPr>
          <w:snapToGrid w:val="0"/>
          <w:lang w:val="fr-FR"/>
        </w:rPr>
        <w:t>iii)</w:t>
      </w:r>
      <w:r w:rsidRPr="00B75B8F">
        <w:rPr>
          <w:snapToGrid w:val="0"/>
          <w:lang w:val="fr-FR"/>
        </w:rPr>
        <w:tab/>
        <w:t xml:space="preserve">TGP/5 </w:t>
      </w:r>
      <w:r w:rsidR="00F20C73">
        <w:rPr>
          <w:snapToGrid w:val="0"/>
          <w:lang w:val="fr-FR"/>
        </w:rPr>
        <w:t>“</w:t>
      </w:r>
      <w:r w:rsidRPr="00B75B8F">
        <w:rPr>
          <w:snapToGrid w:val="0"/>
          <w:lang w:val="fr-FR"/>
        </w:rPr>
        <w:t>Expérience et coopération en matière d</w:t>
      </w:r>
      <w:r w:rsidR="00F20C73">
        <w:rPr>
          <w:snapToGrid w:val="0"/>
          <w:lang w:val="fr-FR"/>
        </w:rPr>
        <w:t>’</w:t>
      </w:r>
      <w:r w:rsidRPr="00B75B8F">
        <w:rPr>
          <w:snapToGrid w:val="0"/>
          <w:lang w:val="fr-FR"/>
        </w:rPr>
        <w:t>examen</w:t>
      </w:r>
      <w:r w:rsidR="002067E8">
        <w:rPr>
          <w:snapToGrid w:val="0"/>
          <w:lang w:val="fr-FR"/>
        </w:rPr>
        <w:t> </w:t>
      </w:r>
      <w:r w:rsidRPr="00B75B8F">
        <w:rPr>
          <w:snapToGrid w:val="0"/>
          <w:lang w:val="fr-FR"/>
        </w:rPr>
        <w:t>DHS</w:t>
      </w:r>
      <w:r w:rsidR="00F20C73">
        <w:rPr>
          <w:snapToGrid w:val="0"/>
          <w:lang w:val="fr-FR"/>
        </w:rPr>
        <w:t>”</w:t>
      </w:r>
      <w:r w:rsidRPr="00B75B8F">
        <w:rPr>
          <w:snapToGrid w:val="0"/>
          <w:lang w:val="fr-FR"/>
        </w:rPr>
        <w:t xml:space="preserve">, section 1 </w:t>
      </w:r>
      <w:r w:rsidR="00F20C73">
        <w:rPr>
          <w:snapToGrid w:val="0"/>
          <w:lang w:val="fr-FR"/>
        </w:rPr>
        <w:t>“</w:t>
      </w:r>
      <w:r w:rsidRPr="00B75B8F">
        <w:rPr>
          <w:snapToGrid w:val="0"/>
          <w:lang w:val="fr-FR"/>
        </w:rPr>
        <w:t>Accord administratif pour la coopération internationale en matière d</w:t>
      </w:r>
      <w:r w:rsidR="00F20C73">
        <w:rPr>
          <w:snapToGrid w:val="0"/>
          <w:lang w:val="fr-FR"/>
        </w:rPr>
        <w:t>’</w:t>
      </w:r>
      <w:r w:rsidRPr="00B75B8F">
        <w:rPr>
          <w:snapToGrid w:val="0"/>
          <w:lang w:val="fr-FR"/>
        </w:rPr>
        <w:t>examen des variétés</w:t>
      </w:r>
      <w:r w:rsidR="00F20C73">
        <w:rPr>
          <w:snapToGrid w:val="0"/>
          <w:lang w:val="fr-FR"/>
        </w:rPr>
        <w:t>”</w:t>
      </w:r>
      <w:r>
        <w:rPr>
          <w:snapToGrid w:val="0"/>
          <w:lang w:val="fr-FR"/>
        </w:rPr>
        <w:t>.</w:t>
      </w:r>
    </w:p>
    <w:p w:rsidR="0020369A" w:rsidRPr="00B75B8F" w:rsidRDefault="0020369A" w:rsidP="003B69A1">
      <w:pPr>
        <w:rPr>
          <w:snapToGrid w:val="0"/>
          <w:lang w:val="fr-FR"/>
        </w:rPr>
      </w:pPr>
    </w:p>
    <w:p w:rsidR="0020369A" w:rsidRPr="00F633F2" w:rsidRDefault="00F20C73" w:rsidP="00A80B59">
      <w:pPr>
        <w:ind w:left="567" w:right="567"/>
        <w:rPr>
          <w:sz w:val="18"/>
          <w:szCs w:val="18"/>
          <w:lang w:val="fr-FR"/>
        </w:rPr>
      </w:pPr>
      <w:r>
        <w:rPr>
          <w:sz w:val="18"/>
          <w:szCs w:val="18"/>
          <w:lang w:val="fr-FR"/>
        </w:rPr>
        <w:t>“</w:t>
      </w:r>
      <w:r w:rsidR="0020369A" w:rsidRPr="00F633F2">
        <w:rPr>
          <w:sz w:val="18"/>
          <w:szCs w:val="18"/>
          <w:u w:val="single"/>
          <w:lang w:val="fr-FR"/>
        </w:rPr>
        <w:t>Article</w:t>
      </w:r>
      <w:r w:rsidR="002067E8">
        <w:rPr>
          <w:sz w:val="18"/>
          <w:szCs w:val="18"/>
          <w:u w:val="single"/>
          <w:lang w:val="fr-FR"/>
        </w:rPr>
        <w:t> </w:t>
      </w:r>
      <w:r w:rsidR="0020369A" w:rsidRPr="00F633F2">
        <w:rPr>
          <w:sz w:val="18"/>
          <w:szCs w:val="18"/>
          <w:u w:val="single"/>
          <w:lang w:val="fr-FR"/>
        </w:rPr>
        <w:t>4</w:t>
      </w:r>
    </w:p>
    <w:p w:rsidR="0020369A" w:rsidRPr="00F633F2" w:rsidRDefault="0020369A" w:rsidP="00A80B59">
      <w:pPr>
        <w:ind w:left="567" w:right="567"/>
        <w:rPr>
          <w:sz w:val="18"/>
          <w:szCs w:val="18"/>
          <w:lang w:val="fr-FR"/>
        </w:rPr>
      </w:pPr>
    </w:p>
    <w:p w:rsidR="00A039B4" w:rsidRDefault="00F20C73" w:rsidP="00A80B59">
      <w:pPr>
        <w:ind w:left="567" w:right="707"/>
        <w:rPr>
          <w:sz w:val="18"/>
          <w:szCs w:val="18"/>
          <w:lang w:val="fr-FR"/>
        </w:rPr>
      </w:pPr>
      <w:r>
        <w:rPr>
          <w:sz w:val="18"/>
          <w:szCs w:val="18"/>
          <w:lang w:val="fr-FR"/>
        </w:rPr>
        <w:t>“</w:t>
      </w:r>
      <w:r w:rsidR="0020369A" w:rsidRPr="00B75B8F">
        <w:rPr>
          <w:sz w:val="18"/>
          <w:szCs w:val="18"/>
          <w:lang w:val="fr-FR"/>
        </w:rPr>
        <w:t>1)</w:t>
      </w:r>
      <w:r w:rsidR="0020369A" w:rsidRPr="00B75B8F">
        <w:rPr>
          <w:sz w:val="18"/>
          <w:szCs w:val="18"/>
          <w:lang w:val="fr-FR"/>
        </w:rPr>
        <w:tab/>
        <w:t>Les services prennent toutes les mesures nécessaires pour protéger les droits du déposant.</w:t>
      </w:r>
    </w:p>
    <w:p w:rsidR="0020369A" w:rsidRPr="00F633F2" w:rsidRDefault="0020369A" w:rsidP="00A80B59">
      <w:pPr>
        <w:ind w:left="567" w:right="707"/>
        <w:rPr>
          <w:sz w:val="18"/>
          <w:szCs w:val="18"/>
          <w:lang w:val="fr-FR"/>
        </w:rPr>
      </w:pPr>
    </w:p>
    <w:p w:rsidR="00A039B4" w:rsidRDefault="00F20C73" w:rsidP="00A80B59">
      <w:pPr>
        <w:ind w:left="567" w:right="707"/>
        <w:rPr>
          <w:sz w:val="18"/>
          <w:szCs w:val="18"/>
          <w:lang w:val="fr-FR"/>
        </w:rPr>
      </w:pPr>
      <w:r>
        <w:rPr>
          <w:sz w:val="18"/>
          <w:szCs w:val="18"/>
          <w:lang w:val="fr-FR"/>
        </w:rPr>
        <w:t>“</w:t>
      </w:r>
      <w:r w:rsidR="0020369A" w:rsidRPr="00B75B8F">
        <w:rPr>
          <w:sz w:val="18"/>
          <w:szCs w:val="18"/>
          <w:lang w:val="fr-FR"/>
        </w:rPr>
        <w:t>2)</w:t>
      </w:r>
      <w:r w:rsidR="0020369A" w:rsidRPr="00B75B8F">
        <w:rPr>
          <w:sz w:val="18"/>
          <w:szCs w:val="18"/>
          <w:lang w:val="fr-FR"/>
        </w:rPr>
        <w:tab/>
        <w:t>Sauf autorisation expresse du service récepteur et du déposant, le service prestataire doit s</w:t>
      </w:r>
      <w:r>
        <w:rPr>
          <w:sz w:val="18"/>
          <w:szCs w:val="18"/>
          <w:lang w:val="fr-FR"/>
        </w:rPr>
        <w:t>’</w:t>
      </w:r>
      <w:r w:rsidR="0020369A" w:rsidRPr="00B75B8F">
        <w:rPr>
          <w:sz w:val="18"/>
          <w:szCs w:val="18"/>
          <w:lang w:val="fr-FR"/>
        </w:rPr>
        <w:t>abstenir de fournir à un tiers du matériel des variétés dont l</w:t>
      </w:r>
      <w:r>
        <w:rPr>
          <w:sz w:val="18"/>
          <w:szCs w:val="18"/>
          <w:lang w:val="fr-FR"/>
        </w:rPr>
        <w:t>’</w:t>
      </w:r>
      <w:r w:rsidR="0020369A" w:rsidRPr="00B75B8F">
        <w:rPr>
          <w:sz w:val="18"/>
          <w:szCs w:val="18"/>
          <w:lang w:val="fr-FR"/>
        </w:rPr>
        <w:t>examen a été sollicité.</w:t>
      </w:r>
    </w:p>
    <w:p w:rsidR="0020369A" w:rsidRPr="00F633F2" w:rsidRDefault="0020369A" w:rsidP="00A80B59">
      <w:pPr>
        <w:ind w:left="567" w:right="707"/>
        <w:rPr>
          <w:sz w:val="18"/>
          <w:szCs w:val="18"/>
          <w:lang w:val="fr-FR"/>
        </w:rPr>
      </w:pPr>
    </w:p>
    <w:p w:rsidR="0020369A" w:rsidRPr="00B75B8F" w:rsidRDefault="00F20C73" w:rsidP="004A5477">
      <w:pPr>
        <w:keepNext/>
        <w:spacing w:after="240"/>
        <w:ind w:left="567" w:right="709"/>
        <w:rPr>
          <w:sz w:val="18"/>
          <w:szCs w:val="18"/>
          <w:lang w:val="fr-FR"/>
        </w:rPr>
      </w:pPr>
      <w:r>
        <w:rPr>
          <w:sz w:val="18"/>
          <w:szCs w:val="18"/>
          <w:lang w:val="fr-FR"/>
        </w:rPr>
        <w:t>“</w:t>
      </w:r>
      <w:r w:rsidR="0020369A" w:rsidRPr="00B75B8F">
        <w:rPr>
          <w:sz w:val="18"/>
          <w:szCs w:val="18"/>
          <w:lang w:val="fr-FR"/>
        </w:rPr>
        <w:t>3)</w:t>
      </w:r>
      <w:r w:rsidR="0020369A" w:rsidRPr="00B75B8F">
        <w:rPr>
          <w:sz w:val="18"/>
          <w:szCs w:val="18"/>
          <w:lang w:val="fr-FR"/>
        </w:rPr>
        <w:tab/>
        <w:t>Seuls auront accès aux documents et aux parcelles d</w:t>
      </w:r>
      <w:r>
        <w:rPr>
          <w:sz w:val="18"/>
          <w:szCs w:val="18"/>
          <w:lang w:val="fr-FR"/>
        </w:rPr>
        <w:t>’</w:t>
      </w:r>
      <w:r w:rsidR="0020369A" w:rsidRPr="00B75B8F">
        <w:rPr>
          <w:sz w:val="18"/>
          <w:szCs w:val="18"/>
          <w:lang w:val="fr-FR"/>
        </w:rPr>
        <w:t>essais</w:t>
      </w:r>
      <w:r w:rsidR="002067E8">
        <w:rPr>
          <w:sz w:val="18"/>
          <w:szCs w:val="18"/>
          <w:lang w:val="fr-FR"/>
        </w:rPr>
        <w:t> </w:t>
      </w:r>
      <w:r w:rsidR="0020369A" w:rsidRPr="00B75B8F">
        <w:rPr>
          <w:sz w:val="18"/>
          <w:szCs w:val="18"/>
          <w:lang w:val="fr-FR"/>
        </w:rPr>
        <w:t>:</w:t>
      </w:r>
    </w:p>
    <w:p w:rsidR="0020369A" w:rsidRPr="00B75B8F" w:rsidRDefault="00F20C73" w:rsidP="00A80B59">
      <w:pPr>
        <w:ind w:left="567" w:right="707" w:firstLine="567"/>
        <w:rPr>
          <w:sz w:val="18"/>
          <w:szCs w:val="18"/>
          <w:lang w:val="fr-FR"/>
        </w:rPr>
      </w:pPr>
      <w:r>
        <w:rPr>
          <w:sz w:val="18"/>
          <w:szCs w:val="18"/>
          <w:lang w:val="fr-FR"/>
        </w:rPr>
        <w:t>“</w:t>
      </w:r>
      <w:r w:rsidR="0020369A" w:rsidRPr="00B75B8F">
        <w:rPr>
          <w:sz w:val="18"/>
          <w:szCs w:val="18"/>
          <w:lang w:val="fr-FR"/>
        </w:rPr>
        <w:t>i)</w:t>
      </w:r>
      <w:r w:rsidR="0020369A" w:rsidRPr="00B75B8F">
        <w:rPr>
          <w:sz w:val="18"/>
          <w:szCs w:val="18"/>
          <w:lang w:val="fr-FR"/>
        </w:rPr>
        <w:tab/>
        <w:t>le service récepteur, le déposant et toute personne dûment autorisée;</w:t>
      </w:r>
    </w:p>
    <w:p w:rsidR="0020369A" w:rsidRPr="00B75B8F" w:rsidRDefault="0020369A" w:rsidP="00A80B59">
      <w:pPr>
        <w:numPr>
          <w:ilvl w:val="12"/>
          <w:numId w:val="0"/>
        </w:numPr>
        <w:ind w:left="567" w:right="707"/>
        <w:rPr>
          <w:sz w:val="14"/>
          <w:szCs w:val="14"/>
          <w:lang w:val="fr-FR"/>
        </w:rPr>
      </w:pPr>
    </w:p>
    <w:p w:rsidR="0020369A" w:rsidRPr="00B75B8F" w:rsidRDefault="00F20C73" w:rsidP="00A80B59">
      <w:pPr>
        <w:ind w:left="567" w:right="707" w:firstLine="567"/>
        <w:rPr>
          <w:sz w:val="18"/>
          <w:szCs w:val="18"/>
          <w:lang w:val="fr-FR"/>
        </w:rPr>
      </w:pPr>
      <w:r>
        <w:rPr>
          <w:sz w:val="18"/>
          <w:szCs w:val="18"/>
          <w:lang w:val="fr-FR"/>
        </w:rPr>
        <w:t>“</w:t>
      </w:r>
      <w:r w:rsidR="0020369A" w:rsidRPr="00B75B8F">
        <w:rPr>
          <w:sz w:val="18"/>
          <w:szCs w:val="18"/>
          <w:lang w:val="fr-FR"/>
        </w:rPr>
        <w:t>ii)</w:t>
      </w:r>
      <w:r w:rsidR="0020369A" w:rsidRPr="00B75B8F">
        <w:rPr>
          <w:sz w:val="18"/>
          <w:szCs w:val="18"/>
          <w:lang w:val="fr-FR"/>
        </w:rPr>
        <w:tab/>
        <w:t>le personnel nécessaire de l</w:t>
      </w:r>
      <w:r>
        <w:rPr>
          <w:sz w:val="18"/>
          <w:szCs w:val="18"/>
          <w:lang w:val="fr-FR"/>
        </w:rPr>
        <w:t>’</w:t>
      </w:r>
      <w:r w:rsidR="0020369A" w:rsidRPr="00B75B8F">
        <w:rPr>
          <w:sz w:val="18"/>
          <w:szCs w:val="18"/>
          <w:lang w:val="fr-FR"/>
        </w:rPr>
        <w:t>institution qui effectue l</w:t>
      </w:r>
      <w:r>
        <w:rPr>
          <w:sz w:val="18"/>
          <w:szCs w:val="18"/>
          <w:lang w:val="fr-FR"/>
        </w:rPr>
        <w:t>’</w:t>
      </w:r>
      <w:r w:rsidR="0020369A" w:rsidRPr="00B75B8F">
        <w:rPr>
          <w:sz w:val="18"/>
          <w:szCs w:val="18"/>
          <w:lang w:val="fr-FR"/>
        </w:rPr>
        <w:t xml:space="preserve">examen et les experts spécialement appelés à cet effet et qui sont tenus au secret professionnel en service public. </w:t>
      </w:r>
      <w:r w:rsidR="002067E8">
        <w:rPr>
          <w:sz w:val="18"/>
          <w:szCs w:val="18"/>
          <w:lang w:val="fr-FR"/>
        </w:rPr>
        <w:t xml:space="preserve"> </w:t>
      </w:r>
      <w:r w:rsidR="0020369A" w:rsidRPr="00B75B8F">
        <w:rPr>
          <w:sz w:val="18"/>
          <w:szCs w:val="18"/>
          <w:lang w:val="fr-FR"/>
        </w:rPr>
        <w:t>Ces experts n</w:t>
      </w:r>
      <w:r>
        <w:rPr>
          <w:sz w:val="18"/>
          <w:szCs w:val="18"/>
          <w:lang w:val="fr-FR"/>
        </w:rPr>
        <w:t>’</w:t>
      </w:r>
      <w:r w:rsidR="0020369A" w:rsidRPr="00B75B8F">
        <w:rPr>
          <w:sz w:val="18"/>
          <w:szCs w:val="18"/>
          <w:lang w:val="fr-FR"/>
        </w:rPr>
        <w:t>ont accès aux formules des variétés hybrides que si cela est strictement indispensable et si le déposant ne formule aucune objection.</w:t>
      </w:r>
    </w:p>
    <w:p w:rsidR="0020369A" w:rsidRPr="00B75B8F" w:rsidRDefault="0020369A" w:rsidP="00A80B59">
      <w:pPr>
        <w:ind w:left="567" w:right="707"/>
        <w:rPr>
          <w:sz w:val="18"/>
          <w:szCs w:val="18"/>
          <w:lang w:val="fr-FR"/>
        </w:rPr>
      </w:pPr>
    </w:p>
    <w:p w:rsidR="0020369A" w:rsidRPr="00B75B8F" w:rsidRDefault="00F20C73" w:rsidP="00A80B59">
      <w:pPr>
        <w:ind w:left="567" w:right="707"/>
        <w:rPr>
          <w:sz w:val="18"/>
          <w:szCs w:val="18"/>
          <w:lang w:val="fr-FR"/>
        </w:rPr>
      </w:pPr>
      <w:r>
        <w:rPr>
          <w:sz w:val="18"/>
          <w:szCs w:val="18"/>
          <w:lang w:val="fr-FR"/>
        </w:rPr>
        <w:t>“</w:t>
      </w:r>
      <w:r w:rsidR="0020369A" w:rsidRPr="00B75B8F">
        <w:rPr>
          <w:sz w:val="18"/>
          <w:szCs w:val="18"/>
          <w:lang w:val="fr-FR"/>
        </w:rPr>
        <w:t>Le présent alinéa n</w:t>
      </w:r>
      <w:r>
        <w:rPr>
          <w:sz w:val="18"/>
          <w:szCs w:val="18"/>
          <w:lang w:val="fr-FR"/>
        </w:rPr>
        <w:t>’</w:t>
      </w:r>
      <w:r w:rsidR="0020369A" w:rsidRPr="00B75B8F">
        <w:rPr>
          <w:sz w:val="18"/>
          <w:szCs w:val="18"/>
          <w:lang w:val="fr-FR"/>
        </w:rPr>
        <w:t>exclut pas l</w:t>
      </w:r>
      <w:r>
        <w:rPr>
          <w:sz w:val="18"/>
          <w:szCs w:val="18"/>
          <w:lang w:val="fr-FR"/>
        </w:rPr>
        <w:t>’</w:t>
      </w:r>
      <w:r w:rsidR="0020369A" w:rsidRPr="00B75B8F">
        <w:rPr>
          <w:sz w:val="18"/>
          <w:szCs w:val="18"/>
          <w:lang w:val="fr-FR"/>
        </w:rPr>
        <w:t>accès général des visiteurs aux parcelles d</w:t>
      </w:r>
      <w:r>
        <w:rPr>
          <w:sz w:val="18"/>
          <w:szCs w:val="18"/>
          <w:lang w:val="fr-FR"/>
        </w:rPr>
        <w:t>’</w:t>
      </w:r>
      <w:r w:rsidR="0020369A" w:rsidRPr="00B75B8F">
        <w:rPr>
          <w:sz w:val="18"/>
          <w:szCs w:val="18"/>
          <w:lang w:val="fr-FR"/>
        </w:rPr>
        <w:t>essais, à condition qu</w:t>
      </w:r>
      <w:r>
        <w:rPr>
          <w:sz w:val="18"/>
          <w:szCs w:val="18"/>
          <w:lang w:val="fr-FR"/>
        </w:rPr>
        <w:t>’</w:t>
      </w:r>
      <w:r w:rsidR="0020369A" w:rsidRPr="00B75B8F">
        <w:rPr>
          <w:sz w:val="18"/>
          <w:szCs w:val="18"/>
          <w:lang w:val="fr-FR"/>
        </w:rPr>
        <w:t>il soit dûment tenu compte de l</w:t>
      </w:r>
      <w:r>
        <w:rPr>
          <w:sz w:val="18"/>
          <w:szCs w:val="18"/>
          <w:lang w:val="fr-FR"/>
        </w:rPr>
        <w:t>’</w:t>
      </w:r>
      <w:r w:rsidR="0020369A" w:rsidRPr="00B75B8F">
        <w:rPr>
          <w:sz w:val="18"/>
          <w:szCs w:val="18"/>
          <w:lang w:val="fr-FR"/>
        </w:rPr>
        <w:t>alinéa 1) ci</w:t>
      </w:r>
      <w:r w:rsidR="0014634A">
        <w:rPr>
          <w:sz w:val="18"/>
          <w:szCs w:val="18"/>
          <w:lang w:val="fr-FR"/>
        </w:rPr>
        <w:noBreakHyphen/>
      </w:r>
      <w:r w:rsidR="0020369A" w:rsidRPr="00B75B8F">
        <w:rPr>
          <w:sz w:val="18"/>
          <w:szCs w:val="18"/>
          <w:lang w:val="fr-FR"/>
        </w:rPr>
        <w:t>dessus.</w:t>
      </w:r>
    </w:p>
    <w:p w:rsidR="0020369A" w:rsidRPr="00B75B8F" w:rsidRDefault="0020369A" w:rsidP="00A80B59">
      <w:pPr>
        <w:ind w:left="567" w:right="707"/>
        <w:rPr>
          <w:sz w:val="18"/>
          <w:szCs w:val="18"/>
          <w:lang w:val="fr-FR"/>
        </w:rPr>
      </w:pPr>
    </w:p>
    <w:p w:rsidR="0020369A" w:rsidRPr="00B75B8F" w:rsidRDefault="00F20C73" w:rsidP="00A80B59">
      <w:pPr>
        <w:ind w:left="567" w:right="707"/>
        <w:rPr>
          <w:sz w:val="18"/>
          <w:szCs w:val="18"/>
          <w:lang w:val="fr-FR"/>
        </w:rPr>
      </w:pPr>
      <w:r>
        <w:rPr>
          <w:sz w:val="18"/>
          <w:szCs w:val="18"/>
          <w:lang w:val="fr-FR"/>
        </w:rPr>
        <w:t>“</w:t>
      </w:r>
      <w:r w:rsidR="0020369A" w:rsidRPr="00B75B8F">
        <w:rPr>
          <w:sz w:val="18"/>
          <w:szCs w:val="18"/>
          <w:lang w:val="fr-FR"/>
        </w:rPr>
        <w:t>4)</w:t>
      </w:r>
      <w:r w:rsidR="0020369A" w:rsidRPr="00B75B8F">
        <w:rPr>
          <w:sz w:val="18"/>
          <w:szCs w:val="18"/>
          <w:lang w:val="fr-FR"/>
        </w:rPr>
        <w:tab/>
        <w:t>Si un autre service a la qualité de service récepteur en vertu d</w:t>
      </w:r>
      <w:r>
        <w:rPr>
          <w:sz w:val="18"/>
          <w:szCs w:val="18"/>
          <w:lang w:val="fr-FR"/>
        </w:rPr>
        <w:t>’</w:t>
      </w:r>
      <w:r w:rsidR="0020369A" w:rsidRPr="00B75B8F">
        <w:rPr>
          <w:sz w:val="18"/>
          <w:szCs w:val="18"/>
          <w:lang w:val="fr-FR"/>
        </w:rPr>
        <w:t>un accord similaire, l</w:t>
      </w:r>
      <w:r>
        <w:rPr>
          <w:sz w:val="18"/>
          <w:szCs w:val="18"/>
          <w:lang w:val="fr-FR"/>
        </w:rPr>
        <w:t>’</w:t>
      </w:r>
      <w:r w:rsidR="0020369A" w:rsidRPr="00B75B8F">
        <w:rPr>
          <w:sz w:val="18"/>
          <w:szCs w:val="18"/>
          <w:lang w:val="fr-FR"/>
        </w:rPr>
        <w:t>accès peut également être accordé conformément aux règles app</w:t>
      </w:r>
      <w:r w:rsidR="0020369A">
        <w:rPr>
          <w:sz w:val="18"/>
          <w:szCs w:val="18"/>
          <w:lang w:val="fr-FR"/>
        </w:rPr>
        <w:t>licables en vertu de cet accord</w:t>
      </w:r>
      <w:r>
        <w:rPr>
          <w:sz w:val="18"/>
          <w:szCs w:val="18"/>
          <w:lang w:val="fr-FR"/>
        </w:rPr>
        <w:t>”</w:t>
      </w:r>
      <w:r w:rsidR="0020369A">
        <w:rPr>
          <w:sz w:val="18"/>
          <w:szCs w:val="18"/>
          <w:lang w:val="fr-FR"/>
        </w:rPr>
        <w:t>.</w:t>
      </w:r>
    </w:p>
    <w:p w:rsidR="0020369A" w:rsidRPr="00B75B8F" w:rsidRDefault="0020369A" w:rsidP="00B76373">
      <w:pPr>
        <w:rPr>
          <w:snapToGrid w:val="0"/>
          <w:lang w:val="fr-FR"/>
        </w:rPr>
      </w:pPr>
    </w:p>
    <w:p w:rsidR="0020369A" w:rsidRPr="007133A2" w:rsidRDefault="0020369A" w:rsidP="00C93A10">
      <w:pPr>
        <w:rPr>
          <w:snapToGrid w:val="0"/>
          <w:lang w:val="fr-FR"/>
        </w:rPr>
      </w:pPr>
      <w:r w:rsidRPr="007133A2">
        <w:rPr>
          <w:snapToGrid w:val="0"/>
          <w:lang w:val="fr-FR"/>
        </w:rPr>
        <w:fldChar w:fldCharType="begin"/>
      </w:r>
      <w:r w:rsidRPr="007133A2">
        <w:rPr>
          <w:snapToGrid w:val="0"/>
          <w:lang w:val="fr-FR"/>
        </w:rPr>
        <w:instrText xml:space="preserve"> AUTONUM  </w:instrText>
      </w:r>
      <w:r w:rsidRPr="007133A2">
        <w:rPr>
          <w:snapToGrid w:val="0"/>
          <w:lang w:val="fr-FR"/>
        </w:rPr>
        <w:fldChar w:fldCharType="end"/>
      </w:r>
      <w:r w:rsidRPr="007133A2">
        <w:rPr>
          <w:snapToGrid w:val="0"/>
          <w:lang w:val="fr-FR"/>
        </w:rPr>
        <w:tab/>
        <w:t>Le CAJ souhaitera peut</w:t>
      </w:r>
      <w:r w:rsidR="0014634A">
        <w:rPr>
          <w:snapToGrid w:val="0"/>
          <w:lang w:val="fr-FR"/>
        </w:rPr>
        <w:noBreakHyphen/>
      </w:r>
      <w:r w:rsidRPr="007133A2">
        <w:rPr>
          <w:snapToGrid w:val="0"/>
          <w:lang w:val="fr-FR"/>
        </w:rPr>
        <w:t>être se demander s</w:t>
      </w:r>
      <w:r w:rsidR="00F20C73">
        <w:rPr>
          <w:snapToGrid w:val="0"/>
          <w:lang w:val="fr-FR"/>
        </w:rPr>
        <w:t>’</w:t>
      </w:r>
      <w:r w:rsidRPr="007133A2">
        <w:rPr>
          <w:snapToGrid w:val="0"/>
          <w:lang w:val="fr-FR"/>
        </w:rPr>
        <w:t>il convient d</w:t>
      </w:r>
      <w:r w:rsidR="00F20C73">
        <w:rPr>
          <w:snapToGrid w:val="0"/>
          <w:lang w:val="fr-FR"/>
        </w:rPr>
        <w:t>’</w:t>
      </w:r>
      <w:r w:rsidRPr="007133A2">
        <w:rPr>
          <w:snapToGrid w:val="0"/>
          <w:lang w:val="fr-FR"/>
        </w:rPr>
        <w:t>élaborer des orientations supplémentaires sur le matériel fourni à des fins d</w:t>
      </w:r>
      <w:r w:rsidR="00F20C73">
        <w:rPr>
          <w:snapToGrid w:val="0"/>
          <w:lang w:val="fr-FR"/>
        </w:rPr>
        <w:t>’</w:t>
      </w:r>
      <w:r w:rsidRPr="007133A2">
        <w:rPr>
          <w:snapToGrid w:val="0"/>
          <w:lang w:val="fr-FR"/>
        </w:rPr>
        <w:t>examen par l</w:t>
      </w:r>
      <w:r w:rsidR="00F20C73">
        <w:rPr>
          <w:snapToGrid w:val="0"/>
          <w:lang w:val="fr-FR"/>
        </w:rPr>
        <w:t>’</w:t>
      </w:r>
      <w:r w:rsidRPr="007133A2">
        <w:rPr>
          <w:snapToGrid w:val="0"/>
          <w:lang w:val="fr-FR"/>
        </w:rPr>
        <w:t>obtenteur et</w:t>
      </w:r>
      <w:r w:rsidRPr="007133A2">
        <w:rPr>
          <w:color w:val="0D0D0D"/>
          <w:lang w:val="fr-FR"/>
        </w:rPr>
        <w:t>/ou d</w:t>
      </w:r>
      <w:r w:rsidR="00F20C73">
        <w:rPr>
          <w:color w:val="0D0D0D"/>
          <w:lang w:val="fr-FR"/>
        </w:rPr>
        <w:t>’</w:t>
      </w:r>
      <w:r w:rsidRPr="007133A2">
        <w:rPr>
          <w:color w:val="0D0D0D"/>
          <w:lang w:val="fr-FR"/>
        </w:rPr>
        <w:t xml:space="preserve">ajouter une référence aux orientations existantes sur les lignées parentales dans le </w:t>
      </w:r>
      <w:r w:rsidRPr="007133A2">
        <w:rPr>
          <w:lang w:val="fr-FR"/>
        </w:rPr>
        <w:t xml:space="preserve">document </w:t>
      </w:r>
      <w:r w:rsidRPr="007133A2">
        <w:rPr>
          <w:snapToGrid w:val="0"/>
          <w:lang w:val="fr-FR"/>
        </w:rPr>
        <w:t>UPOV/INF/15.</w:t>
      </w:r>
    </w:p>
    <w:p w:rsidR="0020369A" w:rsidRPr="007133A2" w:rsidRDefault="0020369A" w:rsidP="00C93A10">
      <w:pPr>
        <w:rPr>
          <w:lang w:val="fr-FR"/>
        </w:rPr>
      </w:pPr>
    </w:p>
    <w:p w:rsidR="0020369A" w:rsidRPr="00B75B8F" w:rsidRDefault="0020369A" w:rsidP="00C07562">
      <w:pPr>
        <w:pStyle w:val="DecisionParagraphs"/>
        <w:rPr>
          <w:snapToGrid w:val="0"/>
          <w:lang w:val="fr-FR"/>
        </w:rPr>
      </w:pPr>
      <w:r w:rsidRPr="00B75B8F">
        <w:rPr>
          <w:snapToGrid w:val="0"/>
          <w:lang w:val="fr-FR"/>
        </w:rPr>
        <w:fldChar w:fldCharType="begin"/>
      </w:r>
      <w:r w:rsidRPr="00B75B8F">
        <w:rPr>
          <w:snapToGrid w:val="0"/>
          <w:lang w:val="fr-FR"/>
        </w:rPr>
        <w:instrText xml:space="preserve"> AUTONUM  </w:instrText>
      </w:r>
      <w:r w:rsidRPr="00B75B8F">
        <w:rPr>
          <w:snapToGrid w:val="0"/>
          <w:lang w:val="fr-FR"/>
        </w:rPr>
        <w:fldChar w:fldCharType="end"/>
      </w:r>
      <w:r w:rsidRPr="00B75B8F">
        <w:rPr>
          <w:snapToGrid w:val="0"/>
          <w:lang w:val="fr-FR"/>
        </w:rPr>
        <w:tab/>
        <w:t>Le CAJ est invité à</w:t>
      </w:r>
      <w:r w:rsidR="002067E8">
        <w:rPr>
          <w:snapToGrid w:val="0"/>
          <w:lang w:val="fr-FR"/>
        </w:rPr>
        <w:t> </w:t>
      </w:r>
      <w:r w:rsidRPr="00B75B8F">
        <w:rPr>
          <w:snapToGrid w:val="0"/>
          <w:lang w:val="fr-FR"/>
        </w:rPr>
        <w:t>:</w:t>
      </w:r>
    </w:p>
    <w:p w:rsidR="0020369A" w:rsidRPr="00B75B8F" w:rsidRDefault="0020369A" w:rsidP="00C07562">
      <w:pPr>
        <w:pStyle w:val="DecisionParagraphs"/>
        <w:rPr>
          <w:snapToGrid w:val="0"/>
          <w:lang w:val="fr-FR"/>
        </w:rPr>
      </w:pPr>
    </w:p>
    <w:p w:rsidR="0020369A" w:rsidRPr="007133A2" w:rsidRDefault="0020369A" w:rsidP="00C93A10">
      <w:pPr>
        <w:pStyle w:val="DecisionParagraphs"/>
        <w:tabs>
          <w:tab w:val="left" w:pos="5954"/>
        </w:tabs>
        <w:rPr>
          <w:color w:val="0D0D0D"/>
          <w:lang w:val="fr-FR"/>
        </w:rPr>
      </w:pPr>
      <w:r w:rsidRPr="00B75B8F">
        <w:rPr>
          <w:snapToGrid w:val="0"/>
          <w:lang w:val="fr-FR"/>
        </w:rPr>
        <w:tab/>
      </w:r>
      <w:r w:rsidRPr="007133A2">
        <w:rPr>
          <w:snapToGrid w:val="0"/>
          <w:lang w:val="fr-FR"/>
        </w:rPr>
        <w:t>a)</w:t>
      </w:r>
      <w:r w:rsidRPr="007133A2">
        <w:rPr>
          <w:snapToGrid w:val="0"/>
          <w:lang w:val="fr-FR"/>
        </w:rPr>
        <w:tab/>
        <w:t>prendre note des orientations existantes sur la disponibilité et l</w:t>
      </w:r>
      <w:r w:rsidR="00F20C73">
        <w:rPr>
          <w:snapToGrid w:val="0"/>
          <w:lang w:val="fr-FR"/>
        </w:rPr>
        <w:t>’</w:t>
      </w:r>
      <w:r w:rsidRPr="007133A2">
        <w:rPr>
          <w:snapToGrid w:val="0"/>
          <w:lang w:val="fr-FR"/>
        </w:rPr>
        <w:t>échange de matériel telles qu</w:t>
      </w:r>
      <w:r w:rsidR="00F20C73">
        <w:rPr>
          <w:snapToGrid w:val="0"/>
          <w:lang w:val="fr-FR"/>
        </w:rPr>
        <w:t>’</w:t>
      </w:r>
      <w:r w:rsidRPr="007133A2">
        <w:rPr>
          <w:snapToGrid w:val="0"/>
          <w:lang w:val="fr-FR"/>
        </w:rPr>
        <w:t>elles figurent dans le para</w:t>
      </w:r>
      <w:r w:rsidRPr="007133A2">
        <w:rPr>
          <w:color w:val="0D0D0D"/>
          <w:lang w:val="fr-FR"/>
        </w:rPr>
        <w:t>graph</w:t>
      </w:r>
      <w:r>
        <w:rPr>
          <w:color w:val="0D0D0D"/>
          <w:lang w:val="fr-FR"/>
        </w:rPr>
        <w:t>e</w:t>
      </w:r>
      <w:r w:rsidR="002067E8">
        <w:rPr>
          <w:snapToGrid w:val="0"/>
          <w:lang w:val="fr-FR"/>
        </w:rPr>
        <w:t> </w:t>
      </w:r>
      <w:r w:rsidRPr="007133A2">
        <w:rPr>
          <w:color w:val="0D0D0D"/>
          <w:lang w:val="fr-FR"/>
        </w:rPr>
        <w:t xml:space="preserve">19 </w:t>
      </w:r>
      <w:r>
        <w:rPr>
          <w:color w:val="0D0D0D"/>
          <w:lang w:val="fr-FR"/>
        </w:rPr>
        <w:t>ci</w:t>
      </w:r>
      <w:r w:rsidR="0014634A">
        <w:rPr>
          <w:color w:val="0D0D0D"/>
          <w:lang w:val="fr-FR"/>
        </w:rPr>
        <w:noBreakHyphen/>
      </w:r>
      <w:r>
        <w:rPr>
          <w:color w:val="0D0D0D"/>
          <w:lang w:val="fr-FR"/>
        </w:rPr>
        <w:t xml:space="preserve">dessus; </w:t>
      </w:r>
      <w:r w:rsidRPr="007133A2">
        <w:rPr>
          <w:color w:val="0D0D0D"/>
          <w:lang w:val="fr-FR"/>
        </w:rPr>
        <w:t xml:space="preserve"> </w:t>
      </w:r>
      <w:r>
        <w:rPr>
          <w:color w:val="0D0D0D"/>
          <w:lang w:val="fr-FR"/>
        </w:rPr>
        <w:t>et</w:t>
      </w:r>
    </w:p>
    <w:p w:rsidR="0020369A" w:rsidRPr="007133A2" w:rsidRDefault="0020369A" w:rsidP="00C93A10">
      <w:pPr>
        <w:pStyle w:val="DecisionParagraphs"/>
        <w:tabs>
          <w:tab w:val="left" w:pos="5954"/>
        </w:tabs>
        <w:rPr>
          <w:color w:val="0D0D0D"/>
          <w:lang w:val="fr-FR"/>
        </w:rPr>
      </w:pPr>
    </w:p>
    <w:p w:rsidR="0020369A" w:rsidRPr="007133A2" w:rsidRDefault="0020369A" w:rsidP="00C93A10">
      <w:pPr>
        <w:pStyle w:val="DecisionParagraphs"/>
        <w:tabs>
          <w:tab w:val="left" w:pos="5954"/>
        </w:tabs>
        <w:rPr>
          <w:color w:val="0C0C0C"/>
          <w:lang w:val="fr-FR"/>
        </w:rPr>
      </w:pPr>
      <w:r w:rsidRPr="007133A2">
        <w:rPr>
          <w:lang w:val="fr-FR"/>
        </w:rPr>
        <w:tab/>
        <w:t>b)</w:t>
      </w:r>
      <w:r w:rsidRPr="007133A2">
        <w:rPr>
          <w:lang w:val="fr-FR"/>
        </w:rPr>
        <w:tab/>
      </w:r>
      <w:r w:rsidRPr="007133A2">
        <w:rPr>
          <w:snapToGrid w:val="0"/>
          <w:lang w:val="fr-FR"/>
        </w:rPr>
        <w:t>se demander s</w:t>
      </w:r>
      <w:r w:rsidR="00F20C73">
        <w:rPr>
          <w:snapToGrid w:val="0"/>
          <w:lang w:val="fr-FR"/>
        </w:rPr>
        <w:t>’</w:t>
      </w:r>
      <w:r w:rsidRPr="007133A2">
        <w:rPr>
          <w:snapToGrid w:val="0"/>
          <w:lang w:val="fr-FR"/>
        </w:rPr>
        <w:t>il convient d</w:t>
      </w:r>
      <w:r w:rsidR="00F20C73">
        <w:rPr>
          <w:snapToGrid w:val="0"/>
          <w:lang w:val="fr-FR"/>
        </w:rPr>
        <w:t>’</w:t>
      </w:r>
      <w:r w:rsidRPr="007133A2">
        <w:rPr>
          <w:snapToGrid w:val="0"/>
          <w:lang w:val="fr-FR"/>
        </w:rPr>
        <w:t>élaborer des orientations supplémentaires sur le matériel fourni à des fins d</w:t>
      </w:r>
      <w:r w:rsidR="00F20C73">
        <w:rPr>
          <w:snapToGrid w:val="0"/>
          <w:lang w:val="fr-FR"/>
        </w:rPr>
        <w:t>’</w:t>
      </w:r>
      <w:r w:rsidRPr="007133A2">
        <w:rPr>
          <w:snapToGrid w:val="0"/>
          <w:lang w:val="fr-FR"/>
        </w:rPr>
        <w:t>examen par l</w:t>
      </w:r>
      <w:r w:rsidR="00F20C73">
        <w:rPr>
          <w:snapToGrid w:val="0"/>
          <w:lang w:val="fr-FR"/>
        </w:rPr>
        <w:t>’</w:t>
      </w:r>
      <w:r w:rsidRPr="007133A2">
        <w:rPr>
          <w:snapToGrid w:val="0"/>
          <w:lang w:val="fr-FR"/>
        </w:rPr>
        <w:t>obtenteur et</w:t>
      </w:r>
      <w:r w:rsidRPr="007133A2">
        <w:rPr>
          <w:color w:val="0D0D0D"/>
          <w:lang w:val="fr-FR"/>
        </w:rPr>
        <w:t>/ou d</w:t>
      </w:r>
      <w:r w:rsidR="00F20C73">
        <w:rPr>
          <w:color w:val="0D0D0D"/>
          <w:lang w:val="fr-FR"/>
        </w:rPr>
        <w:t>’</w:t>
      </w:r>
      <w:r w:rsidRPr="007133A2">
        <w:rPr>
          <w:color w:val="0D0D0D"/>
          <w:lang w:val="fr-FR"/>
        </w:rPr>
        <w:t xml:space="preserve">ajouter une référence aux orientations existantes dans le </w:t>
      </w:r>
      <w:r w:rsidRPr="007133A2">
        <w:rPr>
          <w:lang w:val="fr-FR"/>
        </w:rPr>
        <w:t xml:space="preserve">document </w:t>
      </w:r>
      <w:r w:rsidRPr="007133A2">
        <w:rPr>
          <w:snapToGrid w:val="0"/>
          <w:lang w:val="fr-FR"/>
        </w:rPr>
        <w:t>UPOV/INF/15.</w:t>
      </w:r>
    </w:p>
    <w:p w:rsidR="0020369A" w:rsidRPr="007133A2" w:rsidRDefault="0020369A" w:rsidP="006359A2">
      <w:pPr>
        <w:spacing w:line="360" w:lineRule="auto"/>
        <w:rPr>
          <w:lang w:val="fr-FR"/>
        </w:rPr>
      </w:pPr>
    </w:p>
    <w:p w:rsidR="0020369A" w:rsidRPr="0098047B" w:rsidRDefault="0020369A" w:rsidP="00055FE7">
      <w:pPr>
        <w:pStyle w:val="Heading3"/>
        <w:ind w:left="567" w:hanging="567"/>
        <w:rPr>
          <w:lang w:val="fr-FR"/>
        </w:rPr>
      </w:pPr>
      <w:bookmarkStart w:id="45" w:name="_Toc381949570"/>
      <w:r w:rsidRPr="0098047B">
        <w:rPr>
          <w:lang w:val="fr-FR"/>
        </w:rPr>
        <w:t>c)</w:t>
      </w:r>
      <w:r w:rsidRPr="0098047B">
        <w:rPr>
          <w:lang w:val="fr-FR"/>
        </w:rPr>
        <w:tab/>
        <w:t>Confiden</w:t>
      </w:r>
      <w:r w:rsidRPr="0098047B">
        <w:rPr>
          <w:spacing w:val="3"/>
          <w:lang w:val="fr-FR"/>
        </w:rPr>
        <w:t>t</w:t>
      </w:r>
      <w:r w:rsidRPr="0098047B">
        <w:rPr>
          <w:color w:val="262626"/>
          <w:spacing w:val="1"/>
          <w:lang w:val="fr-FR"/>
        </w:rPr>
        <w:t>i</w:t>
      </w:r>
      <w:r w:rsidRPr="0098047B">
        <w:rPr>
          <w:lang w:val="fr-FR"/>
        </w:rPr>
        <w:t>alité du matériel du déposant lorsque les centres d</w:t>
      </w:r>
      <w:r w:rsidR="00F20C73">
        <w:rPr>
          <w:lang w:val="fr-FR"/>
        </w:rPr>
        <w:t>’</w:t>
      </w:r>
      <w:r w:rsidRPr="0098047B">
        <w:rPr>
          <w:lang w:val="fr-FR"/>
        </w:rPr>
        <w:t xml:space="preserve">examen </w:t>
      </w:r>
      <w:r>
        <w:rPr>
          <w:lang w:val="fr-FR"/>
        </w:rPr>
        <w:t>créent des variétés de la même espèce</w:t>
      </w:r>
      <w:bookmarkEnd w:id="45"/>
    </w:p>
    <w:p w:rsidR="0020369A" w:rsidRPr="0098047B" w:rsidRDefault="0020369A" w:rsidP="00C4212E">
      <w:pPr>
        <w:keepNext/>
        <w:ind w:firstLine="567"/>
        <w:rPr>
          <w:color w:val="0C0C0C"/>
          <w:lang w:val="fr-FR"/>
        </w:rPr>
      </w:pPr>
    </w:p>
    <w:p w:rsidR="0020369A" w:rsidRPr="005D3ACC" w:rsidRDefault="0020369A" w:rsidP="005735BF">
      <w:pPr>
        <w:rPr>
          <w:snapToGrid w:val="0"/>
          <w:lang w:val="fr-FR"/>
        </w:rPr>
      </w:pPr>
      <w:r w:rsidRPr="005D3ACC">
        <w:rPr>
          <w:snapToGrid w:val="0"/>
          <w:lang w:val="fr-FR"/>
        </w:rPr>
        <w:fldChar w:fldCharType="begin"/>
      </w:r>
      <w:r w:rsidRPr="005D3ACC">
        <w:rPr>
          <w:snapToGrid w:val="0"/>
          <w:lang w:val="fr-FR"/>
        </w:rPr>
        <w:instrText xml:space="preserve"> AUTONUM  </w:instrText>
      </w:r>
      <w:r w:rsidRPr="005D3ACC">
        <w:rPr>
          <w:snapToGrid w:val="0"/>
          <w:lang w:val="fr-FR"/>
        </w:rPr>
        <w:fldChar w:fldCharType="end"/>
      </w:r>
      <w:r w:rsidRPr="005D3ACC">
        <w:rPr>
          <w:snapToGrid w:val="0"/>
          <w:lang w:val="fr-FR"/>
        </w:rPr>
        <w:tab/>
        <w:t>Le CAJ souhaitera peut</w:t>
      </w:r>
      <w:r w:rsidR="0014634A">
        <w:rPr>
          <w:snapToGrid w:val="0"/>
          <w:lang w:val="fr-FR"/>
        </w:rPr>
        <w:noBreakHyphen/>
      </w:r>
      <w:r w:rsidRPr="005D3ACC">
        <w:rPr>
          <w:snapToGrid w:val="0"/>
          <w:lang w:val="fr-FR"/>
        </w:rPr>
        <w:t xml:space="preserve">être prendre </w:t>
      </w:r>
      <w:r>
        <w:rPr>
          <w:snapToGrid w:val="0"/>
          <w:lang w:val="fr-FR"/>
        </w:rPr>
        <w:t>note des délibérations qui ont eu lieu en son sein de</w:t>
      </w:r>
      <w:r w:rsidR="002067E8">
        <w:rPr>
          <w:snapToGrid w:val="0"/>
          <w:lang w:val="fr-FR"/>
        </w:rPr>
        <w:t> </w:t>
      </w:r>
      <w:r w:rsidRPr="005D3ACC">
        <w:rPr>
          <w:snapToGrid w:val="0"/>
          <w:lang w:val="fr-FR"/>
        </w:rPr>
        <w:t xml:space="preserve">2002 </w:t>
      </w:r>
      <w:r>
        <w:rPr>
          <w:snapToGrid w:val="0"/>
          <w:lang w:val="fr-FR"/>
        </w:rPr>
        <w:t>à</w:t>
      </w:r>
      <w:r w:rsidR="004A5477">
        <w:rPr>
          <w:snapToGrid w:val="0"/>
          <w:lang w:val="fr-FR"/>
        </w:rPr>
        <w:t> </w:t>
      </w:r>
      <w:r w:rsidRPr="005D3ACC">
        <w:rPr>
          <w:snapToGrid w:val="0"/>
          <w:lang w:val="fr-FR"/>
        </w:rPr>
        <w:t>2005</w:t>
      </w:r>
      <w:r>
        <w:rPr>
          <w:snapToGrid w:val="0"/>
          <w:lang w:val="fr-FR"/>
        </w:rPr>
        <w:t xml:space="preserve"> sur les</w:t>
      </w:r>
      <w:r w:rsidRPr="005D3ACC">
        <w:rPr>
          <w:snapToGrid w:val="0"/>
          <w:lang w:val="fr-FR"/>
        </w:rPr>
        <w:t xml:space="preserve"> </w:t>
      </w:r>
      <w:r w:rsidR="00F20C73">
        <w:rPr>
          <w:snapToGrid w:val="0"/>
          <w:lang w:val="fr-FR"/>
        </w:rPr>
        <w:t>“</w:t>
      </w:r>
      <w:r w:rsidRPr="005D3ACC">
        <w:rPr>
          <w:snapToGrid w:val="0"/>
          <w:lang w:val="fr-FR"/>
        </w:rPr>
        <w:t>Recommandations visant à garantir l</w:t>
      </w:r>
      <w:r w:rsidR="00F20C73">
        <w:rPr>
          <w:snapToGrid w:val="0"/>
          <w:lang w:val="fr-FR"/>
        </w:rPr>
        <w:t>’</w:t>
      </w:r>
      <w:r w:rsidRPr="005D3ACC">
        <w:rPr>
          <w:snapToGrid w:val="0"/>
          <w:lang w:val="fr-FR"/>
        </w:rPr>
        <w:t>indépendance des centres procédant à l</w:t>
      </w:r>
      <w:r w:rsidR="00F20C73">
        <w:rPr>
          <w:snapToGrid w:val="0"/>
          <w:lang w:val="fr-FR"/>
        </w:rPr>
        <w:t>’</w:t>
      </w:r>
      <w:r w:rsidRPr="005D3ACC">
        <w:rPr>
          <w:snapToGrid w:val="0"/>
          <w:lang w:val="fr-FR"/>
        </w:rPr>
        <w:t>examen DHS qui mènent des activités d</w:t>
      </w:r>
      <w:r w:rsidR="00F20C73">
        <w:rPr>
          <w:snapToGrid w:val="0"/>
          <w:lang w:val="fr-FR"/>
        </w:rPr>
        <w:t>’</w:t>
      </w:r>
      <w:r w:rsidRPr="005D3ACC">
        <w:rPr>
          <w:snapToGrid w:val="0"/>
          <w:lang w:val="fr-FR"/>
        </w:rPr>
        <w:t>amélioration des plantes ou qui sont associés à de telles activités</w:t>
      </w:r>
      <w:r w:rsidR="00F20C73">
        <w:rPr>
          <w:snapToGrid w:val="0"/>
          <w:lang w:val="fr-FR"/>
        </w:rPr>
        <w:t>”</w:t>
      </w:r>
      <w:r w:rsidRPr="005D3ACC">
        <w:rPr>
          <w:snapToGrid w:val="0"/>
          <w:lang w:val="fr-FR"/>
        </w:rPr>
        <w:t xml:space="preserve"> (voir le paragraphe</w:t>
      </w:r>
      <w:r w:rsidR="002067E8">
        <w:rPr>
          <w:snapToGrid w:val="0"/>
          <w:lang w:val="fr-FR"/>
        </w:rPr>
        <w:t> </w:t>
      </w:r>
      <w:r w:rsidRPr="005D3ACC">
        <w:rPr>
          <w:snapToGrid w:val="0"/>
          <w:lang w:val="fr-FR"/>
        </w:rPr>
        <w:t xml:space="preserve">69 du document CAJ/49/5 </w:t>
      </w:r>
      <w:r w:rsidR="00F20C73">
        <w:rPr>
          <w:snapToGrid w:val="0"/>
          <w:lang w:val="fr-FR"/>
        </w:rPr>
        <w:t>“</w:t>
      </w:r>
      <w:r w:rsidRPr="005D3ACC">
        <w:rPr>
          <w:snapToGrid w:val="0"/>
          <w:lang w:val="fr-FR"/>
        </w:rPr>
        <w:t>Compte rendu</w:t>
      </w:r>
      <w:r w:rsidR="00F20C73">
        <w:rPr>
          <w:snapToGrid w:val="0"/>
          <w:lang w:val="fr-FR"/>
        </w:rPr>
        <w:t>”</w:t>
      </w:r>
      <w:r w:rsidRPr="005D3ACC">
        <w:rPr>
          <w:snapToGrid w:val="0"/>
          <w:lang w:val="fr-FR"/>
        </w:rPr>
        <w:t xml:space="preserve"> et le document CAJ/49/3 </w:t>
      </w:r>
      <w:r w:rsidR="00F20C73">
        <w:rPr>
          <w:snapToGrid w:val="0"/>
          <w:lang w:val="fr-FR"/>
        </w:rPr>
        <w:t>“</w:t>
      </w:r>
      <w:r w:rsidRPr="005D3ACC">
        <w:rPr>
          <w:snapToGrid w:val="0"/>
          <w:lang w:val="fr-FR"/>
        </w:rPr>
        <w:t>Recommandations visant à garantir l</w:t>
      </w:r>
      <w:r w:rsidR="00F20C73">
        <w:rPr>
          <w:snapToGrid w:val="0"/>
          <w:lang w:val="fr-FR"/>
        </w:rPr>
        <w:t>’</w:t>
      </w:r>
      <w:r w:rsidRPr="005D3ACC">
        <w:rPr>
          <w:snapToGrid w:val="0"/>
          <w:lang w:val="fr-FR"/>
        </w:rPr>
        <w:t>indépendance des centres procédant à l</w:t>
      </w:r>
      <w:r w:rsidR="00F20C73">
        <w:rPr>
          <w:snapToGrid w:val="0"/>
          <w:lang w:val="fr-FR"/>
        </w:rPr>
        <w:t>’</w:t>
      </w:r>
      <w:r w:rsidRPr="005D3ACC">
        <w:rPr>
          <w:snapToGrid w:val="0"/>
          <w:lang w:val="fr-FR"/>
        </w:rPr>
        <w:t>examen DHS qui mènent des activités d</w:t>
      </w:r>
      <w:r w:rsidR="00F20C73">
        <w:rPr>
          <w:snapToGrid w:val="0"/>
          <w:lang w:val="fr-FR"/>
        </w:rPr>
        <w:t>’</w:t>
      </w:r>
      <w:r w:rsidRPr="005D3ACC">
        <w:rPr>
          <w:snapToGrid w:val="0"/>
          <w:lang w:val="fr-FR"/>
        </w:rPr>
        <w:t>amélioration des plantes ou qui sont associés à de telles activités</w:t>
      </w:r>
      <w:r w:rsidR="00F20C73">
        <w:rPr>
          <w:snapToGrid w:val="0"/>
          <w:lang w:val="fr-FR"/>
        </w:rPr>
        <w:t>”</w:t>
      </w:r>
      <w:r>
        <w:rPr>
          <w:snapToGrid w:val="0"/>
          <w:lang w:val="fr-FR"/>
        </w:rPr>
        <w:t xml:space="preserve"> disponible à l</w:t>
      </w:r>
      <w:r w:rsidR="00F20C73">
        <w:rPr>
          <w:snapToGrid w:val="0"/>
          <w:lang w:val="fr-FR"/>
        </w:rPr>
        <w:t>’</w:t>
      </w:r>
      <w:r>
        <w:rPr>
          <w:snapToGrid w:val="0"/>
          <w:lang w:val="fr-FR"/>
        </w:rPr>
        <w:t>adresse suivante :</w:t>
      </w:r>
      <w:r w:rsidR="004A5477" w:rsidRPr="004A5477">
        <w:t xml:space="preserve"> </w:t>
      </w:r>
      <w:hyperlink r:id="rId13" w:history="1">
        <w:r w:rsidR="004A5477" w:rsidRPr="009160A4">
          <w:rPr>
            <w:rStyle w:val="Hyperlink"/>
            <w:snapToGrid w:val="0"/>
            <w:lang w:val="fr-FR"/>
          </w:rPr>
          <w:t>http://www.upov.int/meetings/en/topic.jsp?group_id=252</w:t>
        </w:r>
      </w:hyperlink>
      <w:r w:rsidRPr="005D3ACC">
        <w:rPr>
          <w:snapToGrid w:val="0"/>
          <w:lang w:val="fr-FR"/>
        </w:rPr>
        <w:t xml:space="preserve">) </w:t>
      </w:r>
      <w:r>
        <w:rPr>
          <w:snapToGrid w:val="0"/>
          <w:lang w:val="fr-FR"/>
        </w:rPr>
        <w:t>et se demander s</w:t>
      </w:r>
      <w:r w:rsidR="00F20C73">
        <w:rPr>
          <w:snapToGrid w:val="0"/>
          <w:lang w:val="fr-FR"/>
        </w:rPr>
        <w:t>’</w:t>
      </w:r>
      <w:r>
        <w:rPr>
          <w:snapToGrid w:val="0"/>
          <w:lang w:val="fr-FR"/>
        </w:rPr>
        <w:t>il convient d</w:t>
      </w:r>
      <w:r w:rsidR="00F20C73">
        <w:rPr>
          <w:snapToGrid w:val="0"/>
          <w:lang w:val="fr-FR"/>
        </w:rPr>
        <w:t>’</w:t>
      </w:r>
      <w:r>
        <w:rPr>
          <w:snapToGrid w:val="0"/>
          <w:lang w:val="fr-FR"/>
        </w:rPr>
        <w:t>élaborer dans le</w:t>
      </w:r>
      <w:r w:rsidRPr="005D3ACC">
        <w:rPr>
          <w:lang w:val="fr-FR"/>
        </w:rPr>
        <w:t xml:space="preserve"> document UPOV/INF/15</w:t>
      </w:r>
      <w:r>
        <w:rPr>
          <w:lang w:val="fr-FR"/>
        </w:rPr>
        <w:t xml:space="preserve"> </w:t>
      </w:r>
      <w:r>
        <w:rPr>
          <w:snapToGrid w:val="0"/>
          <w:lang w:val="fr-FR"/>
        </w:rPr>
        <w:t>des orientations sur cette question</w:t>
      </w:r>
      <w:r w:rsidRPr="005D3ACC">
        <w:rPr>
          <w:lang w:val="fr-FR"/>
        </w:rPr>
        <w:t>.</w:t>
      </w:r>
    </w:p>
    <w:p w:rsidR="0020369A" w:rsidRPr="005D3ACC" w:rsidRDefault="0020369A" w:rsidP="005735BF">
      <w:pPr>
        <w:rPr>
          <w:snapToGrid w:val="0"/>
          <w:lang w:val="fr-FR"/>
        </w:rPr>
      </w:pPr>
    </w:p>
    <w:p w:rsidR="0020369A" w:rsidRPr="005D3ACC" w:rsidRDefault="0020369A" w:rsidP="008F3179">
      <w:pPr>
        <w:pStyle w:val="DecisionParagraphs"/>
        <w:rPr>
          <w:snapToGrid w:val="0"/>
          <w:lang w:val="fr-FR"/>
        </w:rPr>
      </w:pPr>
      <w:r w:rsidRPr="005D3ACC">
        <w:rPr>
          <w:snapToGrid w:val="0"/>
          <w:lang w:val="fr-FR"/>
        </w:rPr>
        <w:fldChar w:fldCharType="begin"/>
      </w:r>
      <w:r w:rsidRPr="005D3ACC">
        <w:rPr>
          <w:snapToGrid w:val="0"/>
          <w:lang w:val="fr-FR"/>
        </w:rPr>
        <w:instrText xml:space="preserve"> AUTONUM  </w:instrText>
      </w:r>
      <w:r w:rsidRPr="005D3ACC">
        <w:rPr>
          <w:snapToGrid w:val="0"/>
          <w:lang w:val="fr-FR"/>
        </w:rPr>
        <w:fldChar w:fldCharType="end"/>
      </w:r>
      <w:r w:rsidRPr="005D3ACC">
        <w:rPr>
          <w:snapToGrid w:val="0"/>
          <w:lang w:val="fr-FR"/>
        </w:rPr>
        <w:tab/>
        <w:t>Le CAJ est invité à</w:t>
      </w:r>
      <w:r w:rsidR="002067E8">
        <w:rPr>
          <w:snapToGrid w:val="0"/>
          <w:lang w:val="fr-FR"/>
        </w:rPr>
        <w:t> </w:t>
      </w:r>
      <w:r w:rsidRPr="005D3ACC">
        <w:rPr>
          <w:snapToGrid w:val="0"/>
          <w:lang w:val="fr-FR"/>
        </w:rPr>
        <w:t>:</w:t>
      </w:r>
    </w:p>
    <w:p w:rsidR="0020369A" w:rsidRPr="005D3ACC" w:rsidRDefault="0020369A" w:rsidP="008F3179">
      <w:pPr>
        <w:pStyle w:val="DecisionParagraphs"/>
        <w:rPr>
          <w:snapToGrid w:val="0"/>
          <w:lang w:val="fr-FR"/>
        </w:rPr>
      </w:pPr>
    </w:p>
    <w:p w:rsidR="0020369A" w:rsidRPr="00D35C4F" w:rsidRDefault="0020369A" w:rsidP="00D32845">
      <w:pPr>
        <w:pStyle w:val="DecisionParagraphs"/>
        <w:tabs>
          <w:tab w:val="left" w:pos="5954"/>
        </w:tabs>
        <w:spacing w:after="240"/>
        <w:rPr>
          <w:snapToGrid w:val="0"/>
          <w:lang w:val="fr-FR"/>
        </w:rPr>
      </w:pPr>
      <w:r w:rsidRPr="005D3ACC">
        <w:rPr>
          <w:snapToGrid w:val="0"/>
          <w:lang w:val="fr-FR"/>
        </w:rPr>
        <w:tab/>
      </w:r>
      <w:r w:rsidR="00FC0E8B">
        <w:rPr>
          <w:snapToGrid w:val="0"/>
          <w:lang w:val="fr-FR"/>
        </w:rPr>
        <w:t>a)</w:t>
      </w:r>
      <w:r w:rsidR="00FC0E8B">
        <w:rPr>
          <w:snapToGrid w:val="0"/>
          <w:lang w:val="fr-FR"/>
        </w:rPr>
        <w:tab/>
      </w:r>
      <w:r w:rsidRPr="00D35C4F">
        <w:rPr>
          <w:snapToGrid w:val="0"/>
          <w:lang w:val="fr-FR"/>
        </w:rPr>
        <w:t xml:space="preserve">prendre note </w:t>
      </w:r>
      <w:r>
        <w:rPr>
          <w:snapToGrid w:val="0"/>
          <w:lang w:val="fr-FR"/>
        </w:rPr>
        <w:t>des délibérations qui ont eu lieu en son sein sur les</w:t>
      </w:r>
      <w:r w:rsidRPr="00D35C4F">
        <w:rPr>
          <w:snapToGrid w:val="0"/>
          <w:lang w:val="fr-FR"/>
        </w:rPr>
        <w:t xml:space="preserve"> </w:t>
      </w:r>
      <w:r w:rsidR="00F20C73">
        <w:rPr>
          <w:snapToGrid w:val="0"/>
          <w:lang w:val="fr-FR"/>
        </w:rPr>
        <w:t>“</w:t>
      </w:r>
      <w:r w:rsidRPr="005D3ACC">
        <w:rPr>
          <w:snapToGrid w:val="0"/>
          <w:lang w:val="fr-FR"/>
        </w:rPr>
        <w:t>Recommandations visant à garantir l</w:t>
      </w:r>
      <w:r w:rsidR="00F20C73">
        <w:rPr>
          <w:snapToGrid w:val="0"/>
          <w:lang w:val="fr-FR"/>
        </w:rPr>
        <w:t>’</w:t>
      </w:r>
      <w:r w:rsidRPr="005D3ACC">
        <w:rPr>
          <w:snapToGrid w:val="0"/>
          <w:lang w:val="fr-FR"/>
        </w:rPr>
        <w:t>indépendance des centres procédant à l</w:t>
      </w:r>
      <w:r w:rsidR="00F20C73">
        <w:rPr>
          <w:snapToGrid w:val="0"/>
          <w:lang w:val="fr-FR"/>
        </w:rPr>
        <w:t>’</w:t>
      </w:r>
      <w:r w:rsidRPr="005D3ACC">
        <w:rPr>
          <w:snapToGrid w:val="0"/>
          <w:lang w:val="fr-FR"/>
        </w:rPr>
        <w:t>examen DHS qui mènent des activités d</w:t>
      </w:r>
      <w:r w:rsidR="00F20C73">
        <w:rPr>
          <w:snapToGrid w:val="0"/>
          <w:lang w:val="fr-FR"/>
        </w:rPr>
        <w:t>’</w:t>
      </w:r>
      <w:r w:rsidRPr="005D3ACC">
        <w:rPr>
          <w:snapToGrid w:val="0"/>
          <w:lang w:val="fr-FR"/>
        </w:rPr>
        <w:t>amélioration des plantes ou qui sont associés à de telles activités</w:t>
      </w:r>
      <w:r w:rsidR="00F20C73">
        <w:rPr>
          <w:snapToGrid w:val="0"/>
          <w:lang w:val="fr-FR"/>
        </w:rPr>
        <w:t>”</w:t>
      </w:r>
      <w:r w:rsidRPr="00D35C4F">
        <w:rPr>
          <w:snapToGrid w:val="0"/>
          <w:lang w:val="fr-FR"/>
        </w:rPr>
        <w:t>,</w:t>
      </w:r>
      <w:r w:rsidRPr="00D35C4F">
        <w:rPr>
          <w:color w:val="0D0D0D"/>
          <w:lang w:val="fr-FR"/>
        </w:rPr>
        <w:t xml:space="preserve"> </w:t>
      </w:r>
      <w:r>
        <w:rPr>
          <w:color w:val="0D0D0D"/>
          <w:lang w:val="fr-FR"/>
        </w:rPr>
        <w:t>comme indiqué dans le</w:t>
      </w:r>
      <w:r w:rsidRPr="00D35C4F">
        <w:rPr>
          <w:color w:val="0D0D0D"/>
          <w:lang w:val="fr-FR"/>
        </w:rPr>
        <w:t xml:space="preserve"> paragraph</w:t>
      </w:r>
      <w:r>
        <w:rPr>
          <w:color w:val="0D0D0D"/>
          <w:lang w:val="fr-FR"/>
        </w:rPr>
        <w:t>e</w:t>
      </w:r>
      <w:r w:rsidR="002067E8">
        <w:rPr>
          <w:color w:val="0D0D0D"/>
          <w:lang w:val="fr-FR"/>
        </w:rPr>
        <w:t> </w:t>
      </w:r>
      <w:r w:rsidRPr="00D35C4F">
        <w:rPr>
          <w:color w:val="0D0D0D"/>
          <w:lang w:val="fr-FR"/>
        </w:rPr>
        <w:t xml:space="preserve">22 </w:t>
      </w:r>
      <w:r>
        <w:rPr>
          <w:color w:val="0D0D0D"/>
          <w:lang w:val="fr-FR"/>
        </w:rPr>
        <w:t>ci</w:t>
      </w:r>
      <w:r w:rsidR="0014634A">
        <w:rPr>
          <w:color w:val="0D0D0D"/>
          <w:lang w:val="fr-FR"/>
        </w:rPr>
        <w:noBreakHyphen/>
      </w:r>
      <w:r>
        <w:rPr>
          <w:color w:val="0D0D0D"/>
          <w:lang w:val="fr-FR"/>
        </w:rPr>
        <w:t>dessus</w:t>
      </w:r>
      <w:r w:rsidRPr="00D35C4F">
        <w:rPr>
          <w:color w:val="0D0D0D"/>
          <w:lang w:val="fr-FR"/>
        </w:rPr>
        <w:t>;</w:t>
      </w:r>
      <w:r w:rsidR="002067E8">
        <w:rPr>
          <w:color w:val="0D0D0D"/>
          <w:lang w:val="fr-FR"/>
        </w:rPr>
        <w:t xml:space="preserve"> </w:t>
      </w:r>
      <w:r w:rsidRPr="00D35C4F">
        <w:rPr>
          <w:color w:val="0D0D0D"/>
          <w:lang w:val="fr-FR"/>
        </w:rPr>
        <w:t xml:space="preserve"> </w:t>
      </w:r>
      <w:r>
        <w:rPr>
          <w:color w:val="0D0D0D"/>
          <w:lang w:val="fr-FR"/>
        </w:rPr>
        <w:t>et</w:t>
      </w:r>
    </w:p>
    <w:p w:rsidR="0020369A" w:rsidRPr="00D35C4F" w:rsidRDefault="00FC0E8B" w:rsidP="00FC0E8B">
      <w:pPr>
        <w:pStyle w:val="DecisionParagraphs"/>
        <w:tabs>
          <w:tab w:val="left" w:pos="5954"/>
        </w:tabs>
        <w:rPr>
          <w:snapToGrid w:val="0"/>
          <w:lang w:val="fr-FR"/>
        </w:rPr>
      </w:pPr>
      <w:r>
        <w:rPr>
          <w:snapToGrid w:val="0"/>
          <w:lang w:val="fr-FR"/>
        </w:rPr>
        <w:lastRenderedPageBreak/>
        <w:tab/>
        <w:t>b)</w:t>
      </w:r>
      <w:r>
        <w:rPr>
          <w:snapToGrid w:val="0"/>
          <w:lang w:val="fr-FR"/>
        </w:rPr>
        <w:tab/>
      </w:r>
      <w:r w:rsidR="0020369A" w:rsidRPr="00D35C4F">
        <w:rPr>
          <w:snapToGrid w:val="0"/>
          <w:lang w:val="fr-FR"/>
        </w:rPr>
        <w:t>se demander s</w:t>
      </w:r>
      <w:r w:rsidR="00F20C73">
        <w:rPr>
          <w:snapToGrid w:val="0"/>
          <w:lang w:val="fr-FR"/>
        </w:rPr>
        <w:t>’</w:t>
      </w:r>
      <w:r w:rsidR="0020369A" w:rsidRPr="00D35C4F">
        <w:rPr>
          <w:snapToGrid w:val="0"/>
          <w:lang w:val="fr-FR"/>
        </w:rPr>
        <w:t>il convient d</w:t>
      </w:r>
      <w:r w:rsidR="00F20C73">
        <w:rPr>
          <w:snapToGrid w:val="0"/>
          <w:lang w:val="fr-FR"/>
        </w:rPr>
        <w:t>’</w:t>
      </w:r>
      <w:r w:rsidR="0020369A" w:rsidRPr="00D35C4F">
        <w:rPr>
          <w:snapToGrid w:val="0"/>
          <w:lang w:val="fr-FR"/>
        </w:rPr>
        <w:t>élaborer dans le</w:t>
      </w:r>
      <w:r w:rsidR="0020369A" w:rsidRPr="00D35C4F">
        <w:rPr>
          <w:lang w:val="fr-FR"/>
        </w:rPr>
        <w:t xml:space="preserve"> document UPOV/INF/15 </w:t>
      </w:r>
      <w:r w:rsidR="0020369A" w:rsidRPr="00D35C4F">
        <w:rPr>
          <w:snapToGrid w:val="0"/>
          <w:lang w:val="fr-FR"/>
        </w:rPr>
        <w:t xml:space="preserve">des orientations sur la </w:t>
      </w:r>
      <w:r w:rsidRPr="0098047B">
        <w:rPr>
          <w:lang w:val="fr-FR"/>
        </w:rPr>
        <w:t>confiden</w:t>
      </w:r>
      <w:r w:rsidRPr="0098047B">
        <w:rPr>
          <w:spacing w:val="3"/>
          <w:lang w:val="fr-FR"/>
        </w:rPr>
        <w:t>t</w:t>
      </w:r>
      <w:r w:rsidRPr="0098047B">
        <w:rPr>
          <w:color w:val="262626"/>
          <w:spacing w:val="1"/>
          <w:lang w:val="fr-FR"/>
        </w:rPr>
        <w:t>i</w:t>
      </w:r>
      <w:r w:rsidRPr="0098047B">
        <w:rPr>
          <w:lang w:val="fr-FR"/>
        </w:rPr>
        <w:t xml:space="preserve">alité du matériel du déposant lorsque les </w:t>
      </w:r>
      <w:r w:rsidR="0020369A" w:rsidRPr="005D3ACC">
        <w:rPr>
          <w:snapToGrid w:val="0"/>
          <w:lang w:val="fr-FR"/>
        </w:rPr>
        <w:t>centres procédant à l</w:t>
      </w:r>
      <w:r w:rsidR="00F20C73">
        <w:rPr>
          <w:snapToGrid w:val="0"/>
          <w:lang w:val="fr-FR"/>
        </w:rPr>
        <w:t>’</w:t>
      </w:r>
      <w:r w:rsidR="0020369A" w:rsidRPr="005D3ACC">
        <w:rPr>
          <w:snapToGrid w:val="0"/>
          <w:lang w:val="fr-FR"/>
        </w:rPr>
        <w:t>examen DHS mènent des activités d</w:t>
      </w:r>
      <w:r w:rsidR="00F20C73">
        <w:rPr>
          <w:snapToGrid w:val="0"/>
          <w:lang w:val="fr-FR"/>
        </w:rPr>
        <w:t>’</w:t>
      </w:r>
      <w:r w:rsidR="0020369A" w:rsidRPr="005D3ACC">
        <w:rPr>
          <w:snapToGrid w:val="0"/>
          <w:lang w:val="fr-FR"/>
        </w:rPr>
        <w:t>amélioration des plantes ou sont associés à de telles activités</w:t>
      </w:r>
      <w:r w:rsidR="0020369A">
        <w:rPr>
          <w:snapToGrid w:val="0"/>
          <w:lang w:val="fr-FR"/>
        </w:rPr>
        <w:t>.</w:t>
      </w:r>
    </w:p>
    <w:p w:rsidR="0020369A" w:rsidRPr="00D35C4F" w:rsidRDefault="0020369A" w:rsidP="00EE62F6">
      <w:pPr>
        <w:rPr>
          <w:snapToGrid w:val="0"/>
          <w:lang w:val="fr-FR"/>
        </w:rPr>
      </w:pPr>
    </w:p>
    <w:p w:rsidR="0020369A" w:rsidRPr="00D35C4F" w:rsidRDefault="0020369A" w:rsidP="00C0136B">
      <w:pPr>
        <w:rPr>
          <w:snapToGrid w:val="0"/>
          <w:lang w:val="fr-FR"/>
        </w:rPr>
      </w:pPr>
    </w:p>
    <w:p w:rsidR="0020369A" w:rsidRPr="00D35C4F" w:rsidRDefault="0020369A" w:rsidP="004A5477">
      <w:pPr>
        <w:pStyle w:val="Heading2"/>
      </w:pPr>
      <w:bookmarkStart w:id="46" w:name="_Toc381102836"/>
      <w:bookmarkStart w:id="47" w:name="_Toc381102864"/>
      <w:bookmarkStart w:id="48" w:name="_Toc381949571"/>
      <w:r w:rsidRPr="00D35C4F">
        <w:t xml:space="preserve">Fréquence de </w:t>
      </w:r>
      <w:r>
        <w:t xml:space="preserve">la </w:t>
      </w:r>
      <w:r w:rsidRPr="00D35C4F">
        <w:t>communication de</w:t>
      </w:r>
      <w:r>
        <w:t>s</w:t>
      </w:r>
      <w:r w:rsidRPr="00D35C4F">
        <w:t xml:space="preserve"> données et exhaustivité des bases de données</w:t>
      </w:r>
      <w:bookmarkEnd w:id="46"/>
      <w:bookmarkEnd w:id="47"/>
      <w:bookmarkEnd w:id="48"/>
    </w:p>
    <w:p w:rsidR="0020369A" w:rsidRPr="00D35C4F" w:rsidRDefault="0020369A" w:rsidP="004A5477">
      <w:pPr>
        <w:keepNext/>
        <w:rPr>
          <w:snapToGrid w:val="0"/>
          <w:lang w:val="fr-FR"/>
        </w:rPr>
      </w:pPr>
    </w:p>
    <w:p w:rsidR="0020369A" w:rsidRPr="00D35C4F" w:rsidRDefault="0020369A" w:rsidP="00046731">
      <w:pPr>
        <w:pStyle w:val="Heading4"/>
        <w:rPr>
          <w:lang w:val="fr-FR"/>
        </w:rPr>
      </w:pPr>
      <w:bookmarkStart w:id="49" w:name="_Toc381102865"/>
      <w:r w:rsidRPr="00D35C4F">
        <w:rPr>
          <w:lang w:val="fr-FR"/>
        </w:rPr>
        <w:t>Mise à jour de la fréquence</w:t>
      </w:r>
      <w:bookmarkEnd w:id="49"/>
    </w:p>
    <w:p w:rsidR="0020369A" w:rsidRPr="00D35C4F" w:rsidRDefault="0020369A" w:rsidP="00AB28D5">
      <w:pPr>
        <w:keepNext/>
        <w:rPr>
          <w:lang w:val="fr-FR"/>
        </w:rPr>
      </w:pPr>
    </w:p>
    <w:tbl>
      <w:tblPr>
        <w:tblW w:w="0" w:type="auto"/>
        <w:jc w:val="center"/>
        <w:tblInd w:w="-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0A0" w:firstRow="1" w:lastRow="0" w:firstColumn="1" w:lastColumn="0" w:noHBand="0" w:noVBand="0"/>
      </w:tblPr>
      <w:tblGrid>
        <w:gridCol w:w="8788"/>
      </w:tblGrid>
      <w:tr w:rsidR="0020369A" w:rsidRPr="00036052" w:rsidTr="00045613">
        <w:trPr>
          <w:cantSplit/>
          <w:jc w:val="center"/>
        </w:trPr>
        <w:tc>
          <w:tcPr>
            <w:tcW w:w="8788" w:type="dxa"/>
          </w:tcPr>
          <w:p w:rsidR="0020369A" w:rsidRPr="00A95847" w:rsidRDefault="0020369A" w:rsidP="00C21485">
            <w:pPr>
              <w:ind w:right="567"/>
              <w:rPr>
                <w:sz w:val="18"/>
                <w:szCs w:val="18"/>
                <w:lang w:val="fr-FR"/>
              </w:rPr>
            </w:pPr>
            <w:r w:rsidRPr="00A95847">
              <w:rPr>
                <w:sz w:val="18"/>
                <w:szCs w:val="18"/>
                <w:lang w:val="fr-FR"/>
              </w:rPr>
              <w:t>[</w:t>
            </w:r>
            <w:r w:rsidRPr="00DF4C14">
              <w:rPr>
                <w:sz w:val="18"/>
                <w:szCs w:val="18"/>
                <w:lang w:val="fr-FR"/>
              </w:rPr>
              <w:t>Extrait de la lettre de l</w:t>
            </w:r>
            <w:r w:rsidR="00F20C73">
              <w:rPr>
                <w:sz w:val="18"/>
                <w:szCs w:val="18"/>
                <w:lang w:val="fr-FR"/>
              </w:rPr>
              <w:t>’</w:t>
            </w:r>
            <w:r w:rsidRPr="00DF4C14">
              <w:rPr>
                <w:sz w:val="18"/>
                <w:szCs w:val="18"/>
                <w:lang w:val="fr-FR"/>
              </w:rPr>
              <w:t>ISF – (original</w:t>
            </w:r>
            <w:r w:rsidR="002067E8">
              <w:rPr>
                <w:sz w:val="18"/>
                <w:szCs w:val="18"/>
                <w:lang w:val="fr-FR"/>
              </w:rPr>
              <w:t> </w:t>
            </w:r>
            <w:r w:rsidRPr="00DF4C14">
              <w:rPr>
                <w:sz w:val="18"/>
                <w:szCs w:val="18"/>
                <w:lang w:val="fr-FR"/>
              </w:rPr>
              <w:t>: anglais</w:t>
            </w:r>
            <w:r>
              <w:rPr>
                <w:sz w:val="18"/>
                <w:szCs w:val="18"/>
                <w:lang w:val="fr-FR"/>
              </w:rPr>
              <w:t>)</w:t>
            </w:r>
            <w:r w:rsidRPr="00A95847">
              <w:rPr>
                <w:sz w:val="18"/>
                <w:szCs w:val="18"/>
                <w:lang w:val="fr-FR"/>
              </w:rPr>
              <w:t>]</w:t>
            </w:r>
          </w:p>
          <w:p w:rsidR="0020369A" w:rsidRPr="00036052" w:rsidRDefault="0020369A" w:rsidP="00045613">
            <w:pPr>
              <w:rPr>
                <w:color w:val="0D0D0D"/>
                <w:sz w:val="18"/>
                <w:szCs w:val="18"/>
                <w:u w:val="single"/>
                <w:lang w:val="fr-FR"/>
              </w:rPr>
            </w:pPr>
            <w:r w:rsidRPr="00036052">
              <w:rPr>
                <w:kern w:val="28"/>
                <w:sz w:val="18"/>
                <w:szCs w:val="18"/>
                <w:u w:val="single"/>
                <w:lang w:val="fr-FR"/>
              </w:rPr>
              <w:t>Mise à jour de la fréquence</w:t>
            </w:r>
            <w:r w:rsidR="002067E8" w:rsidRPr="008163C4">
              <w:rPr>
                <w:kern w:val="28"/>
                <w:sz w:val="18"/>
                <w:szCs w:val="18"/>
                <w:lang w:val="fr-FR"/>
              </w:rPr>
              <w:t> </w:t>
            </w:r>
            <w:r w:rsidRPr="008163C4">
              <w:rPr>
                <w:kern w:val="28"/>
                <w:sz w:val="18"/>
                <w:lang w:val="fr-FR"/>
              </w:rPr>
              <w:t>:</w:t>
            </w:r>
            <w:r w:rsidRPr="00036052">
              <w:rPr>
                <w:kern w:val="28"/>
                <w:sz w:val="18"/>
                <w:szCs w:val="18"/>
                <w:lang w:val="fr-FR"/>
              </w:rPr>
              <w:t xml:space="preserve"> Dans certains pays, le site</w:t>
            </w:r>
            <w:r w:rsidR="002067E8">
              <w:rPr>
                <w:kern w:val="28"/>
                <w:sz w:val="18"/>
                <w:szCs w:val="18"/>
                <w:lang w:val="fr-FR"/>
              </w:rPr>
              <w:t> </w:t>
            </w:r>
            <w:r w:rsidRPr="00036052">
              <w:rPr>
                <w:kern w:val="28"/>
                <w:sz w:val="18"/>
                <w:szCs w:val="18"/>
                <w:lang w:val="fr-FR"/>
              </w:rPr>
              <w:t>Web national donnant des informations sur les droits d</w:t>
            </w:r>
            <w:r w:rsidR="00F20C73">
              <w:rPr>
                <w:kern w:val="28"/>
                <w:sz w:val="18"/>
                <w:szCs w:val="18"/>
                <w:lang w:val="fr-FR"/>
              </w:rPr>
              <w:t>’</w:t>
            </w:r>
            <w:r w:rsidRPr="00036052">
              <w:rPr>
                <w:kern w:val="28"/>
                <w:sz w:val="18"/>
                <w:szCs w:val="18"/>
                <w:lang w:val="fr-FR"/>
              </w:rPr>
              <w:t>obtenteur n</w:t>
            </w:r>
            <w:r w:rsidR="00F20C73">
              <w:rPr>
                <w:kern w:val="28"/>
                <w:sz w:val="18"/>
                <w:szCs w:val="18"/>
                <w:lang w:val="fr-FR"/>
              </w:rPr>
              <w:t>’</w:t>
            </w:r>
            <w:r w:rsidRPr="00036052">
              <w:rPr>
                <w:kern w:val="28"/>
                <w:sz w:val="18"/>
                <w:szCs w:val="18"/>
                <w:lang w:val="fr-FR"/>
              </w:rPr>
              <w:t>est mis à jour qu</w:t>
            </w:r>
            <w:r w:rsidR="00F20C73">
              <w:rPr>
                <w:kern w:val="28"/>
                <w:sz w:val="18"/>
                <w:szCs w:val="18"/>
                <w:lang w:val="fr-FR"/>
              </w:rPr>
              <w:t>’</w:t>
            </w:r>
            <w:r w:rsidRPr="00036052">
              <w:rPr>
                <w:kern w:val="28"/>
                <w:sz w:val="18"/>
                <w:szCs w:val="18"/>
                <w:lang w:val="fr-FR"/>
              </w:rPr>
              <w:t xml:space="preserve">à des intervalles irréguliers, </w:t>
            </w:r>
            <w:r>
              <w:rPr>
                <w:kern w:val="28"/>
                <w:sz w:val="18"/>
                <w:szCs w:val="18"/>
                <w:lang w:val="fr-FR"/>
              </w:rPr>
              <w:t>parfois même une fois tous les deux</w:t>
            </w:r>
            <w:r w:rsidR="002067E8">
              <w:rPr>
                <w:kern w:val="28"/>
                <w:sz w:val="18"/>
                <w:szCs w:val="18"/>
                <w:lang w:val="fr-FR"/>
              </w:rPr>
              <w:t> </w:t>
            </w:r>
            <w:r>
              <w:rPr>
                <w:kern w:val="28"/>
                <w:sz w:val="18"/>
                <w:szCs w:val="18"/>
                <w:lang w:val="fr-FR"/>
              </w:rPr>
              <w:t>ans ou moins</w:t>
            </w:r>
            <w:r w:rsidRPr="00036052">
              <w:rPr>
                <w:kern w:val="28"/>
                <w:sz w:val="18"/>
                <w:szCs w:val="18"/>
                <w:lang w:val="fr-FR"/>
              </w:rPr>
              <w:t>.</w:t>
            </w:r>
            <w:r w:rsidR="002067E8">
              <w:rPr>
                <w:kern w:val="28"/>
                <w:sz w:val="18"/>
                <w:szCs w:val="18"/>
                <w:lang w:val="fr-FR"/>
              </w:rPr>
              <w:t xml:space="preserve"> </w:t>
            </w:r>
            <w:r w:rsidRPr="00036052">
              <w:rPr>
                <w:kern w:val="28"/>
                <w:sz w:val="18"/>
                <w:szCs w:val="18"/>
                <w:lang w:val="fr-FR"/>
              </w:rPr>
              <w:t xml:space="preserve"> Les membres de l</w:t>
            </w:r>
            <w:r w:rsidR="00F20C73">
              <w:rPr>
                <w:kern w:val="28"/>
                <w:sz w:val="18"/>
                <w:szCs w:val="18"/>
                <w:lang w:val="fr-FR"/>
              </w:rPr>
              <w:t>’</w:t>
            </w:r>
            <w:r w:rsidRPr="00036052">
              <w:rPr>
                <w:kern w:val="28"/>
                <w:sz w:val="18"/>
                <w:szCs w:val="18"/>
                <w:lang w:val="fr-FR"/>
              </w:rPr>
              <w:t>ISF sont d</w:t>
            </w:r>
            <w:r w:rsidR="00F20C73">
              <w:rPr>
                <w:kern w:val="28"/>
                <w:sz w:val="18"/>
                <w:szCs w:val="18"/>
                <w:lang w:val="fr-FR"/>
              </w:rPr>
              <w:t>’</w:t>
            </w:r>
            <w:r w:rsidRPr="00036052">
              <w:rPr>
                <w:kern w:val="28"/>
                <w:sz w:val="18"/>
                <w:szCs w:val="18"/>
                <w:lang w:val="fr-FR"/>
              </w:rPr>
              <w:t>avis que chaque office des droits d</w:t>
            </w:r>
            <w:r w:rsidR="00F20C73">
              <w:rPr>
                <w:kern w:val="28"/>
                <w:sz w:val="18"/>
                <w:szCs w:val="18"/>
                <w:lang w:val="fr-FR"/>
              </w:rPr>
              <w:t>’</w:t>
            </w:r>
            <w:r w:rsidRPr="00036052">
              <w:rPr>
                <w:kern w:val="28"/>
                <w:sz w:val="18"/>
                <w:szCs w:val="18"/>
                <w:lang w:val="fr-FR"/>
              </w:rPr>
              <w:t xml:space="preserve">obtenteur devrait obligatoirement </w:t>
            </w:r>
            <w:r>
              <w:rPr>
                <w:kern w:val="28"/>
                <w:sz w:val="18"/>
                <w:szCs w:val="18"/>
                <w:lang w:val="fr-FR"/>
              </w:rPr>
              <w:t>tenir à jour de manière permanente un site</w:t>
            </w:r>
            <w:r w:rsidR="002067E8">
              <w:rPr>
                <w:kern w:val="28"/>
                <w:sz w:val="18"/>
                <w:szCs w:val="18"/>
                <w:lang w:val="fr-FR"/>
              </w:rPr>
              <w:t> </w:t>
            </w:r>
            <w:r>
              <w:rPr>
                <w:kern w:val="28"/>
                <w:sz w:val="18"/>
                <w:szCs w:val="18"/>
                <w:lang w:val="fr-FR"/>
              </w:rPr>
              <w:t>W</w:t>
            </w:r>
            <w:r w:rsidRPr="00036052">
              <w:rPr>
                <w:kern w:val="28"/>
                <w:sz w:val="18"/>
                <w:szCs w:val="18"/>
                <w:lang w:val="fr-FR"/>
              </w:rPr>
              <w:t>eb.  De même, l</w:t>
            </w:r>
            <w:r w:rsidR="00F20C73">
              <w:rPr>
                <w:kern w:val="28"/>
                <w:sz w:val="18"/>
                <w:szCs w:val="18"/>
                <w:lang w:val="fr-FR"/>
              </w:rPr>
              <w:t>’</w:t>
            </w:r>
            <w:r w:rsidRPr="00036052">
              <w:rPr>
                <w:kern w:val="28"/>
                <w:sz w:val="18"/>
                <w:szCs w:val="18"/>
                <w:lang w:val="fr-FR"/>
              </w:rPr>
              <w:t>Office de l</w:t>
            </w:r>
            <w:r w:rsidR="00F20C73">
              <w:rPr>
                <w:kern w:val="28"/>
                <w:sz w:val="18"/>
                <w:szCs w:val="18"/>
                <w:lang w:val="fr-FR"/>
              </w:rPr>
              <w:t>’</w:t>
            </w:r>
            <w:r w:rsidRPr="00036052">
              <w:rPr>
                <w:kern w:val="28"/>
                <w:sz w:val="18"/>
                <w:szCs w:val="18"/>
                <w:lang w:val="fr-FR"/>
              </w:rPr>
              <w:t xml:space="preserve">UPOV devrait recevoir régulièrement des mises à jour et réviser à intervalles réguliers </w:t>
            </w:r>
            <w:r>
              <w:rPr>
                <w:kern w:val="28"/>
                <w:sz w:val="18"/>
                <w:szCs w:val="18"/>
                <w:lang w:val="fr-FR"/>
              </w:rPr>
              <w:t>leurs bases de données d</w:t>
            </w:r>
            <w:r w:rsidR="00F20C73">
              <w:rPr>
                <w:kern w:val="28"/>
                <w:sz w:val="18"/>
                <w:szCs w:val="18"/>
                <w:lang w:val="fr-FR"/>
              </w:rPr>
              <w:t>’</w:t>
            </w:r>
            <w:r>
              <w:rPr>
                <w:kern w:val="28"/>
                <w:sz w:val="18"/>
                <w:szCs w:val="18"/>
                <w:lang w:val="fr-FR"/>
              </w:rPr>
              <w:t>inf</w:t>
            </w:r>
            <w:r w:rsidRPr="00036052">
              <w:rPr>
                <w:kern w:val="28"/>
                <w:sz w:val="18"/>
                <w:szCs w:val="18"/>
                <w:lang w:val="fr-FR"/>
              </w:rPr>
              <w:t>ormation (</w:t>
            </w:r>
            <w:r>
              <w:rPr>
                <w:kern w:val="28"/>
                <w:sz w:val="18"/>
                <w:szCs w:val="18"/>
                <w:lang w:val="fr-FR"/>
              </w:rPr>
              <w:t>tous les deux</w:t>
            </w:r>
            <w:r w:rsidR="002067E8">
              <w:rPr>
                <w:kern w:val="28"/>
                <w:sz w:val="18"/>
                <w:szCs w:val="18"/>
                <w:lang w:val="fr-FR"/>
              </w:rPr>
              <w:t> </w:t>
            </w:r>
            <w:r>
              <w:rPr>
                <w:kern w:val="28"/>
                <w:sz w:val="18"/>
                <w:szCs w:val="18"/>
                <w:lang w:val="fr-FR"/>
              </w:rPr>
              <w:t>mois au moins</w:t>
            </w:r>
            <w:r w:rsidRPr="00036052">
              <w:rPr>
                <w:kern w:val="28"/>
                <w:sz w:val="18"/>
                <w:szCs w:val="18"/>
                <w:lang w:val="fr-FR"/>
              </w:rPr>
              <w:t>).  Il serait très utile que les offices de droits d</w:t>
            </w:r>
            <w:r w:rsidR="00F20C73">
              <w:rPr>
                <w:kern w:val="28"/>
                <w:sz w:val="18"/>
                <w:szCs w:val="18"/>
                <w:lang w:val="fr-FR"/>
              </w:rPr>
              <w:t>’</w:t>
            </w:r>
            <w:r w:rsidRPr="00036052">
              <w:rPr>
                <w:kern w:val="28"/>
                <w:sz w:val="18"/>
                <w:szCs w:val="18"/>
                <w:lang w:val="fr-FR"/>
              </w:rPr>
              <w:t>obtenteur utilisent non seulement leur langue nationale mais placent aussi en anglais sur leurs sites</w:t>
            </w:r>
            <w:r w:rsidR="002067E8">
              <w:rPr>
                <w:kern w:val="28"/>
                <w:sz w:val="18"/>
                <w:szCs w:val="18"/>
                <w:lang w:val="fr-FR"/>
              </w:rPr>
              <w:t> </w:t>
            </w:r>
            <w:r w:rsidRPr="00036052">
              <w:rPr>
                <w:kern w:val="28"/>
                <w:sz w:val="18"/>
                <w:szCs w:val="18"/>
                <w:lang w:val="fr-FR"/>
              </w:rPr>
              <w:t>Web des informations concernant les droits d</w:t>
            </w:r>
            <w:r w:rsidR="00F20C73">
              <w:rPr>
                <w:kern w:val="28"/>
                <w:sz w:val="18"/>
                <w:szCs w:val="18"/>
                <w:lang w:val="fr-FR"/>
              </w:rPr>
              <w:t>’</w:t>
            </w:r>
            <w:r w:rsidRPr="00036052">
              <w:rPr>
                <w:kern w:val="28"/>
                <w:sz w:val="18"/>
                <w:szCs w:val="18"/>
                <w:lang w:val="fr-FR"/>
              </w:rPr>
              <w:t>obtenteur</w:t>
            </w:r>
            <w:r>
              <w:rPr>
                <w:kern w:val="28"/>
                <w:sz w:val="18"/>
                <w:szCs w:val="18"/>
                <w:lang w:val="fr-FR"/>
              </w:rPr>
              <w:t>.</w:t>
            </w:r>
          </w:p>
        </w:tc>
      </w:tr>
    </w:tbl>
    <w:p w:rsidR="0020369A" w:rsidRPr="00036052" w:rsidRDefault="0020369A" w:rsidP="00AB28D5">
      <w:pPr>
        <w:rPr>
          <w:lang w:val="fr-FR"/>
        </w:rPr>
      </w:pPr>
    </w:p>
    <w:p w:rsidR="0020369A" w:rsidRPr="00567750" w:rsidRDefault="0020369A" w:rsidP="00C0136B">
      <w:pPr>
        <w:ind w:right="9"/>
        <w:rPr>
          <w:lang w:val="fr-FR"/>
        </w:rPr>
      </w:pPr>
      <w:r w:rsidRPr="00D35C4F">
        <w:rPr>
          <w:snapToGrid w:val="0"/>
          <w:lang w:val="fr-FR"/>
        </w:rPr>
        <w:fldChar w:fldCharType="begin"/>
      </w:r>
      <w:r w:rsidRPr="00D35C4F">
        <w:rPr>
          <w:snapToGrid w:val="0"/>
          <w:lang w:val="fr-FR"/>
        </w:rPr>
        <w:instrText xml:space="preserve"> AUTONUM  </w:instrText>
      </w:r>
      <w:r w:rsidRPr="00D35C4F">
        <w:rPr>
          <w:snapToGrid w:val="0"/>
          <w:lang w:val="fr-FR"/>
        </w:rPr>
        <w:fldChar w:fldCharType="end"/>
      </w:r>
      <w:r w:rsidRPr="00D35C4F">
        <w:rPr>
          <w:snapToGrid w:val="0"/>
          <w:lang w:val="fr-FR"/>
        </w:rPr>
        <w:tab/>
        <w:t>Le d</w:t>
      </w:r>
      <w:r w:rsidRPr="00D35C4F">
        <w:rPr>
          <w:kern w:val="28"/>
          <w:lang w:val="fr-FR"/>
        </w:rPr>
        <w:t xml:space="preserve">ocument CAJ/69/6 </w:t>
      </w:r>
      <w:r w:rsidR="00F20C73">
        <w:rPr>
          <w:kern w:val="28"/>
          <w:lang w:val="fr-FR"/>
        </w:rPr>
        <w:t>“</w:t>
      </w:r>
      <w:r w:rsidRPr="00D35C4F">
        <w:rPr>
          <w:kern w:val="28"/>
          <w:lang w:val="fr-FR"/>
        </w:rPr>
        <w:t>Bases de données d</w:t>
      </w:r>
      <w:r w:rsidR="00F20C73">
        <w:rPr>
          <w:kern w:val="28"/>
          <w:lang w:val="fr-FR"/>
        </w:rPr>
        <w:t>’</w:t>
      </w:r>
      <w:r w:rsidRPr="00D35C4F">
        <w:rPr>
          <w:kern w:val="28"/>
          <w:lang w:val="fr-FR"/>
        </w:rPr>
        <w:t>information de l</w:t>
      </w:r>
      <w:r w:rsidR="00F20C73">
        <w:rPr>
          <w:kern w:val="28"/>
          <w:lang w:val="fr-FR"/>
        </w:rPr>
        <w:t>’</w:t>
      </w:r>
      <w:r w:rsidRPr="00D35C4F">
        <w:rPr>
          <w:kern w:val="28"/>
          <w:lang w:val="fr-FR"/>
        </w:rPr>
        <w:t>UPOV</w:t>
      </w:r>
      <w:r w:rsidR="00F20C73">
        <w:rPr>
          <w:kern w:val="28"/>
          <w:lang w:val="fr-FR"/>
        </w:rPr>
        <w:t>”</w:t>
      </w:r>
      <w:r w:rsidRPr="00D35C4F">
        <w:rPr>
          <w:kern w:val="28"/>
          <w:lang w:val="fr-FR"/>
        </w:rPr>
        <w:t xml:space="preserve"> note que, à sa soixante</w:t>
      </w:r>
      <w:r w:rsidR="0014634A">
        <w:rPr>
          <w:kern w:val="28"/>
          <w:lang w:val="fr-FR"/>
        </w:rPr>
        <w:noBreakHyphen/>
      </w:r>
      <w:r w:rsidRPr="00D35C4F">
        <w:rPr>
          <w:kern w:val="28"/>
          <w:lang w:val="fr-FR"/>
        </w:rPr>
        <w:t>huitième</w:t>
      </w:r>
      <w:r w:rsidR="002067E8">
        <w:rPr>
          <w:kern w:val="28"/>
          <w:lang w:val="fr-FR"/>
        </w:rPr>
        <w:t> </w:t>
      </w:r>
      <w:r w:rsidRPr="00D35C4F">
        <w:rPr>
          <w:kern w:val="28"/>
          <w:lang w:val="fr-FR"/>
        </w:rPr>
        <w:t>session tenue à Genève le 2</w:t>
      </w:r>
      <w:r w:rsidR="00A039B4" w:rsidRPr="00D35C4F">
        <w:rPr>
          <w:kern w:val="28"/>
          <w:lang w:val="fr-FR"/>
        </w:rPr>
        <w:t>1</w:t>
      </w:r>
      <w:r w:rsidR="00A039B4">
        <w:rPr>
          <w:kern w:val="28"/>
          <w:lang w:val="fr-FR"/>
        </w:rPr>
        <w:t> </w:t>
      </w:r>
      <w:r w:rsidR="00A039B4" w:rsidRPr="00D35C4F">
        <w:rPr>
          <w:kern w:val="28"/>
          <w:lang w:val="fr-FR"/>
        </w:rPr>
        <w:t>octobre</w:t>
      </w:r>
      <w:r w:rsidR="00A039B4">
        <w:rPr>
          <w:kern w:val="28"/>
          <w:lang w:val="fr-FR"/>
        </w:rPr>
        <w:t> </w:t>
      </w:r>
      <w:r w:rsidR="00A039B4" w:rsidRPr="00D35C4F">
        <w:rPr>
          <w:kern w:val="28"/>
          <w:lang w:val="fr-FR"/>
        </w:rPr>
        <w:t>20</w:t>
      </w:r>
      <w:r w:rsidRPr="00D35C4F">
        <w:rPr>
          <w:kern w:val="28"/>
          <w:lang w:val="fr-FR"/>
        </w:rPr>
        <w:t>13,</w:t>
      </w:r>
      <w:r w:rsidR="00A039B4" w:rsidRPr="00D35C4F">
        <w:rPr>
          <w:kern w:val="28"/>
          <w:lang w:val="fr-FR"/>
        </w:rPr>
        <w:t xml:space="preserve"> le</w:t>
      </w:r>
      <w:r w:rsidR="00A039B4">
        <w:rPr>
          <w:kern w:val="28"/>
          <w:lang w:val="fr-FR"/>
        </w:rPr>
        <w:t> </w:t>
      </w:r>
      <w:r w:rsidR="00A039B4" w:rsidRPr="00D35C4F">
        <w:rPr>
          <w:kern w:val="28"/>
          <w:lang w:val="fr-FR"/>
        </w:rPr>
        <w:t>CAJ</w:t>
      </w:r>
      <w:r w:rsidRPr="00D35C4F">
        <w:rPr>
          <w:kern w:val="28"/>
          <w:lang w:val="fr-FR"/>
        </w:rPr>
        <w:t xml:space="preserve"> a approuvé la proposition visant à accroître la fréquence des mises à jour de la base de données PLUTO</w:t>
      </w:r>
      <w:r w:rsidRPr="00D35C4F">
        <w:rPr>
          <w:lang w:val="fr-FR"/>
        </w:rPr>
        <w:t>.</w:t>
      </w:r>
      <w:r>
        <w:rPr>
          <w:lang w:val="fr-FR"/>
        </w:rPr>
        <w:t xml:space="preserve"> </w:t>
      </w:r>
      <w:r w:rsidR="002067E8">
        <w:rPr>
          <w:lang w:val="fr-FR"/>
        </w:rPr>
        <w:t xml:space="preserve"> </w:t>
      </w:r>
      <w:r>
        <w:rPr>
          <w:lang w:val="fr-FR"/>
        </w:rPr>
        <w:t>La s</w:t>
      </w:r>
      <w:r w:rsidRPr="00567750">
        <w:rPr>
          <w:color w:val="000000"/>
          <w:spacing w:val="-2"/>
          <w:lang w:val="fr-FR"/>
        </w:rPr>
        <w:t>ection</w:t>
      </w:r>
      <w:r w:rsidR="002067E8">
        <w:rPr>
          <w:lang w:val="fr-FR"/>
        </w:rPr>
        <w:t> </w:t>
      </w:r>
      <w:r w:rsidRPr="00567750">
        <w:rPr>
          <w:color w:val="000000"/>
          <w:spacing w:val="-2"/>
          <w:lang w:val="fr-FR"/>
        </w:rPr>
        <w:t>4 du programme, telle qu</w:t>
      </w:r>
      <w:r w:rsidR="00F20C73">
        <w:rPr>
          <w:color w:val="000000"/>
          <w:spacing w:val="-2"/>
          <w:lang w:val="fr-FR"/>
        </w:rPr>
        <w:t>’</w:t>
      </w:r>
      <w:r w:rsidRPr="00567750">
        <w:rPr>
          <w:color w:val="000000"/>
          <w:spacing w:val="-2"/>
          <w:lang w:val="fr-FR"/>
        </w:rPr>
        <w:t>elle a été modifiée par</w:t>
      </w:r>
      <w:r w:rsidR="00A039B4" w:rsidRPr="00567750">
        <w:rPr>
          <w:color w:val="000000"/>
          <w:spacing w:val="-2"/>
          <w:lang w:val="fr-FR"/>
        </w:rPr>
        <w:t xml:space="preserve"> le</w:t>
      </w:r>
      <w:r w:rsidR="00A039B4">
        <w:rPr>
          <w:color w:val="000000"/>
          <w:spacing w:val="-2"/>
          <w:lang w:val="fr-FR"/>
        </w:rPr>
        <w:t> </w:t>
      </w:r>
      <w:r w:rsidR="00A039B4" w:rsidRPr="00567750">
        <w:rPr>
          <w:color w:val="000000"/>
          <w:spacing w:val="-2"/>
          <w:lang w:val="fr-FR"/>
        </w:rPr>
        <w:t>CAJ</w:t>
      </w:r>
      <w:r w:rsidRPr="00567750">
        <w:rPr>
          <w:color w:val="000000"/>
          <w:spacing w:val="-2"/>
          <w:lang w:val="fr-FR"/>
        </w:rPr>
        <w:t xml:space="preserve"> </w:t>
      </w:r>
      <w:r w:rsidRPr="00D35C4F">
        <w:rPr>
          <w:kern w:val="28"/>
          <w:lang w:val="fr-FR"/>
        </w:rPr>
        <w:t>à sa soixante</w:t>
      </w:r>
      <w:r w:rsidR="0014634A">
        <w:rPr>
          <w:kern w:val="28"/>
          <w:lang w:val="fr-FR"/>
        </w:rPr>
        <w:noBreakHyphen/>
      </w:r>
      <w:r w:rsidRPr="00D35C4F">
        <w:rPr>
          <w:kern w:val="28"/>
          <w:lang w:val="fr-FR"/>
        </w:rPr>
        <w:t>huitième</w:t>
      </w:r>
      <w:r w:rsidR="002067E8">
        <w:rPr>
          <w:kern w:val="28"/>
          <w:lang w:val="fr-FR"/>
        </w:rPr>
        <w:t> </w:t>
      </w:r>
      <w:r w:rsidRPr="0014634A">
        <w:rPr>
          <w:kern w:val="28"/>
          <w:lang w:val="fr-FR"/>
        </w:rPr>
        <w:t>session</w:t>
      </w:r>
      <w:r w:rsidRPr="00567750">
        <w:rPr>
          <w:color w:val="000000"/>
          <w:spacing w:val="-2"/>
          <w:lang w:val="fr-FR"/>
        </w:rPr>
        <w:t xml:space="preserve">, </w:t>
      </w:r>
      <w:r>
        <w:rPr>
          <w:color w:val="000000"/>
          <w:spacing w:val="-2"/>
          <w:lang w:val="fr-FR"/>
        </w:rPr>
        <w:t>dispose ce qui suit :</w:t>
      </w:r>
    </w:p>
    <w:p w:rsidR="0020369A" w:rsidRPr="00567750" w:rsidRDefault="0020369A" w:rsidP="0003562F">
      <w:pPr>
        <w:rPr>
          <w:color w:val="000000"/>
          <w:spacing w:val="-2"/>
          <w:lang w:val="fr-FR"/>
        </w:rPr>
      </w:pPr>
    </w:p>
    <w:p w:rsidR="0020369A" w:rsidRPr="00567750" w:rsidRDefault="00F20C73" w:rsidP="0003562F">
      <w:pPr>
        <w:ind w:left="567" w:right="567"/>
        <w:rPr>
          <w:i/>
          <w:iCs/>
          <w:sz w:val="18"/>
          <w:szCs w:val="18"/>
          <w:lang w:val="fr-FR"/>
        </w:rPr>
      </w:pPr>
      <w:r>
        <w:rPr>
          <w:i/>
          <w:iCs/>
          <w:sz w:val="18"/>
          <w:szCs w:val="18"/>
          <w:lang w:val="fr-FR"/>
        </w:rPr>
        <w:t>“</w:t>
      </w:r>
      <w:r w:rsidR="0020369A" w:rsidRPr="00567750">
        <w:rPr>
          <w:i/>
          <w:iCs/>
          <w:sz w:val="18"/>
          <w:szCs w:val="18"/>
          <w:lang w:val="fr-FR"/>
        </w:rPr>
        <w:t>4.</w:t>
      </w:r>
      <w:r w:rsidR="0020369A" w:rsidRPr="00567750">
        <w:rPr>
          <w:i/>
          <w:iCs/>
          <w:sz w:val="18"/>
          <w:szCs w:val="18"/>
          <w:lang w:val="fr-FR"/>
        </w:rPr>
        <w:tab/>
        <w:t>Fréquence de la communication des données</w:t>
      </w:r>
    </w:p>
    <w:p w:rsidR="0020369A" w:rsidRPr="00567750" w:rsidRDefault="0020369A" w:rsidP="0003562F">
      <w:pPr>
        <w:ind w:left="567"/>
        <w:rPr>
          <w:sz w:val="18"/>
          <w:szCs w:val="18"/>
          <w:lang w:val="fr-FR"/>
        </w:rPr>
      </w:pPr>
    </w:p>
    <w:p w:rsidR="0020369A" w:rsidRPr="00567750" w:rsidRDefault="00F20C73" w:rsidP="008A2480">
      <w:pPr>
        <w:ind w:left="567" w:right="567"/>
        <w:rPr>
          <w:sz w:val="18"/>
          <w:szCs w:val="18"/>
          <w:lang w:val="fr-FR"/>
        </w:rPr>
      </w:pPr>
      <w:r>
        <w:rPr>
          <w:sz w:val="18"/>
          <w:szCs w:val="18"/>
          <w:lang w:val="fr-FR"/>
        </w:rPr>
        <w:t>“</w:t>
      </w:r>
      <w:r w:rsidR="0020369A" w:rsidRPr="00567750">
        <w:rPr>
          <w:sz w:val="18"/>
          <w:szCs w:val="18"/>
          <w:lang w:val="fr-FR"/>
        </w:rPr>
        <w:t xml:space="preserve">Les contributeurs seront encouragés à fournir des données dès que </w:t>
      </w:r>
      <w:r w:rsidR="0020369A">
        <w:rPr>
          <w:sz w:val="18"/>
          <w:szCs w:val="18"/>
          <w:lang w:val="fr-FR"/>
        </w:rPr>
        <w:t>cela s</w:t>
      </w:r>
      <w:r>
        <w:rPr>
          <w:sz w:val="18"/>
          <w:szCs w:val="18"/>
          <w:lang w:val="fr-FR"/>
        </w:rPr>
        <w:t>’</w:t>
      </w:r>
      <w:r w:rsidR="0020369A">
        <w:rPr>
          <w:sz w:val="18"/>
          <w:szCs w:val="18"/>
          <w:lang w:val="fr-FR"/>
        </w:rPr>
        <w:t>avère pratique</w:t>
      </w:r>
      <w:r w:rsidR="0020369A" w:rsidRPr="00567750">
        <w:rPr>
          <w:sz w:val="18"/>
          <w:szCs w:val="18"/>
          <w:lang w:val="fr-FR"/>
        </w:rPr>
        <w:t xml:space="preserve"> après leur publication par l</w:t>
      </w:r>
      <w:r>
        <w:rPr>
          <w:sz w:val="18"/>
          <w:szCs w:val="18"/>
          <w:lang w:val="fr-FR"/>
        </w:rPr>
        <w:t>’</w:t>
      </w:r>
      <w:r w:rsidR="0020369A" w:rsidRPr="00567750">
        <w:rPr>
          <w:sz w:val="18"/>
          <w:szCs w:val="18"/>
          <w:lang w:val="fr-FR"/>
        </w:rPr>
        <w:t>(les) autorité(s) concernée(s).  La base de données PLUTO sera mise à jour avec de nouvelles données aussi rapidement que possible après leur réception, conformément à</w:t>
      </w:r>
      <w:r w:rsidR="0020369A">
        <w:rPr>
          <w:sz w:val="18"/>
          <w:szCs w:val="18"/>
          <w:lang w:val="fr-FR"/>
        </w:rPr>
        <w:t xml:space="preserve"> la procédure de téléchargement</w:t>
      </w:r>
      <w:r>
        <w:rPr>
          <w:sz w:val="18"/>
          <w:szCs w:val="18"/>
          <w:lang w:val="fr-FR"/>
        </w:rPr>
        <w:t>”</w:t>
      </w:r>
      <w:r w:rsidR="0020369A">
        <w:rPr>
          <w:sz w:val="18"/>
          <w:szCs w:val="18"/>
          <w:lang w:val="fr-FR"/>
        </w:rPr>
        <w:t>.</w:t>
      </w:r>
    </w:p>
    <w:p w:rsidR="0020369A" w:rsidRPr="00567750" w:rsidRDefault="0020369A" w:rsidP="008A2480">
      <w:pPr>
        <w:spacing w:line="360" w:lineRule="auto"/>
        <w:ind w:right="9"/>
        <w:rPr>
          <w:lang w:val="fr-FR"/>
        </w:rPr>
      </w:pPr>
    </w:p>
    <w:p w:rsidR="0020369A" w:rsidRDefault="0020369A" w:rsidP="00F633F2">
      <w:pPr>
        <w:pStyle w:val="Heading4"/>
        <w:rPr>
          <w:lang w:val="fr-FR"/>
        </w:rPr>
      </w:pPr>
      <w:bookmarkStart w:id="50" w:name="_Toc381102866"/>
      <w:r>
        <w:rPr>
          <w:lang w:val="fr-FR"/>
        </w:rPr>
        <w:t>É</w:t>
      </w:r>
      <w:r w:rsidRPr="00F633F2">
        <w:rPr>
          <w:lang w:val="fr-FR"/>
        </w:rPr>
        <w:t>tendue de la base de données</w:t>
      </w:r>
      <w:bookmarkEnd w:id="50"/>
    </w:p>
    <w:p w:rsidR="0020369A" w:rsidRPr="00F633F2" w:rsidRDefault="0020369A" w:rsidP="00F633F2">
      <w:pPr>
        <w:rPr>
          <w:lang w:val="fr-FR"/>
        </w:rPr>
      </w:pPr>
    </w:p>
    <w:tbl>
      <w:tblPr>
        <w:tblW w:w="0" w:type="auto"/>
        <w:jc w:val="center"/>
        <w:tblInd w:w="-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0A0" w:firstRow="1" w:lastRow="0" w:firstColumn="1" w:lastColumn="0" w:noHBand="0" w:noVBand="0"/>
      </w:tblPr>
      <w:tblGrid>
        <w:gridCol w:w="8788"/>
      </w:tblGrid>
      <w:tr w:rsidR="0020369A" w:rsidRPr="00A95847" w:rsidTr="00045613">
        <w:trPr>
          <w:cantSplit/>
          <w:jc w:val="center"/>
        </w:trPr>
        <w:tc>
          <w:tcPr>
            <w:tcW w:w="8788" w:type="dxa"/>
          </w:tcPr>
          <w:p w:rsidR="0020369A" w:rsidRPr="00453603" w:rsidRDefault="0020369A" w:rsidP="00C21485">
            <w:pPr>
              <w:ind w:right="567"/>
              <w:rPr>
                <w:sz w:val="18"/>
                <w:szCs w:val="18"/>
                <w:lang w:val="fr-FR"/>
              </w:rPr>
            </w:pPr>
            <w:r w:rsidRPr="00453603">
              <w:rPr>
                <w:sz w:val="18"/>
                <w:szCs w:val="18"/>
                <w:lang w:val="fr-FR"/>
              </w:rPr>
              <w:t>[</w:t>
            </w:r>
            <w:r w:rsidRPr="00DF4C14">
              <w:rPr>
                <w:sz w:val="18"/>
                <w:szCs w:val="18"/>
                <w:lang w:val="fr-FR"/>
              </w:rPr>
              <w:t>Extrait de la lettre de l</w:t>
            </w:r>
            <w:r w:rsidR="00F20C73">
              <w:rPr>
                <w:sz w:val="18"/>
                <w:szCs w:val="18"/>
                <w:lang w:val="fr-FR"/>
              </w:rPr>
              <w:t>’</w:t>
            </w:r>
            <w:r w:rsidRPr="00DF4C14">
              <w:rPr>
                <w:sz w:val="18"/>
                <w:szCs w:val="18"/>
                <w:lang w:val="fr-FR"/>
              </w:rPr>
              <w:t>ISF – (original</w:t>
            </w:r>
            <w:r w:rsidR="002067E8">
              <w:rPr>
                <w:sz w:val="18"/>
                <w:szCs w:val="18"/>
                <w:lang w:val="fr-FR"/>
              </w:rPr>
              <w:t> </w:t>
            </w:r>
            <w:r w:rsidRPr="00DF4C14">
              <w:rPr>
                <w:sz w:val="18"/>
                <w:szCs w:val="18"/>
                <w:lang w:val="fr-FR"/>
              </w:rPr>
              <w:t>: anglais</w:t>
            </w:r>
            <w:r w:rsidRPr="00453603">
              <w:rPr>
                <w:sz w:val="18"/>
                <w:szCs w:val="18"/>
                <w:lang w:val="fr-FR"/>
              </w:rPr>
              <w:t>)]</w:t>
            </w:r>
          </w:p>
          <w:p w:rsidR="0020369A" w:rsidRPr="00A95847" w:rsidRDefault="0020369A" w:rsidP="00A95847">
            <w:pPr>
              <w:rPr>
                <w:color w:val="0D0D0D"/>
                <w:sz w:val="18"/>
                <w:szCs w:val="18"/>
                <w:u w:val="single"/>
                <w:lang w:val="fr-FR"/>
              </w:rPr>
            </w:pPr>
            <w:r>
              <w:rPr>
                <w:color w:val="0C0C0C"/>
                <w:sz w:val="18"/>
                <w:szCs w:val="18"/>
                <w:u w:val="single" w:color="000000"/>
                <w:lang w:val="fr-FR"/>
              </w:rPr>
              <w:t>É</w:t>
            </w:r>
            <w:r w:rsidRPr="00A95847">
              <w:rPr>
                <w:color w:val="0C0C0C"/>
                <w:sz w:val="18"/>
                <w:szCs w:val="18"/>
                <w:u w:val="single" w:color="000000"/>
                <w:lang w:val="fr-FR"/>
              </w:rPr>
              <w:t>tendue de la base de données</w:t>
            </w:r>
            <w:r w:rsidR="002067E8" w:rsidRPr="00045613">
              <w:rPr>
                <w:color w:val="0C0C0C"/>
                <w:sz w:val="18"/>
                <w:szCs w:val="18"/>
                <w:lang w:val="fr-FR"/>
              </w:rPr>
              <w:t> </w:t>
            </w:r>
            <w:r w:rsidRPr="00045613">
              <w:rPr>
                <w:color w:val="0C0C0C"/>
                <w:sz w:val="18"/>
                <w:lang w:val="fr-FR"/>
              </w:rPr>
              <w:t>:</w:t>
            </w:r>
            <w:r w:rsidRPr="00A95847">
              <w:rPr>
                <w:color w:val="383838"/>
                <w:sz w:val="18"/>
                <w:szCs w:val="18"/>
                <w:lang w:val="fr-FR"/>
              </w:rPr>
              <w:t xml:space="preserve"> Dans </w:t>
            </w:r>
            <w:r w:rsidRPr="00A95847">
              <w:rPr>
                <w:color w:val="0C0C0C"/>
                <w:sz w:val="18"/>
                <w:szCs w:val="18"/>
                <w:lang w:val="fr-FR"/>
              </w:rPr>
              <w:t xml:space="preserve">certains </w:t>
            </w:r>
            <w:r>
              <w:rPr>
                <w:color w:val="0C0C0C"/>
                <w:sz w:val="18"/>
                <w:szCs w:val="18"/>
                <w:lang w:val="fr-FR"/>
              </w:rPr>
              <w:t>pays, les sites</w:t>
            </w:r>
            <w:r w:rsidR="002067E8">
              <w:rPr>
                <w:color w:val="0C0C0C"/>
                <w:sz w:val="18"/>
                <w:szCs w:val="18"/>
                <w:lang w:val="fr-FR"/>
              </w:rPr>
              <w:t> </w:t>
            </w:r>
            <w:r>
              <w:rPr>
                <w:color w:val="0C0C0C"/>
                <w:sz w:val="18"/>
                <w:szCs w:val="18"/>
                <w:lang w:val="fr-FR"/>
              </w:rPr>
              <w:t>Web nationaux donnent uniquement la liste des droits d</w:t>
            </w:r>
            <w:r w:rsidR="00F20C73">
              <w:rPr>
                <w:color w:val="0C0C0C"/>
                <w:sz w:val="18"/>
                <w:szCs w:val="18"/>
                <w:lang w:val="fr-FR"/>
              </w:rPr>
              <w:t>’</w:t>
            </w:r>
            <w:r>
              <w:rPr>
                <w:color w:val="0C0C0C"/>
                <w:sz w:val="18"/>
                <w:szCs w:val="18"/>
                <w:lang w:val="fr-FR"/>
              </w:rPr>
              <w:t>obtenteur octroyés, ignorant ceux qui sont en instance.</w:t>
            </w:r>
            <w:r w:rsidRPr="0014634A">
              <w:rPr>
                <w:color w:val="0C0C0C"/>
                <w:sz w:val="18"/>
                <w:lang w:val="fr-FR"/>
              </w:rPr>
              <w:t xml:space="preserve">  </w:t>
            </w:r>
            <w:r w:rsidRPr="00A95847">
              <w:rPr>
                <w:color w:val="383838"/>
                <w:sz w:val="18"/>
                <w:szCs w:val="18"/>
                <w:lang w:val="fr-FR"/>
              </w:rPr>
              <w:t>Les membres d</w:t>
            </w:r>
            <w:r>
              <w:rPr>
                <w:color w:val="383838"/>
                <w:sz w:val="18"/>
                <w:szCs w:val="18"/>
                <w:lang w:val="fr-FR"/>
              </w:rPr>
              <w:t>e</w:t>
            </w:r>
            <w:r w:rsidRPr="00A95847">
              <w:rPr>
                <w:color w:val="383838"/>
                <w:sz w:val="18"/>
                <w:szCs w:val="18"/>
                <w:lang w:val="fr-FR"/>
              </w:rPr>
              <w:t xml:space="preserve"> l</w:t>
            </w:r>
            <w:r w:rsidR="00F20C73">
              <w:rPr>
                <w:color w:val="383838"/>
                <w:sz w:val="18"/>
                <w:szCs w:val="18"/>
                <w:lang w:val="fr-FR"/>
              </w:rPr>
              <w:t>’</w:t>
            </w:r>
            <w:r w:rsidRPr="00A95847">
              <w:rPr>
                <w:color w:val="0C0C0C"/>
                <w:sz w:val="18"/>
                <w:szCs w:val="18"/>
                <w:lang w:val="fr-FR"/>
              </w:rPr>
              <w:t>ISF sont d</w:t>
            </w:r>
            <w:r w:rsidR="00F20C73">
              <w:rPr>
                <w:color w:val="0C0C0C"/>
                <w:sz w:val="18"/>
                <w:szCs w:val="18"/>
                <w:lang w:val="fr-FR"/>
              </w:rPr>
              <w:t>’</w:t>
            </w:r>
            <w:r w:rsidRPr="00A95847">
              <w:rPr>
                <w:color w:val="0C0C0C"/>
                <w:sz w:val="18"/>
                <w:szCs w:val="18"/>
                <w:lang w:val="fr-FR"/>
              </w:rPr>
              <w:t>avis qu</w:t>
            </w:r>
            <w:r w:rsidR="00F20C73">
              <w:rPr>
                <w:color w:val="0C0C0C"/>
                <w:sz w:val="18"/>
                <w:szCs w:val="18"/>
                <w:lang w:val="fr-FR"/>
              </w:rPr>
              <w:t>’</w:t>
            </w:r>
            <w:r w:rsidRPr="00A95847">
              <w:rPr>
                <w:color w:val="0C0C0C"/>
                <w:sz w:val="18"/>
                <w:szCs w:val="18"/>
                <w:lang w:val="fr-FR"/>
              </w:rPr>
              <w:t>il serait utile de placer également</w:t>
            </w:r>
            <w:r>
              <w:rPr>
                <w:color w:val="0C0C0C"/>
                <w:sz w:val="18"/>
                <w:szCs w:val="18"/>
                <w:lang w:val="fr-FR"/>
              </w:rPr>
              <w:t xml:space="preserve"> sur les sites</w:t>
            </w:r>
            <w:r w:rsidR="002067E8">
              <w:rPr>
                <w:color w:val="0C0C0C"/>
                <w:sz w:val="18"/>
                <w:szCs w:val="18"/>
                <w:lang w:val="fr-FR"/>
              </w:rPr>
              <w:t> </w:t>
            </w:r>
            <w:r>
              <w:rPr>
                <w:color w:val="0C0C0C"/>
                <w:sz w:val="18"/>
                <w:szCs w:val="18"/>
                <w:lang w:val="fr-FR"/>
              </w:rPr>
              <w:t>Web officiels</w:t>
            </w:r>
            <w:r w:rsidRPr="00A95847">
              <w:rPr>
                <w:color w:val="0C0C0C"/>
                <w:sz w:val="18"/>
                <w:szCs w:val="18"/>
                <w:lang w:val="fr-FR"/>
              </w:rPr>
              <w:t xml:space="preserve"> des </w:t>
            </w:r>
            <w:r w:rsidRPr="00A95847">
              <w:rPr>
                <w:color w:val="0C0C0C"/>
                <w:w w:val="104"/>
                <w:sz w:val="18"/>
                <w:szCs w:val="18"/>
                <w:lang w:val="fr-FR"/>
              </w:rPr>
              <w:t>informations r</w:t>
            </w:r>
            <w:r>
              <w:rPr>
                <w:color w:val="0C0C0C"/>
                <w:w w:val="104"/>
                <w:sz w:val="18"/>
                <w:szCs w:val="18"/>
                <w:lang w:val="fr-FR"/>
              </w:rPr>
              <w:t>elatives aux demandes en instance</w:t>
            </w:r>
            <w:r w:rsidRPr="00045613">
              <w:rPr>
                <w:sz w:val="18"/>
                <w:szCs w:val="18"/>
                <w:lang w:val="fr-FR"/>
              </w:rPr>
              <w:t>.  Cela assurerait</w:t>
            </w:r>
            <w:r w:rsidRPr="00A95847">
              <w:rPr>
                <w:color w:val="525252"/>
                <w:sz w:val="18"/>
                <w:szCs w:val="18"/>
                <w:lang w:val="fr-FR"/>
              </w:rPr>
              <w:t xml:space="preserve"> </w:t>
            </w:r>
            <w:r w:rsidRPr="00A95847">
              <w:rPr>
                <w:sz w:val="18"/>
                <w:szCs w:val="18"/>
                <w:lang w:val="fr-FR"/>
              </w:rPr>
              <w:t>un niveau plus complet</w:t>
            </w:r>
            <w:r w:rsidRPr="00A95847">
              <w:rPr>
                <w:color w:val="525252"/>
                <w:sz w:val="18"/>
                <w:szCs w:val="18"/>
                <w:lang w:val="fr-FR"/>
              </w:rPr>
              <w:t xml:space="preserve"> </w:t>
            </w:r>
            <w:r w:rsidRPr="00A95847">
              <w:rPr>
                <w:color w:val="0C0C0C"/>
                <w:sz w:val="18"/>
                <w:szCs w:val="18"/>
                <w:lang w:val="fr-FR"/>
              </w:rPr>
              <w:t>et adéquat d</w:t>
            </w:r>
            <w:r w:rsidR="00F20C73">
              <w:rPr>
                <w:color w:val="0C0C0C"/>
                <w:sz w:val="18"/>
                <w:szCs w:val="18"/>
                <w:lang w:val="fr-FR"/>
              </w:rPr>
              <w:t>’</w:t>
            </w:r>
            <w:r w:rsidRPr="00A95847">
              <w:rPr>
                <w:color w:val="0C0C0C"/>
                <w:sz w:val="18"/>
                <w:szCs w:val="18"/>
                <w:lang w:val="fr-FR"/>
              </w:rPr>
              <w:t>information qui permettrait aux entreprises de vérifier leurs demandes de droits d</w:t>
            </w:r>
            <w:r w:rsidR="00F20C73">
              <w:rPr>
                <w:color w:val="0C0C0C"/>
                <w:sz w:val="18"/>
                <w:szCs w:val="18"/>
                <w:lang w:val="fr-FR"/>
              </w:rPr>
              <w:t>’</w:t>
            </w:r>
            <w:r w:rsidRPr="00A95847">
              <w:rPr>
                <w:color w:val="0C0C0C"/>
                <w:sz w:val="18"/>
                <w:szCs w:val="18"/>
                <w:lang w:val="fr-FR"/>
              </w:rPr>
              <w:t xml:space="preserve">obtenteur en instance et celles de leurs concurrentes. </w:t>
            </w:r>
            <w:r>
              <w:rPr>
                <w:color w:val="0C0C0C"/>
                <w:sz w:val="18"/>
                <w:szCs w:val="18"/>
                <w:lang w:val="fr-FR"/>
              </w:rPr>
              <w:t xml:space="preserve"> </w:t>
            </w:r>
            <w:r w:rsidRPr="00A95847">
              <w:rPr>
                <w:color w:val="0C0C0C"/>
                <w:sz w:val="18"/>
                <w:szCs w:val="18"/>
                <w:lang w:val="fr-FR"/>
              </w:rPr>
              <w:t>Ces informations aident à suivre la procédure de demande tout en facilitant le respect des droits de propriété intellectuelle</w:t>
            </w:r>
            <w:r w:rsidRPr="00A95847">
              <w:rPr>
                <w:color w:val="525252"/>
                <w:w w:val="90"/>
                <w:sz w:val="18"/>
                <w:szCs w:val="18"/>
                <w:lang w:val="fr-FR"/>
              </w:rPr>
              <w:t>.</w:t>
            </w:r>
          </w:p>
        </w:tc>
      </w:tr>
    </w:tbl>
    <w:p w:rsidR="0020369A" w:rsidRPr="00A95847" w:rsidRDefault="0020369A" w:rsidP="000B3257">
      <w:pPr>
        <w:rPr>
          <w:lang w:val="fr-FR"/>
        </w:rPr>
      </w:pPr>
    </w:p>
    <w:p w:rsidR="0020369A" w:rsidRPr="00567750" w:rsidRDefault="0020369A" w:rsidP="008A2480">
      <w:pPr>
        <w:spacing w:after="240"/>
        <w:rPr>
          <w:kern w:val="28"/>
          <w:lang w:val="fr-FR"/>
        </w:rPr>
      </w:pPr>
      <w:r w:rsidRPr="00567750">
        <w:rPr>
          <w:snapToGrid w:val="0"/>
          <w:lang w:val="fr-FR"/>
        </w:rPr>
        <w:fldChar w:fldCharType="begin"/>
      </w:r>
      <w:r w:rsidRPr="00567750">
        <w:rPr>
          <w:snapToGrid w:val="0"/>
          <w:lang w:val="fr-FR"/>
        </w:rPr>
        <w:instrText xml:space="preserve"> AUTONUM  </w:instrText>
      </w:r>
      <w:r w:rsidRPr="00567750">
        <w:rPr>
          <w:snapToGrid w:val="0"/>
          <w:lang w:val="fr-FR"/>
        </w:rPr>
        <w:fldChar w:fldCharType="end"/>
      </w:r>
      <w:r w:rsidRPr="00567750">
        <w:rPr>
          <w:snapToGrid w:val="0"/>
          <w:lang w:val="fr-FR"/>
        </w:rPr>
        <w:tab/>
        <w:t>Le d</w:t>
      </w:r>
      <w:r w:rsidRPr="00567750">
        <w:rPr>
          <w:kern w:val="28"/>
          <w:lang w:val="fr-FR"/>
        </w:rPr>
        <w:t xml:space="preserve">ocument CAJ/69/6 </w:t>
      </w:r>
      <w:r w:rsidR="00F20C73">
        <w:rPr>
          <w:kern w:val="28"/>
          <w:lang w:val="fr-FR"/>
        </w:rPr>
        <w:t>“</w:t>
      </w:r>
      <w:r w:rsidRPr="00567750">
        <w:rPr>
          <w:kern w:val="28"/>
          <w:lang w:val="fr-FR"/>
        </w:rPr>
        <w:t>Bases de données d</w:t>
      </w:r>
      <w:r w:rsidR="00F20C73">
        <w:rPr>
          <w:kern w:val="28"/>
          <w:lang w:val="fr-FR"/>
        </w:rPr>
        <w:t>’</w:t>
      </w:r>
      <w:r w:rsidRPr="00567750">
        <w:rPr>
          <w:kern w:val="28"/>
          <w:lang w:val="fr-FR"/>
        </w:rPr>
        <w:t>information de l</w:t>
      </w:r>
      <w:r w:rsidR="00F20C73">
        <w:rPr>
          <w:kern w:val="28"/>
          <w:lang w:val="fr-FR"/>
        </w:rPr>
        <w:t>’</w:t>
      </w:r>
      <w:r w:rsidRPr="00567750">
        <w:rPr>
          <w:kern w:val="28"/>
          <w:lang w:val="fr-FR"/>
        </w:rPr>
        <w:t>UPOV</w:t>
      </w:r>
      <w:r w:rsidR="00F20C73">
        <w:rPr>
          <w:kern w:val="28"/>
          <w:lang w:val="fr-FR"/>
        </w:rPr>
        <w:t>”</w:t>
      </w:r>
      <w:r w:rsidRPr="00567750">
        <w:rPr>
          <w:kern w:val="28"/>
          <w:lang w:val="fr-FR"/>
        </w:rPr>
        <w:t xml:space="preserve"> contient les réponses à une enquête auprès des membres de l</w:t>
      </w:r>
      <w:r w:rsidR="00F20C73">
        <w:rPr>
          <w:kern w:val="28"/>
          <w:lang w:val="fr-FR"/>
        </w:rPr>
        <w:t>’</w:t>
      </w:r>
      <w:r w:rsidRPr="00567750">
        <w:rPr>
          <w:kern w:val="28"/>
          <w:lang w:val="fr-FR"/>
        </w:rPr>
        <w:t>Union quant à leur utilisation des bases de données aux fins de la protection des obtentions végétales, ainsi que leur utilisation des systèmes de dépôt électronique des demandes</w:t>
      </w:r>
      <w:r w:rsidRPr="00567750">
        <w:rPr>
          <w:lang w:val="fr-FR"/>
        </w:rPr>
        <w:t>.</w:t>
      </w:r>
    </w:p>
    <w:p w:rsidR="0020369A" w:rsidRPr="0098083B" w:rsidRDefault="0020369A" w:rsidP="00372992">
      <w:pPr>
        <w:rPr>
          <w:lang w:val="fr-FR"/>
        </w:rPr>
      </w:pPr>
      <w:r w:rsidRPr="00567750">
        <w:rPr>
          <w:lang w:val="fr-FR"/>
        </w:rPr>
        <w:fldChar w:fldCharType="begin"/>
      </w:r>
      <w:r w:rsidRPr="00567750">
        <w:rPr>
          <w:lang w:val="fr-FR"/>
        </w:rPr>
        <w:instrText xml:space="preserve"> AUTONUM  </w:instrText>
      </w:r>
      <w:r w:rsidRPr="00567750">
        <w:rPr>
          <w:lang w:val="fr-FR"/>
        </w:rPr>
        <w:fldChar w:fldCharType="end"/>
      </w:r>
      <w:r w:rsidRPr="00567750">
        <w:rPr>
          <w:lang w:val="fr-FR"/>
        </w:rPr>
        <w:tab/>
      </w:r>
      <w:r>
        <w:rPr>
          <w:lang w:val="fr-FR"/>
        </w:rPr>
        <w:t>À</w:t>
      </w:r>
      <w:r w:rsidRPr="00567750">
        <w:rPr>
          <w:lang w:val="fr-FR"/>
        </w:rPr>
        <w:t xml:space="preserve"> sa soixante</w:t>
      </w:r>
      <w:r w:rsidR="0014634A">
        <w:rPr>
          <w:lang w:val="fr-FR"/>
        </w:rPr>
        <w:noBreakHyphen/>
      </w:r>
      <w:r w:rsidRPr="00567750">
        <w:rPr>
          <w:lang w:val="fr-FR"/>
        </w:rPr>
        <w:t>huitième session tenue à Genève le 21 octobre 2013,</w:t>
      </w:r>
      <w:r w:rsidR="00A039B4" w:rsidRPr="00567750">
        <w:rPr>
          <w:lang w:val="fr-FR"/>
        </w:rPr>
        <w:t xml:space="preserve"> le</w:t>
      </w:r>
      <w:r w:rsidR="00A039B4">
        <w:rPr>
          <w:lang w:val="fr-FR"/>
        </w:rPr>
        <w:t> </w:t>
      </w:r>
      <w:r w:rsidR="00A039B4" w:rsidRPr="00567750">
        <w:rPr>
          <w:lang w:val="fr-FR"/>
        </w:rPr>
        <w:t>CAJ</w:t>
      </w:r>
      <w:r w:rsidRPr="00567750">
        <w:rPr>
          <w:lang w:val="fr-FR"/>
        </w:rPr>
        <w:t xml:space="preserve"> </w:t>
      </w:r>
      <w:r>
        <w:rPr>
          <w:lang w:val="fr-FR"/>
        </w:rPr>
        <w:t xml:space="preserve">est </w:t>
      </w:r>
      <w:r w:rsidRPr="00567750">
        <w:rPr>
          <w:lang w:val="fr-FR"/>
        </w:rPr>
        <w:t>conv</w:t>
      </w:r>
      <w:r>
        <w:rPr>
          <w:lang w:val="fr-FR"/>
        </w:rPr>
        <w:t>enu</w:t>
      </w:r>
      <w:r w:rsidRPr="00567750">
        <w:rPr>
          <w:lang w:val="fr-FR"/>
        </w:rPr>
        <w:t xml:space="preserve"> d</w:t>
      </w:r>
      <w:r w:rsidR="00F20C73">
        <w:rPr>
          <w:lang w:val="fr-FR"/>
        </w:rPr>
        <w:t>’</w:t>
      </w:r>
      <w:r w:rsidRPr="00567750">
        <w:rPr>
          <w:lang w:val="fr-FR"/>
        </w:rPr>
        <w:t xml:space="preserve">ajouter un point concernant le programme de mise à jour du document UPOV/INF/5 </w:t>
      </w:r>
      <w:r w:rsidR="00F20C73">
        <w:rPr>
          <w:lang w:val="fr-FR"/>
        </w:rPr>
        <w:t>“</w:t>
      </w:r>
      <w:r w:rsidRPr="00567750">
        <w:rPr>
          <w:lang w:val="fr-FR"/>
        </w:rPr>
        <w:t>Bulletin type de l</w:t>
      </w:r>
      <w:r w:rsidR="00F20C73">
        <w:rPr>
          <w:lang w:val="fr-FR"/>
        </w:rPr>
        <w:t>’</w:t>
      </w:r>
      <w:r w:rsidRPr="00567750">
        <w:rPr>
          <w:lang w:val="fr-FR"/>
        </w:rPr>
        <w:t>UPOV de la protection des obtentions végétales</w:t>
      </w:r>
      <w:r w:rsidR="00F20C73">
        <w:rPr>
          <w:lang w:val="fr-FR"/>
        </w:rPr>
        <w:t>”</w:t>
      </w:r>
      <w:r w:rsidRPr="00567750">
        <w:rPr>
          <w:lang w:val="fr-FR"/>
        </w:rPr>
        <w:t xml:space="preserve"> à la soixante</w:t>
      </w:r>
      <w:r w:rsidR="0014634A">
        <w:rPr>
          <w:lang w:val="fr-FR"/>
        </w:rPr>
        <w:noBreakHyphen/>
      </w:r>
      <w:r w:rsidRPr="00567750">
        <w:rPr>
          <w:lang w:val="fr-FR"/>
        </w:rPr>
        <w:t>dixième session du CAJ qui se tiendra en octobre 2014 (</w:t>
      </w:r>
      <w:r>
        <w:rPr>
          <w:lang w:val="fr-FR"/>
        </w:rPr>
        <w:t>voir le paragraphe</w:t>
      </w:r>
      <w:r w:rsidR="002067E8">
        <w:rPr>
          <w:lang w:val="fr-FR"/>
        </w:rPr>
        <w:t> </w:t>
      </w:r>
      <w:r>
        <w:rPr>
          <w:lang w:val="fr-FR"/>
        </w:rPr>
        <w:t xml:space="preserve">17 du </w:t>
      </w:r>
      <w:r w:rsidRPr="00567750">
        <w:rPr>
          <w:lang w:val="fr-FR"/>
        </w:rPr>
        <w:t xml:space="preserve">document CAJ/68/10 </w:t>
      </w:r>
      <w:r w:rsidR="00F20C73">
        <w:rPr>
          <w:lang w:val="fr-FR"/>
        </w:rPr>
        <w:t>“</w:t>
      </w:r>
      <w:r>
        <w:rPr>
          <w:lang w:val="fr-FR"/>
        </w:rPr>
        <w:t>Compte rendu des c</w:t>
      </w:r>
      <w:r w:rsidRPr="00567750">
        <w:rPr>
          <w:lang w:val="fr-FR"/>
        </w:rPr>
        <w:t>onclusions</w:t>
      </w:r>
      <w:r w:rsidR="00F20C73">
        <w:rPr>
          <w:lang w:val="fr-FR"/>
        </w:rPr>
        <w:t>”</w:t>
      </w:r>
      <w:r w:rsidRPr="00567750">
        <w:rPr>
          <w:lang w:val="fr-FR"/>
        </w:rPr>
        <w:t xml:space="preserve">). </w:t>
      </w:r>
      <w:r w:rsidR="00A039B4" w:rsidRPr="00567750">
        <w:rPr>
          <w:lang w:val="fr-FR"/>
        </w:rPr>
        <w:t xml:space="preserve"> </w:t>
      </w:r>
      <w:r w:rsidR="00A039B4" w:rsidRPr="0098083B">
        <w:rPr>
          <w:lang w:val="fr-FR"/>
        </w:rPr>
        <w:t>Le</w:t>
      </w:r>
      <w:r w:rsidR="00A039B4">
        <w:rPr>
          <w:lang w:val="fr-FR"/>
        </w:rPr>
        <w:t> </w:t>
      </w:r>
      <w:r w:rsidR="00A039B4" w:rsidRPr="0098083B">
        <w:rPr>
          <w:lang w:val="fr-FR"/>
        </w:rPr>
        <w:t>CAJ</w:t>
      </w:r>
      <w:r w:rsidRPr="0098083B">
        <w:rPr>
          <w:lang w:val="fr-FR"/>
        </w:rPr>
        <w:t xml:space="preserve"> souhaitera peut</w:t>
      </w:r>
      <w:r w:rsidR="0014634A">
        <w:rPr>
          <w:lang w:val="fr-FR"/>
        </w:rPr>
        <w:noBreakHyphen/>
      </w:r>
      <w:r w:rsidRPr="0098083B">
        <w:rPr>
          <w:lang w:val="fr-FR"/>
        </w:rPr>
        <w:t>être examiner les questions concernant la fréquence et l</w:t>
      </w:r>
      <w:r w:rsidR="00F20C73">
        <w:rPr>
          <w:lang w:val="fr-FR"/>
        </w:rPr>
        <w:t>’</w:t>
      </w:r>
      <w:r w:rsidRPr="0098083B">
        <w:rPr>
          <w:lang w:val="fr-FR"/>
        </w:rPr>
        <w:t xml:space="preserve">exhaustivité des données à publier parallèlement à la mise à jour du document UPOV/INF/5 </w:t>
      </w:r>
      <w:r w:rsidR="00F20C73">
        <w:rPr>
          <w:lang w:val="fr-FR"/>
        </w:rPr>
        <w:t>“</w:t>
      </w:r>
      <w:r w:rsidRPr="0098083B">
        <w:rPr>
          <w:lang w:val="fr-FR"/>
        </w:rPr>
        <w:t>Bulletin type de l</w:t>
      </w:r>
      <w:r w:rsidR="00F20C73">
        <w:rPr>
          <w:lang w:val="fr-FR"/>
        </w:rPr>
        <w:t>’</w:t>
      </w:r>
      <w:r w:rsidRPr="0098083B">
        <w:rPr>
          <w:lang w:val="fr-FR"/>
        </w:rPr>
        <w:t>UPOV de la protection des obtentions végétales</w:t>
      </w:r>
      <w:r w:rsidR="00F20C73">
        <w:rPr>
          <w:lang w:val="fr-FR"/>
        </w:rPr>
        <w:t>”</w:t>
      </w:r>
      <w:r w:rsidRPr="0098083B">
        <w:rPr>
          <w:lang w:val="fr-FR"/>
        </w:rPr>
        <w:t>.</w:t>
      </w:r>
    </w:p>
    <w:p w:rsidR="0020369A" w:rsidRPr="0098083B" w:rsidRDefault="0020369A" w:rsidP="000B3257">
      <w:pPr>
        <w:rPr>
          <w:snapToGrid w:val="0"/>
          <w:lang w:val="fr-FR"/>
        </w:rPr>
      </w:pPr>
    </w:p>
    <w:p w:rsidR="0020369A" w:rsidRPr="0098083B" w:rsidRDefault="0020369A" w:rsidP="00A141E7">
      <w:pPr>
        <w:pStyle w:val="DecisionParagraphs"/>
        <w:keepNext/>
        <w:rPr>
          <w:snapToGrid w:val="0"/>
          <w:lang w:val="fr-FR"/>
        </w:rPr>
      </w:pPr>
      <w:r w:rsidRPr="0098083B">
        <w:rPr>
          <w:snapToGrid w:val="0"/>
          <w:lang w:val="fr-FR"/>
        </w:rPr>
        <w:fldChar w:fldCharType="begin"/>
      </w:r>
      <w:r w:rsidRPr="0098083B">
        <w:rPr>
          <w:snapToGrid w:val="0"/>
          <w:lang w:val="fr-FR"/>
        </w:rPr>
        <w:instrText xml:space="preserve"> AUTONUM  </w:instrText>
      </w:r>
      <w:r w:rsidRPr="0098083B">
        <w:rPr>
          <w:snapToGrid w:val="0"/>
          <w:lang w:val="fr-FR"/>
        </w:rPr>
        <w:fldChar w:fldCharType="end"/>
      </w:r>
      <w:r w:rsidRPr="0098083B">
        <w:rPr>
          <w:snapToGrid w:val="0"/>
          <w:lang w:val="fr-FR"/>
        </w:rPr>
        <w:tab/>
        <w:t>Le CAJ est invité à</w:t>
      </w:r>
      <w:r w:rsidR="002067E8">
        <w:rPr>
          <w:snapToGrid w:val="0"/>
          <w:lang w:val="fr-FR"/>
        </w:rPr>
        <w:t> </w:t>
      </w:r>
      <w:r w:rsidRPr="0098083B">
        <w:rPr>
          <w:snapToGrid w:val="0"/>
          <w:lang w:val="fr-FR"/>
        </w:rPr>
        <w:t>:</w:t>
      </w:r>
    </w:p>
    <w:p w:rsidR="0020369A" w:rsidRPr="0098083B" w:rsidRDefault="0020369A" w:rsidP="00A141E7">
      <w:pPr>
        <w:pStyle w:val="DecisionParagraphs"/>
        <w:keepNext/>
        <w:rPr>
          <w:snapToGrid w:val="0"/>
          <w:lang w:val="fr-FR"/>
        </w:rPr>
      </w:pPr>
    </w:p>
    <w:p w:rsidR="00A039B4" w:rsidRDefault="0020369A" w:rsidP="00A141E7">
      <w:pPr>
        <w:pStyle w:val="DecisionParagraphs"/>
        <w:tabs>
          <w:tab w:val="left" w:pos="5954"/>
        </w:tabs>
        <w:rPr>
          <w:lang w:val="fr-FR"/>
        </w:rPr>
      </w:pPr>
      <w:r w:rsidRPr="0098083B">
        <w:rPr>
          <w:snapToGrid w:val="0"/>
          <w:lang w:val="fr-FR"/>
        </w:rPr>
        <w:tab/>
        <w:t>a)</w:t>
      </w:r>
      <w:r w:rsidRPr="0098083B">
        <w:rPr>
          <w:snapToGrid w:val="0"/>
          <w:lang w:val="fr-FR"/>
        </w:rPr>
        <w:tab/>
        <w:t xml:space="preserve">prendre note que le </w:t>
      </w:r>
      <w:r w:rsidRPr="0098083B">
        <w:rPr>
          <w:kern w:val="28"/>
          <w:lang w:val="fr-FR"/>
        </w:rPr>
        <w:t xml:space="preserve">document CAJ/69/6 </w:t>
      </w:r>
      <w:r w:rsidR="00F20C73">
        <w:rPr>
          <w:kern w:val="28"/>
          <w:lang w:val="fr-FR"/>
        </w:rPr>
        <w:t>“</w:t>
      </w:r>
      <w:r w:rsidRPr="00567750">
        <w:rPr>
          <w:kern w:val="28"/>
          <w:lang w:val="fr-FR"/>
        </w:rPr>
        <w:t>Bases de données d</w:t>
      </w:r>
      <w:r w:rsidR="00F20C73">
        <w:rPr>
          <w:kern w:val="28"/>
          <w:lang w:val="fr-FR"/>
        </w:rPr>
        <w:t>’</w:t>
      </w:r>
      <w:r w:rsidRPr="00567750">
        <w:rPr>
          <w:kern w:val="28"/>
          <w:lang w:val="fr-FR"/>
        </w:rPr>
        <w:t>information de l</w:t>
      </w:r>
      <w:r w:rsidR="00F20C73">
        <w:rPr>
          <w:kern w:val="28"/>
          <w:lang w:val="fr-FR"/>
        </w:rPr>
        <w:t>’</w:t>
      </w:r>
      <w:r w:rsidRPr="00567750">
        <w:rPr>
          <w:kern w:val="28"/>
          <w:lang w:val="fr-FR"/>
        </w:rPr>
        <w:t>UPOV</w:t>
      </w:r>
      <w:r w:rsidR="00F20C73">
        <w:rPr>
          <w:kern w:val="28"/>
          <w:lang w:val="fr-FR"/>
        </w:rPr>
        <w:t>”</w:t>
      </w:r>
      <w:r w:rsidRPr="0098083B">
        <w:rPr>
          <w:kern w:val="28"/>
          <w:lang w:val="fr-FR"/>
        </w:rPr>
        <w:t xml:space="preserve"> contient </w:t>
      </w:r>
      <w:r>
        <w:rPr>
          <w:kern w:val="28"/>
          <w:lang w:val="fr-FR"/>
        </w:rPr>
        <w:t xml:space="preserve">des questions pertinentes sur la communication </w:t>
      </w:r>
      <w:r>
        <w:rPr>
          <w:kern w:val="28"/>
          <w:lang w:val="fr-FR"/>
        </w:rPr>
        <w:lastRenderedPageBreak/>
        <w:t>régulière d</w:t>
      </w:r>
      <w:r w:rsidR="00F20C73">
        <w:rPr>
          <w:kern w:val="28"/>
          <w:lang w:val="fr-FR"/>
        </w:rPr>
        <w:t>’</w:t>
      </w:r>
      <w:r w:rsidRPr="0098083B">
        <w:rPr>
          <w:lang w:val="fr-FR"/>
        </w:rPr>
        <w:t>information</w:t>
      </w:r>
      <w:r>
        <w:rPr>
          <w:lang w:val="fr-FR"/>
        </w:rPr>
        <w:t>s</w:t>
      </w:r>
      <w:r w:rsidRPr="0098083B">
        <w:rPr>
          <w:lang w:val="fr-FR"/>
        </w:rPr>
        <w:t xml:space="preserve"> </w:t>
      </w:r>
      <w:r>
        <w:rPr>
          <w:lang w:val="fr-FR"/>
        </w:rPr>
        <w:t>à la base de données sur les variétés végétales</w:t>
      </w:r>
      <w:r w:rsidRPr="0098083B">
        <w:rPr>
          <w:lang w:val="fr-FR"/>
        </w:rPr>
        <w:t xml:space="preserve"> PLUTO;</w:t>
      </w:r>
    </w:p>
    <w:p w:rsidR="0020369A" w:rsidRPr="0098083B" w:rsidRDefault="0020369A" w:rsidP="00A141E7">
      <w:pPr>
        <w:pStyle w:val="DecisionParagraphs"/>
        <w:tabs>
          <w:tab w:val="left" w:pos="5954"/>
        </w:tabs>
        <w:rPr>
          <w:lang w:val="fr-FR"/>
        </w:rPr>
      </w:pPr>
    </w:p>
    <w:p w:rsidR="00A039B4" w:rsidRDefault="0020369A" w:rsidP="00A141E7">
      <w:pPr>
        <w:pStyle w:val="DecisionParagraphs"/>
        <w:tabs>
          <w:tab w:val="left" w:pos="5954"/>
        </w:tabs>
        <w:rPr>
          <w:lang w:val="fr-FR"/>
        </w:rPr>
      </w:pPr>
      <w:r w:rsidRPr="0098083B">
        <w:rPr>
          <w:lang w:val="fr-FR"/>
        </w:rPr>
        <w:tab/>
      </w:r>
      <w:r w:rsidRPr="00F1231A">
        <w:rPr>
          <w:lang w:val="fr-FR"/>
        </w:rPr>
        <w:t>b)</w:t>
      </w:r>
      <w:r w:rsidRPr="00F1231A">
        <w:rPr>
          <w:lang w:val="fr-FR"/>
        </w:rPr>
        <w:tab/>
        <w:t xml:space="preserve">prendre note que le document </w:t>
      </w:r>
      <w:r w:rsidRPr="00F1231A">
        <w:rPr>
          <w:kern w:val="28"/>
          <w:lang w:val="fr-FR"/>
        </w:rPr>
        <w:t xml:space="preserve">CAJ/69/6 contient les </w:t>
      </w:r>
      <w:r w:rsidRPr="00567750">
        <w:rPr>
          <w:kern w:val="28"/>
          <w:lang w:val="fr-FR"/>
        </w:rPr>
        <w:t>réponses à une enquête auprès des membres de l</w:t>
      </w:r>
      <w:r w:rsidR="00F20C73">
        <w:rPr>
          <w:kern w:val="28"/>
          <w:lang w:val="fr-FR"/>
        </w:rPr>
        <w:t>’</w:t>
      </w:r>
      <w:r w:rsidRPr="00567750">
        <w:rPr>
          <w:kern w:val="28"/>
          <w:lang w:val="fr-FR"/>
        </w:rPr>
        <w:t>Union quant à leur utilisation des bases de données aux fins de la protection des obtentions végétales, ainsi que leur utilisation des systèmes de dépôt électronique des demandes</w:t>
      </w:r>
      <w:r w:rsidRPr="00F1231A">
        <w:rPr>
          <w:lang w:val="fr-FR"/>
        </w:rPr>
        <w:t>;</w:t>
      </w:r>
      <w:r w:rsidR="003F41BE">
        <w:rPr>
          <w:lang w:val="fr-FR"/>
        </w:rPr>
        <w:t xml:space="preserve"> </w:t>
      </w:r>
      <w:r w:rsidR="00BA4738">
        <w:rPr>
          <w:lang w:val="fr-FR"/>
        </w:rPr>
        <w:t xml:space="preserve"> </w:t>
      </w:r>
      <w:r w:rsidR="003F41BE">
        <w:rPr>
          <w:lang w:val="fr-FR"/>
        </w:rPr>
        <w:t>et</w:t>
      </w:r>
    </w:p>
    <w:p w:rsidR="0020369A" w:rsidRPr="00F1231A" w:rsidRDefault="0020369A" w:rsidP="00A141E7">
      <w:pPr>
        <w:pStyle w:val="DecisionParagraphs"/>
        <w:tabs>
          <w:tab w:val="left" w:pos="5954"/>
        </w:tabs>
        <w:rPr>
          <w:lang w:val="fr-FR"/>
        </w:rPr>
      </w:pPr>
    </w:p>
    <w:p w:rsidR="0020369A" w:rsidRPr="00F1231A" w:rsidRDefault="0020369A" w:rsidP="00A141E7">
      <w:pPr>
        <w:pStyle w:val="DecisionParagraphs"/>
        <w:tabs>
          <w:tab w:val="left" w:pos="5954"/>
        </w:tabs>
        <w:rPr>
          <w:lang w:val="fr-FR"/>
        </w:rPr>
      </w:pPr>
      <w:r w:rsidRPr="00F1231A">
        <w:rPr>
          <w:lang w:val="fr-FR"/>
        </w:rPr>
        <w:tab/>
      </w:r>
      <w:r w:rsidR="00BA4738">
        <w:rPr>
          <w:lang w:val="fr-FR"/>
        </w:rPr>
        <w:t>c</w:t>
      </w:r>
      <w:r w:rsidRPr="00F1231A">
        <w:rPr>
          <w:lang w:val="fr-FR"/>
        </w:rPr>
        <w:t>)</w:t>
      </w:r>
      <w:r w:rsidRPr="00F1231A">
        <w:rPr>
          <w:lang w:val="fr-FR"/>
        </w:rPr>
        <w:tab/>
        <w:t>se demander s</w:t>
      </w:r>
      <w:r w:rsidR="00F20C73">
        <w:rPr>
          <w:lang w:val="fr-FR"/>
        </w:rPr>
        <w:t>’</w:t>
      </w:r>
      <w:r w:rsidRPr="00F1231A">
        <w:rPr>
          <w:lang w:val="fr-FR"/>
        </w:rPr>
        <w:t>il convient d</w:t>
      </w:r>
      <w:r w:rsidR="00F20C73">
        <w:rPr>
          <w:lang w:val="fr-FR"/>
        </w:rPr>
        <w:t>’</w:t>
      </w:r>
      <w:r w:rsidRPr="00F1231A">
        <w:rPr>
          <w:lang w:val="fr-FR"/>
        </w:rPr>
        <w:t>élaborer des orientations sur la fréquence de la communication des données et l</w:t>
      </w:r>
      <w:r w:rsidR="00F20C73">
        <w:rPr>
          <w:lang w:val="fr-FR"/>
        </w:rPr>
        <w:t>’</w:t>
      </w:r>
      <w:r w:rsidRPr="00F1231A">
        <w:rPr>
          <w:lang w:val="fr-FR"/>
        </w:rPr>
        <w:t>exhaustivité des bases de données</w:t>
      </w:r>
      <w:r w:rsidRPr="00F1231A">
        <w:rPr>
          <w:snapToGrid w:val="0"/>
          <w:lang w:val="fr-FR"/>
        </w:rPr>
        <w:t xml:space="preserve"> </w:t>
      </w:r>
      <w:r w:rsidRPr="0098083B">
        <w:rPr>
          <w:lang w:val="fr-FR"/>
        </w:rPr>
        <w:t xml:space="preserve">parallèlement à la mise à jour du document UPOV/INF/5 </w:t>
      </w:r>
      <w:r w:rsidR="00F20C73">
        <w:rPr>
          <w:lang w:val="fr-FR"/>
        </w:rPr>
        <w:t>“</w:t>
      </w:r>
      <w:r w:rsidRPr="0098083B">
        <w:rPr>
          <w:lang w:val="fr-FR"/>
        </w:rPr>
        <w:t>Bulletin type de l</w:t>
      </w:r>
      <w:r w:rsidR="00F20C73">
        <w:rPr>
          <w:lang w:val="fr-FR"/>
        </w:rPr>
        <w:t>’</w:t>
      </w:r>
      <w:r w:rsidRPr="0098083B">
        <w:rPr>
          <w:lang w:val="fr-FR"/>
        </w:rPr>
        <w:t>UPOV de la protection des obtentions végétales</w:t>
      </w:r>
      <w:r w:rsidR="00F20C73">
        <w:rPr>
          <w:lang w:val="fr-FR"/>
        </w:rPr>
        <w:t>”</w:t>
      </w:r>
      <w:r w:rsidRPr="00F1231A">
        <w:rPr>
          <w:lang w:val="fr-FR"/>
        </w:rPr>
        <w:t xml:space="preserve">, </w:t>
      </w:r>
      <w:r>
        <w:rPr>
          <w:lang w:val="fr-FR"/>
        </w:rPr>
        <w:t>comme indiqué dans le</w:t>
      </w:r>
      <w:r w:rsidRPr="00F1231A">
        <w:rPr>
          <w:lang w:val="fr-FR"/>
        </w:rPr>
        <w:t xml:space="preserve"> paragraph</w:t>
      </w:r>
      <w:r>
        <w:rPr>
          <w:lang w:val="fr-FR"/>
        </w:rPr>
        <w:t>e</w:t>
      </w:r>
      <w:r w:rsidR="002067E8">
        <w:rPr>
          <w:lang w:val="fr-FR"/>
        </w:rPr>
        <w:t> </w:t>
      </w:r>
      <w:r w:rsidRPr="00F1231A">
        <w:rPr>
          <w:lang w:val="fr-FR"/>
        </w:rPr>
        <w:t>26</w:t>
      </w:r>
      <w:r>
        <w:rPr>
          <w:lang w:val="fr-FR"/>
        </w:rPr>
        <w:t xml:space="preserve"> ci</w:t>
      </w:r>
      <w:r w:rsidR="0014634A">
        <w:rPr>
          <w:lang w:val="fr-FR"/>
        </w:rPr>
        <w:noBreakHyphen/>
      </w:r>
      <w:r>
        <w:rPr>
          <w:lang w:val="fr-FR"/>
        </w:rPr>
        <w:t>dessus</w:t>
      </w:r>
      <w:r w:rsidRPr="00F1231A">
        <w:rPr>
          <w:lang w:val="fr-FR"/>
        </w:rPr>
        <w:t>.</w:t>
      </w:r>
    </w:p>
    <w:p w:rsidR="0020369A" w:rsidRPr="00F1231A" w:rsidRDefault="0020369A" w:rsidP="000B3257">
      <w:pPr>
        <w:rPr>
          <w:snapToGrid w:val="0"/>
          <w:lang w:val="fr-FR"/>
        </w:rPr>
      </w:pPr>
    </w:p>
    <w:p w:rsidR="0020369A" w:rsidRPr="00F1231A" w:rsidRDefault="0020369A" w:rsidP="000B3257">
      <w:pPr>
        <w:rPr>
          <w:snapToGrid w:val="0"/>
          <w:lang w:val="fr-FR"/>
        </w:rPr>
      </w:pPr>
    </w:p>
    <w:p w:rsidR="0020369A" w:rsidRDefault="0020369A" w:rsidP="005C3E4B">
      <w:pPr>
        <w:pStyle w:val="Heading2"/>
        <w:rPr>
          <w:spacing w:val="2"/>
        </w:rPr>
      </w:pPr>
      <w:bookmarkStart w:id="51" w:name="_Toc381102837"/>
      <w:bookmarkStart w:id="52" w:name="_Toc381102867"/>
      <w:bookmarkStart w:id="53" w:name="_Toc381949572"/>
      <w:r>
        <w:t>Règles de dé</w:t>
      </w:r>
      <w:r w:rsidRPr="00AF5046">
        <w:t>nomination</w:t>
      </w:r>
      <w:bookmarkEnd w:id="51"/>
      <w:bookmarkEnd w:id="52"/>
      <w:bookmarkEnd w:id="53"/>
    </w:p>
    <w:p w:rsidR="0020369A" w:rsidRPr="00AF5046" w:rsidRDefault="0020369A" w:rsidP="00AF5046">
      <w:pPr>
        <w:keepNext/>
      </w:pPr>
    </w:p>
    <w:tbl>
      <w:tblPr>
        <w:tblW w:w="0" w:type="auto"/>
        <w:jc w:val="center"/>
        <w:tblInd w:w="-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0A0" w:firstRow="1" w:lastRow="0" w:firstColumn="1" w:lastColumn="0" w:noHBand="0" w:noVBand="0"/>
      </w:tblPr>
      <w:tblGrid>
        <w:gridCol w:w="8788"/>
      </w:tblGrid>
      <w:tr w:rsidR="0020369A" w:rsidRPr="00A95847" w:rsidTr="00045613">
        <w:trPr>
          <w:cantSplit/>
          <w:jc w:val="center"/>
        </w:trPr>
        <w:tc>
          <w:tcPr>
            <w:tcW w:w="8788" w:type="dxa"/>
          </w:tcPr>
          <w:p w:rsidR="0020369A" w:rsidRPr="00107021" w:rsidRDefault="0020369A" w:rsidP="00C21485">
            <w:pPr>
              <w:ind w:right="567"/>
              <w:rPr>
                <w:sz w:val="18"/>
                <w:szCs w:val="18"/>
                <w:lang w:val="fr-FR"/>
              </w:rPr>
            </w:pPr>
            <w:r w:rsidRPr="00107021">
              <w:rPr>
                <w:sz w:val="18"/>
                <w:szCs w:val="18"/>
                <w:lang w:val="fr-FR"/>
              </w:rPr>
              <w:t>[</w:t>
            </w:r>
            <w:r w:rsidRPr="00DF4C14">
              <w:rPr>
                <w:sz w:val="18"/>
                <w:szCs w:val="18"/>
                <w:lang w:val="fr-FR"/>
              </w:rPr>
              <w:t>Extrait de la lettre de l</w:t>
            </w:r>
            <w:r w:rsidR="00F20C73">
              <w:rPr>
                <w:sz w:val="18"/>
                <w:szCs w:val="18"/>
                <w:lang w:val="fr-FR"/>
              </w:rPr>
              <w:t>’</w:t>
            </w:r>
            <w:r w:rsidRPr="00DF4C14">
              <w:rPr>
                <w:sz w:val="18"/>
                <w:szCs w:val="18"/>
                <w:lang w:val="fr-FR"/>
              </w:rPr>
              <w:t>ISF – (original</w:t>
            </w:r>
            <w:r w:rsidR="002067E8">
              <w:rPr>
                <w:sz w:val="18"/>
                <w:szCs w:val="18"/>
                <w:lang w:val="fr-FR"/>
              </w:rPr>
              <w:t> </w:t>
            </w:r>
            <w:r w:rsidRPr="00DF4C14">
              <w:rPr>
                <w:sz w:val="18"/>
                <w:szCs w:val="18"/>
                <w:lang w:val="fr-FR"/>
              </w:rPr>
              <w:t>: anglais</w:t>
            </w:r>
            <w:r w:rsidRPr="00107021">
              <w:rPr>
                <w:sz w:val="18"/>
                <w:szCs w:val="18"/>
                <w:lang w:val="fr-FR"/>
              </w:rPr>
              <w:t>)]</w:t>
            </w:r>
          </w:p>
          <w:p w:rsidR="0020369A" w:rsidRPr="004C7CBB" w:rsidRDefault="0020369A" w:rsidP="00AF5046">
            <w:pPr>
              <w:rPr>
                <w:sz w:val="18"/>
                <w:szCs w:val="18"/>
                <w:lang w:val="fr-FR"/>
              </w:rPr>
            </w:pPr>
            <w:r w:rsidRPr="00107021">
              <w:rPr>
                <w:color w:val="0C0C0C"/>
                <w:sz w:val="18"/>
                <w:szCs w:val="18"/>
                <w:u w:val="single" w:color="000000"/>
                <w:lang w:val="fr-FR"/>
              </w:rPr>
              <w:t>Différences dans les règles de dénomination</w:t>
            </w:r>
            <w:r w:rsidR="002067E8" w:rsidRPr="00EA2CC5">
              <w:rPr>
                <w:color w:val="0C0C0C"/>
                <w:sz w:val="18"/>
                <w:szCs w:val="18"/>
                <w:lang w:val="fr-FR"/>
              </w:rPr>
              <w:t> </w:t>
            </w:r>
            <w:r w:rsidRPr="00EA2CC5">
              <w:rPr>
                <w:color w:val="0C0C0C"/>
                <w:sz w:val="18"/>
                <w:lang w:val="fr-FR"/>
              </w:rPr>
              <w:t>:</w:t>
            </w:r>
            <w:r w:rsidRPr="00107021">
              <w:rPr>
                <w:color w:val="424242"/>
                <w:sz w:val="18"/>
                <w:szCs w:val="18"/>
                <w:lang w:val="fr-FR"/>
              </w:rPr>
              <w:t xml:space="preserve"> Ces règles varient au sein d</w:t>
            </w:r>
            <w:r w:rsidR="00F20C73">
              <w:rPr>
                <w:color w:val="424242"/>
                <w:sz w:val="18"/>
                <w:szCs w:val="18"/>
                <w:lang w:val="fr-FR"/>
              </w:rPr>
              <w:t>’</w:t>
            </w:r>
            <w:r w:rsidRPr="00107021">
              <w:rPr>
                <w:color w:val="424242"/>
                <w:sz w:val="18"/>
                <w:szCs w:val="18"/>
                <w:lang w:val="fr-FR"/>
              </w:rPr>
              <w:t>un m</w:t>
            </w:r>
            <w:r>
              <w:rPr>
                <w:color w:val="424242"/>
                <w:sz w:val="18"/>
                <w:szCs w:val="18"/>
                <w:lang w:val="fr-FR"/>
              </w:rPr>
              <w:t>ême pays et entre différents pays</w:t>
            </w:r>
            <w:r w:rsidRPr="00107021">
              <w:rPr>
                <w:color w:val="282A2A"/>
                <w:w w:val="90"/>
                <w:sz w:val="18"/>
                <w:szCs w:val="18"/>
                <w:lang w:val="fr-FR"/>
              </w:rPr>
              <w:t>.  Personne n</w:t>
            </w:r>
            <w:r w:rsidR="00F20C73">
              <w:rPr>
                <w:color w:val="282A2A"/>
                <w:w w:val="90"/>
                <w:sz w:val="18"/>
                <w:szCs w:val="18"/>
                <w:lang w:val="fr-FR"/>
              </w:rPr>
              <w:t>’</w:t>
            </w:r>
            <w:r w:rsidRPr="00107021">
              <w:rPr>
                <w:color w:val="282A2A"/>
                <w:w w:val="90"/>
                <w:sz w:val="18"/>
                <w:szCs w:val="18"/>
                <w:lang w:val="fr-FR"/>
              </w:rPr>
              <w:t xml:space="preserve">ignore que surviennent fréquemment des </w:t>
            </w:r>
            <w:r w:rsidRPr="00107021">
              <w:rPr>
                <w:color w:val="0C0C0C"/>
                <w:sz w:val="18"/>
                <w:szCs w:val="18"/>
                <w:lang w:val="fr-FR"/>
              </w:rPr>
              <w:t>conflits parce que plusieurs pays ont des règles de dénomination internes incohérentes</w:t>
            </w:r>
            <w:r w:rsidRPr="00107021">
              <w:rPr>
                <w:color w:val="282A2A"/>
                <w:sz w:val="18"/>
                <w:szCs w:val="18"/>
                <w:lang w:val="fr-FR"/>
              </w:rPr>
              <w:t xml:space="preserve">. </w:t>
            </w:r>
            <w:r w:rsidR="002067E8">
              <w:rPr>
                <w:color w:val="282A2A"/>
                <w:sz w:val="18"/>
                <w:szCs w:val="18"/>
                <w:lang w:val="fr-FR"/>
              </w:rPr>
              <w:t xml:space="preserve"> </w:t>
            </w:r>
            <w:r>
              <w:rPr>
                <w:color w:val="282A2A"/>
                <w:sz w:val="18"/>
                <w:szCs w:val="18"/>
                <w:lang w:val="fr-FR"/>
              </w:rPr>
              <w:t>C</w:t>
            </w:r>
            <w:r w:rsidR="00F20C73">
              <w:rPr>
                <w:color w:val="282A2A"/>
                <w:sz w:val="18"/>
                <w:szCs w:val="18"/>
                <w:lang w:val="fr-FR"/>
              </w:rPr>
              <w:t>’</w:t>
            </w:r>
            <w:r>
              <w:rPr>
                <w:color w:val="282A2A"/>
                <w:sz w:val="18"/>
                <w:szCs w:val="18"/>
                <w:lang w:val="fr-FR"/>
              </w:rPr>
              <w:t>est ainsi par exemple qu</w:t>
            </w:r>
            <w:r w:rsidR="00F20C73">
              <w:rPr>
                <w:color w:val="282A2A"/>
                <w:sz w:val="18"/>
                <w:szCs w:val="18"/>
                <w:lang w:val="fr-FR"/>
              </w:rPr>
              <w:t>’</w:t>
            </w:r>
            <w:r>
              <w:rPr>
                <w:color w:val="282A2A"/>
                <w:sz w:val="18"/>
                <w:szCs w:val="18"/>
                <w:lang w:val="fr-FR"/>
              </w:rPr>
              <w:t xml:space="preserve">un nom qui est accepté dans un pays ou une région </w:t>
            </w:r>
            <w:r w:rsidRPr="00107021">
              <w:rPr>
                <w:color w:val="0C0C0C"/>
                <w:sz w:val="18"/>
                <w:szCs w:val="18"/>
                <w:lang w:val="fr-FR"/>
              </w:rPr>
              <w:t xml:space="preserve">XYZ à des fins de listage national peut </w:t>
            </w:r>
            <w:r>
              <w:rPr>
                <w:color w:val="0C0C0C"/>
                <w:sz w:val="18"/>
                <w:szCs w:val="18"/>
                <w:lang w:val="fr-FR"/>
              </w:rPr>
              <w:t>être plus tard refusé pour des droits d</w:t>
            </w:r>
            <w:r w:rsidR="00F20C73">
              <w:rPr>
                <w:color w:val="0C0C0C"/>
                <w:sz w:val="18"/>
                <w:szCs w:val="18"/>
                <w:lang w:val="fr-FR"/>
              </w:rPr>
              <w:t>’</w:t>
            </w:r>
            <w:r>
              <w:rPr>
                <w:color w:val="0C0C0C"/>
                <w:sz w:val="18"/>
                <w:szCs w:val="18"/>
                <w:lang w:val="fr-FR"/>
              </w:rPr>
              <w:t>obtenteur nationaux ou régionaux</w:t>
            </w:r>
            <w:r w:rsidRPr="00107021">
              <w:rPr>
                <w:color w:val="0C0C0C"/>
                <w:sz w:val="18"/>
                <w:szCs w:val="18"/>
                <w:lang w:val="fr-FR"/>
              </w:rPr>
              <w:t xml:space="preserve">. </w:t>
            </w:r>
            <w:r w:rsidR="002067E8">
              <w:rPr>
                <w:color w:val="0C0C0C"/>
                <w:sz w:val="18"/>
                <w:szCs w:val="18"/>
                <w:lang w:val="fr-FR"/>
              </w:rPr>
              <w:t xml:space="preserve"> </w:t>
            </w:r>
            <w:r w:rsidRPr="004C7CBB">
              <w:rPr>
                <w:color w:val="0C0C0C"/>
                <w:sz w:val="18"/>
                <w:szCs w:val="18"/>
                <w:lang w:val="fr-FR"/>
              </w:rPr>
              <w:t>Il faudrait au minimum que les règles de dénominat</w:t>
            </w:r>
            <w:r>
              <w:rPr>
                <w:color w:val="0C0C0C"/>
                <w:sz w:val="18"/>
                <w:szCs w:val="18"/>
                <w:lang w:val="fr-FR"/>
              </w:rPr>
              <w:t>i</w:t>
            </w:r>
            <w:r w:rsidRPr="004C7CBB">
              <w:rPr>
                <w:color w:val="0C0C0C"/>
                <w:sz w:val="18"/>
                <w:szCs w:val="18"/>
                <w:lang w:val="fr-FR"/>
              </w:rPr>
              <w:t xml:space="preserve">on soient compatibles pour </w:t>
            </w:r>
            <w:r>
              <w:rPr>
                <w:color w:val="0C0C0C"/>
                <w:sz w:val="18"/>
                <w:szCs w:val="18"/>
                <w:lang w:val="fr-FR"/>
              </w:rPr>
              <w:t xml:space="preserve">le listage </w:t>
            </w:r>
            <w:r w:rsidRPr="004C7CBB">
              <w:rPr>
                <w:color w:val="0C0C0C"/>
                <w:sz w:val="18"/>
                <w:szCs w:val="18"/>
                <w:lang w:val="fr-FR"/>
              </w:rPr>
              <w:t xml:space="preserve">national </w:t>
            </w:r>
            <w:r>
              <w:rPr>
                <w:color w:val="0C0C0C"/>
                <w:sz w:val="18"/>
                <w:szCs w:val="18"/>
                <w:lang w:val="fr-FR"/>
              </w:rPr>
              <w:t>et les droits d</w:t>
            </w:r>
            <w:r w:rsidR="00F20C73">
              <w:rPr>
                <w:color w:val="0C0C0C"/>
                <w:sz w:val="18"/>
                <w:szCs w:val="18"/>
                <w:lang w:val="fr-FR"/>
              </w:rPr>
              <w:t>’</w:t>
            </w:r>
            <w:r>
              <w:rPr>
                <w:color w:val="0C0C0C"/>
                <w:sz w:val="18"/>
                <w:szCs w:val="18"/>
                <w:lang w:val="fr-FR"/>
              </w:rPr>
              <w:t>obtenteur dans le même pays</w:t>
            </w:r>
            <w:r w:rsidRPr="004C7CBB">
              <w:rPr>
                <w:color w:val="0C0C0C"/>
                <w:w w:val="102"/>
                <w:sz w:val="18"/>
                <w:szCs w:val="18"/>
                <w:lang w:val="fr-FR"/>
              </w:rPr>
              <w:t>.</w:t>
            </w:r>
          </w:p>
          <w:p w:rsidR="0020369A" w:rsidRPr="004C7CBB" w:rsidRDefault="0020369A" w:rsidP="00AF5046">
            <w:pPr>
              <w:rPr>
                <w:sz w:val="18"/>
                <w:szCs w:val="18"/>
                <w:lang w:val="fr-FR"/>
              </w:rPr>
            </w:pPr>
          </w:p>
          <w:p w:rsidR="0020369A" w:rsidRPr="004C7CBB" w:rsidRDefault="0020369A" w:rsidP="00AF5046">
            <w:pPr>
              <w:rPr>
                <w:sz w:val="18"/>
                <w:szCs w:val="18"/>
                <w:lang w:val="fr-FR"/>
              </w:rPr>
            </w:pPr>
            <w:r w:rsidRPr="004C7CBB">
              <w:rPr>
                <w:color w:val="0C0C0C"/>
                <w:sz w:val="18"/>
                <w:szCs w:val="18"/>
                <w:lang w:val="fr-FR"/>
              </w:rPr>
              <w:t>En général, on estime qu</w:t>
            </w:r>
            <w:r w:rsidR="00F20C73">
              <w:rPr>
                <w:color w:val="0C0C0C"/>
                <w:sz w:val="18"/>
                <w:szCs w:val="18"/>
                <w:lang w:val="fr-FR"/>
              </w:rPr>
              <w:t>’</w:t>
            </w:r>
            <w:r w:rsidRPr="004C7CBB">
              <w:rPr>
                <w:color w:val="0C0C0C"/>
                <w:sz w:val="18"/>
                <w:szCs w:val="18"/>
                <w:lang w:val="fr-FR"/>
              </w:rPr>
              <w:t xml:space="preserve">une plus grande harmonisation est nécessaire, ce qui revient à dire que les règles de dénomination devraient </w:t>
            </w:r>
            <w:r>
              <w:rPr>
                <w:color w:val="0C0C0C"/>
                <w:sz w:val="18"/>
                <w:szCs w:val="18"/>
                <w:lang w:val="fr-FR"/>
              </w:rPr>
              <w:t>être uniformisées partout dans le monde et qu</w:t>
            </w:r>
            <w:r w:rsidR="00F20C73">
              <w:rPr>
                <w:color w:val="0C0C0C"/>
                <w:sz w:val="18"/>
                <w:szCs w:val="18"/>
                <w:lang w:val="fr-FR"/>
              </w:rPr>
              <w:t>’</w:t>
            </w:r>
            <w:r>
              <w:rPr>
                <w:color w:val="0C0C0C"/>
                <w:sz w:val="18"/>
                <w:szCs w:val="18"/>
                <w:lang w:val="fr-FR"/>
              </w:rPr>
              <w:t>il devrait y avoir dans la mesure du possible un système central d</w:t>
            </w:r>
            <w:r w:rsidR="00F20C73">
              <w:rPr>
                <w:color w:val="0C0C0C"/>
                <w:sz w:val="18"/>
                <w:szCs w:val="18"/>
                <w:lang w:val="fr-FR"/>
              </w:rPr>
              <w:t>’</w:t>
            </w:r>
            <w:r>
              <w:rPr>
                <w:color w:val="0C0C0C"/>
                <w:sz w:val="18"/>
                <w:szCs w:val="18"/>
                <w:lang w:val="fr-FR"/>
              </w:rPr>
              <w:t>approbation.</w:t>
            </w:r>
          </w:p>
          <w:p w:rsidR="0020369A" w:rsidRPr="004C7CBB" w:rsidRDefault="0020369A" w:rsidP="00AF5046">
            <w:pPr>
              <w:rPr>
                <w:sz w:val="18"/>
                <w:szCs w:val="18"/>
                <w:lang w:val="fr-FR"/>
              </w:rPr>
            </w:pPr>
          </w:p>
          <w:p w:rsidR="0020369A" w:rsidRPr="004C7CBB" w:rsidRDefault="0020369A" w:rsidP="00AF5046">
            <w:pPr>
              <w:rPr>
                <w:color w:val="0D0D0D"/>
                <w:sz w:val="18"/>
                <w:szCs w:val="18"/>
                <w:u w:val="single"/>
                <w:lang w:val="fr-FR"/>
              </w:rPr>
            </w:pPr>
            <w:r w:rsidRPr="004C7CBB">
              <w:rPr>
                <w:color w:val="0C0C0C"/>
                <w:sz w:val="18"/>
                <w:szCs w:val="18"/>
                <w:lang w:val="fr-FR"/>
              </w:rPr>
              <w:t>Lorsqu</w:t>
            </w:r>
            <w:r w:rsidR="00F20C73">
              <w:rPr>
                <w:color w:val="0C0C0C"/>
                <w:sz w:val="18"/>
                <w:szCs w:val="18"/>
                <w:lang w:val="fr-FR"/>
              </w:rPr>
              <w:t>’</w:t>
            </w:r>
            <w:r w:rsidRPr="004C7CBB">
              <w:rPr>
                <w:color w:val="0C0C0C"/>
                <w:sz w:val="18"/>
                <w:szCs w:val="18"/>
                <w:lang w:val="fr-FR"/>
              </w:rPr>
              <w:t>il n</w:t>
            </w:r>
            <w:r w:rsidR="00F20C73">
              <w:rPr>
                <w:color w:val="0C0C0C"/>
                <w:sz w:val="18"/>
                <w:szCs w:val="18"/>
                <w:lang w:val="fr-FR"/>
              </w:rPr>
              <w:t>’</w:t>
            </w:r>
            <w:r w:rsidRPr="004C7CBB">
              <w:rPr>
                <w:color w:val="0C0C0C"/>
                <w:sz w:val="18"/>
                <w:szCs w:val="18"/>
                <w:lang w:val="fr-FR"/>
              </w:rPr>
              <w:t>est pas possible d</w:t>
            </w:r>
            <w:r w:rsidR="00F20C73">
              <w:rPr>
                <w:color w:val="0C0C0C"/>
                <w:sz w:val="18"/>
                <w:szCs w:val="18"/>
                <w:lang w:val="fr-FR"/>
              </w:rPr>
              <w:t>’</w:t>
            </w:r>
            <w:r w:rsidRPr="004C7CBB">
              <w:rPr>
                <w:color w:val="0C0C0C"/>
                <w:sz w:val="18"/>
                <w:szCs w:val="18"/>
                <w:lang w:val="fr-FR"/>
              </w:rPr>
              <w:t>avoir des règles mondiales</w:t>
            </w:r>
            <w:r w:rsidRPr="004C7CBB">
              <w:rPr>
                <w:color w:val="282A2A"/>
                <w:sz w:val="18"/>
                <w:szCs w:val="18"/>
                <w:lang w:val="fr-FR"/>
              </w:rPr>
              <w:t xml:space="preserve">, en raison </w:t>
            </w:r>
            <w:r w:rsidR="00917A8B">
              <w:rPr>
                <w:color w:val="282A2A"/>
                <w:sz w:val="18"/>
                <w:szCs w:val="18"/>
                <w:lang w:val="fr-FR"/>
              </w:rPr>
              <w:t>par exemple</w:t>
            </w:r>
            <w:r w:rsidRPr="004C7CBB">
              <w:rPr>
                <w:color w:val="282A2A"/>
                <w:sz w:val="18"/>
                <w:szCs w:val="18"/>
                <w:lang w:val="fr-FR"/>
              </w:rPr>
              <w:t xml:space="preserve"> de</w:t>
            </w:r>
            <w:r w:rsidRPr="004C7CBB">
              <w:rPr>
                <w:color w:val="0C0C0C"/>
                <w:sz w:val="18"/>
                <w:szCs w:val="18"/>
                <w:lang w:val="fr-FR"/>
              </w:rPr>
              <w:t xml:space="preserve"> différent</w:t>
            </w:r>
            <w:r>
              <w:rPr>
                <w:color w:val="0C0C0C"/>
                <w:sz w:val="18"/>
                <w:szCs w:val="18"/>
                <w:lang w:val="fr-FR"/>
              </w:rPr>
              <w:t>es polices de caractère</w:t>
            </w:r>
            <w:r w:rsidRPr="004C7CBB">
              <w:rPr>
                <w:color w:val="282A2A"/>
                <w:sz w:val="18"/>
                <w:szCs w:val="18"/>
                <w:lang w:val="fr-FR"/>
              </w:rPr>
              <w:t xml:space="preserve">, </w:t>
            </w:r>
            <w:r>
              <w:rPr>
                <w:color w:val="282A2A"/>
                <w:sz w:val="18"/>
                <w:szCs w:val="18"/>
                <w:lang w:val="fr-FR"/>
              </w:rPr>
              <w:t>des règles</w:t>
            </w:r>
            <w:r w:rsidRPr="004C7CBB">
              <w:rPr>
                <w:color w:val="0C0C0C"/>
                <w:sz w:val="18"/>
                <w:szCs w:val="18"/>
                <w:lang w:val="fr-FR"/>
              </w:rPr>
              <w:t xml:space="preserve"> </w:t>
            </w:r>
            <w:r>
              <w:rPr>
                <w:color w:val="0C0C0C"/>
                <w:sz w:val="18"/>
                <w:szCs w:val="18"/>
                <w:lang w:val="fr-FR"/>
              </w:rPr>
              <w:t>ré</w:t>
            </w:r>
            <w:r w:rsidRPr="004C7CBB">
              <w:rPr>
                <w:color w:val="0C0C0C"/>
                <w:sz w:val="18"/>
                <w:szCs w:val="18"/>
                <w:lang w:val="fr-FR"/>
              </w:rPr>
              <w:t>gional</w:t>
            </w:r>
            <w:r>
              <w:rPr>
                <w:color w:val="0C0C0C"/>
                <w:sz w:val="18"/>
                <w:szCs w:val="18"/>
                <w:lang w:val="fr-FR"/>
              </w:rPr>
              <w:t>es pourraient être envisagées</w:t>
            </w:r>
            <w:r w:rsidRPr="004C7CBB">
              <w:rPr>
                <w:color w:val="0C0C0C"/>
                <w:w w:val="102"/>
                <w:sz w:val="18"/>
                <w:szCs w:val="18"/>
                <w:lang w:val="fr-FR"/>
              </w:rPr>
              <w:t>.</w:t>
            </w:r>
          </w:p>
        </w:tc>
      </w:tr>
    </w:tbl>
    <w:p w:rsidR="0020369A" w:rsidRPr="004C7CBB" w:rsidRDefault="0020369A" w:rsidP="00AF5046">
      <w:pPr>
        <w:rPr>
          <w:lang w:val="fr-FR"/>
        </w:rPr>
      </w:pPr>
    </w:p>
    <w:p w:rsidR="0020369A" w:rsidRPr="0008421F" w:rsidRDefault="0020369A" w:rsidP="00372992">
      <w:pPr>
        <w:rPr>
          <w:spacing w:val="-2"/>
          <w:kern w:val="28"/>
          <w:lang w:val="fr-FR"/>
        </w:rPr>
      </w:pPr>
      <w:r w:rsidRPr="0008421F">
        <w:rPr>
          <w:spacing w:val="-2"/>
          <w:lang w:val="fr-FR"/>
        </w:rPr>
        <w:fldChar w:fldCharType="begin"/>
      </w:r>
      <w:r w:rsidRPr="0008421F">
        <w:rPr>
          <w:spacing w:val="-2"/>
          <w:lang w:val="fr-FR"/>
        </w:rPr>
        <w:instrText xml:space="preserve"> AUTONUM  </w:instrText>
      </w:r>
      <w:r w:rsidRPr="0008421F">
        <w:rPr>
          <w:spacing w:val="-2"/>
          <w:lang w:val="fr-FR"/>
        </w:rPr>
        <w:fldChar w:fldCharType="end"/>
      </w:r>
      <w:r w:rsidRPr="0008421F">
        <w:rPr>
          <w:spacing w:val="-2"/>
          <w:lang w:val="fr-FR"/>
        </w:rPr>
        <w:tab/>
        <w:t xml:space="preserve">Le CAJ est invité à prendre note </w:t>
      </w:r>
      <w:r>
        <w:rPr>
          <w:spacing w:val="-2"/>
          <w:lang w:val="fr-FR"/>
        </w:rPr>
        <w:t>que des éléments nouveaux concernant les dé</w:t>
      </w:r>
      <w:r w:rsidRPr="0008421F">
        <w:rPr>
          <w:spacing w:val="-2"/>
          <w:lang w:val="fr-FR"/>
        </w:rPr>
        <w:t>nominations</w:t>
      </w:r>
      <w:r>
        <w:rPr>
          <w:spacing w:val="-2"/>
          <w:lang w:val="fr-FR"/>
        </w:rPr>
        <w:t xml:space="preserve"> variétales qui pourraient s</w:t>
      </w:r>
      <w:r w:rsidR="00F20C73">
        <w:rPr>
          <w:spacing w:val="-2"/>
          <w:lang w:val="fr-FR"/>
        </w:rPr>
        <w:t>’</w:t>
      </w:r>
      <w:r>
        <w:rPr>
          <w:spacing w:val="-2"/>
          <w:lang w:val="fr-FR"/>
        </w:rPr>
        <w:t>appliquer dans le</w:t>
      </w:r>
      <w:r w:rsidRPr="0008421F">
        <w:rPr>
          <w:spacing w:val="-2"/>
          <w:lang w:val="fr-FR"/>
        </w:rPr>
        <w:t xml:space="preserve"> context</w:t>
      </w:r>
      <w:r>
        <w:rPr>
          <w:spacing w:val="-2"/>
          <w:lang w:val="fr-FR"/>
        </w:rPr>
        <w:t>e d</w:t>
      </w:r>
      <w:r w:rsidR="00F20C73">
        <w:rPr>
          <w:spacing w:val="-2"/>
          <w:lang w:val="fr-FR"/>
        </w:rPr>
        <w:t>’</w:t>
      </w:r>
      <w:r>
        <w:rPr>
          <w:spacing w:val="-2"/>
          <w:lang w:val="fr-FR"/>
        </w:rPr>
        <w:t>une révision éventuelle des</w:t>
      </w:r>
      <w:r w:rsidRPr="0008421F">
        <w:rPr>
          <w:spacing w:val="-2"/>
          <w:lang w:val="fr-FR"/>
        </w:rPr>
        <w:t xml:space="preserve"> </w:t>
      </w:r>
      <w:r w:rsidR="00F20C73">
        <w:rPr>
          <w:spacing w:val="-2"/>
          <w:lang w:val="fr-FR"/>
        </w:rPr>
        <w:t>“</w:t>
      </w:r>
      <w:r w:rsidRPr="0008421F">
        <w:rPr>
          <w:spacing w:val="-2"/>
          <w:lang w:val="fr-FR"/>
        </w:rPr>
        <w:t>Notes explicatives concernant les dénominations variétales selon la </w:t>
      </w:r>
      <w:r w:rsidR="00A039B4">
        <w:rPr>
          <w:spacing w:val="-2"/>
          <w:lang w:val="fr-FR"/>
        </w:rPr>
        <w:t>Convention UPOV</w:t>
      </w:r>
      <w:r w:rsidR="00F20C73">
        <w:rPr>
          <w:spacing w:val="-2"/>
          <w:lang w:val="fr-FR"/>
        </w:rPr>
        <w:t>”</w:t>
      </w:r>
      <w:r w:rsidRPr="0008421F">
        <w:rPr>
          <w:spacing w:val="-2"/>
          <w:lang w:val="fr-FR"/>
        </w:rPr>
        <w:t xml:space="preserve"> (document UPOV/INF/12/4) </w:t>
      </w:r>
      <w:r>
        <w:rPr>
          <w:spacing w:val="-2"/>
          <w:lang w:val="fr-FR"/>
        </w:rPr>
        <w:t>sont examinés</w:t>
      </w:r>
      <w:r w:rsidRPr="0008421F">
        <w:rPr>
          <w:spacing w:val="-2"/>
          <w:lang w:val="fr-FR"/>
        </w:rPr>
        <w:t xml:space="preserve"> dans le document CAJ/69/2 </w:t>
      </w:r>
      <w:r w:rsidR="00F20C73">
        <w:rPr>
          <w:spacing w:val="-2"/>
          <w:lang w:val="fr-FR"/>
        </w:rPr>
        <w:t>“</w:t>
      </w:r>
      <w:r w:rsidRPr="0008421F">
        <w:rPr>
          <w:spacing w:val="-2"/>
          <w:lang w:val="fr-FR"/>
        </w:rPr>
        <w:t>Élaboration de matériels d</w:t>
      </w:r>
      <w:r w:rsidR="00F20C73">
        <w:rPr>
          <w:spacing w:val="-2"/>
          <w:lang w:val="fr-FR"/>
        </w:rPr>
        <w:t>’</w:t>
      </w:r>
      <w:r w:rsidRPr="0008421F">
        <w:rPr>
          <w:spacing w:val="-2"/>
          <w:lang w:val="fr-FR"/>
        </w:rPr>
        <w:t xml:space="preserve">information concernant la </w:t>
      </w:r>
      <w:r w:rsidR="00A039B4">
        <w:rPr>
          <w:spacing w:val="-2"/>
          <w:lang w:val="fr-FR"/>
        </w:rPr>
        <w:t>Convention UPOV</w:t>
      </w:r>
      <w:r w:rsidR="00F20C73">
        <w:rPr>
          <w:spacing w:val="-2"/>
          <w:kern w:val="28"/>
          <w:lang w:val="fr-FR"/>
        </w:rPr>
        <w:t>”</w:t>
      </w:r>
      <w:r w:rsidRPr="0008421F">
        <w:rPr>
          <w:spacing w:val="-2"/>
          <w:kern w:val="28"/>
          <w:lang w:val="fr-FR"/>
        </w:rPr>
        <w:t>, le document</w:t>
      </w:r>
      <w:r w:rsidRPr="0008421F">
        <w:rPr>
          <w:spacing w:val="-2"/>
          <w:lang w:val="fr-FR"/>
        </w:rPr>
        <w:t xml:space="preserve"> CAJ/69/5 </w:t>
      </w:r>
      <w:r w:rsidR="00F20C73">
        <w:rPr>
          <w:spacing w:val="-2"/>
          <w:lang w:val="fr-FR"/>
        </w:rPr>
        <w:t>“</w:t>
      </w:r>
      <w:r>
        <w:rPr>
          <w:spacing w:val="-2"/>
          <w:kern w:val="28"/>
          <w:lang w:val="fr-FR"/>
        </w:rPr>
        <w:t>Dé</w:t>
      </w:r>
      <w:r w:rsidRPr="0008421F">
        <w:rPr>
          <w:spacing w:val="-2"/>
          <w:kern w:val="28"/>
          <w:lang w:val="fr-FR"/>
        </w:rPr>
        <w:t>nominations</w:t>
      </w:r>
      <w:r>
        <w:rPr>
          <w:spacing w:val="-2"/>
          <w:kern w:val="28"/>
          <w:lang w:val="fr-FR"/>
        </w:rPr>
        <w:t xml:space="preserve"> variétales</w:t>
      </w:r>
      <w:r w:rsidR="00F20C73">
        <w:rPr>
          <w:spacing w:val="-2"/>
          <w:kern w:val="28"/>
          <w:lang w:val="fr-FR"/>
        </w:rPr>
        <w:t>”</w:t>
      </w:r>
      <w:r w:rsidRPr="0008421F">
        <w:rPr>
          <w:spacing w:val="-2"/>
          <w:kern w:val="28"/>
          <w:lang w:val="fr-FR"/>
        </w:rPr>
        <w:t xml:space="preserve"> et le document CAJ/69/9 </w:t>
      </w:r>
      <w:r w:rsidR="00F20C73">
        <w:rPr>
          <w:spacing w:val="-2"/>
          <w:kern w:val="28"/>
          <w:lang w:val="fr-FR"/>
        </w:rPr>
        <w:t>“</w:t>
      </w:r>
      <w:r>
        <w:rPr>
          <w:spacing w:val="-2"/>
          <w:kern w:val="28"/>
          <w:lang w:val="fr-FR"/>
        </w:rPr>
        <w:t>P</w:t>
      </w:r>
      <w:r w:rsidRPr="0008421F">
        <w:rPr>
          <w:spacing w:val="-2"/>
          <w:kern w:val="28"/>
          <w:lang w:val="fr-FR"/>
        </w:rPr>
        <w:t>ossibilité d</w:t>
      </w:r>
      <w:r w:rsidR="00F20C73">
        <w:rPr>
          <w:spacing w:val="-2"/>
          <w:kern w:val="28"/>
          <w:lang w:val="fr-FR"/>
        </w:rPr>
        <w:t>’</w:t>
      </w:r>
      <w:r w:rsidRPr="0008421F">
        <w:rPr>
          <w:spacing w:val="-2"/>
          <w:kern w:val="28"/>
          <w:lang w:val="fr-FR"/>
        </w:rPr>
        <w:t>élaboration d</w:t>
      </w:r>
      <w:r w:rsidR="00F20C73">
        <w:rPr>
          <w:spacing w:val="-2"/>
          <w:kern w:val="28"/>
          <w:lang w:val="fr-FR"/>
        </w:rPr>
        <w:t>’</w:t>
      </w:r>
      <w:r w:rsidRPr="0008421F">
        <w:rPr>
          <w:spacing w:val="-2"/>
          <w:kern w:val="28"/>
          <w:lang w:val="fr-FR"/>
        </w:rPr>
        <w:t>un outil de recherche de l</w:t>
      </w:r>
      <w:r w:rsidR="00F20C73">
        <w:rPr>
          <w:spacing w:val="-2"/>
          <w:kern w:val="28"/>
          <w:lang w:val="fr-FR"/>
        </w:rPr>
        <w:t>’</w:t>
      </w:r>
      <w:r w:rsidRPr="0008421F">
        <w:rPr>
          <w:spacing w:val="-2"/>
          <w:kern w:val="28"/>
          <w:lang w:val="fr-FR"/>
        </w:rPr>
        <w:t>UPOV de similarité aux fins de la dénomination variétale</w:t>
      </w:r>
      <w:r w:rsidR="00F20C73">
        <w:rPr>
          <w:spacing w:val="-2"/>
          <w:kern w:val="28"/>
          <w:lang w:val="fr-FR"/>
        </w:rPr>
        <w:t>”</w:t>
      </w:r>
      <w:r w:rsidRPr="0008421F">
        <w:rPr>
          <w:spacing w:val="-2"/>
          <w:kern w:val="28"/>
          <w:lang w:val="fr-FR"/>
        </w:rPr>
        <w:t>.</w:t>
      </w:r>
    </w:p>
    <w:p w:rsidR="0020369A" w:rsidRPr="0008421F" w:rsidRDefault="0020369A" w:rsidP="00372992">
      <w:pPr>
        <w:rPr>
          <w:spacing w:val="-2"/>
          <w:kern w:val="28"/>
          <w:lang w:val="fr-FR"/>
        </w:rPr>
      </w:pPr>
    </w:p>
    <w:p w:rsidR="0020369A" w:rsidRDefault="0020369A" w:rsidP="004A5477">
      <w:pPr>
        <w:pStyle w:val="DecisionParagraphs"/>
        <w:spacing w:after="720"/>
        <w:rPr>
          <w:spacing w:val="-2"/>
          <w:lang w:val="fr-FR"/>
        </w:rPr>
      </w:pPr>
      <w:r w:rsidRPr="009E7571">
        <w:rPr>
          <w:spacing w:val="-2"/>
          <w:lang w:val="fr-FR"/>
        </w:rPr>
        <w:fldChar w:fldCharType="begin"/>
      </w:r>
      <w:r w:rsidRPr="009E7571">
        <w:rPr>
          <w:spacing w:val="-2"/>
          <w:lang w:val="fr-FR"/>
        </w:rPr>
        <w:instrText xml:space="preserve"> AUTONUM  </w:instrText>
      </w:r>
      <w:r w:rsidRPr="009E7571">
        <w:rPr>
          <w:spacing w:val="-2"/>
          <w:lang w:val="fr-FR"/>
        </w:rPr>
        <w:fldChar w:fldCharType="end"/>
      </w:r>
      <w:r w:rsidRPr="009E7571">
        <w:rPr>
          <w:spacing w:val="-2"/>
          <w:lang w:val="fr-FR"/>
        </w:rPr>
        <w:tab/>
        <w:t>Le CAJ est invité à examiner les questions soulevées par l</w:t>
      </w:r>
      <w:r w:rsidR="00F20C73">
        <w:rPr>
          <w:spacing w:val="-2"/>
          <w:lang w:val="fr-FR"/>
        </w:rPr>
        <w:t>’</w:t>
      </w:r>
      <w:r w:rsidRPr="009E7571">
        <w:rPr>
          <w:spacing w:val="-2"/>
          <w:lang w:val="fr-FR"/>
        </w:rPr>
        <w:t>ISF concernant les règles de dénomination</w:t>
      </w:r>
      <w:r>
        <w:rPr>
          <w:spacing w:val="-2"/>
          <w:lang w:val="fr-FR"/>
        </w:rPr>
        <w:t xml:space="preserve"> parallèlement à la révision éventuelle des</w:t>
      </w:r>
      <w:r w:rsidRPr="0008421F">
        <w:rPr>
          <w:spacing w:val="-2"/>
          <w:lang w:val="fr-FR"/>
        </w:rPr>
        <w:t xml:space="preserve"> </w:t>
      </w:r>
      <w:r w:rsidR="00F20C73">
        <w:rPr>
          <w:spacing w:val="-2"/>
          <w:lang w:val="fr-FR"/>
        </w:rPr>
        <w:t>“</w:t>
      </w:r>
      <w:r w:rsidRPr="0008421F">
        <w:rPr>
          <w:spacing w:val="-2"/>
          <w:lang w:val="fr-FR"/>
        </w:rPr>
        <w:t xml:space="preserve">Notes explicatives </w:t>
      </w:r>
      <w:r>
        <w:rPr>
          <w:spacing w:val="-2"/>
          <w:lang w:val="fr-FR"/>
        </w:rPr>
        <w:t>sur</w:t>
      </w:r>
      <w:r w:rsidRPr="0008421F">
        <w:rPr>
          <w:spacing w:val="-2"/>
          <w:lang w:val="fr-FR"/>
        </w:rPr>
        <w:t xml:space="preserve"> les dénominations variétales selon la </w:t>
      </w:r>
      <w:r w:rsidR="00A039B4">
        <w:rPr>
          <w:spacing w:val="-2"/>
          <w:lang w:val="fr-FR"/>
        </w:rPr>
        <w:t>Convention UPOV</w:t>
      </w:r>
      <w:r w:rsidR="00F20C73">
        <w:rPr>
          <w:spacing w:val="-2"/>
          <w:lang w:val="fr-FR"/>
        </w:rPr>
        <w:t>”</w:t>
      </w:r>
      <w:r w:rsidRPr="009E7571">
        <w:rPr>
          <w:spacing w:val="-2"/>
          <w:lang w:val="fr-FR"/>
        </w:rPr>
        <w:t xml:space="preserve">, </w:t>
      </w:r>
      <w:r>
        <w:rPr>
          <w:spacing w:val="-2"/>
          <w:lang w:val="fr-FR"/>
        </w:rPr>
        <w:t xml:space="preserve">comme indiqué dans le </w:t>
      </w:r>
      <w:r w:rsidRPr="009E7571">
        <w:rPr>
          <w:spacing w:val="-2"/>
          <w:lang w:val="fr-FR"/>
        </w:rPr>
        <w:t>paragraph</w:t>
      </w:r>
      <w:r>
        <w:rPr>
          <w:spacing w:val="-2"/>
          <w:lang w:val="fr-FR"/>
        </w:rPr>
        <w:t>e</w:t>
      </w:r>
      <w:r w:rsidR="002067E8">
        <w:rPr>
          <w:spacing w:val="-2"/>
          <w:lang w:val="fr-FR"/>
        </w:rPr>
        <w:t> </w:t>
      </w:r>
      <w:r w:rsidRPr="009E7571">
        <w:rPr>
          <w:spacing w:val="-2"/>
          <w:lang w:val="fr-FR"/>
        </w:rPr>
        <w:t>28</w:t>
      </w:r>
      <w:r>
        <w:rPr>
          <w:spacing w:val="-2"/>
          <w:lang w:val="fr-FR"/>
        </w:rPr>
        <w:t xml:space="preserve"> ci</w:t>
      </w:r>
      <w:r w:rsidR="0014634A">
        <w:rPr>
          <w:spacing w:val="-2"/>
          <w:lang w:val="fr-FR"/>
        </w:rPr>
        <w:noBreakHyphen/>
      </w:r>
      <w:r>
        <w:rPr>
          <w:spacing w:val="-2"/>
          <w:lang w:val="fr-FR"/>
        </w:rPr>
        <w:t>dessus</w:t>
      </w:r>
      <w:r w:rsidRPr="009E7571">
        <w:rPr>
          <w:spacing w:val="-2"/>
          <w:lang w:val="fr-FR"/>
        </w:rPr>
        <w:t>.</w:t>
      </w:r>
    </w:p>
    <w:p w:rsidR="00A039B4" w:rsidRDefault="0020369A" w:rsidP="00672A45">
      <w:pPr>
        <w:pStyle w:val="Heading1"/>
        <w:keepNext/>
        <w:ind w:left="567" w:hanging="567"/>
        <w:rPr>
          <w:lang w:val="fr-FR"/>
        </w:rPr>
      </w:pPr>
      <w:bookmarkStart w:id="54" w:name="_Toc381102838"/>
      <w:bookmarkStart w:id="55" w:name="_Toc381102868"/>
      <w:bookmarkStart w:id="56" w:name="_Toc381949573"/>
      <w:r w:rsidRPr="009E7571">
        <w:rPr>
          <w:lang w:val="fr-FR"/>
        </w:rPr>
        <w:t>II.</w:t>
      </w:r>
      <w:r w:rsidRPr="009E7571">
        <w:rPr>
          <w:lang w:val="fr-FR"/>
        </w:rPr>
        <w:tab/>
        <w:t>document</w:t>
      </w:r>
      <w:r w:rsidR="0014634A">
        <w:rPr>
          <w:lang w:val="fr-FR"/>
        </w:rPr>
        <w:noBreakHyphen/>
      </w:r>
      <w:r>
        <w:rPr>
          <w:lang w:val="fr-FR"/>
        </w:rPr>
        <w:t xml:space="preserve">cadre </w:t>
      </w:r>
      <w:r w:rsidRPr="009E7571">
        <w:rPr>
          <w:lang w:val="fr-FR"/>
        </w:rPr>
        <w:t xml:space="preserve">UPOV/INF/15 </w:t>
      </w:r>
      <w:r w:rsidR="00F20C73">
        <w:rPr>
          <w:lang w:val="fr-FR"/>
        </w:rPr>
        <w:t>“</w:t>
      </w:r>
      <w:r w:rsidRPr="009E7571">
        <w:rPr>
          <w:lang w:val="fr-FR"/>
        </w:rPr>
        <w:t>Document d</w:t>
      </w:r>
      <w:r w:rsidR="00F20C73">
        <w:rPr>
          <w:lang w:val="fr-FR"/>
        </w:rPr>
        <w:t>’</w:t>
      </w:r>
      <w:r w:rsidRPr="009E7571">
        <w:rPr>
          <w:lang w:val="fr-FR"/>
        </w:rPr>
        <w:t>orientation destin</w:t>
      </w:r>
      <w:r>
        <w:rPr>
          <w:lang w:val="fr-FR"/>
        </w:rPr>
        <w:t>É</w:t>
      </w:r>
      <w:r w:rsidRPr="009E7571">
        <w:rPr>
          <w:lang w:val="fr-FR"/>
        </w:rPr>
        <w:t xml:space="preserve"> aux membres de l</w:t>
      </w:r>
      <w:r w:rsidR="00F20C73">
        <w:rPr>
          <w:lang w:val="fr-FR"/>
        </w:rPr>
        <w:t>’</w:t>
      </w:r>
      <w:r w:rsidRPr="009E7571">
        <w:rPr>
          <w:lang w:val="fr-FR"/>
        </w:rPr>
        <w:t>UPOV concernant les obligations en cours et les notifications connexes ainsi que la fourniture d</w:t>
      </w:r>
      <w:r w:rsidR="00F20C73">
        <w:rPr>
          <w:lang w:val="fr-FR"/>
        </w:rPr>
        <w:t>’</w:t>
      </w:r>
      <w:r w:rsidRPr="009E7571">
        <w:rPr>
          <w:lang w:val="fr-FR"/>
        </w:rPr>
        <w:t xml:space="preserve">informations visant </w:t>
      </w:r>
      <w:r>
        <w:rPr>
          <w:lang w:val="fr-FR"/>
        </w:rPr>
        <w:t>À</w:t>
      </w:r>
      <w:r w:rsidRPr="009E7571">
        <w:rPr>
          <w:lang w:val="fr-FR"/>
        </w:rPr>
        <w:t xml:space="preserve"> faciliter la coop</w:t>
      </w:r>
      <w:r>
        <w:rPr>
          <w:lang w:val="fr-FR"/>
        </w:rPr>
        <w:t>É</w:t>
      </w:r>
      <w:r w:rsidRPr="009E7571">
        <w:rPr>
          <w:lang w:val="fr-FR"/>
        </w:rPr>
        <w:t>ration</w:t>
      </w:r>
      <w:bookmarkEnd w:id="54"/>
      <w:bookmarkEnd w:id="55"/>
      <w:bookmarkEnd w:id="56"/>
    </w:p>
    <w:p w:rsidR="0020369A" w:rsidRPr="009E7571" w:rsidRDefault="0020369A" w:rsidP="00672A45">
      <w:pPr>
        <w:pStyle w:val="Heading1"/>
        <w:keepNext/>
        <w:rPr>
          <w:lang w:val="fr-FR"/>
        </w:rPr>
      </w:pPr>
    </w:p>
    <w:p w:rsidR="0020369A" w:rsidRPr="002F3B03" w:rsidRDefault="0020369A" w:rsidP="0055760B">
      <w:pPr>
        <w:rPr>
          <w:lang w:val="fr-FR"/>
        </w:rPr>
      </w:pPr>
      <w:r w:rsidRPr="002F3B03">
        <w:rPr>
          <w:lang w:val="fr-FR"/>
        </w:rPr>
        <w:fldChar w:fldCharType="begin"/>
      </w:r>
      <w:r w:rsidRPr="002F3B03">
        <w:rPr>
          <w:lang w:val="fr-FR"/>
        </w:rPr>
        <w:instrText xml:space="preserve"> AUTONUM  </w:instrText>
      </w:r>
      <w:r w:rsidRPr="002F3B03">
        <w:rPr>
          <w:lang w:val="fr-FR"/>
        </w:rPr>
        <w:fldChar w:fldCharType="end"/>
      </w:r>
      <w:r w:rsidRPr="002F3B03">
        <w:rPr>
          <w:lang w:val="fr-FR"/>
        </w:rPr>
        <w:tab/>
        <w:t xml:space="preserve">Le document UPOV/INF/15 </w:t>
      </w:r>
      <w:r>
        <w:rPr>
          <w:lang w:val="fr-FR"/>
        </w:rPr>
        <w:t>contient actuellement</w:t>
      </w:r>
      <w:r w:rsidRPr="002F3B03">
        <w:rPr>
          <w:lang w:val="fr-FR"/>
        </w:rPr>
        <w:t xml:space="preserve"> des </w:t>
      </w:r>
      <w:r>
        <w:rPr>
          <w:lang w:val="fr-FR"/>
        </w:rPr>
        <w:t xml:space="preserve">orientations destinées </w:t>
      </w:r>
      <w:r w:rsidRPr="002F3B03">
        <w:rPr>
          <w:lang w:val="fr-FR"/>
        </w:rPr>
        <w:t>aux membres de l</w:t>
      </w:r>
      <w:r w:rsidR="00F20C73">
        <w:rPr>
          <w:lang w:val="fr-FR"/>
        </w:rPr>
        <w:t>’</w:t>
      </w:r>
      <w:r w:rsidRPr="002F3B03">
        <w:rPr>
          <w:lang w:val="fr-FR"/>
        </w:rPr>
        <w:t>Union</w:t>
      </w:r>
      <w:r>
        <w:rPr>
          <w:lang w:val="fr-FR"/>
        </w:rPr>
        <w:t xml:space="preserve"> </w:t>
      </w:r>
      <w:r w:rsidRPr="002F3B03">
        <w:rPr>
          <w:lang w:val="fr-FR"/>
        </w:rPr>
        <w:t xml:space="preserve">sur les obligations en cours et les notifications connexes, ainsi que </w:t>
      </w:r>
      <w:r>
        <w:rPr>
          <w:lang w:val="fr-FR"/>
        </w:rPr>
        <w:t xml:space="preserve">sur </w:t>
      </w:r>
      <w:r w:rsidRPr="002F3B03">
        <w:rPr>
          <w:lang w:val="fr-FR"/>
        </w:rPr>
        <w:t>la fourniture d</w:t>
      </w:r>
      <w:r w:rsidR="00F20C73">
        <w:rPr>
          <w:lang w:val="fr-FR"/>
        </w:rPr>
        <w:t>’</w:t>
      </w:r>
      <w:r w:rsidRPr="002F3B03">
        <w:rPr>
          <w:lang w:val="fr-FR"/>
        </w:rPr>
        <w:t xml:space="preserve">informations visant à faciliter la coopération. </w:t>
      </w:r>
      <w:r w:rsidR="002067E8">
        <w:rPr>
          <w:lang w:val="fr-FR"/>
        </w:rPr>
        <w:t xml:space="preserve"> </w:t>
      </w:r>
      <w:r w:rsidRPr="002F3B03">
        <w:rPr>
          <w:lang w:val="fr-FR"/>
        </w:rPr>
        <w:t>Lorsqu</w:t>
      </w:r>
      <w:r w:rsidR="00F20C73">
        <w:rPr>
          <w:lang w:val="fr-FR"/>
        </w:rPr>
        <w:t>’</w:t>
      </w:r>
      <w:r w:rsidRPr="002F3B03">
        <w:rPr>
          <w:lang w:val="fr-FR"/>
        </w:rPr>
        <w:t>ils sont nommés, les représentants au Conseil reçoivent une copie du document UPOV/INF/15.</w:t>
      </w:r>
    </w:p>
    <w:p w:rsidR="0020369A" w:rsidRPr="002F3B03" w:rsidRDefault="0020369A" w:rsidP="0055760B">
      <w:pPr>
        <w:rPr>
          <w:lang w:val="fr-FR"/>
        </w:rPr>
      </w:pPr>
    </w:p>
    <w:p w:rsidR="00A039B4" w:rsidRDefault="0020369A" w:rsidP="00D32845">
      <w:pPr>
        <w:spacing w:after="240"/>
        <w:rPr>
          <w:lang w:val="fr-FR"/>
        </w:rPr>
      </w:pPr>
      <w:r w:rsidRPr="00C41AC9">
        <w:rPr>
          <w:lang w:val="fr-FR"/>
        </w:rPr>
        <w:fldChar w:fldCharType="begin"/>
      </w:r>
      <w:r w:rsidRPr="00C41AC9">
        <w:rPr>
          <w:lang w:val="fr-FR"/>
        </w:rPr>
        <w:instrText xml:space="preserve"> AUTONUM  </w:instrText>
      </w:r>
      <w:r w:rsidRPr="00C41AC9">
        <w:rPr>
          <w:lang w:val="fr-FR"/>
        </w:rPr>
        <w:fldChar w:fldCharType="end"/>
      </w:r>
      <w:r w:rsidRPr="00C41AC9">
        <w:rPr>
          <w:lang w:val="fr-FR"/>
        </w:rPr>
        <w:tab/>
        <w:t>L</w:t>
      </w:r>
      <w:r w:rsidR="00F20C73">
        <w:rPr>
          <w:lang w:val="fr-FR"/>
        </w:rPr>
        <w:t>’</w:t>
      </w:r>
      <w:r w:rsidRPr="00C41AC9">
        <w:rPr>
          <w:lang w:val="fr-FR"/>
        </w:rPr>
        <w:t>invitation du Comité consultatif à sa quatre</w:t>
      </w:r>
      <w:r w:rsidR="0014634A">
        <w:rPr>
          <w:lang w:val="fr-FR"/>
        </w:rPr>
        <w:noBreakHyphen/>
      </w:r>
      <w:r w:rsidRPr="00C41AC9">
        <w:rPr>
          <w:lang w:val="fr-FR"/>
        </w:rPr>
        <w:t>vingt</w:t>
      </w:r>
      <w:r w:rsidR="0014634A">
        <w:rPr>
          <w:lang w:val="fr-FR"/>
        </w:rPr>
        <w:noBreakHyphen/>
      </w:r>
      <w:r w:rsidRPr="00C41AC9">
        <w:rPr>
          <w:lang w:val="fr-FR"/>
        </w:rPr>
        <w:t>sixième</w:t>
      </w:r>
      <w:r w:rsidR="002067E8">
        <w:rPr>
          <w:lang w:val="fr-FR"/>
        </w:rPr>
        <w:t> </w:t>
      </w:r>
      <w:r w:rsidRPr="00C41AC9">
        <w:rPr>
          <w:lang w:val="fr-FR"/>
        </w:rPr>
        <w:t>session porte sur la transformation du docu</w:t>
      </w:r>
      <w:r w:rsidR="00EA2CC5">
        <w:rPr>
          <w:lang w:val="fr-FR"/>
        </w:rPr>
        <w:t>ment UPOV/INF/15 en un document</w:t>
      </w:r>
      <w:r w:rsidR="00EA2CC5" w:rsidRPr="00EA2CC5">
        <w:rPr>
          <w:lang w:val="fr-FR"/>
        </w:rPr>
        <w:noBreakHyphen/>
      </w:r>
      <w:r w:rsidRPr="00C41AC9">
        <w:rPr>
          <w:lang w:val="fr-FR"/>
        </w:rPr>
        <w:t>cadre qui fournirait</w:t>
      </w:r>
      <w:r w:rsidR="002067E8">
        <w:rPr>
          <w:lang w:val="fr-FR"/>
        </w:rPr>
        <w:t> </w:t>
      </w:r>
      <w:r w:rsidRPr="00C41AC9">
        <w:rPr>
          <w:lang w:val="fr-FR"/>
        </w:rPr>
        <w:t>:</w:t>
      </w:r>
    </w:p>
    <w:p w:rsidR="00A039B4" w:rsidRDefault="0020369A" w:rsidP="00204A51">
      <w:pPr>
        <w:keepNext/>
        <w:spacing w:after="240"/>
        <w:ind w:firstLine="567"/>
        <w:rPr>
          <w:lang w:val="fr-FR"/>
        </w:rPr>
      </w:pPr>
      <w:r w:rsidRPr="00C41AC9">
        <w:rPr>
          <w:lang w:val="fr-FR"/>
        </w:rPr>
        <w:lastRenderedPageBreak/>
        <w:t>i)</w:t>
      </w:r>
      <w:r w:rsidRPr="00C41AC9">
        <w:rPr>
          <w:lang w:val="fr-FR"/>
        </w:rPr>
        <w:tab/>
        <w:t>un aperçu général du fonctionnement des principaux éléments d</w:t>
      </w:r>
      <w:r w:rsidR="00F20C73">
        <w:rPr>
          <w:lang w:val="fr-FR"/>
        </w:rPr>
        <w:t>’</w:t>
      </w:r>
      <w:r w:rsidRPr="00C41AC9">
        <w:rPr>
          <w:lang w:val="fr-FR"/>
        </w:rPr>
        <w:t xml:space="preserve">un système de protection des obtentions végétales; </w:t>
      </w:r>
      <w:r w:rsidR="002067E8">
        <w:rPr>
          <w:lang w:val="fr-FR"/>
        </w:rPr>
        <w:t xml:space="preserve"> </w:t>
      </w:r>
      <w:r w:rsidRPr="00C41AC9">
        <w:rPr>
          <w:lang w:val="fr-FR"/>
        </w:rPr>
        <w:t>et</w:t>
      </w:r>
    </w:p>
    <w:p w:rsidR="0020369A" w:rsidRPr="00C41AC9" w:rsidRDefault="0020369A" w:rsidP="0055760B">
      <w:pPr>
        <w:ind w:firstLine="567"/>
        <w:rPr>
          <w:lang w:val="fr-FR"/>
        </w:rPr>
      </w:pPr>
      <w:r w:rsidRPr="00C41AC9">
        <w:rPr>
          <w:lang w:val="fr-FR"/>
        </w:rPr>
        <w:t>ii)</w:t>
      </w:r>
      <w:r w:rsidRPr="00C41AC9">
        <w:rPr>
          <w:lang w:val="fr-FR"/>
        </w:rPr>
        <w:tab/>
        <w:t>un lien avec les orientations détaillées pertinentes.</w:t>
      </w:r>
    </w:p>
    <w:p w:rsidR="0020369A" w:rsidRPr="00C41AC9" w:rsidRDefault="0020369A" w:rsidP="00CB118D">
      <w:pPr>
        <w:rPr>
          <w:lang w:val="fr-FR"/>
        </w:rPr>
      </w:pPr>
      <w:bookmarkStart w:id="57" w:name="_GoBack"/>
      <w:bookmarkEnd w:id="57"/>
    </w:p>
    <w:p w:rsidR="0020369A" w:rsidRPr="00C41AC9" w:rsidRDefault="0020369A" w:rsidP="00CB118D">
      <w:pPr>
        <w:rPr>
          <w:lang w:val="fr-FR"/>
        </w:rPr>
      </w:pPr>
      <w:r w:rsidRPr="00C41AC9">
        <w:rPr>
          <w:lang w:val="fr-FR"/>
        </w:rPr>
        <w:fldChar w:fldCharType="begin"/>
      </w:r>
      <w:r w:rsidRPr="00C41AC9">
        <w:rPr>
          <w:lang w:val="fr-FR"/>
        </w:rPr>
        <w:instrText xml:space="preserve"> AUTONUM  </w:instrText>
      </w:r>
      <w:r w:rsidRPr="00C41AC9">
        <w:rPr>
          <w:lang w:val="fr-FR"/>
        </w:rPr>
        <w:fldChar w:fldCharType="end"/>
      </w:r>
      <w:r w:rsidRPr="00C41AC9">
        <w:rPr>
          <w:lang w:val="fr-FR"/>
        </w:rPr>
        <w:tab/>
        <w:t>Conformément à l</w:t>
      </w:r>
      <w:r w:rsidR="00F20C73">
        <w:rPr>
          <w:lang w:val="fr-FR"/>
        </w:rPr>
        <w:t>’</w:t>
      </w:r>
      <w:r w:rsidRPr="00C41AC9">
        <w:rPr>
          <w:lang w:val="fr-FR"/>
        </w:rPr>
        <w:t>invitation du Comité consultatif, il est proposé de modifier le titre du document UPOV/INF/15 en conséquence et d</w:t>
      </w:r>
      <w:r w:rsidR="00F20C73">
        <w:rPr>
          <w:lang w:val="fr-FR"/>
        </w:rPr>
        <w:t>’</w:t>
      </w:r>
      <w:r>
        <w:rPr>
          <w:lang w:val="fr-FR"/>
        </w:rPr>
        <w:t>incorporer les éléments pertinents des m</w:t>
      </w:r>
      <w:r w:rsidRPr="00C41AC9">
        <w:rPr>
          <w:lang w:val="fr-FR"/>
        </w:rPr>
        <w:t>odules</w:t>
      </w:r>
      <w:r w:rsidR="00EA2CC5">
        <w:rPr>
          <w:lang w:val="fr-FR"/>
        </w:rPr>
        <w:t> </w:t>
      </w:r>
      <w:r w:rsidRPr="00C41AC9">
        <w:rPr>
          <w:lang w:val="fr-FR"/>
        </w:rPr>
        <w:t xml:space="preserve">1 </w:t>
      </w:r>
      <w:r>
        <w:rPr>
          <w:lang w:val="fr-FR"/>
        </w:rPr>
        <w:t>et</w:t>
      </w:r>
      <w:r w:rsidRPr="00C41AC9">
        <w:rPr>
          <w:lang w:val="fr-FR"/>
        </w:rPr>
        <w:t xml:space="preserve"> 2 </w:t>
      </w:r>
      <w:r>
        <w:rPr>
          <w:lang w:val="fr-FR"/>
        </w:rPr>
        <w:t>du Programme d</w:t>
      </w:r>
      <w:r w:rsidR="00F20C73">
        <w:rPr>
          <w:lang w:val="fr-FR"/>
        </w:rPr>
        <w:t>’</w:t>
      </w:r>
      <w:r>
        <w:rPr>
          <w:lang w:val="fr-FR"/>
        </w:rPr>
        <w:t>enseignement à distance de l</w:t>
      </w:r>
      <w:r w:rsidR="00F20C73">
        <w:rPr>
          <w:lang w:val="fr-FR"/>
        </w:rPr>
        <w:t>’</w:t>
      </w:r>
      <w:r>
        <w:rPr>
          <w:lang w:val="fr-FR"/>
        </w:rPr>
        <w:t>U</w:t>
      </w:r>
      <w:r w:rsidRPr="00C41AC9">
        <w:rPr>
          <w:lang w:val="fr-FR"/>
        </w:rPr>
        <w:t>POV</w:t>
      </w:r>
      <w:r>
        <w:rPr>
          <w:lang w:val="fr-FR"/>
        </w:rPr>
        <w:t xml:space="preserve"> </w:t>
      </w:r>
      <w:r w:rsidR="00F20C73">
        <w:rPr>
          <w:lang w:val="fr-FR"/>
        </w:rPr>
        <w:t>“</w:t>
      </w:r>
      <w:r w:rsidRPr="00C41AC9">
        <w:rPr>
          <w:lang w:val="fr-FR"/>
        </w:rPr>
        <w:t>Examen des demandes de droit</w:t>
      </w:r>
      <w:r>
        <w:rPr>
          <w:lang w:val="fr-FR"/>
        </w:rPr>
        <w:t>s</w:t>
      </w:r>
      <w:r w:rsidRPr="00C41AC9">
        <w:rPr>
          <w:lang w:val="fr-FR"/>
        </w:rPr>
        <w:t xml:space="preserve"> d</w:t>
      </w:r>
      <w:r w:rsidR="00F20C73">
        <w:rPr>
          <w:lang w:val="fr-FR"/>
        </w:rPr>
        <w:t>’</w:t>
      </w:r>
      <w:r w:rsidRPr="00C41AC9">
        <w:rPr>
          <w:lang w:val="fr-FR"/>
        </w:rPr>
        <w:t>obtenteur</w:t>
      </w:r>
      <w:r w:rsidR="00F20C73">
        <w:rPr>
          <w:lang w:val="fr-FR"/>
        </w:rPr>
        <w:t>”</w:t>
      </w:r>
      <w:r w:rsidRPr="00C41AC9">
        <w:rPr>
          <w:lang w:val="fr-FR"/>
        </w:rPr>
        <w:t xml:space="preserve"> (DL 305) (</w:t>
      </w:r>
      <w:r w:rsidR="00933DDE">
        <w:rPr>
          <w:lang w:val="fr-FR"/>
        </w:rPr>
        <w:t xml:space="preserve">les </w:t>
      </w:r>
      <w:r>
        <w:rPr>
          <w:lang w:val="fr-FR"/>
        </w:rPr>
        <w:t>m</w:t>
      </w:r>
      <w:r w:rsidR="00EA2CC5">
        <w:rPr>
          <w:lang w:val="fr-FR"/>
        </w:rPr>
        <w:t>odules </w:t>
      </w:r>
      <w:r w:rsidRPr="00C41AC9">
        <w:rPr>
          <w:lang w:val="fr-FR"/>
        </w:rPr>
        <w:t xml:space="preserve">1 </w:t>
      </w:r>
      <w:r>
        <w:rPr>
          <w:lang w:val="fr-FR"/>
        </w:rPr>
        <w:t>et</w:t>
      </w:r>
      <w:r w:rsidRPr="00C41AC9">
        <w:rPr>
          <w:lang w:val="fr-FR"/>
        </w:rPr>
        <w:t xml:space="preserve"> 2 </w:t>
      </w:r>
      <w:r>
        <w:rPr>
          <w:lang w:val="fr-FR"/>
        </w:rPr>
        <w:t>du</w:t>
      </w:r>
      <w:r w:rsidRPr="00C41AC9">
        <w:rPr>
          <w:lang w:val="fr-FR"/>
        </w:rPr>
        <w:t xml:space="preserve"> DL</w:t>
      </w:r>
      <w:r w:rsidR="0014634A">
        <w:rPr>
          <w:lang w:val="fr-FR"/>
        </w:rPr>
        <w:noBreakHyphen/>
      </w:r>
      <w:r w:rsidRPr="00C41AC9">
        <w:rPr>
          <w:lang w:val="fr-FR"/>
        </w:rPr>
        <w:t xml:space="preserve">305 </w:t>
      </w:r>
      <w:r>
        <w:rPr>
          <w:lang w:val="fr-FR"/>
        </w:rPr>
        <w:t>sont reproduits à l</w:t>
      </w:r>
      <w:r w:rsidR="00F20C73">
        <w:rPr>
          <w:lang w:val="fr-FR"/>
        </w:rPr>
        <w:t>’</w:t>
      </w:r>
      <w:r>
        <w:rPr>
          <w:lang w:val="fr-FR"/>
        </w:rPr>
        <w:t>a</w:t>
      </w:r>
      <w:r w:rsidRPr="00C41AC9">
        <w:rPr>
          <w:lang w:val="fr-FR"/>
        </w:rPr>
        <w:t>nnex</w:t>
      </w:r>
      <w:r>
        <w:rPr>
          <w:lang w:val="fr-FR"/>
        </w:rPr>
        <w:t>e</w:t>
      </w:r>
      <w:r w:rsidRPr="00C41AC9">
        <w:rPr>
          <w:lang w:val="fr-FR"/>
        </w:rPr>
        <w:t xml:space="preserve"> </w:t>
      </w:r>
      <w:r>
        <w:rPr>
          <w:lang w:val="fr-FR"/>
        </w:rPr>
        <w:t>du présent</w:t>
      </w:r>
      <w:r w:rsidRPr="00C41AC9">
        <w:rPr>
          <w:lang w:val="fr-FR"/>
        </w:rPr>
        <w:t xml:space="preserve"> document) a</w:t>
      </w:r>
      <w:r>
        <w:rPr>
          <w:lang w:val="fr-FR"/>
        </w:rPr>
        <w:t>insi que les élé</w:t>
      </w:r>
      <w:r w:rsidRPr="00C41AC9">
        <w:rPr>
          <w:lang w:val="fr-FR"/>
        </w:rPr>
        <w:t xml:space="preserve">ments </w:t>
      </w:r>
      <w:r>
        <w:rPr>
          <w:lang w:val="fr-FR"/>
        </w:rPr>
        <w:t xml:space="preserve">qui </w:t>
      </w:r>
      <w:r w:rsidR="00933DDE">
        <w:rPr>
          <w:lang w:val="fr-FR"/>
        </w:rPr>
        <w:t>fer</w:t>
      </w:r>
      <w:r>
        <w:rPr>
          <w:lang w:val="fr-FR"/>
        </w:rPr>
        <w:t xml:space="preserve">ont </w:t>
      </w:r>
      <w:r w:rsidR="00E56043">
        <w:rPr>
          <w:lang w:val="fr-FR"/>
        </w:rPr>
        <w:t>l’objet d’u</w:t>
      </w:r>
      <w:r w:rsidR="00933DDE">
        <w:rPr>
          <w:lang w:val="fr-FR"/>
        </w:rPr>
        <w:t>n accord pour l’élaboration d’</w:t>
      </w:r>
      <w:r w:rsidR="00E56043">
        <w:rPr>
          <w:lang w:val="fr-FR"/>
        </w:rPr>
        <w:t xml:space="preserve">orientations concernant les </w:t>
      </w:r>
      <w:r>
        <w:rPr>
          <w:lang w:val="fr-FR"/>
        </w:rPr>
        <w:t xml:space="preserve">questions soulevées dans le présent </w:t>
      </w:r>
      <w:r w:rsidRPr="00C41AC9">
        <w:rPr>
          <w:lang w:val="fr-FR"/>
        </w:rPr>
        <w:t>document.</w:t>
      </w:r>
    </w:p>
    <w:p w:rsidR="0020369A" w:rsidRPr="00C41AC9" w:rsidRDefault="0020369A" w:rsidP="00CB118D">
      <w:pPr>
        <w:rPr>
          <w:lang w:val="fr-FR"/>
        </w:rPr>
      </w:pPr>
    </w:p>
    <w:p w:rsidR="0020369A" w:rsidRPr="002F3B03" w:rsidRDefault="0020369A" w:rsidP="00CB118D">
      <w:pPr>
        <w:pStyle w:val="DecisionParagraphs"/>
        <w:rPr>
          <w:lang w:val="fr-FR"/>
        </w:rPr>
      </w:pPr>
      <w:r w:rsidRPr="002F3B03">
        <w:rPr>
          <w:lang w:val="fr-FR"/>
        </w:rPr>
        <w:fldChar w:fldCharType="begin"/>
      </w:r>
      <w:r w:rsidRPr="002F3B03">
        <w:rPr>
          <w:lang w:val="fr-FR"/>
        </w:rPr>
        <w:instrText xml:space="preserve"> AUTONUM  </w:instrText>
      </w:r>
      <w:r w:rsidRPr="002F3B03">
        <w:rPr>
          <w:lang w:val="fr-FR"/>
        </w:rPr>
        <w:fldChar w:fldCharType="end"/>
      </w:r>
      <w:r w:rsidRPr="002F3B03">
        <w:rPr>
          <w:lang w:val="fr-FR"/>
        </w:rPr>
        <w:tab/>
        <w:t xml:space="preserve">Le CAJ est invité à transformer le </w:t>
      </w:r>
      <w:r w:rsidR="00A039B4" w:rsidRPr="002F3B03">
        <w:rPr>
          <w:kern w:val="28"/>
          <w:lang w:val="fr-FR"/>
        </w:rPr>
        <w:t>document</w:t>
      </w:r>
      <w:r w:rsidR="00A039B4">
        <w:rPr>
          <w:kern w:val="28"/>
          <w:lang w:val="fr-FR"/>
        </w:rPr>
        <w:t xml:space="preserve"> </w:t>
      </w:r>
      <w:r w:rsidR="00A039B4" w:rsidRPr="002F3B03">
        <w:rPr>
          <w:kern w:val="28"/>
          <w:lang w:val="fr-FR"/>
        </w:rPr>
        <w:t>UP</w:t>
      </w:r>
      <w:r w:rsidRPr="002F3B03">
        <w:rPr>
          <w:kern w:val="28"/>
          <w:lang w:val="fr-FR"/>
        </w:rPr>
        <w:t>OV/INF/15</w:t>
      </w:r>
      <w:r>
        <w:rPr>
          <w:kern w:val="28"/>
          <w:lang w:val="fr-FR"/>
        </w:rPr>
        <w:t xml:space="preserve"> </w:t>
      </w:r>
      <w:r w:rsidR="00F20C73">
        <w:rPr>
          <w:kern w:val="28"/>
          <w:lang w:val="fr-FR"/>
        </w:rPr>
        <w:t>“</w:t>
      </w:r>
      <w:r w:rsidRPr="002F3B03">
        <w:rPr>
          <w:kern w:val="28"/>
          <w:lang w:val="fr-FR"/>
        </w:rPr>
        <w:t>Document d</w:t>
      </w:r>
      <w:r w:rsidR="00F20C73">
        <w:rPr>
          <w:kern w:val="28"/>
          <w:lang w:val="fr-FR"/>
        </w:rPr>
        <w:t>’</w:t>
      </w:r>
      <w:r w:rsidRPr="002F3B03">
        <w:rPr>
          <w:kern w:val="28"/>
          <w:lang w:val="fr-FR"/>
        </w:rPr>
        <w:t>orientation destiné aux membres de l</w:t>
      </w:r>
      <w:r w:rsidR="00F20C73">
        <w:rPr>
          <w:kern w:val="28"/>
          <w:lang w:val="fr-FR"/>
        </w:rPr>
        <w:t>’</w:t>
      </w:r>
      <w:r w:rsidRPr="002F3B03">
        <w:rPr>
          <w:kern w:val="28"/>
          <w:lang w:val="fr-FR"/>
        </w:rPr>
        <w:t>UPOV concernant les obligations en cours et les notifications connexes ainsi que la fourniture d</w:t>
      </w:r>
      <w:r w:rsidR="00F20C73">
        <w:rPr>
          <w:kern w:val="28"/>
          <w:lang w:val="fr-FR"/>
        </w:rPr>
        <w:t>’</w:t>
      </w:r>
      <w:r w:rsidRPr="002F3B03">
        <w:rPr>
          <w:kern w:val="28"/>
          <w:lang w:val="fr-FR"/>
        </w:rPr>
        <w:t>informations visant à faciliter la coopération</w:t>
      </w:r>
      <w:r w:rsidR="00F20C73">
        <w:rPr>
          <w:kern w:val="28"/>
          <w:lang w:val="fr-FR"/>
        </w:rPr>
        <w:t>”</w:t>
      </w:r>
      <w:r w:rsidRPr="002F3B03">
        <w:rPr>
          <w:kern w:val="28"/>
          <w:lang w:val="fr-FR"/>
        </w:rPr>
        <w:t xml:space="preserve"> </w:t>
      </w:r>
      <w:r>
        <w:rPr>
          <w:kern w:val="28"/>
          <w:lang w:val="fr-FR"/>
        </w:rPr>
        <w:t>en</w:t>
      </w:r>
      <w:r w:rsidRPr="002F3B03">
        <w:rPr>
          <w:kern w:val="28"/>
          <w:lang w:val="fr-FR"/>
        </w:rPr>
        <w:t xml:space="preserve"> un document</w:t>
      </w:r>
      <w:r w:rsidR="0014634A">
        <w:rPr>
          <w:kern w:val="28"/>
          <w:lang w:val="fr-FR"/>
        </w:rPr>
        <w:noBreakHyphen/>
      </w:r>
      <w:r w:rsidRPr="002F3B03">
        <w:rPr>
          <w:kern w:val="28"/>
          <w:lang w:val="fr-FR"/>
        </w:rPr>
        <w:t>cadre qui déterminera les questions clés pour le fonctionnement d</w:t>
      </w:r>
      <w:r w:rsidR="00F20C73">
        <w:rPr>
          <w:kern w:val="28"/>
          <w:lang w:val="fr-FR"/>
        </w:rPr>
        <w:t>’</w:t>
      </w:r>
      <w:r w:rsidRPr="002F3B03">
        <w:rPr>
          <w:kern w:val="28"/>
          <w:lang w:val="fr-FR"/>
        </w:rPr>
        <w:t xml:space="preserve">un système de protection des obtentions végétales </w:t>
      </w:r>
      <w:r w:rsidR="00DB6E8B">
        <w:rPr>
          <w:kern w:val="28"/>
          <w:lang w:val="fr-FR"/>
        </w:rPr>
        <w:t>et fournira un</w:t>
      </w:r>
      <w:r w:rsidR="00DB6E8B" w:rsidRPr="00C41AC9">
        <w:rPr>
          <w:lang w:val="fr-FR"/>
        </w:rPr>
        <w:t xml:space="preserve"> lien avec les orientations détaillées pertinentes</w:t>
      </w:r>
      <w:r w:rsidR="00DB6E8B">
        <w:rPr>
          <w:kern w:val="28"/>
          <w:lang w:val="fr-FR"/>
        </w:rPr>
        <w:t xml:space="preserve"> </w:t>
      </w:r>
      <w:r>
        <w:rPr>
          <w:kern w:val="28"/>
          <w:lang w:val="fr-FR"/>
        </w:rPr>
        <w:t>comme indiqué dans le</w:t>
      </w:r>
      <w:r w:rsidRPr="002F3B03">
        <w:rPr>
          <w:lang w:val="fr-FR"/>
        </w:rPr>
        <w:t xml:space="preserve"> paragraph</w:t>
      </w:r>
      <w:r>
        <w:rPr>
          <w:lang w:val="fr-FR"/>
        </w:rPr>
        <w:t>e</w:t>
      </w:r>
      <w:r w:rsidR="002067E8">
        <w:rPr>
          <w:lang w:val="fr-FR"/>
        </w:rPr>
        <w:t> </w:t>
      </w:r>
      <w:r w:rsidRPr="002F3B03">
        <w:rPr>
          <w:lang w:val="fr-FR"/>
        </w:rPr>
        <w:t>32.</w:t>
      </w:r>
    </w:p>
    <w:p w:rsidR="0020369A" w:rsidRDefault="0020369A" w:rsidP="00CF5A07">
      <w:pPr>
        <w:pStyle w:val="DecisionParagraphs"/>
        <w:rPr>
          <w:lang w:val="fr-FR"/>
        </w:rPr>
      </w:pPr>
    </w:p>
    <w:p w:rsidR="004A5477" w:rsidRDefault="004A5477" w:rsidP="00CF5A07">
      <w:pPr>
        <w:pStyle w:val="DecisionParagraphs"/>
        <w:rPr>
          <w:lang w:val="fr-FR"/>
        </w:rPr>
      </w:pPr>
    </w:p>
    <w:p w:rsidR="004A5477" w:rsidRPr="002F3B03" w:rsidRDefault="004A5477" w:rsidP="00CF5A07">
      <w:pPr>
        <w:pStyle w:val="DecisionParagraphs"/>
        <w:rPr>
          <w:lang w:val="fr-FR"/>
        </w:rPr>
      </w:pPr>
    </w:p>
    <w:p w:rsidR="0020369A" w:rsidRPr="00F633F2" w:rsidRDefault="0020369A" w:rsidP="00641FEB">
      <w:pPr>
        <w:pStyle w:val="DecisionParagraphs"/>
        <w:jc w:val="right"/>
        <w:rPr>
          <w:i w:val="0"/>
          <w:iCs w:val="0"/>
          <w:lang w:val="fr-FR"/>
        </w:rPr>
      </w:pPr>
      <w:r w:rsidRPr="00F633F2">
        <w:rPr>
          <w:i w:val="0"/>
          <w:iCs w:val="0"/>
          <w:lang w:val="fr-FR"/>
        </w:rPr>
        <w:t>[L</w:t>
      </w:r>
      <w:r w:rsidR="00F20C73">
        <w:rPr>
          <w:i w:val="0"/>
          <w:iCs w:val="0"/>
          <w:lang w:val="fr-FR"/>
        </w:rPr>
        <w:t>’</w:t>
      </w:r>
      <w:r w:rsidRPr="00F633F2">
        <w:rPr>
          <w:i w:val="0"/>
          <w:iCs w:val="0"/>
          <w:lang w:val="fr-FR"/>
        </w:rPr>
        <w:t>annexe suit]</w:t>
      </w:r>
    </w:p>
    <w:p w:rsidR="0020369A" w:rsidRPr="00F633F2" w:rsidRDefault="0020369A" w:rsidP="006644BD">
      <w:pPr>
        <w:pStyle w:val="DecisionParagraphs"/>
        <w:rPr>
          <w:i w:val="0"/>
          <w:iCs w:val="0"/>
          <w:lang w:val="fr-FR"/>
        </w:rPr>
      </w:pPr>
    </w:p>
    <w:p w:rsidR="0020369A" w:rsidRPr="00F633F2" w:rsidRDefault="0020369A" w:rsidP="00641FEB">
      <w:pPr>
        <w:pStyle w:val="DecisionParagraphs"/>
        <w:jc w:val="right"/>
        <w:rPr>
          <w:i w:val="0"/>
          <w:iCs w:val="0"/>
          <w:lang w:val="fr-FR"/>
        </w:rPr>
        <w:sectPr w:rsidR="0020369A" w:rsidRPr="00F633F2" w:rsidSect="00906DDC">
          <w:headerReference w:type="default" r:id="rId14"/>
          <w:pgSz w:w="11907" w:h="16840" w:code="9"/>
          <w:pgMar w:top="510" w:right="1134" w:bottom="1134" w:left="1134" w:header="510" w:footer="680" w:gutter="0"/>
          <w:cols w:space="720"/>
          <w:titlePg/>
        </w:sectPr>
      </w:pPr>
    </w:p>
    <w:p w:rsidR="0020369A" w:rsidRPr="00F633F2" w:rsidRDefault="0020369A" w:rsidP="009560C5">
      <w:pPr>
        <w:jc w:val="center"/>
        <w:rPr>
          <w:lang w:val="fr-FR"/>
        </w:rPr>
      </w:pPr>
      <w:r w:rsidRPr="00F633F2">
        <w:rPr>
          <w:lang w:val="fr-FR"/>
        </w:rPr>
        <w:lastRenderedPageBreak/>
        <w:t>CAJ/69/10</w:t>
      </w:r>
    </w:p>
    <w:p w:rsidR="0020369A" w:rsidRPr="00F633F2" w:rsidRDefault="0020369A" w:rsidP="009560C5">
      <w:pPr>
        <w:jc w:val="center"/>
        <w:rPr>
          <w:lang w:val="fr-FR"/>
        </w:rPr>
      </w:pPr>
    </w:p>
    <w:p w:rsidR="0020369A" w:rsidRPr="002F3B03" w:rsidRDefault="0020369A" w:rsidP="009560C5">
      <w:pPr>
        <w:jc w:val="center"/>
        <w:rPr>
          <w:lang w:val="fr-FR"/>
        </w:rPr>
      </w:pPr>
      <w:r w:rsidRPr="002F3B03">
        <w:rPr>
          <w:lang w:val="fr-FR"/>
        </w:rPr>
        <w:t>ANNEXE</w:t>
      </w:r>
    </w:p>
    <w:p w:rsidR="0020369A" w:rsidRPr="002F3B03" w:rsidRDefault="0020369A" w:rsidP="009560C5">
      <w:pPr>
        <w:jc w:val="center"/>
        <w:rPr>
          <w:lang w:val="fr-FR"/>
        </w:rPr>
      </w:pPr>
    </w:p>
    <w:p w:rsidR="00F55485" w:rsidRDefault="00F55485" w:rsidP="00F55485">
      <w:pPr>
        <w:autoSpaceDE w:val="0"/>
        <w:autoSpaceDN w:val="0"/>
        <w:adjustRightInd w:val="0"/>
        <w:jc w:val="center"/>
        <w:rPr>
          <w:lang w:val="fr-FR"/>
        </w:rPr>
      </w:pPr>
    </w:p>
    <w:p w:rsidR="0020369A" w:rsidRDefault="00F55485" w:rsidP="00F55485">
      <w:pPr>
        <w:autoSpaceDE w:val="0"/>
        <w:autoSpaceDN w:val="0"/>
        <w:adjustRightInd w:val="0"/>
        <w:jc w:val="center"/>
        <w:rPr>
          <w:lang w:val="fr-FR"/>
        </w:rPr>
      </w:pPr>
      <w:r>
        <w:rPr>
          <w:lang w:val="fr-FR"/>
        </w:rPr>
        <w:t>PROGRAMME D</w:t>
      </w:r>
      <w:r w:rsidR="00F20C73">
        <w:rPr>
          <w:lang w:val="fr-FR"/>
        </w:rPr>
        <w:t>’</w:t>
      </w:r>
      <w:r>
        <w:rPr>
          <w:lang w:val="fr-FR"/>
        </w:rPr>
        <w:t>ENSEIGNEMENT À DISTANCE DE L</w:t>
      </w:r>
      <w:r w:rsidR="00F20C73">
        <w:rPr>
          <w:lang w:val="fr-FR"/>
        </w:rPr>
        <w:t>’</w:t>
      </w:r>
      <w:r>
        <w:rPr>
          <w:lang w:val="fr-FR"/>
        </w:rPr>
        <w:t xml:space="preserve">UPOV </w:t>
      </w:r>
      <w:r w:rsidR="00F20C73">
        <w:rPr>
          <w:lang w:val="fr-FR"/>
        </w:rPr>
        <w:t>“</w:t>
      </w:r>
      <w:r>
        <w:rPr>
          <w:lang w:val="fr-FR"/>
        </w:rPr>
        <w:t>EXAMEN DES DEMANDES</w:t>
      </w:r>
      <w:r>
        <w:rPr>
          <w:lang w:val="fr-FR"/>
        </w:rPr>
        <w:br/>
      </w:r>
      <w:r w:rsidRPr="001E7D84">
        <w:rPr>
          <w:lang w:val="fr-FR"/>
        </w:rPr>
        <w:t>DE DROITS D</w:t>
      </w:r>
      <w:r w:rsidR="00F20C73">
        <w:rPr>
          <w:lang w:val="fr-FR"/>
        </w:rPr>
        <w:t>’</w:t>
      </w:r>
      <w:r w:rsidRPr="001E7D84">
        <w:rPr>
          <w:lang w:val="fr-FR"/>
        </w:rPr>
        <w:t>OBTENTEUR</w:t>
      </w:r>
      <w:r w:rsidR="00F20C73">
        <w:rPr>
          <w:lang w:val="fr-FR"/>
        </w:rPr>
        <w:t>”</w:t>
      </w:r>
      <w:r>
        <w:rPr>
          <w:lang w:val="fr-FR"/>
        </w:rPr>
        <w:t xml:space="preserve"> (DL-305)</w:t>
      </w:r>
    </w:p>
    <w:p w:rsidR="00F55485" w:rsidRDefault="00F55485" w:rsidP="00F55485">
      <w:pPr>
        <w:rPr>
          <w:lang w:val="fr-FR"/>
        </w:rPr>
      </w:pPr>
    </w:p>
    <w:p w:rsidR="00860532" w:rsidRDefault="00860532" w:rsidP="002B092C">
      <w:pPr>
        <w:autoSpaceDE w:val="0"/>
        <w:autoSpaceDN w:val="0"/>
        <w:adjustRightInd w:val="0"/>
        <w:rPr>
          <w:lang w:val="fr-FR"/>
        </w:rPr>
      </w:pPr>
    </w:p>
    <w:p w:rsidR="00860532" w:rsidRPr="000B7F0C" w:rsidRDefault="00860532" w:rsidP="002B092C">
      <w:pPr>
        <w:autoSpaceDE w:val="0"/>
        <w:autoSpaceDN w:val="0"/>
        <w:adjustRightInd w:val="0"/>
        <w:rPr>
          <w:sz w:val="16"/>
          <w:lang w:val="fr-FR"/>
        </w:rPr>
      </w:pPr>
    </w:p>
    <w:p w:rsidR="00860532" w:rsidRPr="000B7F0C" w:rsidRDefault="00860532" w:rsidP="00F55485">
      <w:pPr>
        <w:rPr>
          <w:b/>
          <w:bCs/>
          <w:szCs w:val="24"/>
          <w:lang w:val="fr-FR"/>
        </w:rPr>
      </w:pPr>
      <w:r w:rsidRPr="000B7F0C">
        <w:rPr>
          <w:b/>
          <w:bCs/>
          <w:szCs w:val="24"/>
          <w:lang w:val="fr-FR"/>
        </w:rPr>
        <w:t>MODULE 1 : LE SERVICE D</w:t>
      </w:r>
      <w:r w:rsidR="00F20C73">
        <w:rPr>
          <w:b/>
          <w:bCs/>
          <w:szCs w:val="24"/>
          <w:lang w:val="fr-FR"/>
        </w:rPr>
        <w:t>’</w:t>
      </w:r>
      <w:r w:rsidRPr="000B7F0C">
        <w:rPr>
          <w:b/>
          <w:bCs/>
          <w:szCs w:val="24"/>
          <w:lang w:val="fr-FR"/>
        </w:rPr>
        <w:t>OCTROI DES DROITS D</w:t>
      </w:r>
      <w:r w:rsidR="00F20C73">
        <w:rPr>
          <w:b/>
          <w:bCs/>
          <w:szCs w:val="24"/>
          <w:lang w:val="fr-FR"/>
        </w:rPr>
        <w:t>’</w:t>
      </w:r>
      <w:r w:rsidRPr="000B7F0C">
        <w:rPr>
          <w:b/>
          <w:bCs/>
          <w:szCs w:val="24"/>
          <w:lang w:val="fr-FR"/>
        </w:rPr>
        <w:t>OBTENTEUR</w:t>
      </w:r>
    </w:p>
    <w:p w:rsidR="00860532" w:rsidRPr="000B7F0C" w:rsidRDefault="00860532" w:rsidP="00F55485">
      <w:pPr>
        <w:rPr>
          <w:sz w:val="16"/>
          <w:lang w:val="fr-FR"/>
        </w:rPr>
      </w:pPr>
    </w:p>
    <w:p w:rsidR="00860532" w:rsidRPr="00092B5B" w:rsidRDefault="00860532" w:rsidP="00F55485">
      <w:pPr>
        <w:rPr>
          <w:u w:val="single"/>
          <w:lang w:val="fr-FR"/>
        </w:rPr>
      </w:pPr>
      <w:r w:rsidRPr="00092B5B">
        <w:rPr>
          <w:u w:val="single"/>
          <w:lang w:val="fr-FR"/>
        </w:rPr>
        <w:t>Objectif</w:t>
      </w:r>
    </w:p>
    <w:p w:rsidR="00860532" w:rsidRPr="00092B5B" w:rsidRDefault="00860532" w:rsidP="00F55485">
      <w:pPr>
        <w:rPr>
          <w:i/>
          <w:iCs/>
          <w:lang w:val="fr-FR"/>
        </w:rPr>
      </w:pPr>
    </w:p>
    <w:p w:rsidR="00860532" w:rsidRPr="00092B5B" w:rsidRDefault="00860532" w:rsidP="00F55485">
      <w:pPr>
        <w:rPr>
          <w:i/>
          <w:iCs/>
          <w:lang w:val="fr-FR"/>
        </w:rPr>
      </w:pPr>
      <w:r w:rsidRPr="00092B5B">
        <w:rPr>
          <w:i/>
          <w:iCs/>
          <w:lang w:val="fr-FR"/>
        </w:rPr>
        <w:t>L</w:t>
      </w:r>
      <w:r w:rsidR="00F20C73">
        <w:rPr>
          <w:i/>
          <w:iCs/>
          <w:lang w:val="fr-FR"/>
        </w:rPr>
        <w:t>’</w:t>
      </w:r>
      <w:r w:rsidRPr="00092B5B">
        <w:rPr>
          <w:i/>
          <w:iCs/>
          <w:lang w:val="fr-FR"/>
        </w:rPr>
        <w:t>objectif du présent module est de donner un aperçu général de la structure et des fonctions d</w:t>
      </w:r>
      <w:r w:rsidR="00F20C73">
        <w:rPr>
          <w:i/>
          <w:iCs/>
          <w:lang w:val="fr-FR"/>
        </w:rPr>
        <w:t>’</w:t>
      </w:r>
      <w:r w:rsidRPr="00092B5B">
        <w:rPr>
          <w:i/>
          <w:iCs/>
          <w:lang w:val="fr-FR"/>
        </w:rPr>
        <w:t>un service d</w:t>
      </w:r>
      <w:r w:rsidR="00F20C73">
        <w:rPr>
          <w:i/>
          <w:iCs/>
          <w:lang w:val="fr-FR"/>
        </w:rPr>
        <w:t>’</w:t>
      </w:r>
      <w:r w:rsidRPr="00092B5B">
        <w:rPr>
          <w:i/>
          <w:iCs/>
          <w:lang w:val="fr-FR"/>
        </w:rPr>
        <w:t>octroi des droits d</w:t>
      </w:r>
      <w:r w:rsidR="00F20C73">
        <w:rPr>
          <w:i/>
          <w:iCs/>
          <w:lang w:val="fr-FR"/>
        </w:rPr>
        <w:t>’</w:t>
      </w:r>
      <w:r w:rsidRPr="00092B5B">
        <w:rPr>
          <w:i/>
          <w:iCs/>
          <w:lang w:val="fr-FR"/>
        </w:rPr>
        <w:t>obtenteur.</w:t>
      </w:r>
    </w:p>
    <w:p w:rsidR="00860532" w:rsidRPr="00092B5B" w:rsidRDefault="00860532" w:rsidP="00F55485">
      <w:pPr>
        <w:rPr>
          <w:u w:val="single"/>
          <w:lang w:val="fr-FR"/>
        </w:rPr>
      </w:pPr>
    </w:p>
    <w:p w:rsidR="00860532" w:rsidRPr="00092B5B" w:rsidRDefault="00860532" w:rsidP="00F55485">
      <w:pPr>
        <w:rPr>
          <w:u w:val="single"/>
          <w:lang w:val="fr-FR"/>
        </w:rPr>
      </w:pPr>
    </w:p>
    <w:p w:rsidR="00860532" w:rsidRPr="00092B5B" w:rsidRDefault="00860532" w:rsidP="000B7F0C">
      <w:pPr>
        <w:pStyle w:val="Heading1"/>
        <w:rPr>
          <w:lang w:val="fr-FR"/>
        </w:rPr>
      </w:pPr>
      <w:r w:rsidRPr="00092B5B">
        <w:rPr>
          <w:u w:val="single"/>
          <w:lang w:val="fr-FR"/>
        </w:rPr>
        <w:br w:type="page"/>
      </w:r>
      <w:bookmarkStart w:id="58" w:name="_Toc382397524"/>
      <w:r w:rsidRPr="00092B5B">
        <w:rPr>
          <w:lang w:val="fr-FR"/>
        </w:rPr>
        <w:lastRenderedPageBreak/>
        <w:t>Introduction</w:t>
      </w:r>
      <w:bookmarkEnd w:id="58"/>
    </w:p>
    <w:p w:rsidR="00860532" w:rsidRPr="00092B5B" w:rsidRDefault="00860532" w:rsidP="00F55485">
      <w:pPr>
        <w:rPr>
          <w:lang w:val="fr-FR"/>
        </w:rPr>
      </w:pPr>
    </w:p>
    <w:p w:rsidR="00860532" w:rsidRPr="00092B5B" w:rsidRDefault="00860532" w:rsidP="00F55485">
      <w:pPr>
        <w:rPr>
          <w:lang w:val="fr-FR"/>
        </w:rPr>
      </w:pPr>
      <w:r w:rsidRPr="00092B5B">
        <w:rPr>
          <w:lang w:val="fr-FR"/>
        </w:rPr>
        <w:t>Les demandes de droits d</w:t>
      </w:r>
      <w:r w:rsidR="00F20C73">
        <w:rPr>
          <w:lang w:val="fr-FR"/>
        </w:rPr>
        <w:t>’</w:t>
      </w:r>
      <w:r w:rsidRPr="00092B5B">
        <w:rPr>
          <w:lang w:val="fr-FR"/>
        </w:rPr>
        <w:t>obtenteur sont soumises à l</w:t>
      </w:r>
      <w:r w:rsidR="00F20C73">
        <w:rPr>
          <w:lang w:val="fr-FR"/>
        </w:rPr>
        <w:t>’</w:t>
      </w:r>
      <w:r w:rsidRPr="00092B5B">
        <w:rPr>
          <w:lang w:val="fr-FR"/>
        </w:rPr>
        <w:t>examen du service établi sur le territoire du membre de l</w:t>
      </w:r>
      <w:r w:rsidR="00F20C73">
        <w:rPr>
          <w:lang w:val="fr-FR"/>
        </w:rPr>
        <w:t>’</w:t>
      </w:r>
      <w:r w:rsidRPr="00092B5B">
        <w:rPr>
          <w:lang w:val="fr-FR"/>
        </w:rPr>
        <w:t>UPOV concerné.  Conformément à l</w:t>
      </w:r>
      <w:r w:rsidR="00F20C73">
        <w:rPr>
          <w:lang w:val="fr-FR"/>
        </w:rPr>
        <w:t>’</w:t>
      </w:r>
      <w:r w:rsidRPr="00092B5B">
        <w:rPr>
          <w:lang w:val="fr-FR"/>
        </w:rPr>
        <w:t>article 30 de l</w:t>
      </w:r>
      <w:r w:rsidR="00F20C73">
        <w:rPr>
          <w:lang w:val="fr-FR"/>
        </w:rPr>
        <w:t>’</w:t>
      </w:r>
      <w:r w:rsidRPr="00092B5B">
        <w:rPr>
          <w:lang w:val="fr-FR"/>
        </w:rPr>
        <w:t>Acte de 1991 et à l</w:t>
      </w:r>
      <w:r w:rsidR="00F20C73">
        <w:rPr>
          <w:lang w:val="fr-FR"/>
        </w:rPr>
        <w:t>’</w:t>
      </w:r>
      <w:r w:rsidRPr="00092B5B">
        <w:rPr>
          <w:lang w:val="fr-FR"/>
        </w:rPr>
        <w:t>article 7 de l</w:t>
      </w:r>
      <w:r w:rsidR="00F20C73">
        <w:rPr>
          <w:lang w:val="fr-FR"/>
        </w:rPr>
        <w:t>’</w:t>
      </w:r>
      <w:r w:rsidRPr="00092B5B">
        <w:rPr>
          <w:lang w:val="fr-FR"/>
        </w:rPr>
        <w:t>Acte de 1978 de la Convention UPOV, les membres de l</w:t>
      </w:r>
      <w:r w:rsidR="00F20C73">
        <w:rPr>
          <w:lang w:val="fr-FR"/>
        </w:rPr>
        <w:t>’</w:t>
      </w:r>
      <w:r w:rsidRPr="00092B5B">
        <w:rPr>
          <w:lang w:val="fr-FR"/>
        </w:rPr>
        <w:t>UPOV établissent un service chargé d</w:t>
      </w:r>
      <w:r w:rsidR="00F20C73">
        <w:rPr>
          <w:lang w:val="fr-FR"/>
        </w:rPr>
        <w:t>’</w:t>
      </w:r>
      <w:r w:rsidRPr="00092B5B">
        <w:rPr>
          <w:lang w:val="fr-FR"/>
        </w:rPr>
        <w:t>octroyer des droits d</w:t>
      </w:r>
      <w:r w:rsidR="00F20C73">
        <w:rPr>
          <w:lang w:val="fr-FR"/>
        </w:rPr>
        <w:t>’</w:t>
      </w:r>
      <w:r w:rsidRPr="00092B5B">
        <w:rPr>
          <w:lang w:val="fr-FR"/>
        </w:rPr>
        <w:t>obtenteur.  Ils veillent également à ce que le public soit informé des demandes de droit d</w:t>
      </w:r>
      <w:r w:rsidR="00F20C73">
        <w:rPr>
          <w:lang w:val="fr-FR"/>
        </w:rPr>
        <w:t>’</w:t>
      </w:r>
      <w:r w:rsidRPr="00092B5B">
        <w:rPr>
          <w:lang w:val="fr-FR"/>
        </w:rPr>
        <w:t>obtenteur et des droits d</w:t>
      </w:r>
      <w:r w:rsidR="00F20C73">
        <w:rPr>
          <w:lang w:val="fr-FR"/>
        </w:rPr>
        <w:t>’</w:t>
      </w:r>
      <w:r w:rsidRPr="00092B5B">
        <w:rPr>
          <w:lang w:val="fr-FR"/>
        </w:rPr>
        <w:t>obtenteur délivrés ainsi que des dénominations proposées et approuvées.</w:t>
      </w:r>
    </w:p>
    <w:p w:rsidR="00860532" w:rsidRPr="00092B5B" w:rsidRDefault="00860532" w:rsidP="00F55485">
      <w:pPr>
        <w:rPr>
          <w:lang w:val="fr-FR"/>
        </w:rPr>
      </w:pPr>
    </w:p>
    <w:p w:rsidR="00860532" w:rsidRPr="00092B5B" w:rsidRDefault="00F20C73" w:rsidP="00F55485">
      <w:pPr>
        <w:ind w:left="1134" w:right="1134"/>
        <w:rPr>
          <w:lang w:val="fr-FR"/>
        </w:rPr>
      </w:pPr>
      <w:r>
        <w:rPr>
          <w:lang w:val="fr-FR"/>
        </w:rPr>
        <w:t>“</w:t>
      </w:r>
      <w:r w:rsidR="00860532" w:rsidRPr="00092B5B">
        <w:rPr>
          <w:b/>
          <w:bCs/>
          <w:lang w:val="fr-FR"/>
        </w:rPr>
        <w:t xml:space="preserve">Article 30 Application de la Convention </w:t>
      </w:r>
      <w:r w:rsidR="00860532" w:rsidRPr="00092B5B">
        <w:rPr>
          <w:lang w:val="fr-FR"/>
        </w:rPr>
        <w:t>1) Chaque Partie contractante prend toutes mesures nécessaires pour l</w:t>
      </w:r>
      <w:r>
        <w:rPr>
          <w:lang w:val="fr-FR"/>
        </w:rPr>
        <w:t>’</w:t>
      </w:r>
      <w:r w:rsidR="00860532" w:rsidRPr="00092B5B">
        <w:rPr>
          <w:lang w:val="fr-FR"/>
        </w:rPr>
        <w:t>application de la présente Convention et, notamment :</w:t>
      </w:r>
      <w:r w:rsidR="00860532">
        <w:rPr>
          <w:lang w:val="fr-FR"/>
        </w:rPr>
        <w:t xml:space="preserve"> </w:t>
      </w:r>
      <w:r w:rsidR="00860532" w:rsidRPr="00092B5B">
        <w:rPr>
          <w:lang w:val="fr-FR"/>
        </w:rPr>
        <w:t>[…] ii) établit un service chargé d</w:t>
      </w:r>
      <w:r>
        <w:rPr>
          <w:lang w:val="fr-FR"/>
        </w:rPr>
        <w:t>’</w:t>
      </w:r>
      <w:r w:rsidR="00860532" w:rsidRPr="00092B5B">
        <w:rPr>
          <w:lang w:val="fr-FR"/>
        </w:rPr>
        <w:t>octroyer des droits d</w:t>
      </w:r>
      <w:r>
        <w:rPr>
          <w:lang w:val="fr-FR"/>
        </w:rPr>
        <w:t>’</w:t>
      </w:r>
      <w:r w:rsidR="00860532" w:rsidRPr="00092B5B">
        <w:rPr>
          <w:lang w:val="fr-FR"/>
        </w:rPr>
        <w:t>obtenteur ou charge le service établi par une autre Partie contractante d</w:t>
      </w:r>
      <w:r>
        <w:rPr>
          <w:lang w:val="fr-FR"/>
        </w:rPr>
        <w:t>’</w:t>
      </w:r>
      <w:r w:rsidR="00860532" w:rsidRPr="00092B5B">
        <w:rPr>
          <w:lang w:val="fr-FR"/>
        </w:rPr>
        <w:t>octroyer de tels droits;  iii) assure l</w:t>
      </w:r>
      <w:r>
        <w:rPr>
          <w:lang w:val="fr-FR"/>
        </w:rPr>
        <w:t>’</w:t>
      </w:r>
      <w:r w:rsidR="00860532" w:rsidRPr="00092B5B">
        <w:rPr>
          <w:lang w:val="fr-FR"/>
        </w:rPr>
        <w:t>information du public par la publication périodique de renseignements sur – les demandes de droits d</w:t>
      </w:r>
      <w:r>
        <w:rPr>
          <w:lang w:val="fr-FR"/>
        </w:rPr>
        <w:t>’</w:t>
      </w:r>
      <w:r w:rsidR="00860532" w:rsidRPr="00092B5B">
        <w:rPr>
          <w:lang w:val="fr-FR"/>
        </w:rPr>
        <w:t>obtenteur et les droits d</w:t>
      </w:r>
      <w:r>
        <w:rPr>
          <w:lang w:val="fr-FR"/>
        </w:rPr>
        <w:t>’</w:t>
      </w:r>
      <w:r w:rsidR="00860532" w:rsidRPr="00092B5B">
        <w:rPr>
          <w:lang w:val="fr-FR"/>
        </w:rPr>
        <w:t>obtenteur délivrés, et – les dénominations proposées et approuvées</w:t>
      </w:r>
      <w:r>
        <w:rPr>
          <w:lang w:val="fr-FR"/>
        </w:rPr>
        <w:t>”</w:t>
      </w:r>
      <w:r w:rsidR="00860532" w:rsidRPr="00092B5B">
        <w:rPr>
          <w:lang w:val="fr-FR"/>
        </w:rPr>
        <w:t>.</w:t>
      </w:r>
    </w:p>
    <w:p w:rsidR="00860532" w:rsidRPr="00092B5B" w:rsidRDefault="00860532" w:rsidP="00F55485">
      <w:pPr>
        <w:rPr>
          <w:lang w:val="fr-FR"/>
        </w:rPr>
      </w:pPr>
    </w:p>
    <w:p w:rsidR="00860532" w:rsidRPr="00092B5B" w:rsidRDefault="00860532" w:rsidP="00F55485">
      <w:pPr>
        <w:rPr>
          <w:lang w:val="fr-FR"/>
        </w:rPr>
      </w:pPr>
      <w:r w:rsidRPr="00092B5B">
        <w:rPr>
          <w:lang w:val="fr-FR"/>
        </w:rPr>
        <w:t>La taille et la structure du service d</w:t>
      </w:r>
      <w:r w:rsidR="00F20C73">
        <w:rPr>
          <w:lang w:val="fr-FR"/>
        </w:rPr>
        <w:t>’</w:t>
      </w:r>
      <w:r w:rsidRPr="00092B5B">
        <w:rPr>
          <w:lang w:val="fr-FR"/>
        </w:rPr>
        <w:t>octroi des droits d</w:t>
      </w:r>
      <w:r w:rsidR="00F20C73">
        <w:rPr>
          <w:lang w:val="fr-FR"/>
        </w:rPr>
        <w:t>’</w:t>
      </w:r>
      <w:r w:rsidRPr="00092B5B">
        <w:rPr>
          <w:lang w:val="fr-FR"/>
        </w:rPr>
        <w:t>obtenteur varient en fonction de la manière dont chaque membre de l</w:t>
      </w:r>
      <w:r w:rsidR="00F20C73">
        <w:rPr>
          <w:lang w:val="fr-FR"/>
        </w:rPr>
        <w:t>’</w:t>
      </w:r>
      <w:r w:rsidRPr="00092B5B">
        <w:rPr>
          <w:lang w:val="fr-FR"/>
        </w:rPr>
        <w:t>UPOV prévoit l</w:t>
      </w:r>
      <w:r w:rsidR="00F20C73">
        <w:rPr>
          <w:lang w:val="fr-FR"/>
        </w:rPr>
        <w:t>’</w:t>
      </w:r>
      <w:r w:rsidRPr="00092B5B">
        <w:rPr>
          <w:lang w:val="fr-FR"/>
        </w:rPr>
        <w:t>application de la Convention UPOV et l</w:t>
      </w:r>
      <w:r w:rsidR="00F20C73">
        <w:rPr>
          <w:lang w:val="fr-FR"/>
        </w:rPr>
        <w:t>’</w:t>
      </w:r>
      <w:r w:rsidRPr="00092B5B">
        <w:rPr>
          <w:lang w:val="fr-FR"/>
        </w:rPr>
        <w:t>examen des demandes de droits d</w:t>
      </w:r>
      <w:r w:rsidR="00F20C73">
        <w:rPr>
          <w:lang w:val="fr-FR"/>
        </w:rPr>
        <w:t>’</w:t>
      </w:r>
      <w:r w:rsidRPr="00092B5B">
        <w:rPr>
          <w:lang w:val="fr-FR"/>
        </w:rPr>
        <w:t>obtenteur en particulier.</w:t>
      </w:r>
    </w:p>
    <w:p w:rsidR="00860532" w:rsidRPr="00092B5B" w:rsidRDefault="00860532" w:rsidP="00F55485">
      <w:pPr>
        <w:rPr>
          <w:lang w:val="fr-FR"/>
        </w:rPr>
      </w:pPr>
    </w:p>
    <w:p w:rsidR="00860532" w:rsidRPr="00092B5B" w:rsidRDefault="00860532" w:rsidP="00F55485">
      <w:pPr>
        <w:rPr>
          <w:lang w:val="fr-FR"/>
        </w:rPr>
      </w:pPr>
      <w:r w:rsidRPr="00092B5B">
        <w:rPr>
          <w:lang w:val="fr-FR"/>
        </w:rPr>
        <w:t>L</w:t>
      </w:r>
      <w:r w:rsidR="00F20C73">
        <w:rPr>
          <w:lang w:val="fr-FR"/>
        </w:rPr>
        <w:t>’</w:t>
      </w:r>
      <w:r w:rsidRPr="00092B5B">
        <w:rPr>
          <w:lang w:val="fr-FR"/>
        </w:rPr>
        <w:t>examen des demandes de droits d</w:t>
      </w:r>
      <w:r w:rsidR="00F20C73">
        <w:rPr>
          <w:lang w:val="fr-FR"/>
        </w:rPr>
        <w:t>’</w:t>
      </w:r>
      <w:r w:rsidRPr="00092B5B">
        <w:rPr>
          <w:lang w:val="fr-FR"/>
        </w:rPr>
        <w:t>obtenteur est exigé dans l</w:t>
      </w:r>
      <w:r w:rsidR="00F20C73">
        <w:rPr>
          <w:lang w:val="fr-FR"/>
        </w:rPr>
        <w:t>’</w:t>
      </w:r>
      <w:r w:rsidRPr="00092B5B">
        <w:rPr>
          <w:lang w:val="fr-FR"/>
        </w:rPr>
        <w:t>article 12 de l</w:t>
      </w:r>
      <w:r w:rsidR="00F20C73">
        <w:rPr>
          <w:lang w:val="fr-FR"/>
        </w:rPr>
        <w:t>’</w:t>
      </w:r>
      <w:r w:rsidRPr="00092B5B">
        <w:rPr>
          <w:lang w:val="fr-FR"/>
        </w:rPr>
        <w:t>Acte de 1991 et dans l</w:t>
      </w:r>
      <w:r w:rsidR="00F20C73">
        <w:rPr>
          <w:lang w:val="fr-FR"/>
        </w:rPr>
        <w:t>’</w:t>
      </w:r>
      <w:r w:rsidRPr="00092B5B">
        <w:rPr>
          <w:lang w:val="fr-FR"/>
        </w:rPr>
        <w:t>article 7 de l</w:t>
      </w:r>
      <w:r w:rsidR="00F20C73">
        <w:rPr>
          <w:lang w:val="fr-FR"/>
        </w:rPr>
        <w:t>’</w:t>
      </w:r>
      <w:r w:rsidRPr="00092B5B">
        <w:rPr>
          <w:lang w:val="fr-FR"/>
        </w:rPr>
        <w:t>Acte de 1978 de la Convention UPOV. La décision d</w:t>
      </w:r>
      <w:r w:rsidR="00F20C73">
        <w:rPr>
          <w:lang w:val="fr-FR"/>
        </w:rPr>
        <w:t>’</w:t>
      </w:r>
      <w:r w:rsidRPr="00092B5B">
        <w:rPr>
          <w:lang w:val="fr-FR"/>
        </w:rPr>
        <w:t>octroyer un droit d</w:t>
      </w:r>
      <w:r w:rsidR="00F20C73">
        <w:rPr>
          <w:lang w:val="fr-FR"/>
        </w:rPr>
        <w:t>’</w:t>
      </w:r>
      <w:r w:rsidRPr="00092B5B">
        <w:rPr>
          <w:lang w:val="fr-FR"/>
        </w:rPr>
        <w:t>obtenteur exige un examen de la conformité aux conditions de protection, telles qu</w:t>
      </w:r>
      <w:r w:rsidR="00F20C73">
        <w:rPr>
          <w:lang w:val="fr-FR"/>
        </w:rPr>
        <w:t>’</w:t>
      </w:r>
      <w:r w:rsidRPr="00092B5B">
        <w:rPr>
          <w:lang w:val="fr-FR"/>
        </w:rPr>
        <w:t>elles figurent dans les articles 5 à 9 de l</w:t>
      </w:r>
      <w:r w:rsidR="00F20C73">
        <w:rPr>
          <w:lang w:val="fr-FR"/>
        </w:rPr>
        <w:t>’</w:t>
      </w:r>
      <w:r w:rsidRPr="00092B5B">
        <w:rPr>
          <w:lang w:val="fr-FR"/>
        </w:rPr>
        <w:t>Acte de 1991 et l</w:t>
      </w:r>
      <w:r w:rsidR="00F20C73">
        <w:rPr>
          <w:lang w:val="fr-FR"/>
        </w:rPr>
        <w:t>’</w:t>
      </w:r>
      <w:r w:rsidRPr="00092B5B">
        <w:rPr>
          <w:lang w:val="fr-FR"/>
        </w:rPr>
        <w:t>article 6 de l</w:t>
      </w:r>
      <w:r w:rsidR="00F20C73">
        <w:rPr>
          <w:lang w:val="fr-FR"/>
        </w:rPr>
        <w:t>’</w:t>
      </w:r>
      <w:r w:rsidRPr="00092B5B">
        <w:rPr>
          <w:lang w:val="fr-FR"/>
        </w:rPr>
        <w:t>Acte de 1978 de la Convention UPOV, à savoir les conditions de nouveauté, de distinction, d</w:t>
      </w:r>
      <w:r w:rsidR="00F20C73">
        <w:rPr>
          <w:lang w:val="fr-FR"/>
        </w:rPr>
        <w:t>’</w:t>
      </w:r>
      <w:r w:rsidRPr="00092B5B">
        <w:rPr>
          <w:lang w:val="fr-FR"/>
        </w:rPr>
        <w:t>homogénéité et de stabilité (DHS), une dénomination appropriée et les formalités applicables.</w:t>
      </w:r>
    </w:p>
    <w:p w:rsidR="00860532" w:rsidRPr="00092B5B" w:rsidRDefault="00860532" w:rsidP="00F55485">
      <w:pPr>
        <w:rPr>
          <w:lang w:val="fr-FR"/>
        </w:rPr>
      </w:pPr>
    </w:p>
    <w:p w:rsidR="00860532" w:rsidRPr="00092B5B" w:rsidRDefault="00F20C73" w:rsidP="00F55485">
      <w:pPr>
        <w:tabs>
          <w:tab w:val="left" w:pos="7371"/>
        </w:tabs>
        <w:ind w:left="1134" w:right="1134"/>
        <w:rPr>
          <w:lang w:val="fr-FR"/>
        </w:rPr>
      </w:pPr>
      <w:r>
        <w:rPr>
          <w:lang w:val="fr-FR"/>
        </w:rPr>
        <w:t>“</w:t>
      </w:r>
      <w:r w:rsidR="00860532" w:rsidRPr="00092B5B">
        <w:rPr>
          <w:b/>
          <w:bCs/>
          <w:lang w:val="fr-FR"/>
        </w:rPr>
        <w:t>Article 12 Examen de la demande</w:t>
      </w:r>
      <w:r w:rsidR="00860532" w:rsidRPr="00092B5B">
        <w:rPr>
          <w:lang w:val="fr-FR"/>
        </w:rPr>
        <w:t xml:space="preserve"> La décision d</w:t>
      </w:r>
      <w:r>
        <w:rPr>
          <w:lang w:val="fr-FR"/>
        </w:rPr>
        <w:t>’</w:t>
      </w:r>
      <w:r w:rsidR="00860532" w:rsidRPr="00092B5B">
        <w:rPr>
          <w:lang w:val="fr-FR"/>
        </w:rPr>
        <w:t>octroyer un droit d</w:t>
      </w:r>
      <w:r>
        <w:rPr>
          <w:lang w:val="fr-FR"/>
        </w:rPr>
        <w:t>’</w:t>
      </w:r>
      <w:r w:rsidR="00860532" w:rsidRPr="00092B5B">
        <w:rPr>
          <w:lang w:val="fr-FR"/>
        </w:rPr>
        <w:t>obtenteur exige un examen de la conformité aux conditions prévues aux articles 5 à 9.  Dans le cadre de cet examen, le service peut mettre la variété en culture ou effectuer les autres essais nécessaires, faire effectuer la mise en culture ou les autres essais nécessaires, ou prendre en compte les résultats des essais en culture ou d</w:t>
      </w:r>
      <w:r>
        <w:rPr>
          <w:lang w:val="fr-FR"/>
        </w:rPr>
        <w:t>’</w:t>
      </w:r>
      <w:r w:rsidR="00860532" w:rsidRPr="00092B5B">
        <w:rPr>
          <w:lang w:val="fr-FR"/>
        </w:rPr>
        <w:t>autres essais déjà effectués.  En vue de cet examen, le service peut exiger de l</w:t>
      </w:r>
      <w:r>
        <w:rPr>
          <w:lang w:val="fr-FR"/>
        </w:rPr>
        <w:t>’</w:t>
      </w:r>
      <w:r w:rsidR="00860532" w:rsidRPr="00092B5B">
        <w:rPr>
          <w:lang w:val="fr-FR"/>
        </w:rPr>
        <w:t>obtenteur tout renseignement, document ou matériel nécessaire</w:t>
      </w:r>
      <w:r>
        <w:rPr>
          <w:lang w:val="fr-FR"/>
        </w:rPr>
        <w:t>”</w:t>
      </w:r>
      <w:r w:rsidR="00860532" w:rsidRPr="00092B5B">
        <w:rPr>
          <w:lang w:val="fr-FR"/>
        </w:rPr>
        <w:t>.</w:t>
      </w:r>
    </w:p>
    <w:p w:rsidR="00860532" w:rsidRPr="00092B5B" w:rsidRDefault="00860532" w:rsidP="00F55485">
      <w:pPr>
        <w:tabs>
          <w:tab w:val="left" w:pos="7371"/>
        </w:tabs>
        <w:ind w:left="1701" w:right="1702"/>
        <w:rPr>
          <w:lang w:val="fr-FR"/>
        </w:rPr>
      </w:pPr>
    </w:p>
    <w:p w:rsidR="00860532" w:rsidRPr="00092B5B" w:rsidRDefault="00860532" w:rsidP="00F55485">
      <w:pPr>
        <w:autoSpaceDE w:val="0"/>
        <w:autoSpaceDN w:val="0"/>
        <w:adjustRightInd w:val="0"/>
        <w:rPr>
          <w:lang w:val="fr-FR"/>
        </w:rPr>
      </w:pPr>
      <w:r w:rsidRPr="00092B5B">
        <w:rPr>
          <w:lang w:val="fr-FR"/>
        </w:rPr>
        <w:t>Les services d</w:t>
      </w:r>
      <w:r w:rsidR="00F20C73">
        <w:rPr>
          <w:lang w:val="fr-FR"/>
        </w:rPr>
        <w:t>’</w:t>
      </w:r>
      <w:r w:rsidRPr="00092B5B">
        <w:rPr>
          <w:lang w:val="fr-FR"/>
        </w:rPr>
        <w:t>octroi des droits d</w:t>
      </w:r>
      <w:r w:rsidR="00F20C73">
        <w:rPr>
          <w:lang w:val="fr-FR"/>
        </w:rPr>
        <w:t>’</w:t>
      </w:r>
      <w:r w:rsidRPr="00092B5B">
        <w:rPr>
          <w:lang w:val="fr-FR"/>
        </w:rPr>
        <w:t>obtenteur doivent prendre les mesures nécessaires pour sauvegarder les intérêts de l</w:t>
      </w:r>
      <w:r w:rsidR="00F20C73">
        <w:rPr>
          <w:lang w:val="fr-FR"/>
        </w:rPr>
        <w:t>’</w:t>
      </w:r>
      <w:r w:rsidRPr="00092B5B">
        <w:rPr>
          <w:lang w:val="fr-FR"/>
        </w:rPr>
        <w:t>obtenteur quant aux documents, renseignements et matériel fournis dans le cadre de la demande.</w:t>
      </w:r>
    </w:p>
    <w:p w:rsidR="00860532" w:rsidRPr="00092B5B" w:rsidRDefault="00860532" w:rsidP="00F55485">
      <w:pPr>
        <w:autoSpaceDE w:val="0"/>
        <w:autoSpaceDN w:val="0"/>
        <w:adjustRightInd w:val="0"/>
        <w:rPr>
          <w:lang w:val="fr-FR"/>
        </w:rPr>
      </w:pPr>
    </w:p>
    <w:p w:rsidR="00860532" w:rsidRPr="00092B5B" w:rsidRDefault="00860532" w:rsidP="00F55485">
      <w:pPr>
        <w:rPr>
          <w:lang w:val="fr-FR"/>
        </w:rPr>
      </w:pPr>
      <w:r w:rsidRPr="00092B5B">
        <w:rPr>
          <w:lang w:val="fr-FR"/>
        </w:rPr>
        <w:t>L</w:t>
      </w:r>
      <w:r w:rsidR="00F20C73">
        <w:rPr>
          <w:lang w:val="fr-FR"/>
        </w:rPr>
        <w:t>’</w:t>
      </w:r>
      <w:r w:rsidRPr="00092B5B">
        <w:rPr>
          <w:lang w:val="fr-FR"/>
        </w:rPr>
        <w:t xml:space="preserve">UPOV a élaboré la </w:t>
      </w:r>
      <w:r w:rsidR="00F20C73">
        <w:rPr>
          <w:lang w:val="fr-FR"/>
        </w:rPr>
        <w:t>“</w:t>
      </w:r>
      <w:r w:rsidRPr="00092B5B">
        <w:rPr>
          <w:lang w:val="fr-FR"/>
        </w:rPr>
        <w:t>Collection UPOV</w:t>
      </w:r>
      <w:r w:rsidR="00F20C73">
        <w:rPr>
          <w:lang w:val="fr-FR"/>
        </w:rPr>
        <w:t>”</w:t>
      </w:r>
      <w:r w:rsidRPr="00092B5B">
        <w:rPr>
          <w:lang w:val="fr-FR"/>
        </w:rPr>
        <w:t xml:space="preserve"> de matériels d</w:t>
      </w:r>
      <w:r w:rsidR="00F20C73">
        <w:rPr>
          <w:lang w:val="fr-FR"/>
        </w:rPr>
        <w:t>’</w:t>
      </w:r>
      <w:r w:rsidRPr="00092B5B">
        <w:rPr>
          <w:lang w:val="fr-FR"/>
        </w:rPr>
        <w:t>orientation et d</w:t>
      </w:r>
      <w:r w:rsidR="00F20C73">
        <w:rPr>
          <w:lang w:val="fr-FR"/>
        </w:rPr>
        <w:t>’</w:t>
      </w:r>
      <w:r w:rsidRPr="00092B5B">
        <w:rPr>
          <w:lang w:val="fr-FR"/>
        </w:rPr>
        <w:t>information sur la protection des obtentions végétales en vertu de la Convention UPOV, sur laquelle ce cours d</w:t>
      </w:r>
      <w:r w:rsidR="00F20C73">
        <w:rPr>
          <w:lang w:val="fr-FR"/>
        </w:rPr>
        <w:t>’</w:t>
      </w:r>
      <w:r w:rsidRPr="00092B5B">
        <w:rPr>
          <w:lang w:val="fr-FR"/>
        </w:rPr>
        <w:t>enseignement à distance est fondé. Il sied cependant de rappeler que les seules obligations à caractère contraignant auxquelles sont soumis les membres de l</w:t>
      </w:r>
      <w:r w:rsidR="00F20C73">
        <w:rPr>
          <w:lang w:val="fr-FR"/>
        </w:rPr>
        <w:t>’</w:t>
      </w:r>
      <w:r w:rsidRPr="00092B5B">
        <w:rPr>
          <w:lang w:val="fr-FR"/>
        </w:rPr>
        <w:t>Union sont celles prévues dans la Convention UPOV elle</w:t>
      </w:r>
      <w:r w:rsidRPr="00092B5B">
        <w:rPr>
          <w:lang w:val="fr-FR"/>
        </w:rPr>
        <w:noBreakHyphen/>
        <w:t>même, et les matériels ne doivent pas être interprétés d</w:t>
      </w:r>
      <w:r w:rsidR="00F20C73">
        <w:rPr>
          <w:lang w:val="fr-FR"/>
        </w:rPr>
        <w:t>’</w:t>
      </w:r>
      <w:r w:rsidRPr="00092B5B">
        <w:rPr>
          <w:lang w:val="fr-FR"/>
        </w:rPr>
        <w:t>une manière incompatible avec l</w:t>
      </w:r>
      <w:r w:rsidR="00F20C73">
        <w:rPr>
          <w:lang w:val="fr-FR"/>
        </w:rPr>
        <w:t>’</w:t>
      </w:r>
      <w:r w:rsidRPr="00092B5B">
        <w:rPr>
          <w:lang w:val="fr-FR"/>
        </w:rPr>
        <w:t>Acte pertinent par le membre de l</w:t>
      </w:r>
      <w:r w:rsidR="00F20C73">
        <w:rPr>
          <w:lang w:val="fr-FR"/>
        </w:rPr>
        <w:t>’</w:t>
      </w:r>
      <w:r w:rsidRPr="00092B5B">
        <w:rPr>
          <w:lang w:val="fr-FR"/>
        </w:rPr>
        <w:t>Union concerné.</w:t>
      </w:r>
    </w:p>
    <w:p w:rsidR="00860532" w:rsidRPr="00092B5B" w:rsidRDefault="00860532" w:rsidP="00F55485">
      <w:pPr>
        <w:rPr>
          <w:lang w:val="fr-FR"/>
        </w:rPr>
      </w:pPr>
    </w:p>
    <w:p w:rsidR="00860532" w:rsidRPr="00092B5B" w:rsidRDefault="00860532" w:rsidP="00F55485">
      <w:pPr>
        <w:rPr>
          <w:lang w:val="fr-FR"/>
        </w:rPr>
      </w:pPr>
      <w:r w:rsidRPr="00092B5B">
        <w:rPr>
          <w:lang w:val="fr-FR"/>
        </w:rPr>
        <w:t>Une liste actualisée du contenu et de l</w:t>
      </w:r>
      <w:r w:rsidR="00F20C73">
        <w:rPr>
          <w:lang w:val="fr-FR"/>
        </w:rPr>
        <w:t>’</w:t>
      </w:r>
      <w:r w:rsidRPr="00092B5B">
        <w:rPr>
          <w:lang w:val="fr-FR"/>
        </w:rPr>
        <w:t>état d</w:t>
      </w:r>
      <w:r w:rsidR="00F20C73">
        <w:rPr>
          <w:lang w:val="fr-FR"/>
        </w:rPr>
        <w:t>’</w:t>
      </w:r>
      <w:r w:rsidRPr="00092B5B">
        <w:rPr>
          <w:lang w:val="fr-FR"/>
        </w:rPr>
        <w:t>avancement des matériels figurant dans la Collection UPOV est affichée dans la</w:t>
      </w:r>
      <w:hyperlink r:id="rId15" w:anchor="toc" w:history="1">
        <w:r w:rsidRPr="00092B5B">
          <w:rPr>
            <w:color w:val="0000FF"/>
            <w:u w:val="single"/>
            <w:lang w:val="fr-FR"/>
          </w:rPr>
          <w:t xml:space="preserve"> table des matières</w:t>
        </w:r>
      </w:hyperlink>
      <w:r w:rsidRPr="00092B5B">
        <w:rPr>
          <w:lang w:val="fr-FR"/>
        </w:rPr>
        <w:t xml:space="preserve"> publiée sur le site Web de l</w:t>
      </w:r>
      <w:r w:rsidR="00F20C73">
        <w:rPr>
          <w:lang w:val="fr-FR"/>
        </w:rPr>
        <w:t>’</w:t>
      </w:r>
      <w:r w:rsidRPr="00092B5B">
        <w:rPr>
          <w:lang w:val="fr-FR"/>
        </w:rPr>
        <w:t>UPOV et illustrée ci</w:t>
      </w:r>
      <w:r w:rsidRPr="00092B5B">
        <w:rPr>
          <w:lang w:val="fr-FR"/>
        </w:rPr>
        <w:noBreakHyphen/>
        <w:t>dessous</w:t>
      </w:r>
      <w:r>
        <w:rPr>
          <w:lang w:val="fr-FR"/>
        </w:rPr>
        <w:t>.</w:t>
      </w:r>
      <w:r w:rsidRPr="00092B5B">
        <w:rPr>
          <w:vertAlign w:val="superscript"/>
          <w:lang w:val="fr-FR"/>
        </w:rPr>
        <w:footnoteReference w:id="2"/>
      </w:r>
      <w:r>
        <w:rPr>
          <w:lang w:val="fr-FR"/>
        </w:rPr>
        <w:t xml:space="preserve"> </w:t>
      </w:r>
      <w:r w:rsidRPr="00092B5B">
        <w:rPr>
          <w:lang w:val="fr-FR"/>
        </w:rPr>
        <w:t xml:space="preserve"> Toutes les personnes désignées des organes de l</w:t>
      </w:r>
      <w:r w:rsidR="00F20C73">
        <w:rPr>
          <w:lang w:val="fr-FR"/>
        </w:rPr>
        <w:t>’</w:t>
      </w:r>
      <w:r w:rsidRPr="00092B5B">
        <w:rPr>
          <w:lang w:val="fr-FR"/>
        </w:rPr>
        <w:t xml:space="preserve">UPOV recevront une notification par voie électronique à chaque mise à jour de la Collection UPOV.  Les autres utilisateurs pourront </w:t>
      </w:r>
      <w:hyperlink r:id="rId16" w:history="1">
        <w:r w:rsidRPr="00092B5B">
          <w:rPr>
            <w:color w:val="0000FF"/>
            <w:u w:val="single"/>
            <w:lang w:val="fr-FR"/>
          </w:rPr>
          <w:t>s</w:t>
        </w:r>
        <w:r w:rsidR="00F20C73">
          <w:rPr>
            <w:color w:val="0000FF"/>
            <w:u w:val="single"/>
            <w:lang w:val="fr-FR"/>
          </w:rPr>
          <w:t>’</w:t>
        </w:r>
        <w:r w:rsidRPr="00092B5B">
          <w:rPr>
            <w:color w:val="0000FF"/>
            <w:u w:val="single"/>
            <w:lang w:val="fr-FR"/>
          </w:rPr>
          <w:t>inscrire</w:t>
        </w:r>
      </w:hyperlink>
      <w:r w:rsidRPr="00092B5B">
        <w:rPr>
          <w:lang w:val="fr-FR"/>
        </w:rPr>
        <w:t xml:space="preserve"> afin de recevoir une notification par voie électronique à chaque mise à jour de ladite collection.</w:t>
      </w:r>
    </w:p>
    <w:p w:rsidR="00860532" w:rsidRDefault="00860532" w:rsidP="00F55485">
      <w:pPr>
        <w:rPr>
          <w:lang w:val="fr-FR"/>
        </w:rPr>
      </w:pPr>
    </w:p>
    <w:p w:rsidR="00DE6490" w:rsidRPr="00092B5B" w:rsidRDefault="00DE6490" w:rsidP="00F55485">
      <w:pPr>
        <w:rPr>
          <w:lang w:val="fr-FR"/>
        </w:rPr>
      </w:pPr>
    </w:p>
    <w:p w:rsidR="00860532" w:rsidRPr="00092B5B" w:rsidRDefault="00DE6490" w:rsidP="00F55485">
      <w:pPr>
        <w:keepNext/>
        <w:rPr>
          <w:u w:val="single"/>
          <w:lang w:val="fr-FR"/>
        </w:rPr>
      </w:pPr>
      <w:r>
        <w:rPr>
          <w:u w:val="single"/>
          <w:lang w:val="fr-FR"/>
        </w:rPr>
        <w:br w:type="page"/>
      </w:r>
      <w:r w:rsidR="00860532" w:rsidRPr="00092B5B">
        <w:rPr>
          <w:u w:val="single"/>
          <w:lang w:val="fr-FR"/>
        </w:rPr>
        <w:lastRenderedPageBreak/>
        <w:t>Table des matières</w:t>
      </w:r>
    </w:p>
    <w:p w:rsidR="00860532" w:rsidRPr="00092B5B" w:rsidRDefault="00860532" w:rsidP="00F55485">
      <w:pPr>
        <w:keepNext/>
        <w:rPr>
          <w:lang w:val="fr-FR"/>
        </w:rPr>
      </w:pPr>
    </w:p>
    <w:tbl>
      <w:tblPr>
        <w:tblW w:w="5000" w:type="pct"/>
        <w:tblInd w:w="-13" w:type="dxa"/>
        <w:tblLayout w:type="fixed"/>
        <w:tblCellMar>
          <w:top w:w="57" w:type="dxa"/>
          <w:left w:w="57" w:type="dxa"/>
          <w:bottom w:w="28" w:type="dxa"/>
          <w:right w:w="57" w:type="dxa"/>
        </w:tblCellMar>
        <w:tblLook w:val="00A0" w:firstRow="1" w:lastRow="0" w:firstColumn="1" w:lastColumn="0" w:noHBand="0" w:noVBand="0"/>
      </w:tblPr>
      <w:tblGrid>
        <w:gridCol w:w="622"/>
        <w:gridCol w:w="9131"/>
      </w:tblGrid>
      <w:tr w:rsidR="00860532" w:rsidRPr="00092B5B" w:rsidTr="00DE6490">
        <w:tc>
          <w:tcPr>
            <w:tcW w:w="318" w:type="pct"/>
          </w:tcPr>
          <w:p w:rsidR="00860532" w:rsidRPr="00092B5B" w:rsidRDefault="00860532" w:rsidP="00F55485">
            <w:pPr>
              <w:jc w:val="left"/>
              <w:rPr>
                <w:lang w:val="fr-FR"/>
              </w:rPr>
            </w:pPr>
            <w:r w:rsidRPr="00092B5B">
              <w:rPr>
                <w:lang w:val="fr-FR"/>
              </w:rPr>
              <w:t xml:space="preserve">a) </w:t>
            </w:r>
          </w:p>
        </w:tc>
        <w:tc>
          <w:tcPr>
            <w:tcW w:w="4659" w:type="pct"/>
          </w:tcPr>
          <w:p w:rsidR="00860532" w:rsidRPr="00092B5B" w:rsidRDefault="00860532" w:rsidP="00F55485">
            <w:pPr>
              <w:jc w:val="left"/>
              <w:rPr>
                <w:lang w:val="fr-FR"/>
              </w:rPr>
            </w:pPr>
            <w:r w:rsidRPr="00092B5B">
              <w:rPr>
                <w:lang w:val="fr-FR"/>
              </w:rPr>
              <w:t>Convention UPOV</w:t>
            </w:r>
          </w:p>
        </w:tc>
      </w:tr>
      <w:tr w:rsidR="00860532" w:rsidRPr="00092B5B" w:rsidTr="00DE6490">
        <w:tc>
          <w:tcPr>
            <w:tcW w:w="318" w:type="pct"/>
          </w:tcPr>
          <w:p w:rsidR="00860532" w:rsidRPr="00092B5B" w:rsidRDefault="00860532" w:rsidP="00F55485">
            <w:pPr>
              <w:jc w:val="left"/>
              <w:rPr>
                <w:lang w:val="fr-FR"/>
              </w:rPr>
            </w:pPr>
            <w:r w:rsidRPr="00092B5B">
              <w:rPr>
                <w:lang w:val="fr-FR"/>
              </w:rPr>
              <w:t xml:space="preserve">b) </w:t>
            </w:r>
          </w:p>
        </w:tc>
        <w:tc>
          <w:tcPr>
            <w:tcW w:w="4659" w:type="pct"/>
          </w:tcPr>
          <w:p w:rsidR="00860532" w:rsidRPr="00092B5B" w:rsidRDefault="00860532" w:rsidP="00F55485">
            <w:pPr>
              <w:jc w:val="left"/>
              <w:rPr>
                <w:lang w:val="fr-FR"/>
              </w:rPr>
            </w:pPr>
            <w:r w:rsidRPr="00092B5B">
              <w:rPr>
                <w:lang w:val="fr-FR"/>
              </w:rPr>
              <w:t>Série de documents UPOV/INF</w:t>
            </w:r>
          </w:p>
        </w:tc>
      </w:tr>
      <w:tr w:rsidR="00860532" w:rsidRPr="00092B5B" w:rsidTr="00DE6490">
        <w:tc>
          <w:tcPr>
            <w:tcW w:w="318" w:type="pct"/>
          </w:tcPr>
          <w:p w:rsidR="00860532" w:rsidRPr="00092B5B" w:rsidRDefault="00860532" w:rsidP="00F55485">
            <w:pPr>
              <w:jc w:val="left"/>
              <w:rPr>
                <w:lang w:val="fr-FR"/>
              </w:rPr>
            </w:pPr>
            <w:r w:rsidRPr="00092B5B">
              <w:rPr>
                <w:lang w:val="fr-FR"/>
              </w:rPr>
              <w:t xml:space="preserve">c) </w:t>
            </w:r>
          </w:p>
        </w:tc>
        <w:tc>
          <w:tcPr>
            <w:tcW w:w="4659" w:type="pct"/>
          </w:tcPr>
          <w:p w:rsidR="00860532" w:rsidRPr="00092B5B" w:rsidRDefault="00860532" w:rsidP="00F55485">
            <w:pPr>
              <w:jc w:val="left"/>
              <w:rPr>
                <w:lang w:val="fr-FR"/>
              </w:rPr>
            </w:pPr>
            <w:r w:rsidRPr="00092B5B">
              <w:rPr>
                <w:lang w:val="fr-FR"/>
              </w:rPr>
              <w:t>Notes explicatives sur la Convention UPOV</w:t>
            </w:r>
          </w:p>
        </w:tc>
      </w:tr>
      <w:tr w:rsidR="00860532" w:rsidRPr="00092B5B" w:rsidTr="00DE6490">
        <w:trPr>
          <w:trHeight w:val="107"/>
        </w:trPr>
        <w:tc>
          <w:tcPr>
            <w:tcW w:w="318" w:type="pct"/>
          </w:tcPr>
          <w:p w:rsidR="00860532" w:rsidRPr="00092B5B" w:rsidRDefault="00860532" w:rsidP="00F55485">
            <w:pPr>
              <w:jc w:val="left"/>
              <w:rPr>
                <w:lang w:val="fr-FR"/>
              </w:rPr>
            </w:pPr>
            <w:r w:rsidRPr="00092B5B">
              <w:rPr>
                <w:lang w:val="fr-FR"/>
              </w:rPr>
              <w:t xml:space="preserve">d) </w:t>
            </w:r>
          </w:p>
        </w:tc>
        <w:tc>
          <w:tcPr>
            <w:tcW w:w="4659" w:type="pct"/>
          </w:tcPr>
          <w:p w:rsidR="00860532" w:rsidRPr="00092B5B" w:rsidRDefault="00860532" w:rsidP="00DE6490">
            <w:pPr>
              <w:jc w:val="left"/>
              <w:rPr>
                <w:lang w:val="fr-FR"/>
              </w:rPr>
            </w:pPr>
            <w:r w:rsidRPr="00092B5B">
              <w:rPr>
                <w:lang w:val="fr-FR"/>
              </w:rPr>
              <w:t>Introduction générale à l</w:t>
            </w:r>
            <w:r w:rsidR="00F20C73">
              <w:rPr>
                <w:lang w:val="fr-FR"/>
              </w:rPr>
              <w:t>’</w:t>
            </w:r>
            <w:r w:rsidRPr="00092B5B">
              <w:rPr>
                <w:lang w:val="fr-FR"/>
              </w:rPr>
              <w:t>examen de la distinction, de l</w:t>
            </w:r>
            <w:r w:rsidR="00F20C73">
              <w:rPr>
                <w:lang w:val="fr-FR"/>
              </w:rPr>
              <w:t>’</w:t>
            </w:r>
            <w:r w:rsidRPr="00092B5B">
              <w:rPr>
                <w:lang w:val="fr-FR"/>
              </w:rPr>
              <w:t>homogénéité et de la stabilité et à l</w:t>
            </w:r>
            <w:r w:rsidR="00F20C73">
              <w:rPr>
                <w:lang w:val="fr-FR"/>
              </w:rPr>
              <w:t>’</w:t>
            </w:r>
            <w:r w:rsidRPr="00092B5B">
              <w:rPr>
                <w:lang w:val="fr-FR"/>
              </w:rPr>
              <w:t>harmonisation des descriptions des obtentions végétales (document TG/1/3)</w:t>
            </w:r>
          </w:p>
        </w:tc>
      </w:tr>
      <w:tr w:rsidR="00860532" w:rsidRPr="00092B5B" w:rsidTr="00DE6490">
        <w:tc>
          <w:tcPr>
            <w:tcW w:w="318" w:type="pct"/>
          </w:tcPr>
          <w:p w:rsidR="00860532" w:rsidRPr="00092B5B" w:rsidRDefault="00860532" w:rsidP="00F55485">
            <w:pPr>
              <w:jc w:val="left"/>
              <w:rPr>
                <w:lang w:val="fr-FR"/>
              </w:rPr>
            </w:pPr>
            <w:r w:rsidRPr="00092B5B">
              <w:rPr>
                <w:lang w:val="fr-FR"/>
              </w:rPr>
              <w:t xml:space="preserve">e) </w:t>
            </w:r>
          </w:p>
        </w:tc>
        <w:tc>
          <w:tcPr>
            <w:tcW w:w="4659" w:type="pct"/>
          </w:tcPr>
          <w:p w:rsidR="00860532" w:rsidRPr="00092B5B" w:rsidRDefault="00860532" w:rsidP="00F55485">
            <w:pPr>
              <w:jc w:val="left"/>
              <w:rPr>
                <w:lang w:val="fr-FR"/>
              </w:rPr>
            </w:pPr>
            <w:r w:rsidRPr="00092B5B">
              <w:rPr>
                <w:lang w:val="fr-FR"/>
              </w:rPr>
              <w:t>Documents TGP</w:t>
            </w:r>
          </w:p>
        </w:tc>
      </w:tr>
      <w:tr w:rsidR="00860532" w:rsidRPr="00092B5B" w:rsidTr="00DE6490">
        <w:tc>
          <w:tcPr>
            <w:tcW w:w="318" w:type="pct"/>
          </w:tcPr>
          <w:p w:rsidR="00860532" w:rsidRPr="00092B5B" w:rsidRDefault="00860532" w:rsidP="00F55485">
            <w:pPr>
              <w:jc w:val="left"/>
              <w:rPr>
                <w:lang w:val="fr-FR"/>
              </w:rPr>
            </w:pPr>
            <w:r w:rsidRPr="00092B5B">
              <w:rPr>
                <w:lang w:val="fr-FR"/>
              </w:rPr>
              <w:t xml:space="preserve">f) </w:t>
            </w:r>
          </w:p>
        </w:tc>
        <w:tc>
          <w:tcPr>
            <w:tcW w:w="4659" w:type="pct"/>
          </w:tcPr>
          <w:p w:rsidR="00860532" w:rsidRPr="00092B5B" w:rsidRDefault="00860532" w:rsidP="00F55485">
            <w:pPr>
              <w:jc w:val="left"/>
              <w:rPr>
                <w:lang w:val="fr-FR"/>
              </w:rPr>
            </w:pPr>
            <w:r w:rsidRPr="00092B5B">
              <w:rPr>
                <w:lang w:val="fr-FR"/>
              </w:rPr>
              <w:t>Principes directeurs d</w:t>
            </w:r>
            <w:r w:rsidR="00F20C73">
              <w:rPr>
                <w:lang w:val="fr-FR"/>
              </w:rPr>
              <w:t>’</w:t>
            </w:r>
            <w:r w:rsidRPr="00092B5B">
              <w:rPr>
                <w:lang w:val="fr-FR"/>
              </w:rPr>
              <w:t>examen</w:t>
            </w:r>
          </w:p>
        </w:tc>
      </w:tr>
      <w:tr w:rsidR="00860532" w:rsidRPr="00092B5B" w:rsidTr="00DE6490">
        <w:tc>
          <w:tcPr>
            <w:tcW w:w="318" w:type="pct"/>
          </w:tcPr>
          <w:p w:rsidR="00860532" w:rsidRPr="00092B5B" w:rsidRDefault="00860532" w:rsidP="00F55485">
            <w:pPr>
              <w:jc w:val="left"/>
              <w:rPr>
                <w:lang w:val="fr-FR"/>
              </w:rPr>
            </w:pPr>
            <w:r w:rsidRPr="00092B5B">
              <w:rPr>
                <w:lang w:val="fr-FR"/>
              </w:rPr>
              <w:t xml:space="preserve">g) </w:t>
            </w:r>
          </w:p>
        </w:tc>
        <w:tc>
          <w:tcPr>
            <w:tcW w:w="4659" w:type="pct"/>
          </w:tcPr>
          <w:p w:rsidR="00860532" w:rsidRPr="00092B5B" w:rsidRDefault="00860532" w:rsidP="00F55485">
            <w:pPr>
              <w:jc w:val="left"/>
              <w:rPr>
                <w:lang w:val="fr-FR"/>
              </w:rPr>
            </w:pPr>
            <w:r w:rsidRPr="00092B5B">
              <w:rPr>
                <w:lang w:val="fr-FR"/>
              </w:rPr>
              <w:t>Collection UPOV de lois et traités (UPOVLex)</w:t>
            </w:r>
          </w:p>
        </w:tc>
      </w:tr>
      <w:tr w:rsidR="00860532" w:rsidRPr="00092B5B" w:rsidTr="00DE6490">
        <w:tc>
          <w:tcPr>
            <w:tcW w:w="318" w:type="pct"/>
          </w:tcPr>
          <w:p w:rsidR="00860532" w:rsidRPr="00092B5B" w:rsidRDefault="00860532" w:rsidP="00F55485">
            <w:pPr>
              <w:jc w:val="left"/>
              <w:rPr>
                <w:lang w:val="fr-FR"/>
              </w:rPr>
            </w:pPr>
            <w:r w:rsidRPr="00092B5B">
              <w:rPr>
                <w:lang w:val="fr-FR"/>
              </w:rPr>
              <w:t xml:space="preserve">h) </w:t>
            </w:r>
          </w:p>
        </w:tc>
        <w:tc>
          <w:tcPr>
            <w:tcW w:w="4659" w:type="pct"/>
          </w:tcPr>
          <w:p w:rsidR="00860532" w:rsidRPr="00092B5B" w:rsidRDefault="00860532" w:rsidP="00F55485">
            <w:pPr>
              <w:jc w:val="left"/>
              <w:rPr>
                <w:lang w:val="fr-FR"/>
              </w:rPr>
            </w:pPr>
            <w:r w:rsidRPr="00092B5B">
              <w:rPr>
                <w:lang w:val="fr-FR"/>
              </w:rPr>
              <w:t>Liste des membres de l</w:t>
            </w:r>
            <w:r w:rsidR="00F20C73">
              <w:rPr>
                <w:lang w:val="fr-FR"/>
              </w:rPr>
              <w:t>’</w:t>
            </w:r>
            <w:r w:rsidRPr="00092B5B">
              <w:rPr>
                <w:lang w:val="fr-FR"/>
              </w:rPr>
              <w:t>UPOV</w:t>
            </w:r>
          </w:p>
        </w:tc>
      </w:tr>
      <w:tr w:rsidR="00860532" w:rsidRPr="00092B5B" w:rsidTr="00DE6490">
        <w:tc>
          <w:tcPr>
            <w:tcW w:w="318" w:type="pct"/>
          </w:tcPr>
          <w:p w:rsidR="00860532" w:rsidRPr="00092B5B" w:rsidRDefault="00860532" w:rsidP="00F55485">
            <w:pPr>
              <w:jc w:val="left"/>
              <w:rPr>
                <w:lang w:val="fr-FR"/>
              </w:rPr>
            </w:pPr>
            <w:r w:rsidRPr="00092B5B">
              <w:rPr>
                <w:lang w:val="fr-FR"/>
              </w:rPr>
              <w:t xml:space="preserve">i) </w:t>
            </w:r>
          </w:p>
        </w:tc>
        <w:tc>
          <w:tcPr>
            <w:tcW w:w="4659" w:type="pct"/>
          </w:tcPr>
          <w:p w:rsidR="00860532" w:rsidRPr="00092B5B" w:rsidRDefault="00860532" w:rsidP="00F55485">
            <w:pPr>
              <w:jc w:val="left"/>
              <w:rPr>
                <w:lang w:val="fr-FR"/>
              </w:rPr>
            </w:pPr>
            <w:r w:rsidRPr="00092B5B">
              <w:rPr>
                <w:lang w:val="fr-FR"/>
              </w:rPr>
              <w:t>Répertoire des services de protection des obtentions végétales</w:t>
            </w:r>
          </w:p>
        </w:tc>
      </w:tr>
      <w:tr w:rsidR="00860532" w:rsidRPr="00092B5B" w:rsidTr="00DE6490">
        <w:tc>
          <w:tcPr>
            <w:tcW w:w="318" w:type="pct"/>
          </w:tcPr>
          <w:p w:rsidR="00860532" w:rsidRPr="00092B5B" w:rsidRDefault="00860532" w:rsidP="00F55485">
            <w:pPr>
              <w:jc w:val="left"/>
              <w:rPr>
                <w:lang w:val="fr-FR"/>
              </w:rPr>
            </w:pPr>
            <w:r w:rsidRPr="00092B5B">
              <w:rPr>
                <w:lang w:val="fr-FR"/>
              </w:rPr>
              <w:t xml:space="preserve">j) </w:t>
            </w:r>
          </w:p>
        </w:tc>
        <w:tc>
          <w:tcPr>
            <w:tcW w:w="4659" w:type="pct"/>
          </w:tcPr>
          <w:p w:rsidR="00860532" w:rsidRPr="00092B5B" w:rsidRDefault="00860532" w:rsidP="00F55485">
            <w:pPr>
              <w:jc w:val="left"/>
              <w:rPr>
                <w:lang w:val="fr-FR"/>
              </w:rPr>
            </w:pPr>
            <w:r w:rsidRPr="00092B5B">
              <w:rPr>
                <w:lang w:val="fr-FR"/>
              </w:rPr>
              <w:t>Organigramme de l</w:t>
            </w:r>
            <w:r w:rsidR="00F20C73">
              <w:rPr>
                <w:lang w:val="fr-FR"/>
              </w:rPr>
              <w:t>’</w:t>
            </w:r>
            <w:r w:rsidRPr="00092B5B">
              <w:rPr>
                <w:lang w:val="fr-FR"/>
              </w:rPr>
              <w:t>UPOV</w:t>
            </w:r>
          </w:p>
        </w:tc>
      </w:tr>
      <w:tr w:rsidR="00860532" w:rsidRPr="00092B5B" w:rsidTr="00DE6490">
        <w:tc>
          <w:tcPr>
            <w:tcW w:w="318" w:type="pct"/>
          </w:tcPr>
          <w:p w:rsidR="00860532" w:rsidRPr="00092B5B" w:rsidRDefault="00860532" w:rsidP="00F55485">
            <w:pPr>
              <w:pStyle w:val="NormalWeb"/>
              <w:spacing w:before="0" w:beforeAutospacing="0" w:after="0" w:afterAutospacing="0"/>
              <w:rPr>
                <w:rFonts w:ascii="Arial" w:hAnsi="Arial" w:cs="Arial"/>
                <w:sz w:val="20"/>
                <w:szCs w:val="20"/>
                <w:lang w:val="fr-FR"/>
              </w:rPr>
            </w:pPr>
            <w:r w:rsidRPr="00092B5B">
              <w:rPr>
                <w:rFonts w:ascii="Arial" w:hAnsi="Arial" w:cs="Arial"/>
                <w:sz w:val="20"/>
                <w:szCs w:val="20"/>
                <w:lang w:val="fr-FR"/>
              </w:rPr>
              <w:t xml:space="preserve">k) </w:t>
            </w:r>
          </w:p>
        </w:tc>
        <w:tc>
          <w:tcPr>
            <w:tcW w:w="4659" w:type="pct"/>
          </w:tcPr>
          <w:p w:rsidR="00860532" w:rsidRPr="00092B5B" w:rsidRDefault="00860532" w:rsidP="00F55485">
            <w:pPr>
              <w:jc w:val="left"/>
              <w:rPr>
                <w:lang w:val="fr-FR"/>
              </w:rPr>
            </w:pPr>
            <w:r w:rsidRPr="00092B5B">
              <w:rPr>
                <w:lang w:val="fr-FR"/>
              </w:rPr>
              <w:t>Bases de données et informations</w:t>
            </w:r>
          </w:p>
          <w:p w:rsidR="00860532" w:rsidRPr="00092B5B" w:rsidRDefault="00860532" w:rsidP="00DE6490">
            <w:pPr>
              <w:numPr>
                <w:ilvl w:val="0"/>
                <w:numId w:val="10"/>
              </w:numPr>
              <w:tabs>
                <w:tab w:val="clear" w:pos="720"/>
              </w:tabs>
              <w:ind w:left="1060" w:hanging="530"/>
              <w:jc w:val="left"/>
              <w:rPr>
                <w:lang w:val="fr-FR"/>
              </w:rPr>
            </w:pPr>
            <w:r w:rsidRPr="00092B5B">
              <w:rPr>
                <w:lang w:val="fr-FR"/>
              </w:rPr>
              <w:t>Liste des taxons protégés par les membres de l</w:t>
            </w:r>
            <w:r w:rsidR="00F20C73">
              <w:rPr>
                <w:lang w:val="fr-FR"/>
              </w:rPr>
              <w:t>’</w:t>
            </w:r>
            <w:r w:rsidRPr="00092B5B">
              <w:rPr>
                <w:lang w:val="fr-FR"/>
              </w:rPr>
              <w:t>Union</w:t>
            </w:r>
          </w:p>
          <w:p w:rsidR="00860532" w:rsidRPr="00092B5B" w:rsidRDefault="00860532" w:rsidP="00DE6490">
            <w:pPr>
              <w:numPr>
                <w:ilvl w:val="0"/>
                <w:numId w:val="10"/>
              </w:numPr>
              <w:tabs>
                <w:tab w:val="clear" w:pos="720"/>
              </w:tabs>
              <w:ind w:left="1060" w:hanging="530"/>
              <w:jc w:val="left"/>
              <w:rPr>
                <w:lang w:val="fr-FR"/>
              </w:rPr>
            </w:pPr>
            <w:r w:rsidRPr="00092B5B">
              <w:rPr>
                <w:lang w:val="fr-FR"/>
              </w:rPr>
              <w:t>Coopération en matière d</w:t>
            </w:r>
            <w:r w:rsidR="00F20C73">
              <w:rPr>
                <w:lang w:val="fr-FR"/>
              </w:rPr>
              <w:t>’</w:t>
            </w:r>
            <w:r w:rsidRPr="00092B5B">
              <w:rPr>
                <w:lang w:val="fr-FR"/>
              </w:rPr>
              <w:t>examen</w:t>
            </w:r>
          </w:p>
          <w:p w:rsidR="00860532" w:rsidRPr="00092B5B" w:rsidRDefault="00860532" w:rsidP="00DE6490">
            <w:pPr>
              <w:numPr>
                <w:ilvl w:val="0"/>
                <w:numId w:val="10"/>
              </w:numPr>
              <w:tabs>
                <w:tab w:val="clear" w:pos="720"/>
              </w:tabs>
              <w:ind w:left="1060" w:hanging="530"/>
              <w:jc w:val="left"/>
              <w:rPr>
                <w:lang w:val="fr-FR"/>
              </w:rPr>
            </w:pPr>
            <w:r w:rsidRPr="00092B5B">
              <w:rPr>
                <w:lang w:val="fr-FR"/>
              </w:rPr>
              <w:t>Liste des genres et espèces pour lesquels les services ont une expérience pratique en matière d</w:t>
            </w:r>
            <w:r w:rsidR="00F20C73">
              <w:rPr>
                <w:lang w:val="fr-FR"/>
              </w:rPr>
              <w:t>’</w:t>
            </w:r>
            <w:r w:rsidRPr="00092B5B">
              <w:rPr>
                <w:lang w:val="fr-FR"/>
              </w:rPr>
              <w:t>examen de la distinction, de l</w:t>
            </w:r>
            <w:r w:rsidR="00F20C73">
              <w:rPr>
                <w:lang w:val="fr-FR"/>
              </w:rPr>
              <w:t>’</w:t>
            </w:r>
            <w:r w:rsidRPr="00092B5B">
              <w:rPr>
                <w:lang w:val="fr-FR"/>
              </w:rPr>
              <w:t>homogénéité et de la stabilité</w:t>
            </w:r>
          </w:p>
        </w:tc>
      </w:tr>
      <w:tr w:rsidR="00860532" w:rsidRPr="00092B5B" w:rsidTr="00DE6490">
        <w:tc>
          <w:tcPr>
            <w:tcW w:w="318" w:type="pct"/>
          </w:tcPr>
          <w:p w:rsidR="00860532" w:rsidRPr="00092B5B" w:rsidRDefault="00860532" w:rsidP="00F55485">
            <w:pPr>
              <w:jc w:val="left"/>
              <w:rPr>
                <w:lang w:val="fr-FR"/>
              </w:rPr>
            </w:pPr>
            <w:r w:rsidRPr="00092B5B">
              <w:rPr>
                <w:lang w:val="fr-FR"/>
              </w:rPr>
              <w:t xml:space="preserve">l) </w:t>
            </w:r>
          </w:p>
        </w:tc>
        <w:tc>
          <w:tcPr>
            <w:tcW w:w="4659" w:type="pct"/>
          </w:tcPr>
          <w:p w:rsidR="00860532" w:rsidRPr="00092B5B" w:rsidRDefault="00860532" w:rsidP="00F55485">
            <w:pPr>
              <w:jc w:val="left"/>
              <w:rPr>
                <w:lang w:val="fr-FR"/>
              </w:rPr>
            </w:pPr>
            <w:r w:rsidRPr="00092B5B">
              <w:rPr>
                <w:lang w:val="fr-FR"/>
              </w:rPr>
              <w:t>Base de données sur les variétés végétales</w:t>
            </w:r>
          </w:p>
        </w:tc>
      </w:tr>
      <w:tr w:rsidR="00860532" w:rsidRPr="00092B5B" w:rsidTr="00DE6490">
        <w:tc>
          <w:tcPr>
            <w:tcW w:w="318" w:type="pct"/>
          </w:tcPr>
          <w:p w:rsidR="00860532" w:rsidRPr="00092B5B" w:rsidRDefault="00860532" w:rsidP="00F55485">
            <w:pPr>
              <w:jc w:val="left"/>
              <w:rPr>
                <w:lang w:val="fr-FR"/>
              </w:rPr>
            </w:pPr>
            <w:r w:rsidRPr="00092B5B">
              <w:rPr>
                <w:lang w:val="fr-FR"/>
              </w:rPr>
              <w:t xml:space="preserve">m) </w:t>
            </w:r>
          </w:p>
        </w:tc>
        <w:tc>
          <w:tcPr>
            <w:tcW w:w="4659" w:type="pct"/>
          </w:tcPr>
          <w:p w:rsidR="00860532" w:rsidRPr="00092B5B" w:rsidRDefault="00860532" w:rsidP="00F55485">
            <w:pPr>
              <w:jc w:val="left"/>
              <w:rPr>
                <w:lang w:val="fr-FR"/>
              </w:rPr>
            </w:pPr>
            <w:r w:rsidRPr="00092B5B">
              <w:rPr>
                <w:lang w:val="fr-FR"/>
              </w:rPr>
              <w:t>Base de données Genie</w:t>
            </w:r>
          </w:p>
        </w:tc>
      </w:tr>
    </w:tbl>
    <w:p w:rsidR="00860532" w:rsidRPr="00092B5B" w:rsidRDefault="00860532" w:rsidP="00F55485">
      <w:pPr>
        <w:rPr>
          <w:lang w:val="fr-FR"/>
        </w:rPr>
      </w:pPr>
    </w:p>
    <w:p w:rsidR="00860532" w:rsidRPr="00092B5B" w:rsidRDefault="00860532" w:rsidP="00F55485">
      <w:pPr>
        <w:rPr>
          <w:lang w:val="fr-FR"/>
        </w:rPr>
      </w:pPr>
      <w:r w:rsidRPr="00092B5B">
        <w:rPr>
          <w:lang w:val="fr-FR"/>
        </w:rPr>
        <w:t>Des renvois aux matériels que contient la Collection UPOV seront effectués d</w:t>
      </w:r>
      <w:r w:rsidR="00F20C73">
        <w:rPr>
          <w:lang w:val="fr-FR"/>
        </w:rPr>
        <w:t>’</w:t>
      </w:r>
      <w:r w:rsidRPr="00092B5B">
        <w:rPr>
          <w:lang w:val="fr-FR"/>
        </w:rPr>
        <w:t>un bout à l</w:t>
      </w:r>
      <w:r w:rsidR="00F20C73">
        <w:rPr>
          <w:lang w:val="fr-FR"/>
        </w:rPr>
        <w:t>’</w:t>
      </w:r>
      <w:r w:rsidRPr="00092B5B">
        <w:rPr>
          <w:lang w:val="fr-FR"/>
        </w:rPr>
        <w:t>autre du cours DL</w:t>
      </w:r>
      <w:r w:rsidRPr="00092B5B">
        <w:rPr>
          <w:lang w:val="fr-FR"/>
        </w:rPr>
        <w:noBreakHyphen/>
        <w:t>305 à l</w:t>
      </w:r>
      <w:r w:rsidR="00F20C73">
        <w:rPr>
          <w:lang w:val="fr-FR"/>
        </w:rPr>
        <w:t>’</w:t>
      </w:r>
      <w:r w:rsidRPr="00092B5B">
        <w:rPr>
          <w:lang w:val="fr-FR"/>
        </w:rPr>
        <w:t>intention des étudiants qui souhaitent obtenir de plus amples informations sur des sujets pertinents.</w:t>
      </w:r>
    </w:p>
    <w:p w:rsidR="00860532" w:rsidRDefault="00860532">
      <w:pPr>
        <w:rPr>
          <w:b/>
          <w:bCs/>
          <w:kern w:val="36"/>
          <w:lang w:val="fr-FR" w:eastAsia="nl-NL"/>
        </w:rPr>
      </w:pPr>
    </w:p>
    <w:p w:rsidR="00860532" w:rsidRPr="00092B5B" w:rsidRDefault="00860532">
      <w:pPr>
        <w:rPr>
          <w:b/>
          <w:bCs/>
          <w:kern w:val="36"/>
          <w:lang w:val="fr-FR" w:eastAsia="nl-NL"/>
        </w:rPr>
      </w:pPr>
    </w:p>
    <w:p w:rsidR="00860532" w:rsidRPr="00092B5B" w:rsidRDefault="00860532" w:rsidP="00F55485">
      <w:pPr>
        <w:rPr>
          <w:lang w:val="fr-FR"/>
        </w:rPr>
      </w:pPr>
    </w:p>
    <w:p w:rsidR="00860532" w:rsidRPr="00092B5B" w:rsidRDefault="00860532" w:rsidP="00F55485">
      <w:pPr>
        <w:pStyle w:val="Heading1"/>
        <w:rPr>
          <w:lang w:val="fr-FR"/>
        </w:rPr>
      </w:pPr>
      <w:bookmarkStart w:id="59" w:name="_Toc382397525"/>
      <w:r w:rsidRPr="00092B5B">
        <w:rPr>
          <w:lang w:val="fr-FR"/>
        </w:rPr>
        <w:t>CRÉATION d</w:t>
      </w:r>
      <w:r w:rsidR="00F20C73">
        <w:rPr>
          <w:lang w:val="fr-FR"/>
        </w:rPr>
        <w:t>’</w:t>
      </w:r>
      <w:r w:rsidRPr="00092B5B">
        <w:rPr>
          <w:lang w:val="fr-FR"/>
        </w:rPr>
        <w:t>un SERVICE D</w:t>
      </w:r>
      <w:r w:rsidR="00F20C73">
        <w:rPr>
          <w:lang w:val="fr-FR"/>
        </w:rPr>
        <w:t>’</w:t>
      </w:r>
      <w:r w:rsidRPr="00092B5B">
        <w:rPr>
          <w:lang w:val="fr-FR"/>
        </w:rPr>
        <w:t>OCTROI des droits d</w:t>
      </w:r>
      <w:r w:rsidR="00F20C73">
        <w:rPr>
          <w:lang w:val="fr-FR"/>
        </w:rPr>
        <w:t>’</w:t>
      </w:r>
      <w:r w:rsidRPr="00092B5B">
        <w:rPr>
          <w:lang w:val="fr-FR"/>
        </w:rPr>
        <w:t>obtenteur</w:t>
      </w:r>
      <w:bookmarkEnd w:id="59"/>
    </w:p>
    <w:p w:rsidR="00860532" w:rsidRPr="00092B5B" w:rsidRDefault="00860532" w:rsidP="00F55485">
      <w:pPr>
        <w:rPr>
          <w:lang w:val="fr-FR"/>
        </w:rPr>
      </w:pPr>
    </w:p>
    <w:p w:rsidR="00860532" w:rsidRPr="00092B5B" w:rsidRDefault="00860532" w:rsidP="00F55485">
      <w:pPr>
        <w:rPr>
          <w:lang w:val="fr-FR"/>
        </w:rPr>
      </w:pPr>
      <w:r w:rsidRPr="00092B5B">
        <w:rPr>
          <w:lang w:val="fr-FR"/>
        </w:rPr>
        <w:t>Le service d</w:t>
      </w:r>
      <w:r w:rsidR="00F20C73">
        <w:rPr>
          <w:lang w:val="fr-FR"/>
        </w:rPr>
        <w:t>’</w:t>
      </w:r>
      <w:r w:rsidRPr="00092B5B">
        <w:rPr>
          <w:lang w:val="fr-FR"/>
        </w:rPr>
        <w:t>octroi des droits d</w:t>
      </w:r>
      <w:r w:rsidR="00F20C73">
        <w:rPr>
          <w:lang w:val="fr-FR"/>
        </w:rPr>
        <w:t>’</w:t>
      </w:r>
      <w:r w:rsidRPr="00092B5B">
        <w:rPr>
          <w:lang w:val="fr-FR"/>
        </w:rPr>
        <w:t>obtenteur est souvent placé sous la direction du ministère chargé de l</w:t>
      </w:r>
      <w:r w:rsidR="00F20C73">
        <w:rPr>
          <w:lang w:val="fr-FR"/>
        </w:rPr>
        <w:t>’</w:t>
      </w:r>
      <w:r w:rsidRPr="00092B5B">
        <w:rPr>
          <w:lang w:val="fr-FR"/>
        </w:rPr>
        <w:t>agriculture ou de celui chargé de la propriété intellectuelle.  Les ministères chargés de l</w:t>
      </w:r>
      <w:r w:rsidR="00F20C73">
        <w:rPr>
          <w:lang w:val="fr-FR"/>
        </w:rPr>
        <w:t>’</w:t>
      </w:r>
      <w:r w:rsidRPr="00092B5B">
        <w:rPr>
          <w:lang w:val="fr-FR"/>
        </w:rPr>
        <w:t>agriculture ont normalement une expérience des programmes liés aux variétés végétales comme la certification des semences et l</w:t>
      </w:r>
      <w:r w:rsidR="00E56043">
        <w:rPr>
          <w:lang w:val="fr-FR"/>
        </w:rPr>
        <w:t xml:space="preserve">’inscription dans les listes </w:t>
      </w:r>
      <w:r w:rsidRPr="00092B5B">
        <w:rPr>
          <w:lang w:val="fr-FR"/>
        </w:rPr>
        <w:t>national</w:t>
      </w:r>
      <w:r w:rsidR="00E56043">
        <w:rPr>
          <w:lang w:val="fr-FR"/>
        </w:rPr>
        <w:t>es</w:t>
      </w:r>
      <w:r w:rsidRPr="00092B5B">
        <w:rPr>
          <w:lang w:val="fr-FR"/>
        </w:rPr>
        <w:t xml:space="preserve"> des variétés. </w:t>
      </w:r>
      <w:r w:rsidR="00E56043">
        <w:rPr>
          <w:lang w:val="fr-FR"/>
        </w:rPr>
        <w:t xml:space="preserve"> </w:t>
      </w:r>
      <w:r w:rsidRPr="00092B5B">
        <w:rPr>
          <w:lang w:val="fr-FR"/>
        </w:rPr>
        <w:t>Toutefois, le service d</w:t>
      </w:r>
      <w:r w:rsidR="00F20C73">
        <w:rPr>
          <w:lang w:val="fr-FR"/>
        </w:rPr>
        <w:t>’</w:t>
      </w:r>
      <w:r w:rsidRPr="00092B5B">
        <w:rPr>
          <w:lang w:val="fr-FR"/>
        </w:rPr>
        <w:t>octroi des droits d</w:t>
      </w:r>
      <w:r w:rsidR="00F20C73">
        <w:rPr>
          <w:lang w:val="fr-FR"/>
        </w:rPr>
        <w:t>’</w:t>
      </w:r>
      <w:r w:rsidRPr="00092B5B">
        <w:rPr>
          <w:lang w:val="fr-FR"/>
        </w:rPr>
        <w:t>obtenteur peut par exemple être placé sous la direction d</w:t>
      </w:r>
      <w:r w:rsidR="00F20C73">
        <w:rPr>
          <w:lang w:val="fr-FR"/>
        </w:rPr>
        <w:t>’</w:t>
      </w:r>
      <w:r w:rsidRPr="00092B5B">
        <w:rPr>
          <w:lang w:val="fr-FR"/>
        </w:rPr>
        <w:t>un ministère chargé de la propriété intellectuelle.</w:t>
      </w:r>
    </w:p>
    <w:p w:rsidR="00860532" w:rsidRPr="00092B5B" w:rsidRDefault="00860532" w:rsidP="00F55485">
      <w:pPr>
        <w:rPr>
          <w:lang w:val="fr-FR"/>
        </w:rPr>
      </w:pPr>
    </w:p>
    <w:p w:rsidR="00860532" w:rsidRPr="00092B5B" w:rsidRDefault="00860532" w:rsidP="00F55485">
      <w:pPr>
        <w:rPr>
          <w:lang w:val="fr-FR"/>
        </w:rPr>
      </w:pPr>
      <w:r w:rsidRPr="00092B5B">
        <w:rPr>
          <w:lang w:val="fr-FR"/>
        </w:rPr>
        <w:t>Un membre de l</w:t>
      </w:r>
      <w:r w:rsidR="00F20C73">
        <w:rPr>
          <w:lang w:val="fr-FR"/>
        </w:rPr>
        <w:t>’</w:t>
      </w:r>
      <w:r w:rsidRPr="00092B5B">
        <w:rPr>
          <w:lang w:val="fr-FR"/>
        </w:rPr>
        <w:t>UPOV peut également décider de confier l</w:t>
      </w:r>
      <w:r w:rsidR="00F20C73">
        <w:rPr>
          <w:lang w:val="fr-FR"/>
        </w:rPr>
        <w:t>’</w:t>
      </w:r>
      <w:r w:rsidRPr="00092B5B">
        <w:rPr>
          <w:lang w:val="fr-FR"/>
        </w:rPr>
        <w:t>octroi de droits d</w:t>
      </w:r>
      <w:r w:rsidR="00F20C73">
        <w:rPr>
          <w:lang w:val="fr-FR"/>
        </w:rPr>
        <w:t>’</w:t>
      </w:r>
      <w:r w:rsidRPr="00092B5B">
        <w:rPr>
          <w:lang w:val="fr-FR"/>
        </w:rPr>
        <w:t>obtenteur au service d</w:t>
      </w:r>
      <w:r w:rsidR="00F20C73">
        <w:rPr>
          <w:lang w:val="fr-FR"/>
        </w:rPr>
        <w:t>’</w:t>
      </w:r>
      <w:r w:rsidRPr="00092B5B">
        <w:rPr>
          <w:lang w:val="fr-FR"/>
        </w:rPr>
        <w:t>octroi d</w:t>
      </w:r>
      <w:r w:rsidR="00F20C73">
        <w:rPr>
          <w:lang w:val="fr-FR"/>
        </w:rPr>
        <w:t>’</w:t>
      </w:r>
      <w:r w:rsidRPr="00092B5B">
        <w:rPr>
          <w:lang w:val="fr-FR"/>
        </w:rPr>
        <w:t>un autre membre</w:t>
      </w:r>
      <w:r w:rsidR="000B7B11">
        <w:rPr>
          <w:lang w:val="fr-FR"/>
        </w:rPr>
        <w:t>,</w:t>
      </w:r>
      <w:r w:rsidRPr="00092B5B">
        <w:rPr>
          <w:lang w:val="fr-FR"/>
        </w:rPr>
        <w:t xml:space="preserve"> </w:t>
      </w:r>
      <w:r w:rsidR="000B7B11">
        <w:rPr>
          <w:lang w:val="fr-FR"/>
        </w:rPr>
        <w:t xml:space="preserve">par exemple </w:t>
      </w:r>
      <w:r w:rsidRPr="00092B5B">
        <w:rPr>
          <w:lang w:val="fr-FR"/>
        </w:rPr>
        <w:t>une organisation intergouvernementale régionale ou supranationale.</w:t>
      </w:r>
    </w:p>
    <w:p w:rsidR="00860532" w:rsidRDefault="00860532" w:rsidP="00F55485">
      <w:pPr>
        <w:rPr>
          <w:lang w:val="fr-FR"/>
        </w:rPr>
      </w:pPr>
    </w:p>
    <w:p w:rsidR="00860532" w:rsidRPr="00092B5B" w:rsidRDefault="00860532" w:rsidP="00F55485">
      <w:pPr>
        <w:rPr>
          <w:lang w:val="fr-FR"/>
        </w:rPr>
      </w:pPr>
    </w:p>
    <w:p w:rsidR="00860532" w:rsidRPr="00092B5B" w:rsidRDefault="00860532" w:rsidP="00F55485">
      <w:pPr>
        <w:rPr>
          <w:lang w:val="fr-FR"/>
        </w:rPr>
      </w:pPr>
    </w:p>
    <w:p w:rsidR="00860532" w:rsidRPr="00092B5B" w:rsidRDefault="00860532" w:rsidP="00F55485">
      <w:pPr>
        <w:pStyle w:val="Heading1"/>
        <w:rPr>
          <w:lang w:val="fr-FR"/>
        </w:rPr>
      </w:pPr>
      <w:bookmarkStart w:id="60" w:name="_Toc382397526"/>
      <w:r w:rsidRPr="00092B5B">
        <w:rPr>
          <w:lang w:val="fr-FR"/>
        </w:rPr>
        <w:t>FOnctions et structure d</w:t>
      </w:r>
      <w:r w:rsidR="00F20C73">
        <w:rPr>
          <w:lang w:val="fr-FR"/>
        </w:rPr>
        <w:t>’</w:t>
      </w:r>
      <w:r w:rsidRPr="00092B5B">
        <w:rPr>
          <w:lang w:val="fr-FR"/>
        </w:rPr>
        <w:t>un SERVICE D</w:t>
      </w:r>
      <w:r w:rsidR="00F20C73">
        <w:rPr>
          <w:lang w:val="fr-FR"/>
        </w:rPr>
        <w:t>’</w:t>
      </w:r>
      <w:r w:rsidRPr="00092B5B">
        <w:rPr>
          <w:lang w:val="fr-FR"/>
        </w:rPr>
        <w:t>OCTROI des droits d</w:t>
      </w:r>
      <w:r w:rsidR="00F20C73">
        <w:rPr>
          <w:lang w:val="fr-FR"/>
        </w:rPr>
        <w:t>’</w:t>
      </w:r>
      <w:r w:rsidRPr="00092B5B">
        <w:rPr>
          <w:lang w:val="fr-FR"/>
        </w:rPr>
        <w:t>obtenteur</w:t>
      </w:r>
      <w:bookmarkEnd w:id="60"/>
    </w:p>
    <w:p w:rsidR="00860532" w:rsidRPr="00092B5B" w:rsidRDefault="00860532" w:rsidP="00F55485">
      <w:pPr>
        <w:rPr>
          <w:lang w:val="fr-FR"/>
        </w:rPr>
      </w:pPr>
    </w:p>
    <w:p w:rsidR="00860532" w:rsidRPr="00092B5B" w:rsidRDefault="00860532" w:rsidP="00F55485">
      <w:pPr>
        <w:rPr>
          <w:lang w:val="fr-FR"/>
        </w:rPr>
      </w:pPr>
      <w:r w:rsidRPr="00092B5B">
        <w:rPr>
          <w:lang w:val="fr-FR"/>
        </w:rPr>
        <w:t>La Convention UPOV définit les activités du service d</w:t>
      </w:r>
      <w:r w:rsidR="00F20C73">
        <w:rPr>
          <w:lang w:val="fr-FR"/>
        </w:rPr>
        <w:t>’</w:t>
      </w:r>
      <w:r w:rsidRPr="00092B5B">
        <w:rPr>
          <w:lang w:val="fr-FR"/>
        </w:rPr>
        <w:t>octroi des droits d</w:t>
      </w:r>
      <w:r w:rsidR="00F20C73">
        <w:rPr>
          <w:lang w:val="fr-FR"/>
        </w:rPr>
        <w:t>’</w:t>
      </w:r>
      <w:r w:rsidRPr="00092B5B">
        <w:rPr>
          <w:lang w:val="fr-FR"/>
        </w:rPr>
        <w:t>obtenteur, mais il n</w:t>
      </w:r>
      <w:r w:rsidR="00F20C73">
        <w:rPr>
          <w:lang w:val="fr-FR"/>
        </w:rPr>
        <w:t>’</w:t>
      </w:r>
      <w:r w:rsidRPr="00092B5B">
        <w:rPr>
          <w:lang w:val="fr-FR"/>
        </w:rPr>
        <w:t>en définit pas un modèle en particulier. C</w:t>
      </w:r>
      <w:r w:rsidR="00F20C73">
        <w:rPr>
          <w:lang w:val="fr-FR"/>
        </w:rPr>
        <w:t>’</w:t>
      </w:r>
      <w:r w:rsidRPr="00092B5B">
        <w:rPr>
          <w:lang w:val="fr-FR"/>
        </w:rPr>
        <w:t>est pourquoi les membres de l</w:t>
      </w:r>
      <w:r w:rsidR="00F20C73">
        <w:rPr>
          <w:lang w:val="fr-FR"/>
        </w:rPr>
        <w:t>’</w:t>
      </w:r>
      <w:r w:rsidRPr="00092B5B">
        <w:rPr>
          <w:lang w:val="fr-FR"/>
        </w:rPr>
        <w:t>UPOV peuvent organiser le service d</w:t>
      </w:r>
      <w:r w:rsidR="00F20C73">
        <w:rPr>
          <w:lang w:val="fr-FR"/>
        </w:rPr>
        <w:t>’</w:t>
      </w:r>
      <w:r w:rsidRPr="00092B5B">
        <w:rPr>
          <w:lang w:val="fr-FR"/>
        </w:rPr>
        <w:t>octroi en fonction de leur situation.</w:t>
      </w:r>
    </w:p>
    <w:p w:rsidR="00860532" w:rsidRPr="00092B5B" w:rsidRDefault="00860532" w:rsidP="00F55485">
      <w:pPr>
        <w:rPr>
          <w:lang w:val="fr-FR"/>
        </w:rPr>
      </w:pPr>
    </w:p>
    <w:p w:rsidR="00860532" w:rsidRPr="00092B5B" w:rsidRDefault="00860532" w:rsidP="00F55485">
      <w:pPr>
        <w:rPr>
          <w:lang w:val="fr-FR"/>
        </w:rPr>
      </w:pPr>
      <w:r w:rsidRPr="00092B5B">
        <w:rPr>
          <w:lang w:val="fr-FR"/>
        </w:rPr>
        <w:t>L</w:t>
      </w:r>
      <w:r w:rsidR="00F20C73">
        <w:rPr>
          <w:lang w:val="fr-FR"/>
        </w:rPr>
        <w:t>’</w:t>
      </w:r>
      <w:r w:rsidRPr="00092B5B">
        <w:rPr>
          <w:lang w:val="fr-FR"/>
        </w:rPr>
        <w:t>ordinogramme ci</w:t>
      </w:r>
      <w:r w:rsidRPr="00092B5B">
        <w:rPr>
          <w:lang w:val="fr-FR"/>
        </w:rPr>
        <w:noBreakHyphen/>
        <w:t>après illustre les tâches fondamentales d</w:t>
      </w:r>
      <w:r w:rsidR="00F20C73">
        <w:rPr>
          <w:lang w:val="fr-FR"/>
        </w:rPr>
        <w:t>’</w:t>
      </w:r>
      <w:r w:rsidRPr="00092B5B">
        <w:rPr>
          <w:lang w:val="fr-FR"/>
        </w:rPr>
        <w:t>un service d</w:t>
      </w:r>
      <w:r w:rsidR="00F20C73">
        <w:rPr>
          <w:lang w:val="fr-FR"/>
        </w:rPr>
        <w:t>’</w:t>
      </w:r>
      <w:r w:rsidRPr="00092B5B">
        <w:rPr>
          <w:lang w:val="fr-FR"/>
        </w:rPr>
        <w:t>octroi typique des droits d</w:t>
      </w:r>
      <w:r w:rsidR="00F20C73">
        <w:rPr>
          <w:lang w:val="fr-FR"/>
        </w:rPr>
        <w:t>’</w:t>
      </w:r>
      <w:r w:rsidRPr="00092B5B">
        <w:rPr>
          <w:lang w:val="fr-FR"/>
        </w:rPr>
        <w:t>obtenteur.</w:t>
      </w:r>
      <w:r>
        <w:rPr>
          <w:lang w:val="fr-FR"/>
        </w:rPr>
        <w:t xml:space="preserve"> </w:t>
      </w:r>
      <w:r w:rsidRPr="00092B5B">
        <w:rPr>
          <w:lang w:val="fr-FR"/>
        </w:rPr>
        <w:t xml:space="preserve"> L</w:t>
      </w:r>
      <w:r w:rsidRPr="00904280">
        <w:rPr>
          <w:lang w:val="fr-FR"/>
        </w:rPr>
        <w:t xml:space="preserve">e module 2 : </w:t>
      </w:r>
      <w:r w:rsidR="00F20C73">
        <w:rPr>
          <w:lang w:val="fr-FR"/>
        </w:rPr>
        <w:t>“</w:t>
      </w:r>
      <w:r w:rsidRPr="00904280">
        <w:rPr>
          <w:lang w:val="fr-FR"/>
        </w:rPr>
        <w:t>Administration des demandes</w:t>
      </w:r>
      <w:r w:rsidR="00F20C73">
        <w:rPr>
          <w:lang w:val="fr-FR"/>
        </w:rPr>
        <w:t>”</w:t>
      </w:r>
      <w:r w:rsidRPr="00092B5B">
        <w:rPr>
          <w:lang w:val="fr-FR"/>
        </w:rPr>
        <w:t xml:space="preserve"> donne de plus amples informations sur ces tâches.</w:t>
      </w:r>
    </w:p>
    <w:p w:rsidR="00860532" w:rsidRPr="00092B5B" w:rsidRDefault="00860532" w:rsidP="00F55485">
      <w:pPr>
        <w:rPr>
          <w:lang w:val="fr-FR"/>
        </w:rPr>
      </w:pPr>
    </w:p>
    <w:p w:rsidR="00860532" w:rsidRPr="00092B5B" w:rsidRDefault="00860532" w:rsidP="00F55485">
      <w:pPr>
        <w:keepNext/>
        <w:rPr>
          <w:lang w:val="fr-FR"/>
        </w:rPr>
      </w:pPr>
      <w:r w:rsidRPr="00092B5B">
        <w:rPr>
          <w:lang w:val="fr-FR"/>
        </w:rPr>
        <w:lastRenderedPageBreak/>
        <w:t>Ordinogramme 1</w:t>
      </w:r>
      <w:r w:rsidRPr="00092B5B">
        <w:rPr>
          <w:vertAlign w:val="superscript"/>
          <w:lang w:val="fr-FR"/>
        </w:rPr>
        <w:footnoteReference w:id="3"/>
      </w:r>
      <w:r w:rsidRPr="00092B5B">
        <w:rPr>
          <w:lang w:val="fr-FR"/>
        </w:rPr>
        <w:t> : Tâches fondamentales du service d</w:t>
      </w:r>
      <w:r w:rsidR="00F20C73">
        <w:rPr>
          <w:lang w:val="fr-FR"/>
        </w:rPr>
        <w:t>’</w:t>
      </w:r>
      <w:r w:rsidRPr="00092B5B">
        <w:rPr>
          <w:lang w:val="fr-FR"/>
        </w:rPr>
        <w:t>octroi des droits d</w:t>
      </w:r>
      <w:r w:rsidR="00F20C73">
        <w:rPr>
          <w:lang w:val="fr-FR"/>
        </w:rPr>
        <w:t>’</w:t>
      </w:r>
      <w:r w:rsidRPr="00092B5B">
        <w:rPr>
          <w:lang w:val="fr-FR"/>
        </w:rPr>
        <w:t>obtenteur</w:t>
      </w:r>
    </w:p>
    <w:p w:rsidR="00860532" w:rsidRPr="00092B5B" w:rsidRDefault="00860532" w:rsidP="00F55485">
      <w:pPr>
        <w:keepNext/>
        <w:rPr>
          <w:lang w:val="fr-FR"/>
        </w:rPr>
      </w:pPr>
    </w:p>
    <w:p w:rsidR="00860532" w:rsidRPr="00092B5B" w:rsidRDefault="00860532" w:rsidP="00F55485">
      <w:pPr>
        <w:rPr>
          <w:lang w:val="fr-FR"/>
        </w:rPr>
      </w:pPr>
      <w:r>
        <w:rPr>
          <w:noProof/>
        </w:rPr>
        <w:drawing>
          <wp:inline distT="0" distB="0" distL="0" distR="0" wp14:anchorId="2F9CA2EF" wp14:editId="27237681">
            <wp:extent cx="5761355" cy="5657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v_distance_learning_module1_graph_34583_FR.jpg"/>
                    <pic:cNvPicPr/>
                  </pic:nvPicPr>
                  <pic:blipFill>
                    <a:blip r:embed="rId17">
                      <a:extLst>
                        <a:ext uri="{28A0092B-C50C-407E-A947-70E740481C1C}">
                          <a14:useLocalDpi xmlns:a14="http://schemas.microsoft.com/office/drawing/2010/main" val="0"/>
                        </a:ext>
                      </a:extLst>
                    </a:blip>
                    <a:stretch>
                      <a:fillRect/>
                    </a:stretch>
                  </pic:blipFill>
                  <pic:spPr>
                    <a:xfrm>
                      <a:off x="0" y="0"/>
                      <a:ext cx="5761355" cy="5657215"/>
                    </a:xfrm>
                    <a:prstGeom prst="rect">
                      <a:avLst/>
                    </a:prstGeom>
                  </pic:spPr>
                </pic:pic>
              </a:graphicData>
            </a:graphic>
          </wp:inline>
        </w:drawing>
      </w:r>
    </w:p>
    <w:p w:rsidR="00860532" w:rsidRPr="00092B5B" w:rsidRDefault="00860532" w:rsidP="00F55485">
      <w:pPr>
        <w:rPr>
          <w:lang w:val="fr-FR"/>
        </w:rPr>
      </w:pPr>
    </w:p>
    <w:p w:rsidR="00860532" w:rsidRPr="00092B5B" w:rsidRDefault="00860532" w:rsidP="00F55485">
      <w:pPr>
        <w:rPr>
          <w:lang w:val="fr-FR"/>
        </w:rPr>
      </w:pPr>
    </w:p>
    <w:p w:rsidR="00860532" w:rsidRPr="00092B5B" w:rsidRDefault="00860532" w:rsidP="00F55485">
      <w:pPr>
        <w:jc w:val="right"/>
        <w:rPr>
          <w:lang w:val="fr-FR"/>
        </w:rPr>
      </w:pPr>
      <w:r w:rsidRPr="00092B5B">
        <w:rPr>
          <w:lang w:val="fr-FR"/>
        </w:rPr>
        <w:t>[Fin du module</w:t>
      </w:r>
      <w:r w:rsidR="003542E7">
        <w:rPr>
          <w:lang w:val="fr-FR"/>
        </w:rPr>
        <w:t xml:space="preserve"> 1</w:t>
      </w:r>
      <w:r w:rsidRPr="00092B5B">
        <w:rPr>
          <w:lang w:val="fr-FR"/>
        </w:rPr>
        <w:t>]</w:t>
      </w:r>
    </w:p>
    <w:p w:rsidR="0020369A" w:rsidRPr="002F3B03" w:rsidRDefault="0020369A" w:rsidP="002B092C">
      <w:pPr>
        <w:autoSpaceDE w:val="0"/>
        <w:autoSpaceDN w:val="0"/>
        <w:adjustRightInd w:val="0"/>
        <w:rPr>
          <w:lang w:val="fr-FR"/>
        </w:rPr>
      </w:pPr>
    </w:p>
    <w:p w:rsidR="00F55485" w:rsidRPr="00E73FE2" w:rsidRDefault="00E73FE2" w:rsidP="00E73FE2">
      <w:pPr>
        <w:jc w:val="left"/>
        <w:rPr>
          <w:b/>
          <w:lang w:val="fr-FR"/>
        </w:rPr>
      </w:pPr>
      <w:r>
        <w:rPr>
          <w:b/>
          <w:sz w:val="24"/>
          <w:lang w:val="fr-FR"/>
        </w:rPr>
        <w:br w:type="page"/>
      </w:r>
      <w:r w:rsidR="00F55485" w:rsidRPr="00E73FE2">
        <w:rPr>
          <w:b/>
          <w:lang w:val="fr-FR"/>
        </w:rPr>
        <w:lastRenderedPageBreak/>
        <w:t xml:space="preserve">MODULE 2 : ADMINISTRATION </w:t>
      </w:r>
      <w:r w:rsidR="00F55485" w:rsidRPr="00E73FE2">
        <w:rPr>
          <w:b/>
          <w:caps/>
          <w:lang w:val="fr-FR"/>
        </w:rPr>
        <w:t>des demandes</w:t>
      </w:r>
    </w:p>
    <w:p w:rsidR="00F55485" w:rsidRPr="00A35026" w:rsidRDefault="00F55485" w:rsidP="00F55485">
      <w:pPr>
        <w:rPr>
          <w:lang w:val="fr-FR"/>
        </w:rPr>
      </w:pPr>
    </w:p>
    <w:p w:rsidR="00F55485" w:rsidRPr="00A35026" w:rsidRDefault="00F55485" w:rsidP="00F55485">
      <w:pPr>
        <w:rPr>
          <w:u w:val="single"/>
          <w:lang w:val="fr-FR"/>
        </w:rPr>
      </w:pPr>
      <w:r w:rsidRPr="00A35026">
        <w:rPr>
          <w:u w:val="single"/>
          <w:lang w:val="fr-FR"/>
        </w:rPr>
        <w:t>Objectif</w:t>
      </w:r>
    </w:p>
    <w:p w:rsidR="00F55485" w:rsidRPr="00A35026" w:rsidRDefault="00F55485" w:rsidP="00F55485">
      <w:pPr>
        <w:rPr>
          <w:lang w:val="fr-FR"/>
        </w:rPr>
      </w:pPr>
    </w:p>
    <w:p w:rsidR="00F55485" w:rsidRPr="00A35026" w:rsidRDefault="00F55485" w:rsidP="00F55485">
      <w:pPr>
        <w:rPr>
          <w:i/>
          <w:lang w:val="fr-FR"/>
        </w:rPr>
      </w:pPr>
      <w:r w:rsidRPr="00A35026">
        <w:rPr>
          <w:i/>
          <w:lang w:val="fr-FR"/>
        </w:rPr>
        <w:t>Le présent module a pour objectif d</w:t>
      </w:r>
      <w:r w:rsidR="00F20C73">
        <w:rPr>
          <w:i/>
          <w:lang w:val="fr-FR"/>
        </w:rPr>
        <w:t>’</w:t>
      </w:r>
      <w:r w:rsidRPr="00A35026">
        <w:rPr>
          <w:i/>
          <w:lang w:val="fr-FR"/>
        </w:rPr>
        <w:t xml:space="preserve">expliquer les tâches </w:t>
      </w:r>
      <w:r>
        <w:rPr>
          <w:i/>
          <w:lang w:val="fr-FR"/>
        </w:rPr>
        <w:t>de ba</w:t>
      </w:r>
      <w:r w:rsidRPr="00A35026">
        <w:rPr>
          <w:i/>
          <w:lang w:val="fr-FR"/>
        </w:rPr>
        <w:t>s</w:t>
      </w:r>
      <w:r>
        <w:rPr>
          <w:i/>
          <w:lang w:val="fr-FR"/>
        </w:rPr>
        <w:t>e</w:t>
      </w:r>
      <w:r w:rsidRPr="00A35026">
        <w:rPr>
          <w:i/>
          <w:lang w:val="fr-FR"/>
        </w:rPr>
        <w:t xml:space="preserve"> dont est chargé le service d</w:t>
      </w:r>
      <w:r w:rsidR="00F20C73">
        <w:rPr>
          <w:i/>
          <w:lang w:val="fr-FR"/>
        </w:rPr>
        <w:t>’</w:t>
      </w:r>
      <w:r w:rsidRPr="00A35026">
        <w:rPr>
          <w:i/>
          <w:lang w:val="fr-FR"/>
        </w:rPr>
        <w:t>octroi des droits d</w:t>
      </w:r>
      <w:r w:rsidR="00F20C73">
        <w:rPr>
          <w:i/>
          <w:lang w:val="fr-FR"/>
        </w:rPr>
        <w:t>’</w:t>
      </w:r>
      <w:r w:rsidRPr="00A35026">
        <w:rPr>
          <w:i/>
          <w:lang w:val="fr-FR"/>
        </w:rPr>
        <w:t>obtenteur en ce qui concerne l</w:t>
      </w:r>
      <w:r w:rsidR="00F20C73">
        <w:rPr>
          <w:i/>
          <w:lang w:val="fr-FR"/>
        </w:rPr>
        <w:t>’</w:t>
      </w:r>
      <w:r w:rsidRPr="00A35026">
        <w:rPr>
          <w:i/>
          <w:lang w:val="fr-FR"/>
        </w:rPr>
        <w:t>administration des demandes de droit d</w:t>
      </w:r>
      <w:r w:rsidR="00F20C73">
        <w:rPr>
          <w:i/>
          <w:lang w:val="fr-FR"/>
        </w:rPr>
        <w:t>’</w:t>
      </w:r>
      <w:r w:rsidRPr="00A35026">
        <w:rPr>
          <w:i/>
          <w:lang w:val="fr-FR"/>
        </w:rPr>
        <w:t xml:space="preserve">obtenteur.  Le module explique les tâches </w:t>
      </w:r>
      <w:r>
        <w:rPr>
          <w:i/>
          <w:lang w:val="fr-FR"/>
        </w:rPr>
        <w:t>de base</w:t>
      </w:r>
      <w:r w:rsidRPr="00A35026">
        <w:rPr>
          <w:i/>
          <w:lang w:val="fr-FR"/>
        </w:rPr>
        <w:t xml:space="preserve"> exécutées au sein du service d</w:t>
      </w:r>
      <w:r w:rsidR="00F20C73">
        <w:rPr>
          <w:i/>
          <w:lang w:val="fr-FR"/>
        </w:rPr>
        <w:t>’</w:t>
      </w:r>
      <w:r w:rsidRPr="00A35026">
        <w:rPr>
          <w:i/>
          <w:lang w:val="fr-FR"/>
        </w:rPr>
        <w:t>octroi des droits d</w:t>
      </w:r>
      <w:r w:rsidR="00F20C73">
        <w:rPr>
          <w:i/>
          <w:lang w:val="fr-FR"/>
        </w:rPr>
        <w:t>’</w:t>
      </w:r>
      <w:r w:rsidRPr="00A35026">
        <w:rPr>
          <w:i/>
          <w:lang w:val="fr-FR"/>
        </w:rPr>
        <w:t xml:space="preserve">obtenteur, comme il ressort du diagramme </w:t>
      </w:r>
      <w:r w:rsidRPr="00DC0206">
        <w:rPr>
          <w:i/>
          <w:lang w:val="fr-FR"/>
        </w:rPr>
        <w:t>figurant dans le</w:t>
      </w:r>
      <w:r w:rsidRPr="00DC0206">
        <w:rPr>
          <w:lang w:val="fr-FR"/>
        </w:rPr>
        <w:t xml:space="preserve"> </w:t>
      </w:r>
      <w:r w:rsidRPr="00DC0206">
        <w:rPr>
          <w:i/>
          <w:lang w:val="fr-FR"/>
        </w:rPr>
        <w:t xml:space="preserve">module 1 intitulé </w:t>
      </w:r>
      <w:r w:rsidR="00F20C73">
        <w:rPr>
          <w:i/>
          <w:lang w:val="fr-FR"/>
        </w:rPr>
        <w:t>“</w:t>
      </w:r>
      <w:r w:rsidRPr="00DC0206">
        <w:rPr>
          <w:i/>
          <w:lang w:val="fr-FR"/>
        </w:rPr>
        <w:t>Le service d</w:t>
      </w:r>
      <w:r w:rsidR="00F20C73">
        <w:rPr>
          <w:i/>
          <w:lang w:val="fr-FR"/>
        </w:rPr>
        <w:t>’</w:t>
      </w:r>
      <w:r w:rsidRPr="00DC0206">
        <w:rPr>
          <w:i/>
          <w:lang w:val="fr-FR"/>
        </w:rPr>
        <w:t>octroi des droits d</w:t>
      </w:r>
      <w:r w:rsidR="00F20C73">
        <w:rPr>
          <w:i/>
          <w:lang w:val="fr-FR"/>
        </w:rPr>
        <w:t>’</w:t>
      </w:r>
      <w:r w:rsidRPr="00DC0206">
        <w:rPr>
          <w:i/>
          <w:lang w:val="fr-FR"/>
        </w:rPr>
        <w:t>obtenteur</w:t>
      </w:r>
      <w:r w:rsidR="00F20C73">
        <w:rPr>
          <w:i/>
          <w:lang w:val="fr-FR"/>
        </w:rPr>
        <w:t>”</w:t>
      </w:r>
      <w:r w:rsidRPr="00DC0206">
        <w:rPr>
          <w:i/>
          <w:lang w:val="fr-FR"/>
        </w:rPr>
        <w:t>.</w:t>
      </w:r>
      <w:r w:rsidRPr="00A35026">
        <w:rPr>
          <w:i/>
          <w:lang w:val="fr-FR"/>
        </w:rPr>
        <w:t xml:space="preserve">  </w:t>
      </w:r>
    </w:p>
    <w:p w:rsidR="00F55485" w:rsidRPr="00A35026" w:rsidRDefault="00F55485" w:rsidP="00F55485">
      <w:pPr>
        <w:rPr>
          <w:lang w:val="fr-FR"/>
        </w:rPr>
      </w:pPr>
    </w:p>
    <w:p w:rsidR="00F55485" w:rsidRPr="00A35026" w:rsidRDefault="00F55485" w:rsidP="00F55485">
      <w:pPr>
        <w:rPr>
          <w:lang w:val="fr-FR"/>
        </w:rPr>
      </w:pPr>
    </w:p>
    <w:p w:rsidR="00F55485" w:rsidRDefault="00F55485" w:rsidP="00EB27F7">
      <w:pPr>
        <w:rPr>
          <w:lang w:val="fr-FR"/>
        </w:rPr>
      </w:pPr>
      <w:r w:rsidRPr="00A35026">
        <w:rPr>
          <w:lang w:val="fr-FR"/>
        </w:rPr>
        <w:br w:type="page"/>
      </w:r>
      <w:bookmarkStart w:id="61" w:name="_Toc382814017"/>
      <w:bookmarkStart w:id="62" w:name="_Toc378597572"/>
      <w:r w:rsidR="00EB27F7" w:rsidRPr="00A35026">
        <w:rPr>
          <w:lang w:val="fr-FR"/>
        </w:rPr>
        <w:lastRenderedPageBreak/>
        <w:t>DEMANDE DE DROITS D</w:t>
      </w:r>
      <w:r w:rsidR="00F20C73">
        <w:rPr>
          <w:lang w:val="fr-FR"/>
        </w:rPr>
        <w:t>’</w:t>
      </w:r>
      <w:r w:rsidR="00EB27F7" w:rsidRPr="00A35026">
        <w:rPr>
          <w:lang w:val="fr-FR"/>
        </w:rPr>
        <w:t>OBTENTEUR</w:t>
      </w:r>
      <w:bookmarkEnd w:id="61"/>
    </w:p>
    <w:p w:rsidR="00F55485" w:rsidRPr="00A35026" w:rsidRDefault="00F55485" w:rsidP="00F55485">
      <w:pPr>
        <w:rPr>
          <w:lang w:val="fr-FR"/>
        </w:rPr>
      </w:pPr>
      <w:r w:rsidRPr="00A35026">
        <w:rPr>
          <w:lang w:val="fr-FR"/>
        </w:rPr>
        <w:t>(voir la note </w:t>
      </w:r>
      <w:r>
        <w:rPr>
          <w:lang w:val="fr-FR"/>
        </w:rPr>
        <w:t>a</w:t>
      </w:r>
      <w:r w:rsidRPr="00A35026">
        <w:rPr>
          <w:lang w:val="fr-FR"/>
        </w:rPr>
        <w:t xml:space="preserve"> du diagramme figurant dans le Module 1)</w:t>
      </w:r>
      <w:bookmarkEnd w:id="62"/>
    </w:p>
    <w:p w:rsidR="00F55485" w:rsidRPr="00A35026" w:rsidRDefault="00F55485" w:rsidP="00F55485">
      <w:pPr>
        <w:rPr>
          <w:lang w:val="fr-FR"/>
        </w:rPr>
      </w:pPr>
    </w:p>
    <w:p w:rsidR="00F55485" w:rsidRPr="00A35026" w:rsidRDefault="00F55485" w:rsidP="00F55485">
      <w:pPr>
        <w:pStyle w:val="Heading2"/>
      </w:pPr>
      <w:bookmarkStart w:id="63" w:name="_Toc382814018"/>
      <w:r w:rsidRPr="00A35026">
        <w:t>Introduction</w:t>
      </w:r>
      <w:bookmarkEnd w:id="63"/>
    </w:p>
    <w:p w:rsidR="00F55485" w:rsidRPr="00A35026" w:rsidRDefault="00F55485" w:rsidP="00F55485">
      <w:pPr>
        <w:rPr>
          <w:lang w:val="fr-FR"/>
        </w:rPr>
      </w:pPr>
    </w:p>
    <w:p w:rsidR="00F55485" w:rsidRPr="00A35026" w:rsidRDefault="00F55485" w:rsidP="00F55485">
      <w:pPr>
        <w:rPr>
          <w:lang w:val="fr-FR"/>
        </w:rPr>
      </w:pPr>
      <w:r>
        <w:rPr>
          <w:lang w:val="fr-FR"/>
        </w:rPr>
        <w:t>Avant de recevoir l</w:t>
      </w:r>
      <w:r w:rsidRPr="00A35026">
        <w:rPr>
          <w:lang w:val="fr-FR"/>
        </w:rPr>
        <w:t>es demandes de droits d</w:t>
      </w:r>
      <w:r w:rsidR="00F20C73">
        <w:rPr>
          <w:lang w:val="fr-FR"/>
        </w:rPr>
        <w:t>’</w:t>
      </w:r>
      <w:r w:rsidRPr="00A35026">
        <w:rPr>
          <w:lang w:val="fr-FR"/>
        </w:rPr>
        <w:t>obtenteur, le service d</w:t>
      </w:r>
      <w:r w:rsidR="00F20C73">
        <w:rPr>
          <w:lang w:val="fr-FR"/>
        </w:rPr>
        <w:t>’</w:t>
      </w:r>
      <w:r w:rsidRPr="00A35026">
        <w:rPr>
          <w:lang w:val="fr-FR"/>
        </w:rPr>
        <w:t>octroi des droits d</w:t>
      </w:r>
      <w:r w:rsidR="00F20C73">
        <w:rPr>
          <w:lang w:val="fr-FR"/>
        </w:rPr>
        <w:t>’</w:t>
      </w:r>
      <w:r w:rsidRPr="00A35026">
        <w:rPr>
          <w:lang w:val="fr-FR"/>
        </w:rPr>
        <w:t>obtenteur doit avoir établi les formulaires appropriés et être en mesure d</w:t>
      </w:r>
      <w:r w:rsidR="00F20C73">
        <w:rPr>
          <w:lang w:val="fr-FR"/>
        </w:rPr>
        <w:t>’</w:t>
      </w:r>
      <w:r w:rsidRPr="00A35026">
        <w:rPr>
          <w:lang w:val="fr-FR"/>
        </w:rPr>
        <w:t xml:space="preserve">attribuer une date et une heure de dépôt.  </w:t>
      </w:r>
    </w:p>
    <w:p w:rsidR="00F55485" w:rsidRPr="00A35026" w:rsidRDefault="00F55485" w:rsidP="00F55485">
      <w:pPr>
        <w:rPr>
          <w:lang w:val="fr-FR"/>
        </w:rPr>
      </w:pPr>
    </w:p>
    <w:p w:rsidR="00F55485" w:rsidRPr="00A35026" w:rsidRDefault="00F55485" w:rsidP="00F55485">
      <w:pPr>
        <w:rPr>
          <w:lang w:val="fr-FR"/>
        </w:rPr>
      </w:pPr>
      <w:r w:rsidRPr="00A35026">
        <w:rPr>
          <w:lang w:val="fr-FR"/>
        </w:rPr>
        <w:t>Les dispositions juridiques en vigueur dans certains membres de l</w:t>
      </w:r>
      <w:r w:rsidR="00F20C73">
        <w:rPr>
          <w:lang w:val="fr-FR"/>
        </w:rPr>
        <w:t>’</w:t>
      </w:r>
      <w:r w:rsidRPr="00A35026">
        <w:rPr>
          <w:lang w:val="fr-FR"/>
        </w:rPr>
        <w:t>UPOV autorisent le dépôt de demandes sur papier uniquement.  D</w:t>
      </w:r>
      <w:r w:rsidR="00F20C73">
        <w:rPr>
          <w:lang w:val="fr-FR"/>
        </w:rPr>
        <w:t>’</w:t>
      </w:r>
      <w:r w:rsidRPr="00A35026">
        <w:rPr>
          <w:lang w:val="fr-FR"/>
        </w:rPr>
        <w:t>autres membres autorisent l</w:t>
      </w:r>
      <w:r w:rsidR="00F20C73">
        <w:rPr>
          <w:lang w:val="fr-FR"/>
        </w:rPr>
        <w:t>’</w:t>
      </w:r>
      <w:r w:rsidRPr="00A35026">
        <w:rPr>
          <w:lang w:val="fr-FR"/>
        </w:rPr>
        <w:t>utilisation de formulaires de demande électroniques pour remplacer ou compléter les demandes sur papier, ce qui facilite l</w:t>
      </w:r>
      <w:r w:rsidR="00F20C73">
        <w:rPr>
          <w:lang w:val="fr-FR"/>
        </w:rPr>
        <w:t>’</w:t>
      </w:r>
      <w:r w:rsidRPr="00A35026">
        <w:rPr>
          <w:lang w:val="fr-FR"/>
        </w:rPr>
        <w:t>utilisation des bases de données et la gestion de l</w:t>
      </w:r>
      <w:r w:rsidR="00F20C73">
        <w:rPr>
          <w:lang w:val="fr-FR"/>
        </w:rPr>
        <w:t>’</w:t>
      </w:r>
      <w:r w:rsidRPr="00A35026">
        <w:rPr>
          <w:lang w:val="fr-FR"/>
        </w:rPr>
        <w:t>information.  Afin de pouvoir accepter les demandes sous forme électronique, les membres de l</w:t>
      </w:r>
      <w:r w:rsidR="00F20C73">
        <w:rPr>
          <w:lang w:val="fr-FR"/>
        </w:rPr>
        <w:t>’</w:t>
      </w:r>
      <w:r w:rsidRPr="00A35026">
        <w:rPr>
          <w:lang w:val="fr-FR"/>
        </w:rPr>
        <w:t>UPOV devront peut</w:t>
      </w:r>
      <w:r w:rsidRPr="00A35026">
        <w:rPr>
          <w:lang w:val="fr-FR"/>
        </w:rPr>
        <w:noBreakHyphen/>
        <w:t xml:space="preserve">être mettre en place des systèmes auxiliaires dédiés, par exemple, à la reconnaissance des signatures numériques, au paiement électronique ou à des questions de sécurité. </w:t>
      </w:r>
    </w:p>
    <w:p w:rsidR="00F55485" w:rsidRPr="00A35026" w:rsidRDefault="00F55485" w:rsidP="00F55485">
      <w:pPr>
        <w:rPr>
          <w:lang w:val="fr-FR"/>
        </w:rPr>
      </w:pPr>
    </w:p>
    <w:p w:rsidR="00F55485" w:rsidRPr="00DC0206" w:rsidRDefault="00F55485" w:rsidP="00F55485">
      <w:pPr>
        <w:rPr>
          <w:lang w:val="fr-FR"/>
        </w:rPr>
      </w:pPr>
      <w:r w:rsidRPr="00DC0206">
        <w:rPr>
          <w:lang w:val="fr-FR"/>
        </w:rPr>
        <w:t>Les demandes de protection doivent être administrées par le service d</w:t>
      </w:r>
      <w:r w:rsidR="00F20C73">
        <w:rPr>
          <w:lang w:val="fr-FR"/>
        </w:rPr>
        <w:t>’</w:t>
      </w:r>
      <w:r w:rsidRPr="00DC0206">
        <w:rPr>
          <w:lang w:val="fr-FR"/>
        </w:rPr>
        <w:t>octroi des droits d</w:t>
      </w:r>
      <w:r w:rsidR="00F20C73">
        <w:rPr>
          <w:lang w:val="fr-FR"/>
        </w:rPr>
        <w:t>’</w:t>
      </w:r>
      <w:r w:rsidRPr="00DC0206">
        <w:rPr>
          <w:lang w:val="fr-FR"/>
        </w:rPr>
        <w:t>obtenteur et leur gestion peut nécessiter l</w:t>
      </w:r>
      <w:r w:rsidR="00F20C73">
        <w:rPr>
          <w:lang w:val="fr-FR"/>
        </w:rPr>
        <w:t>’</w:t>
      </w:r>
      <w:r w:rsidRPr="00DC0206">
        <w:rPr>
          <w:lang w:val="fr-FR"/>
        </w:rPr>
        <w:t>utilisation de logiciels précis.  Le partage de logiciels entre membres de l</w:t>
      </w:r>
      <w:r w:rsidR="00F20C73">
        <w:rPr>
          <w:lang w:val="fr-FR"/>
        </w:rPr>
        <w:t>’</w:t>
      </w:r>
      <w:r w:rsidRPr="00DC0206">
        <w:rPr>
          <w:lang w:val="fr-FR"/>
        </w:rPr>
        <w:t>UPOV constitue un moyen essentiel d</w:t>
      </w:r>
      <w:r w:rsidR="00F20C73">
        <w:rPr>
          <w:lang w:val="fr-FR"/>
        </w:rPr>
        <w:t>’</w:t>
      </w:r>
      <w:r w:rsidRPr="00DC0206">
        <w:rPr>
          <w:lang w:val="fr-FR"/>
        </w:rPr>
        <w:t>appui à l</w:t>
      </w:r>
      <w:r w:rsidR="00F20C73">
        <w:rPr>
          <w:lang w:val="fr-FR"/>
        </w:rPr>
        <w:t>’</w:t>
      </w:r>
      <w:r w:rsidRPr="00DC0206">
        <w:rPr>
          <w:lang w:val="fr-FR"/>
        </w:rPr>
        <w:t>administration des demandes et à l</w:t>
      </w:r>
      <w:r w:rsidR="00F20C73">
        <w:rPr>
          <w:lang w:val="fr-FR"/>
        </w:rPr>
        <w:t>’</w:t>
      </w:r>
      <w:r w:rsidRPr="00DC0206">
        <w:rPr>
          <w:lang w:val="fr-FR"/>
        </w:rPr>
        <w:t>examen des variétés.  Des informations sur le partage de logiciels entre membres de l</w:t>
      </w:r>
      <w:r w:rsidR="00F20C73">
        <w:rPr>
          <w:lang w:val="fr-FR"/>
        </w:rPr>
        <w:t>’</w:t>
      </w:r>
      <w:r w:rsidRPr="00DC0206">
        <w:rPr>
          <w:lang w:val="fr-FR"/>
        </w:rPr>
        <w:t xml:space="preserve">UPOV figurent dans le document UPOV/INF/16 </w:t>
      </w:r>
      <w:r w:rsidR="00F20C73">
        <w:rPr>
          <w:lang w:val="fr-FR"/>
        </w:rPr>
        <w:t>“</w:t>
      </w:r>
      <w:r w:rsidRPr="00DC0206">
        <w:rPr>
          <w:lang w:val="fr-FR"/>
        </w:rPr>
        <w:t>Logiciels échangeables</w:t>
      </w:r>
      <w:r w:rsidR="00F20C73">
        <w:rPr>
          <w:lang w:val="fr-FR"/>
        </w:rPr>
        <w:t>”</w:t>
      </w:r>
      <w:r w:rsidRPr="00DC0206">
        <w:rPr>
          <w:lang w:val="fr-FR"/>
        </w:rPr>
        <w:t xml:space="preserve"> (disponible à l</w:t>
      </w:r>
      <w:r w:rsidR="00F20C73">
        <w:rPr>
          <w:lang w:val="fr-FR"/>
        </w:rPr>
        <w:t>’</w:t>
      </w:r>
      <w:r w:rsidRPr="00DC0206">
        <w:rPr>
          <w:lang w:val="fr-FR"/>
        </w:rPr>
        <w:t xml:space="preserve">adresse </w:t>
      </w:r>
      <w:hyperlink r:id="rId18" w:history="1">
        <w:r w:rsidRPr="00DC0206">
          <w:rPr>
            <w:rStyle w:val="Hyperlink"/>
            <w:lang w:val="fr-FR"/>
          </w:rPr>
          <w:t>http://www.upov.int/information_documents/fr/</w:t>
        </w:r>
      </w:hyperlink>
      <w:r w:rsidRPr="00DC0206">
        <w:rPr>
          <w:lang w:val="fr-FR"/>
        </w:rPr>
        <w:t>)</w:t>
      </w:r>
      <w:r>
        <w:rPr>
          <w:lang w:val="fr-FR"/>
        </w:rPr>
        <w:t>.</w:t>
      </w:r>
    </w:p>
    <w:p w:rsidR="00F55485" w:rsidRPr="00DC0206" w:rsidRDefault="00F55485" w:rsidP="00F55485">
      <w:pPr>
        <w:rPr>
          <w:lang w:val="fr-FR"/>
        </w:rPr>
      </w:pPr>
    </w:p>
    <w:p w:rsidR="00F55485" w:rsidRPr="00DC0206" w:rsidRDefault="00F55485" w:rsidP="00F55485">
      <w:pPr>
        <w:rPr>
          <w:lang w:val="fr-FR"/>
        </w:rPr>
      </w:pPr>
    </w:p>
    <w:p w:rsidR="00F55485" w:rsidRPr="00DC0206" w:rsidRDefault="00F55485" w:rsidP="00F55485">
      <w:pPr>
        <w:pStyle w:val="Heading2"/>
      </w:pPr>
      <w:bookmarkStart w:id="64" w:name="_Toc378597573"/>
      <w:bookmarkStart w:id="65" w:name="_Toc382814019"/>
      <w:r w:rsidRPr="00DC0206">
        <w:t>Élaboration de formulaires</w:t>
      </w:r>
      <w:bookmarkEnd w:id="64"/>
      <w:bookmarkEnd w:id="65"/>
    </w:p>
    <w:p w:rsidR="00F55485" w:rsidRPr="00DC0206" w:rsidRDefault="00F55485" w:rsidP="00F55485">
      <w:pPr>
        <w:rPr>
          <w:b/>
          <w:lang w:val="fr-FR"/>
        </w:rPr>
      </w:pPr>
    </w:p>
    <w:p w:rsidR="00F55485" w:rsidRPr="00DC0206" w:rsidRDefault="00F55485" w:rsidP="00F55485">
      <w:pPr>
        <w:rPr>
          <w:lang w:val="fr-FR"/>
        </w:rPr>
      </w:pPr>
      <w:r w:rsidRPr="00DC0206">
        <w:rPr>
          <w:lang w:val="fr-FR"/>
        </w:rPr>
        <w:t>En vue de faciliter la mise en œuvre des procédures de dépôt des demandes de protection des obtentions végétales, l</w:t>
      </w:r>
      <w:r w:rsidR="00F20C73">
        <w:rPr>
          <w:lang w:val="fr-FR"/>
        </w:rPr>
        <w:t>’</w:t>
      </w:r>
      <w:r w:rsidRPr="00DC0206">
        <w:rPr>
          <w:lang w:val="fr-FR"/>
        </w:rPr>
        <w:t>UPOV a établi des formulaires types qui peuvent être utilisés par les services d</w:t>
      </w:r>
      <w:r w:rsidR="00F20C73">
        <w:rPr>
          <w:lang w:val="fr-FR"/>
        </w:rPr>
        <w:t>’</w:t>
      </w:r>
      <w:r w:rsidRPr="00DC0206">
        <w:rPr>
          <w:lang w:val="fr-FR"/>
        </w:rPr>
        <w:t>octroi des droits d</w:t>
      </w:r>
      <w:r w:rsidR="00F20C73">
        <w:rPr>
          <w:lang w:val="fr-FR"/>
        </w:rPr>
        <w:t>’</w:t>
      </w:r>
      <w:r w:rsidRPr="00DC0206">
        <w:rPr>
          <w:lang w:val="fr-FR"/>
        </w:rPr>
        <w:t xml:space="preserve">obtenteur dans un cadre national ou régional.  </w:t>
      </w:r>
    </w:p>
    <w:p w:rsidR="00F55485" w:rsidRPr="00DC0206" w:rsidRDefault="00F55485" w:rsidP="00F55485">
      <w:pPr>
        <w:rPr>
          <w:lang w:val="fr-FR"/>
        </w:rPr>
      </w:pPr>
    </w:p>
    <w:p w:rsidR="00F55485" w:rsidRPr="00DC0206" w:rsidRDefault="00F55485" w:rsidP="00F55485">
      <w:pPr>
        <w:pStyle w:val="Heading3"/>
        <w:rPr>
          <w:lang w:val="fr-FR"/>
        </w:rPr>
      </w:pPr>
      <w:bookmarkStart w:id="66" w:name="_Toc378597574"/>
      <w:bookmarkStart w:id="67" w:name="_Toc382814020"/>
      <w:r w:rsidRPr="00DC0206">
        <w:rPr>
          <w:lang w:val="fr-FR"/>
        </w:rPr>
        <w:t>Formulaire type de demande élaboré par l</w:t>
      </w:r>
      <w:r w:rsidR="00F20C73">
        <w:rPr>
          <w:lang w:val="fr-FR"/>
        </w:rPr>
        <w:t>’</w:t>
      </w:r>
      <w:r w:rsidRPr="00DC0206">
        <w:rPr>
          <w:lang w:val="fr-FR"/>
        </w:rPr>
        <w:t>UPOV</w:t>
      </w:r>
      <w:bookmarkEnd w:id="66"/>
      <w:bookmarkEnd w:id="67"/>
    </w:p>
    <w:p w:rsidR="00F55485" w:rsidRPr="00DC0206" w:rsidRDefault="00F55485" w:rsidP="00F55485">
      <w:pPr>
        <w:rPr>
          <w:u w:val="single"/>
          <w:lang w:val="fr-FR"/>
        </w:rPr>
      </w:pPr>
    </w:p>
    <w:p w:rsidR="00F55485" w:rsidRPr="00DC0206" w:rsidRDefault="00F55485" w:rsidP="00F55485">
      <w:pPr>
        <w:rPr>
          <w:lang w:val="fr-FR"/>
        </w:rPr>
      </w:pPr>
      <w:r w:rsidRPr="00DC0206">
        <w:rPr>
          <w:lang w:val="fr-FR"/>
        </w:rPr>
        <w:t xml:space="preserve">Le document TGP/5 intitulé </w:t>
      </w:r>
      <w:r w:rsidR="00F20C73">
        <w:rPr>
          <w:lang w:val="fr-FR"/>
        </w:rPr>
        <w:t>“</w:t>
      </w:r>
      <w:r w:rsidRPr="00DC0206">
        <w:rPr>
          <w:lang w:val="fr-FR"/>
        </w:rPr>
        <w:t>Expérience et coopération en matière d</w:t>
      </w:r>
      <w:r w:rsidR="00F20C73">
        <w:rPr>
          <w:lang w:val="fr-FR"/>
        </w:rPr>
        <w:t>’</w:t>
      </w:r>
      <w:r w:rsidRPr="00DC0206">
        <w:rPr>
          <w:lang w:val="fr-FR"/>
        </w:rPr>
        <w:t>examen DHS</w:t>
      </w:r>
      <w:r w:rsidR="00F20C73">
        <w:rPr>
          <w:lang w:val="fr-FR"/>
        </w:rPr>
        <w:t>”</w:t>
      </w:r>
      <w:r w:rsidRPr="00DC0206">
        <w:rPr>
          <w:lang w:val="fr-FR"/>
        </w:rPr>
        <w:t xml:space="preserve"> contient le </w:t>
      </w:r>
      <w:r w:rsidR="00F20C73">
        <w:rPr>
          <w:lang w:val="fr-FR"/>
        </w:rPr>
        <w:t>“</w:t>
      </w:r>
      <w:r w:rsidRPr="00DC0206">
        <w:rPr>
          <w:lang w:val="fr-FR"/>
        </w:rPr>
        <w:t>Formulaire type de l</w:t>
      </w:r>
      <w:r w:rsidR="00F20C73">
        <w:rPr>
          <w:lang w:val="fr-FR"/>
        </w:rPr>
        <w:t>’</w:t>
      </w:r>
      <w:r w:rsidRPr="00DC0206">
        <w:rPr>
          <w:lang w:val="fr-FR"/>
        </w:rPr>
        <w:t>UPOV pour la demande de protection d</w:t>
      </w:r>
      <w:r w:rsidR="00F20C73">
        <w:rPr>
          <w:lang w:val="fr-FR"/>
        </w:rPr>
        <w:t>’</w:t>
      </w:r>
      <w:r w:rsidRPr="00DC0206">
        <w:rPr>
          <w:lang w:val="fr-FR"/>
        </w:rPr>
        <w:t>une obtention végétale</w:t>
      </w:r>
      <w:r w:rsidR="00F20C73">
        <w:rPr>
          <w:lang w:val="fr-FR"/>
        </w:rPr>
        <w:t>”</w:t>
      </w:r>
      <w:r w:rsidRPr="00DC0206">
        <w:rPr>
          <w:lang w:val="fr-FR"/>
        </w:rPr>
        <w:t xml:space="preserve"> (</w:t>
      </w:r>
      <w:hyperlink r:id="rId19" w:history="1">
        <w:r w:rsidRPr="00DC0206">
          <w:rPr>
            <w:lang w:val="fr-FR"/>
          </w:rPr>
          <w:t>TGP/5, Section 2</w:t>
        </w:r>
      </w:hyperlink>
      <w:r w:rsidRPr="00DC0206">
        <w:rPr>
          <w:lang w:val="fr-FR"/>
        </w:rPr>
        <w:t>).  Le formulaire type de l</w:t>
      </w:r>
      <w:r w:rsidR="00F20C73">
        <w:rPr>
          <w:lang w:val="fr-FR"/>
        </w:rPr>
        <w:t>’</w:t>
      </w:r>
      <w:r w:rsidRPr="00DC0206">
        <w:rPr>
          <w:lang w:val="fr-FR"/>
        </w:rPr>
        <w:t>UPOV se présente comme dans l</w:t>
      </w:r>
      <w:r w:rsidR="00F20C73">
        <w:rPr>
          <w:lang w:val="fr-FR"/>
        </w:rPr>
        <w:t>’</w:t>
      </w:r>
      <w:r w:rsidRPr="00DC0206">
        <w:rPr>
          <w:lang w:val="fr-FR"/>
        </w:rPr>
        <w:t>extrait figurant à la page suivante (disponible à l</w:t>
      </w:r>
      <w:r w:rsidR="00F20C73">
        <w:rPr>
          <w:lang w:val="fr-FR"/>
        </w:rPr>
        <w:t>’</w:t>
      </w:r>
      <w:r w:rsidRPr="00DC0206">
        <w:rPr>
          <w:lang w:val="fr-FR"/>
        </w:rPr>
        <w:t xml:space="preserve">adresse </w:t>
      </w:r>
      <w:hyperlink r:id="rId20" w:history="1">
        <w:r w:rsidRPr="00DC0206">
          <w:rPr>
            <w:rStyle w:val="Hyperlink"/>
            <w:lang w:val="fr-FR"/>
          </w:rPr>
          <w:t>http://www.upov.int/tgp/fr/</w:t>
        </w:r>
      </w:hyperlink>
      <w:r w:rsidRPr="00DC0206">
        <w:rPr>
          <w:lang w:val="fr-FR"/>
        </w:rPr>
        <w:t>).</w:t>
      </w:r>
    </w:p>
    <w:p w:rsidR="00F55485" w:rsidRPr="00DC0206" w:rsidRDefault="00F55485" w:rsidP="00F55485">
      <w:pPr>
        <w:rPr>
          <w:lang w:val="fr-FR"/>
        </w:rPr>
      </w:pPr>
    </w:p>
    <w:p w:rsidR="00F55485" w:rsidRPr="00A35026" w:rsidRDefault="00F55485" w:rsidP="00F55485">
      <w:pPr>
        <w:autoSpaceDE w:val="0"/>
        <w:autoSpaceDN w:val="0"/>
        <w:adjustRightInd w:val="0"/>
        <w:rPr>
          <w:lang w:val="fr-FR"/>
        </w:rPr>
      </w:pPr>
      <w:r w:rsidRPr="00DC0206">
        <w:rPr>
          <w:lang w:val="fr-FR"/>
        </w:rPr>
        <w:t>Lors de la conversion du formulaire type de l</w:t>
      </w:r>
      <w:r w:rsidR="00F20C73">
        <w:rPr>
          <w:lang w:val="fr-FR"/>
        </w:rPr>
        <w:t>’</w:t>
      </w:r>
      <w:r w:rsidRPr="00DC0206">
        <w:rPr>
          <w:lang w:val="fr-FR"/>
        </w:rPr>
        <w:t>UPOV en formulaire propre à un service d</w:t>
      </w:r>
      <w:r w:rsidR="00F20C73">
        <w:rPr>
          <w:lang w:val="fr-FR"/>
        </w:rPr>
        <w:t>’</w:t>
      </w:r>
      <w:r w:rsidRPr="00DC0206">
        <w:rPr>
          <w:lang w:val="fr-FR"/>
        </w:rPr>
        <w:t>octroi des droits d</w:t>
      </w:r>
      <w:r w:rsidR="00F20C73">
        <w:rPr>
          <w:lang w:val="fr-FR"/>
        </w:rPr>
        <w:t>’</w:t>
      </w:r>
      <w:r w:rsidRPr="00DC0206">
        <w:rPr>
          <w:lang w:val="fr-FR"/>
        </w:rPr>
        <w:t>obtenteur et lors de l</w:t>
      </w:r>
      <w:r w:rsidR="00F20C73">
        <w:rPr>
          <w:lang w:val="fr-FR"/>
        </w:rPr>
        <w:t>’</w:t>
      </w:r>
      <w:r w:rsidRPr="00DC0206">
        <w:rPr>
          <w:lang w:val="fr-FR"/>
        </w:rPr>
        <w:t>élaboration des instructions pour remplir le formulaire, la teneur de la législation applicable du membre de l</w:t>
      </w:r>
      <w:r w:rsidR="00F20C73">
        <w:rPr>
          <w:lang w:val="fr-FR"/>
        </w:rPr>
        <w:t>’</w:t>
      </w:r>
      <w:r w:rsidRPr="00DC0206">
        <w:rPr>
          <w:lang w:val="fr-FR"/>
        </w:rPr>
        <w:t>UPOV, ainsi que la terminologie utilisée dans cette législation doivent être prises en considération.  Afin que le formulaire type puisse jouer son rôle, il est essentiel que la disposition, l</w:t>
      </w:r>
      <w:r w:rsidR="00F20C73">
        <w:rPr>
          <w:lang w:val="fr-FR"/>
        </w:rPr>
        <w:t>’</w:t>
      </w:r>
      <w:r w:rsidRPr="00DC0206">
        <w:rPr>
          <w:lang w:val="fr-FR"/>
        </w:rPr>
        <w:t>objet et la numérotation des rubriques soient respectés dans les formulaires propres à un service donné.</w:t>
      </w:r>
      <w:r w:rsidRPr="00A35026">
        <w:rPr>
          <w:lang w:val="fr-FR"/>
        </w:rPr>
        <w:t xml:space="preserve">  </w:t>
      </w:r>
    </w:p>
    <w:p w:rsidR="00F55485" w:rsidRPr="00A35026" w:rsidRDefault="00F55485" w:rsidP="00F55485">
      <w:pPr>
        <w:autoSpaceDE w:val="0"/>
        <w:autoSpaceDN w:val="0"/>
        <w:adjustRightInd w:val="0"/>
        <w:rPr>
          <w:lang w:val="fr-FR"/>
        </w:rPr>
      </w:pPr>
    </w:p>
    <w:p w:rsidR="00F55485" w:rsidRPr="00027523" w:rsidRDefault="00F55485" w:rsidP="00F55485">
      <w:pPr>
        <w:autoSpaceDE w:val="0"/>
        <w:autoSpaceDN w:val="0"/>
        <w:adjustRightInd w:val="0"/>
        <w:rPr>
          <w:lang w:val="fr-FR"/>
        </w:rPr>
      </w:pPr>
      <w:r w:rsidRPr="00A35026">
        <w:rPr>
          <w:lang w:val="fr-FR"/>
        </w:rPr>
        <w:t>Un renvoi normalisé de l</w:t>
      </w:r>
      <w:r w:rsidR="00F20C73">
        <w:rPr>
          <w:lang w:val="fr-FR"/>
        </w:rPr>
        <w:t>’</w:t>
      </w:r>
      <w:r w:rsidRPr="00A35026">
        <w:rPr>
          <w:lang w:val="fr-FR"/>
        </w:rPr>
        <w:t>UPOV a été fourni pour chaque champ du formulaire type de l</w:t>
      </w:r>
      <w:r w:rsidR="00F20C73">
        <w:rPr>
          <w:lang w:val="fr-FR"/>
        </w:rPr>
        <w:t>’</w:t>
      </w:r>
      <w:r w:rsidRPr="00A35026">
        <w:rPr>
          <w:lang w:val="fr-FR"/>
        </w:rPr>
        <w:t xml:space="preserve">UPOV.  Par exemple, pour le point 1.(a) </w:t>
      </w:r>
      <w:r w:rsidR="00F20C73">
        <w:rPr>
          <w:lang w:val="fr-FR"/>
        </w:rPr>
        <w:t>“</w:t>
      </w:r>
      <w:r w:rsidRPr="00A35026">
        <w:rPr>
          <w:lang w:val="fr-FR"/>
        </w:rPr>
        <w:t>Demandeur(s) Nom(s)</w:t>
      </w:r>
      <w:r w:rsidR="00F20C73">
        <w:rPr>
          <w:lang w:val="fr-FR"/>
        </w:rPr>
        <w:t>”</w:t>
      </w:r>
      <w:r w:rsidRPr="00A35026">
        <w:rPr>
          <w:lang w:val="fr-FR"/>
        </w:rPr>
        <w:t>, le renvoi normalisé de l</w:t>
      </w:r>
      <w:r w:rsidR="00F20C73">
        <w:rPr>
          <w:lang w:val="fr-FR"/>
        </w:rPr>
        <w:t>’</w:t>
      </w:r>
      <w:r w:rsidRPr="00A35026">
        <w:rPr>
          <w:lang w:val="fr-FR"/>
        </w:rPr>
        <w:t xml:space="preserve">UPOV est </w:t>
      </w:r>
      <w:r w:rsidR="00F20C73">
        <w:rPr>
          <w:lang w:val="fr-FR"/>
        </w:rPr>
        <w:t>“</w:t>
      </w:r>
      <w:r w:rsidRPr="00A35026">
        <w:rPr>
          <w:lang w:val="fr-FR"/>
        </w:rPr>
        <w:t>UPOV A1 : 1(a)(i)</w:t>
      </w:r>
      <w:r w:rsidR="00F20C73">
        <w:rPr>
          <w:lang w:val="fr-FR"/>
        </w:rPr>
        <w:t>”</w:t>
      </w:r>
      <w:r w:rsidRPr="00A35026">
        <w:rPr>
          <w:lang w:val="fr-FR"/>
        </w:rPr>
        <w:t>.  Pour faciliter l</w:t>
      </w:r>
      <w:r w:rsidR="00F20C73">
        <w:rPr>
          <w:lang w:val="fr-FR"/>
        </w:rPr>
        <w:t>’</w:t>
      </w:r>
      <w:r w:rsidRPr="00A35026">
        <w:rPr>
          <w:lang w:val="fr-FR"/>
        </w:rPr>
        <w:t>harmonisation et aider les déposants, un service peut inclure les renvois normalisés de l</w:t>
      </w:r>
      <w:r w:rsidR="00F20C73">
        <w:rPr>
          <w:lang w:val="fr-FR"/>
        </w:rPr>
        <w:t>’</w:t>
      </w:r>
      <w:r w:rsidRPr="00A35026">
        <w:rPr>
          <w:lang w:val="fr-FR"/>
        </w:rPr>
        <w:t>UPOV dans les champs correspondants dans ses propres formulaires.  Il appartient à chaque service de déterminer si les champs dans ses propres formulaires correspondent de manière suffisamment précise à ceux figurant da</w:t>
      </w:r>
      <w:r w:rsidRPr="00027523">
        <w:rPr>
          <w:lang w:val="fr-FR"/>
        </w:rPr>
        <w:t>ns le formulaire de demande type de l</w:t>
      </w:r>
      <w:r w:rsidR="00F20C73">
        <w:rPr>
          <w:lang w:val="fr-FR"/>
        </w:rPr>
        <w:t>’</w:t>
      </w:r>
      <w:r w:rsidRPr="00027523">
        <w:rPr>
          <w:lang w:val="fr-FR"/>
        </w:rPr>
        <w:t>UPOV pour qu</w:t>
      </w:r>
      <w:r w:rsidR="00F20C73">
        <w:rPr>
          <w:lang w:val="fr-FR"/>
        </w:rPr>
        <w:t>’</w:t>
      </w:r>
      <w:r w:rsidRPr="00027523">
        <w:rPr>
          <w:lang w:val="fr-FR"/>
        </w:rPr>
        <w:t>il soit possible d</w:t>
      </w:r>
      <w:r w:rsidR="00F20C73">
        <w:rPr>
          <w:lang w:val="fr-FR"/>
        </w:rPr>
        <w:t>’</w:t>
      </w:r>
      <w:r w:rsidRPr="00027523">
        <w:rPr>
          <w:lang w:val="fr-FR"/>
        </w:rPr>
        <w:t xml:space="preserve">effectuer ces renvois. </w:t>
      </w:r>
    </w:p>
    <w:p w:rsidR="00F55485" w:rsidRPr="00027523" w:rsidRDefault="00F55485" w:rsidP="00F55485">
      <w:pPr>
        <w:autoSpaceDE w:val="0"/>
        <w:autoSpaceDN w:val="0"/>
        <w:adjustRightInd w:val="0"/>
        <w:rPr>
          <w:lang w:val="fr-FR"/>
        </w:rPr>
      </w:pPr>
    </w:p>
    <w:p w:rsidR="00F55485" w:rsidRPr="00A35026" w:rsidRDefault="00F55485" w:rsidP="00F55485">
      <w:pPr>
        <w:autoSpaceDE w:val="0"/>
        <w:autoSpaceDN w:val="0"/>
        <w:adjustRightInd w:val="0"/>
        <w:rPr>
          <w:lang w:val="fr-FR"/>
        </w:rPr>
      </w:pPr>
      <w:r w:rsidRPr="00027523">
        <w:rPr>
          <w:lang w:val="fr-FR"/>
        </w:rPr>
        <w:t xml:space="preserve">Le document </w:t>
      </w:r>
      <w:hyperlink r:id="rId21" w:history="1">
        <w:r w:rsidRPr="00027523">
          <w:rPr>
            <w:lang w:val="fr-FR"/>
          </w:rPr>
          <w:t>TGP/5, Section 2</w:t>
        </w:r>
      </w:hyperlink>
      <w:r w:rsidRPr="00027523">
        <w:rPr>
          <w:lang w:val="fr-FR"/>
        </w:rPr>
        <w:t xml:space="preserve"> contient des informations plus détaillées sur les différentes rubriques du formulaire type de l</w:t>
      </w:r>
      <w:r w:rsidR="00F20C73">
        <w:rPr>
          <w:lang w:val="fr-FR"/>
        </w:rPr>
        <w:t>’</w:t>
      </w:r>
      <w:r w:rsidRPr="00027523">
        <w:rPr>
          <w:lang w:val="fr-FR"/>
        </w:rPr>
        <w:t>UPOV.</w:t>
      </w:r>
      <w:r w:rsidRPr="00A35026">
        <w:rPr>
          <w:lang w:val="fr-FR"/>
        </w:rPr>
        <w:t xml:space="preserve">  </w:t>
      </w:r>
    </w:p>
    <w:p w:rsidR="00F55485" w:rsidRDefault="00F55485" w:rsidP="00F55485">
      <w:pPr>
        <w:rPr>
          <w:lang w:val="fr-FR"/>
        </w:rPr>
      </w:pPr>
    </w:p>
    <w:p w:rsidR="00F55485" w:rsidRPr="00A35026" w:rsidRDefault="00F55485" w:rsidP="00F55485">
      <w:pPr>
        <w:rPr>
          <w:lang w:val="fr-FR"/>
        </w:rPr>
      </w:pPr>
      <w:r w:rsidRPr="000711D1">
        <w:rPr>
          <w:noProof/>
        </w:rPr>
        <w:lastRenderedPageBreak/>
        <w:drawing>
          <wp:inline distT="0" distB="0" distL="0" distR="0" wp14:anchorId="1685F7E0" wp14:editId="2C830B04">
            <wp:extent cx="6301105" cy="72628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01105" cy="7262883"/>
                    </a:xfrm>
                    <a:prstGeom prst="rect">
                      <a:avLst/>
                    </a:prstGeom>
                    <a:noFill/>
                    <a:ln>
                      <a:noFill/>
                    </a:ln>
                  </pic:spPr>
                </pic:pic>
              </a:graphicData>
            </a:graphic>
          </wp:inline>
        </w:drawing>
      </w:r>
    </w:p>
    <w:p w:rsidR="00F55485" w:rsidRPr="00A35026" w:rsidRDefault="00F55485" w:rsidP="00F55485">
      <w:pPr>
        <w:rPr>
          <w:lang w:val="fr-FR"/>
        </w:rPr>
      </w:pPr>
    </w:p>
    <w:p w:rsidR="00F55485" w:rsidRPr="00A35026" w:rsidRDefault="00F55485" w:rsidP="00F55485">
      <w:pPr>
        <w:pStyle w:val="Heading3"/>
        <w:rPr>
          <w:lang w:val="fr-FR"/>
        </w:rPr>
      </w:pPr>
      <w:bookmarkStart w:id="68" w:name="_Toc378597575"/>
      <w:bookmarkStart w:id="69" w:name="_Toc382814021"/>
      <w:r w:rsidRPr="00A35026">
        <w:rPr>
          <w:lang w:val="fr-FR"/>
        </w:rPr>
        <w:t>Questionnaire</w:t>
      </w:r>
      <w:bookmarkEnd w:id="68"/>
      <w:r w:rsidRPr="00A35026">
        <w:rPr>
          <w:lang w:val="fr-FR"/>
        </w:rPr>
        <w:t xml:space="preserve"> technique</w:t>
      </w:r>
      <w:bookmarkEnd w:id="69"/>
    </w:p>
    <w:p w:rsidR="00F55485" w:rsidRPr="00A35026" w:rsidRDefault="00F55485" w:rsidP="00F55485">
      <w:pPr>
        <w:rPr>
          <w:lang w:val="fr-FR"/>
        </w:rPr>
      </w:pPr>
    </w:p>
    <w:p w:rsidR="00F55485" w:rsidRPr="00A35026" w:rsidRDefault="00F55485" w:rsidP="00F55485">
      <w:pPr>
        <w:rPr>
          <w:lang w:val="fr-FR"/>
        </w:rPr>
      </w:pPr>
      <w:r w:rsidRPr="00027523">
        <w:rPr>
          <w:lang w:val="fr-FR"/>
        </w:rPr>
        <w:t>Afin de faciliter le processus d</w:t>
      </w:r>
      <w:r w:rsidR="00F20C73">
        <w:rPr>
          <w:lang w:val="fr-FR"/>
        </w:rPr>
        <w:t>’</w:t>
      </w:r>
      <w:r w:rsidRPr="00027523">
        <w:rPr>
          <w:lang w:val="fr-FR"/>
        </w:rPr>
        <w:t>examen des variétés, l</w:t>
      </w:r>
      <w:r w:rsidR="00F20C73">
        <w:rPr>
          <w:lang w:val="fr-FR"/>
        </w:rPr>
        <w:t>’</w:t>
      </w:r>
      <w:r w:rsidRPr="00027523">
        <w:rPr>
          <w:lang w:val="fr-FR"/>
        </w:rPr>
        <w:t>obtenteur est prié de communiquer certains renseignements, généralement au  moyen d</w:t>
      </w:r>
      <w:r w:rsidR="00F20C73">
        <w:rPr>
          <w:lang w:val="fr-FR"/>
        </w:rPr>
        <w:t>’</w:t>
      </w:r>
      <w:r w:rsidRPr="00027523">
        <w:rPr>
          <w:lang w:val="fr-FR"/>
        </w:rPr>
        <w:t>un questionnaire technique à déposer avec la demande.  Les renseignements demandés dans le questionnaire technique portent sur des caractères précis qui sont importants pour distinguer les variétés, sur des informations concernant le schéma de sélection de la variété ainsi que sur toute autre donnée susceptible de contribuer à la distinction de la variété considérée.  Dans le questionnaire, il est également demandé à l</w:t>
      </w:r>
      <w:r w:rsidR="00F20C73">
        <w:rPr>
          <w:lang w:val="fr-FR"/>
        </w:rPr>
        <w:t>’</w:t>
      </w:r>
      <w:r w:rsidRPr="00027523">
        <w:rPr>
          <w:lang w:val="fr-FR"/>
        </w:rPr>
        <w:t>obtenteur d</w:t>
      </w:r>
      <w:r w:rsidR="00F20C73">
        <w:rPr>
          <w:lang w:val="fr-FR"/>
        </w:rPr>
        <w:t>’</w:t>
      </w:r>
      <w:r w:rsidRPr="00027523">
        <w:rPr>
          <w:lang w:val="fr-FR"/>
        </w:rPr>
        <w:t>indiquer des variétés similaires et les caractères par lesquels la variété candidate peut se distinguer de celles</w:t>
      </w:r>
      <w:r w:rsidRPr="00027523">
        <w:rPr>
          <w:lang w:val="fr-FR"/>
        </w:rPr>
        <w:noBreakHyphen/>
        <w:t>ci.  Lors de l</w:t>
      </w:r>
      <w:r w:rsidR="00F20C73">
        <w:rPr>
          <w:lang w:val="fr-FR"/>
        </w:rPr>
        <w:t>’</w:t>
      </w:r>
      <w:r w:rsidRPr="00027523">
        <w:rPr>
          <w:lang w:val="fr-FR"/>
        </w:rPr>
        <w:t>établissement par l</w:t>
      </w:r>
      <w:r w:rsidR="00F20C73">
        <w:rPr>
          <w:lang w:val="fr-FR"/>
        </w:rPr>
        <w:t>’</w:t>
      </w:r>
      <w:r w:rsidRPr="00027523">
        <w:rPr>
          <w:lang w:val="fr-FR"/>
        </w:rPr>
        <w:t xml:space="preserve">UPOV des </w:t>
      </w:r>
      <w:r w:rsidR="00F20C73">
        <w:rPr>
          <w:lang w:val="fr-FR"/>
        </w:rPr>
        <w:t>“</w:t>
      </w:r>
      <w:r w:rsidRPr="00027523">
        <w:rPr>
          <w:lang w:val="fr-FR"/>
        </w:rPr>
        <w:t>Principes directeurs pour la conduite de l</w:t>
      </w:r>
      <w:r w:rsidR="00F20C73">
        <w:rPr>
          <w:lang w:val="fr-FR"/>
        </w:rPr>
        <w:t>’</w:t>
      </w:r>
      <w:r w:rsidRPr="00027523">
        <w:rPr>
          <w:lang w:val="fr-FR"/>
        </w:rPr>
        <w:t>examen des caractères distinctifs, de l</w:t>
      </w:r>
      <w:r w:rsidR="00F20C73">
        <w:rPr>
          <w:lang w:val="fr-FR"/>
        </w:rPr>
        <w:t>’</w:t>
      </w:r>
      <w:r w:rsidRPr="00027523">
        <w:rPr>
          <w:lang w:val="fr-FR"/>
        </w:rPr>
        <w:t>homogénéité et de la</w:t>
      </w:r>
      <w:r w:rsidRPr="00A35026">
        <w:rPr>
          <w:lang w:val="fr-FR"/>
        </w:rPr>
        <w:t xml:space="preserve"> stabilité</w:t>
      </w:r>
      <w:r w:rsidR="00F20C73">
        <w:rPr>
          <w:lang w:val="fr-FR"/>
        </w:rPr>
        <w:t>”</w:t>
      </w:r>
      <w:r w:rsidRPr="00A35026">
        <w:rPr>
          <w:lang w:val="fr-FR"/>
        </w:rPr>
        <w:t xml:space="preserve">, ou </w:t>
      </w:r>
      <w:r w:rsidR="00F20C73">
        <w:rPr>
          <w:lang w:val="fr-FR"/>
        </w:rPr>
        <w:t>“</w:t>
      </w:r>
      <w:r w:rsidRPr="00A35026">
        <w:rPr>
          <w:lang w:val="fr-FR"/>
        </w:rPr>
        <w:t>principes directeurs d</w:t>
      </w:r>
      <w:r w:rsidR="00F20C73">
        <w:rPr>
          <w:lang w:val="fr-FR"/>
        </w:rPr>
        <w:t>’</w:t>
      </w:r>
      <w:r w:rsidRPr="00A35026">
        <w:rPr>
          <w:lang w:val="fr-FR"/>
        </w:rPr>
        <w:t>examen</w:t>
      </w:r>
      <w:r w:rsidR="00F20C73">
        <w:rPr>
          <w:lang w:val="fr-FR"/>
        </w:rPr>
        <w:t>”</w:t>
      </w:r>
      <w:r w:rsidRPr="00A35026">
        <w:rPr>
          <w:lang w:val="fr-FR"/>
        </w:rPr>
        <w:t xml:space="preserve"> pour de nombreuses espèces ou autres groupements de </w:t>
      </w:r>
      <w:r w:rsidRPr="00A35026">
        <w:rPr>
          <w:lang w:val="fr-FR"/>
        </w:rPr>
        <w:lastRenderedPageBreak/>
        <w:t>variétés (voir à l</w:t>
      </w:r>
      <w:r w:rsidR="00F20C73">
        <w:rPr>
          <w:lang w:val="fr-FR"/>
        </w:rPr>
        <w:t>’</w:t>
      </w:r>
      <w:r w:rsidRPr="00A35026">
        <w:rPr>
          <w:lang w:val="fr-FR"/>
        </w:rPr>
        <w:t xml:space="preserve">adresse </w:t>
      </w:r>
      <w:hyperlink r:id="rId23" w:history="1">
        <w:r w:rsidRPr="00A35026">
          <w:rPr>
            <w:rStyle w:val="Hyperlink"/>
            <w:lang w:val="fr-FR"/>
          </w:rPr>
          <w:t>http://www.upov.int/test_guidelines/fr/</w:t>
        </w:r>
      </w:hyperlink>
      <w:r w:rsidRPr="00A35026">
        <w:rPr>
          <w:lang w:val="fr-FR"/>
        </w:rPr>
        <w:t xml:space="preserve">), un questionnaire technique type a été élaboré au chapitre 10.  </w:t>
      </w:r>
    </w:p>
    <w:p w:rsidR="00F55485" w:rsidRPr="00A35026" w:rsidRDefault="00F55485" w:rsidP="00F55485">
      <w:pPr>
        <w:spacing w:line="360" w:lineRule="auto"/>
        <w:rPr>
          <w:lang w:val="fr-FR"/>
        </w:rPr>
      </w:pPr>
    </w:p>
    <w:p w:rsidR="00F55485" w:rsidRPr="00A35026" w:rsidRDefault="00F55485" w:rsidP="00F55485">
      <w:pPr>
        <w:pStyle w:val="Heading3"/>
        <w:rPr>
          <w:lang w:val="fr-FR"/>
        </w:rPr>
      </w:pPr>
      <w:bookmarkStart w:id="70" w:name="_Toc378597576"/>
      <w:bookmarkStart w:id="71" w:name="_Toc382814022"/>
      <w:r w:rsidRPr="00A35026">
        <w:rPr>
          <w:lang w:val="fr-FR"/>
        </w:rPr>
        <w:t>Échantillon de la variété</w:t>
      </w:r>
      <w:bookmarkEnd w:id="70"/>
      <w:bookmarkEnd w:id="71"/>
    </w:p>
    <w:p w:rsidR="00F55485" w:rsidRPr="00A35026" w:rsidRDefault="00F55485" w:rsidP="00F55485">
      <w:pPr>
        <w:keepNext/>
        <w:rPr>
          <w:lang w:val="fr-FR"/>
        </w:rPr>
      </w:pPr>
    </w:p>
    <w:p w:rsidR="00F55485" w:rsidRPr="00027523" w:rsidRDefault="00F55485" w:rsidP="00F55485">
      <w:pPr>
        <w:rPr>
          <w:lang w:val="fr-FR"/>
        </w:rPr>
      </w:pPr>
      <w:r w:rsidRPr="00027523">
        <w:rPr>
          <w:lang w:val="fr-FR"/>
        </w:rPr>
        <w:t xml:space="preserve">Le document TGP/5 </w:t>
      </w:r>
      <w:r w:rsidR="00F20C73">
        <w:rPr>
          <w:lang w:val="fr-FR"/>
        </w:rPr>
        <w:t>“</w:t>
      </w:r>
      <w:r w:rsidRPr="00027523">
        <w:rPr>
          <w:lang w:val="fr-FR"/>
        </w:rPr>
        <w:t>Expérience et coopération en matière d</w:t>
      </w:r>
      <w:r w:rsidR="00F20C73">
        <w:rPr>
          <w:lang w:val="fr-FR"/>
        </w:rPr>
        <w:t>’</w:t>
      </w:r>
      <w:r w:rsidRPr="00027523">
        <w:rPr>
          <w:lang w:val="fr-FR"/>
        </w:rPr>
        <w:t>examen DHS</w:t>
      </w:r>
      <w:r w:rsidR="00F20C73">
        <w:rPr>
          <w:lang w:val="fr-FR"/>
        </w:rPr>
        <w:t>”</w:t>
      </w:r>
      <w:r w:rsidRPr="00027523">
        <w:rPr>
          <w:lang w:val="fr-FR"/>
        </w:rPr>
        <w:t xml:space="preserve">, Section 4 </w:t>
      </w:r>
      <w:r w:rsidR="00F20C73">
        <w:rPr>
          <w:lang w:val="fr-FR"/>
        </w:rPr>
        <w:t>“</w:t>
      </w:r>
      <w:r w:rsidRPr="00027523">
        <w:rPr>
          <w:lang w:val="fr-FR"/>
        </w:rPr>
        <w:t>Formulaire type de l</w:t>
      </w:r>
      <w:r w:rsidR="00F20C73">
        <w:rPr>
          <w:lang w:val="fr-FR"/>
        </w:rPr>
        <w:t>’</w:t>
      </w:r>
      <w:r w:rsidRPr="00027523">
        <w:rPr>
          <w:lang w:val="fr-FR"/>
        </w:rPr>
        <w:t>UPOV pour la désignation de l</w:t>
      </w:r>
      <w:r w:rsidR="00F20C73">
        <w:rPr>
          <w:lang w:val="fr-FR"/>
        </w:rPr>
        <w:t>’</w:t>
      </w:r>
      <w:r w:rsidRPr="00027523">
        <w:rPr>
          <w:lang w:val="fr-FR"/>
        </w:rPr>
        <w:t>échantillon de la variété</w:t>
      </w:r>
      <w:r w:rsidR="00F20C73">
        <w:rPr>
          <w:lang w:val="fr-FR"/>
        </w:rPr>
        <w:t>”</w:t>
      </w:r>
      <w:r w:rsidRPr="00027523">
        <w:rPr>
          <w:lang w:val="fr-FR"/>
        </w:rPr>
        <w:t xml:space="preserve"> contient un modèle à utiliser conjointement avec le matériel végétal fourni parallèlement au matériel végétal fourni aux fins de l</w:t>
      </w:r>
      <w:r w:rsidR="00F20C73">
        <w:rPr>
          <w:lang w:val="fr-FR"/>
        </w:rPr>
        <w:t>’</w:t>
      </w:r>
      <w:r w:rsidRPr="00027523">
        <w:rPr>
          <w:lang w:val="fr-FR"/>
        </w:rPr>
        <w:t>examen des variétés candidates.</w:t>
      </w:r>
    </w:p>
    <w:p w:rsidR="00F55485" w:rsidRPr="00027523" w:rsidRDefault="00F55485" w:rsidP="00F55485">
      <w:pPr>
        <w:rPr>
          <w:lang w:val="fr-FR"/>
        </w:rPr>
      </w:pPr>
    </w:p>
    <w:p w:rsidR="00F55485" w:rsidRPr="00027523" w:rsidRDefault="00F55485" w:rsidP="00F55485">
      <w:pPr>
        <w:rPr>
          <w:lang w:val="fr-FR"/>
        </w:rPr>
      </w:pPr>
    </w:p>
    <w:p w:rsidR="00F55485" w:rsidRPr="00027523" w:rsidRDefault="00F55485" w:rsidP="00F55485">
      <w:pPr>
        <w:pStyle w:val="Heading2"/>
      </w:pPr>
      <w:bookmarkStart w:id="72" w:name="_Toc378597578"/>
      <w:bookmarkStart w:id="73" w:name="_Toc382814023"/>
      <w:r w:rsidRPr="00027523">
        <w:t>Attribution de la date de dépôt</w:t>
      </w:r>
      <w:bookmarkEnd w:id="72"/>
      <w:bookmarkEnd w:id="73"/>
    </w:p>
    <w:p w:rsidR="00F55485" w:rsidRPr="00027523" w:rsidRDefault="00F55485" w:rsidP="00F55485">
      <w:pPr>
        <w:rPr>
          <w:lang w:val="fr-FR"/>
        </w:rPr>
      </w:pPr>
    </w:p>
    <w:p w:rsidR="00F55485" w:rsidRPr="00027523" w:rsidRDefault="00F55485" w:rsidP="00F55485">
      <w:pPr>
        <w:rPr>
          <w:lang w:val="fr-FR"/>
        </w:rPr>
      </w:pPr>
      <w:r w:rsidRPr="00027523">
        <w:rPr>
          <w:lang w:val="fr-FR"/>
        </w:rPr>
        <w:t>Les demandes reçues par le service d</w:t>
      </w:r>
      <w:r w:rsidR="00F20C73">
        <w:rPr>
          <w:lang w:val="fr-FR"/>
        </w:rPr>
        <w:t>’</w:t>
      </w:r>
      <w:r w:rsidRPr="00027523">
        <w:rPr>
          <w:lang w:val="fr-FR"/>
        </w:rPr>
        <w:t>octroi des droits d</w:t>
      </w:r>
      <w:r w:rsidR="00F20C73">
        <w:rPr>
          <w:lang w:val="fr-FR"/>
        </w:rPr>
        <w:t>’</w:t>
      </w:r>
      <w:r w:rsidRPr="00027523">
        <w:rPr>
          <w:lang w:val="fr-FR"/>
        </w:rPr>
        <w:t>obtenteur doivent se voir attribuer une date de dépôt.  Cette étape est nécessaire aux fins de l</w:t>
      </w:r>
      <w:r w:rsidR="00F20C73">
        <w:rPr>
          <w:lang w:val="fr-FR"/>
        </w:rPr>
        <w:t>’</w:t>
      </w:r>
      <w:r w:rsidRPr="00027523">
        <w:rPr>
          <w:lang w:val="fr-FR"/>
        </w:rPr>
        <w:t xml:space="preserve">examen de la nouveauté (voir le module 5 intitulé </w:t>
      </w:r>
      <w:r w:rsidR="00F20C73">
        <w:rPr>
          <w:lang w:val="fr-FR"/>
        </w:rPr>
        <w:t>“</w:t>
      </w:r>
      <w:r w:rsidRPr="00027523">
        <w:rPr>
          <w:lang w:val="fr-FR"/>
        </w:rPr>
        <w:t>Examen de la nouveauté</w:t>
      </w:r>
      <w:r w:rsidR="00F20C73">
        <w:rPr>
          <w:lang w:val="fr-FR"/>
        </w:rPr>
        <w:t>”</w:t>
      </w:r>
      <w:r w:rsidRPr="00027523">
        <w:rPr>
          <w:lang w:val="fr-FR"/>
        </w:rPr>
        <w:t xml:space="preserve">) et de la distinction (voir le module 9 intitulé </w:t>
      </w:r>
      <w:r w:rsidR="00F20C73">
        <w:rPr>
          <w:lang w:val="fr-FR"/>
        </w:rPr>
        <w:t>“</w:t>
      </w:r>
      <w:r w:rsidRPr="00027523">
        <w:rPr>
          <w:lang w:val="fr-FR"/>
        </w:rPr>
        <w:t>Examen de la distinction</w:t>
      </w:r>
      <w:r w:rsidR="00F20C73">
        <w:rPr>
          <w:lang w:val="fr-FR"/>
        </w:rPr>
        <w:t>”</w:t>
      </w:r>
      <w:r w:rsidRPr="00027523">
        <w:rPr>
          <w:lang w:val="fr-FR"/>
        </w:rPr>
        <w:t xml:space="preserve">).  </w:t>
      </w:r>
    </w:p>
    <w:p w:rsidR="00F55485" w:rsidRPr="00027523" w:rsidRDefault="00F55485" w:rsidP="00F55485">
      <w:pPr>
        <w:rPr>
          <w:lang w:val="fr-FR"/>
        </w:rPr>
      </w:pPr>
    </w:p>
    <w:p w:rsidR="00F55485" w:rsidRPr="00027523" w:rsidRDefault="00F55485" w:rsidP="00F55485">
      <w:pPr>
        <w:rPr>
          <w:lang w:val="fr-FR"/>
        </w:rPr>
      </w:pPr>
      <w:r w:rsidRPr="00027523">
        <w:rPr>
          <w:szCs w:val="22"/>
          <w:lang w:val="fr-FR"/>
        </w:rPr>
        <w:t>La Convention UPOV prévoit un droit de priorité pendant un délai de 12 mois, fondé sur une demande antérieure de protection de la même variété déposée auprès d</w:t>
      </w:r>
      <w:r w:rsidR="00F20C73">
        <w:rPr>
          <w:szCs w:val="22"/>
          <w:lang w:val="fr-FR"/>
        </w:rPr>
        <w:t>’</w:t>
      </w:r>
      <w:r w:rsidRPr="00027523">
        <w:rPr>
          <w:szCs w:val="22"/>
          <w:lang w:val="fr-FR"/>
        </w:rPr>
        <w:t>un autre membre de l</w:t>
      </w:r>
      <w:r w:rsidR="00F20C73">
        <w:rPr>
          <w:szCs w:val="22"/>
          <w:lang w:val="fr-FR"/>
        </w:rPr>
        <w:t>’</w:t>
      </w:r>
      <w:r w:rsidRPr="00027523">
        <w:rPr>
          <w:szCs w:val="22"/>
          <w:lang w:val="fr-FR"/>
        </w:rPr>
        <w:t>UPOV, en vertu duquel une demande subséquente est traitée comme si elle avait été déposée à la date de dépôt de la première demande.  Le droit de priorité produit ses effets en ce qui concerne l</w:t>
      </w:r>
      <w:r w:rsidR="00F20C73">
        <w:rPr>
          <w:szCs w:val="22"/>
          <w:lang w:val="fr-FR"/>
        </w:rPr>
        <w:t>’</w:t>
      </w:r>
      <w:r w:rsidRPr="00027523">
        <w:rPr>
          <w:szCs w:val="22"/>
          <w:lang w:val="fr-FR"/>
        </w:rPr>
        <w:t xml:space="preserve">examen des conditions relatives à la nouveauté et à la distinction et les dénominations proposées </w:t>
      </w:r>
      <w:r w:rsidRPr="00027523">
        <w:rPr>
          <w:lang w:val="fr-FR"/>
        </w:rPr>
        <w:t xml:space="preserve">(voir le module 4 intitulé : </w:t>
      </w:r>
      <w:r w:rsidR="00F20C73">
        <w:rPr>
          <w:lang w:val="fr-FR"/>
        </w:rPr>
        <w:t>“</w:t>
      </w:r>
      <w:r w:rsidRPr="00027523">
        <w:rPr>
          <w:lang w:val="fr-FR"/>
        </w:rPr>
        <w:t>Demande d</w:t>
      </w:r>
      <w:r w:rsidR="00F20C73">
        <w:rPr>
          <w:lang w:val="fr-FR"/>
        </w:rPr>
        <w:t>’</w:t>
      </w:r>
      <w:r w:rsidRPr="00027523">
        <w:rPr>
          <w:lang w:val="fr-FR"/>
        </w:rPr>
        <w:t>octroi du droit d</w:t>
      </w:r>
      <w:r w:rsidR="00F20C73">
        <w:rPr>
          <w:lang w:val="fr-FR"/>
        </w:rPr>
        <w:t>’</w:t>
      </w:r>
      <w:r w:rsidRPr="00027523">
        <w:rPr>
          <w:lang w:val="fr-FR"/>
        </w:rPr>
        <w:t>obtenteur</w:t>
      </w:r>
      <w:r w:rsidR="00F20C73">
        <w:rPr>
          <w:lang w:val="fr-FR"/>
        </w:rPr>
        <w:t>”</w:t>
      </w:r>
      <w:r w:rsidRPr="00027523">
        <w:rPr>
          <w:lang w:val="fr-FR"/>
        </w:rPr>
        <w:t xml:space="preserve"> du cours d</w:t>
      </w:r>
      <w:r w:rsidR="00F20C73">
        <w:rPr>
          <w:lang w:val="fr-FR"/>
        </w:rPr>
        <w:t>’</w:t>
      </w:r>
      <w:r w:rsidRPr="00027523">
        <w:rPr>
          <w:lang w:val="fr-FR"/>
        </w:rPr>
        <w:t>enseignement à distance DL</w:t>
      </w:r>
      <w:r w:rsidRPr="00027523">
        <w:rPr>
          <w:lang w:val="fr-FR"/>
        </w:rPr>
        <w:noBreakHyphen/>
        <w:t xml:space="preserve">205 intitulé </w:t>
      </w:r>
      <w:r w:rsidR="00F20C73">
        <w:rPr>
          <w:lang w:val="fr-FR"/>
        </w:rPr>
        <w:t>“</w:t>
      </w:r>
      <w:r w:rsidRPr="00027523">
        <w:rPr>
          <w:lang w:val="fr-FR"/>
        </w:rPr>
        <w:t>Introduction au système UPOV de protection des variétés végétales selon la Convention UPOV</w:t>
      </w:r>
      <w:r w:rsidR="00F20C73">
        <w:rPr>
          <w:lang w:val="fr-FR"/>
        </w:rPr>
        <w:t>”</w:t>
      </w:r>
      <w:r w:rsidRPr="00027523">
        <w:rPr>
          <w:lang w:val="fr-FR"/>
        </w:rPr>
        <w:t xml:space="preserve">, ainsi que le document UPOV/EXN/PRI intitulé </w:t>
      </w:r>
      <w:r w:rsidR="00F20C73">
        <w:rPr>
          <w:lang w:val="fr-FR"/>
        </w:rPr>
        <w:t>“</w:t>
      </w:r>
      <w:r w:rsidRPr="00027523">
        <w:rPr>
          <w:lang w:val="fr-FR"/>
        </w:rPr>
        <w:t>Notes explicatives sur le droit de priorité selon la Convention UPOV</w:t>
      </w:r>
      <w:r w:rsidR="00F20C73">
        <w:rPr>
          <w:lang w:val="fr-FR"/>
        </w:rPr>
        <w:t>”</w:t>
      </w:r>
      <w:r w:rsidRPr="00027523">
        <w:rPr>
          <w:lang w:val="fr-FR"/>
        </w:rPr>
        <w:t xml:space="preserve"> qui peut être consulté à l</w:t>
      </w:r>
      <w:r w:rsidR="00F20C73">
        <w:rPr>
          <w:lang w:val="fr-FR"/>
        </w:rPr>
        <w:t>’</w:t>
      </w:r>
      <w:r w:rsidRPr="00027523">
        <w:rPr>
          <w:lang w:val="fr-FR"/>
        </w:rPr>
        <w:t xml:space="preserve">adresse </w:t>
      </w:r>
      <w:hyperlink r:id="rId24" w:history="1">
        <w:r w:rsidRPr="00027523">
          <w:rPr>
            <w:rStyle w:val="Hyperlink"/>
            <w:lang w:val="fr-FR"/>
          </w:rPr>
          <w:t>http://www.upov.int/explanatory_notes/fr/</w:t>
        </w:r>
      </w:hyperlink>
      <w:r w:rsidRPr="00027523">
        <w:rPr>
          <w:lang w:val="fr-FR"/>
        </w:rPr>
        <w:t>).</w:t>
      </w:r>
    </w:p>
    <w:p w:rsidR="00F55485" w:rsidRPr="00027523" w:rsidRDefault="00F55485" w:rsidP="00F55485">
      <w:pPr>
        <w:rPr>
          <w:lang w:val="fr-FR"/>
        </w:rPr>
      </w:pPr>
    </w:p>
    <w:p w:rsidR="00F55485" w:rsidRDefault="00F55485" w:rsidP="00F55485">
      <w:pPr>
        <w:rPr>
          <w:lang w:val="fr-FR"/>
        </w:rPr>
      </w:pPr>
    </w:p>
    <w:p w:rsidR="00F55485" w:rsidRPr="00027523" w:rsidRDefault="00F55485" w:rsidP="00F55485">
      <w:pPr>
        <w:rPr>
          <w:lang w:val="fr-FR"/>
        </w:rPr>
      </w:pPr>
    </w:p>
    <w:p w:rsidR="00F55485" w:rsidRDefault="00F55485" w:rsidP="00F55485">
      <w:pPr>
        <w:pStyle w:val="Heading1"/>
        <w:rPr>
          <w:lang w:val="fr-FR"/>
        </w:rPr>
      </w:pPr>
      <w:bookmarkStart w:id="74" w:name="_Toc382814024"/>
      <w:bookmarkStart w:id="75" w:name="_Toc378597579"/>
      <w:r w:rsidRPr="00027523">
        <w:rPr>
          <w:lang w:val="fr-FR"/>
        </w:rPr>
        <w:t>dépÔt de la dEmande en bonne et due forme</w:t>
      </w:r>
      <w:bookmarkEnd w:id="74"/>
    </w:p>
    <w:p w:rsidR="00F55485" w:rsidRPr="00A35026" w:rsidRDefault="00F55485" w:rsidP="00F55485">
      <w:pPr>
        <w:rPr>
          <w:lang w:val="fr-FR"/>
        </w:rPr>
      </w:pPr>
      <w:r w:rsidRPr="00A35026">
        <w:rPr>
          <w:lang w:val="fr-FR"/>
        </w:rPr>
        <w:t>(voir la note b dans le diagramme figurant dans le Module 1)</w:t>
      </w:r>
      <w:bookmarkEnd w:id="75"/>
    </w:p>
    <w:p w:rsidR="00F55485" w:rsidRPr="00A35026" w:rsidRDefault="00F55485" w:rsidP="00F55485">
      <w:pPr>
        <w:rPr>
          <w:lang w:val="fr-FR"/>
        </w:rPr>
      </w:pPr>
    </w:p>
    <w:p w:rsidR="00F55485" w:rsidRPr="00027523" w:rsidRDefault="00F55485" w:rsidP="00F55485">
      <w:pPr>
        <w:rPr>
          <w:lang w:val="fr-FR"/>
        </w:rPr>
      </w:pPr>
      <w:r w:rsidRPr="00027523">
        <w:rPr>
          <w:lang w:val="fr-FR"/>
        </w:rPr>
        <w:t>Il convient de vérifier la conformité des demandes avec les conditions de forme applicables et les exigences en matière de taxes afin qu</w:t>
      </w:r>
      <w:r w:rsidR="00F20C73">
        <w:rPr>
          <w:lang w:val="fr-FR"/>
        </w:rPr>
        <w:t>’</w:t>
      </w:r>
      <w:r w:rsidRPr="00027523">
        <w:rPr>
          <w:lang w:val="fr-FR"/>
        </w:rPr>
        <w:t>elles puissent être considérées comme ayant été déposées en bonne et due forme.  Pour qu</w:t>
      </w:r>
      <w:r w:rsidR="00F20C73">
        <w:rPr>
          <w:lang w:val="fr-FR"/>
        </w:rPr>
        <w:t>’</w:t>
      </w:r>
      <w:r w:rsidRPr="00027523">
        <w:rPr>
          <w:lang w:val="fr-FR"/>
        </w:rPr>
        <w:t>une demande soit considérée comme ayant été déposée en bonne et due forme, elle doit être présentée par une personne pouvant prétendre au droit d</w:t>
      </w:r>
      <w:r w:rsidR="00F20C73">
        <w:rPr>
          <w:lang w:val="fr-FR"/>
        </w:rPr>
        <w:t>’</w:t>
      </w:r>
      <w:r w:rsidRPr="00027523">
        <w:rPr>
          <w:lang w:val="fr-FR"/>
        </w:rPr>
        <w:t xml:space="preserve">obtenteur (voir le module 3 intitulé </w:t>
      </w:r>
      <w:r w:rsidR="00F20C73">
        <w:rPr>
          <w:lang w:val="fr-FR"/>
        </w:rPr>
        <w:t>“</w:t>
      </w:r>
      <w:r w:rsidRPr="00027523">
        <w:rPr>
          <w:lang w:val="fr-FR"/>
        </w:rPr>
        <w:t>Droit à présenter une demande</w:t>
      </w:r>
      <w:r w:rsidR="00F20C73">
        <w:rPr>
          <w:lang w:val="fr-FR"/>
        </w:rPr>
        <w:t>”</w:t>
      </w:r>
      <w:r w:rsidRPr="00027523">
        <w:rPr>
          <w:lang w:val="fr-FR"/>
        </w:rPr>
        <w:t>).</w:t>
      </w:r>
    </w:p>
    <w:p w:rsidR="00F55485" w:rsidRPr="00027523" w:rsidRDefault="00F55485" w:rsidP="00F55485">
      <w:pPr>
        <w:rPr>
          <w:lang w:val="fr-FR"/>
        </w:rPr>
      </w:pPr>
    </w:p>
    <w:p w:rsidR="00F55485" w:rsidRPr="00027523" w:rsidRDefault="00F55485" w:rsidP="00F55485">
      <w:pPr>
        <w:rPr>
          <w:lang w:val="fr-FR"/>
        </w:rPr>
      </w:pPr>
      <w:r w:rsidRPr="00027523">
        <w:rPr>
          <w:lang w:val="fr-FR"/>
        </w:rPr>
        <w:t>Les demandes déposées en bonne et due forme doivent être préparées aux fins de leur publication par l</w:t>
      </w:r>
      <w:r w:rsidR="00F20C73">
        <w:rPr>
          <w:lang w:val="fr-FR"/>
        </w:rPr>
        <w:t>’</w:t>
      </w:r>
      <w:r w:rsidRPr="00027523">
        <w:rPr>
          <w:lang w:val="fr-FR"/>
        </w:rPr>
        <w:t>agent chargé du dossier ou la personne chargée du traitement initial des formulaires de demande.  Des informations doivent également être fournies aux autres agents concernés au sein du service afin de leur permettre de préparer les étapes suivantes de la procédure d</w:t>
      </w:r>
      <w:r w:rsidR="00F20C73">
        <w:rPr>
          <w:lang w:val="fr-FR"/>
        </w:rPr>
        <w:t>’</w:t>
      </w:r>
      <w:r w:rsidRPr="00027523">
        <w:rPr>
          <w:lang w:val="fr-FR"/>
        </w:rPr>
        <w:t xml:space="preserve">examen.  </w:t>
      </w:r>
    </w:p>
    <w:p w:rsidR="00F55485" w:rsidRPr="00027523" w:rsidRDefault="00F55485" w:rsidP="00F55485">
      <w:pPr>
        <w:rPr>
          <w:lang w:val="fr-FR"/>
        </w:rPr>
      </w:pPr>
    </w:p>
    <w:p w:rsidR="00F55485" w:rsidRDefault="00F55485" w:rsidP="00F55485">
      <w:pPr>
        <w:rPr>
          <w:lang w:val="fr-FR"/>
        </w:rPr>
      </w:pPr>
    </w:p>
    <w:p w:rsidR="00F55485" w:rsidRPr="00027523" w:rsidRDefault="00F55485" w:rsidP="00F55485">
      <w:pPr>
        <w:rPr>
          <w:lang w:val="fr-FR"/>
        </w:rPr>
      </w:pPr>
    </w:p>
    <w:p w:rsidR="00F55485" w:rsidRPr="00027523" w:rsidRDefault="00F55485" w:rsidP="00F55485">
      <w:pPr>
        <w:pStyle w:val="Heading1"/>
        <w:rPr>
          <w:lang w:val="fr-FR"/>
        </w:rPr>
      </w:pPr>
      <w:bookmarkStart w:id="76" w:name="_Toc382814025"/>
      <w:bookmarkStart w:id="77" w:name="_Toc378597580"/>
      <w:r w:rsidRPr="00027523">
        <w:rPr>
          <w:lang w:val="fr-FR"/>
        </w:rPr>
        <w:t>Publication</w:t>
      </w:r>
      <w:bookmarkEnd w:id="76"/>
    </w:p>
    <w:p w:rsidR="00F55485" w:rsidRPr="00027523" w:rsidRDefault="00F55485" w:rsidP="00F55485">
      <w:pPr>
        <w:rPr>
          <w:lang w:val="fr-FR"/>
        </w:rPr>
      </w:pPr>
      <w:r w:rsidRPr="00027523">
        <w:rPr>
          <w:lang w:val="fr-FR"/>
        </w:rPr>
        <w:t>(voir la note c du diagramme figurant dans le Module 1)</w:t>
      </w:r>
      <w:bookmarkEnd w:id="77"/>
    </w:p>
    <w:p w:rsidR="00F55485" w:rsidRPr="00027523" w:rsidRDefault="00F55485" w:rsidP="00F55485">
      <w:pPr>
        <w:rPr>
          <w:lang w:val="fr-FR"/>
        </w:rPr>
      </w:pPr>
    </w:p>
    <w:p w:rsidR="00F55485" w:rsidRPr="00A35026" w:rsidRDefault="00F55485" w:rsidP="00F55485">
      <w:pPr>
        <w:rPr>
          <w:lang w:val="fr-FR"/>
        </w:rPr>
      </w:pPr>
      <w:r w:rsidRPr="00027523">
        <w:rPr>
          <w:lang w:val="fr-FR"/>
        </w:rPr>
        <w:t xml:space="preserve">Voir le module 4 intitulé </w:t>
      </w:r>
      <w:r w:rsidR="00F20C73">
        <w:rPr>
          <w:lang w:val="fr-FR"/>
        </w:rPr>
        <w:t>“</w:t>
      </w:r>
      <w:r w:rsidRPr="00027523">
        <w:rPr>
          <w:lang w:val="fr-FR"/>
        </w:rPr>
        <w:t>Informations à publier</w:t>
      </w:r>
      <w:r w:rsidR="00F20C73">
        <w:rPr>
          <w:lang w:val="fr-FR"/>
        </w:rPr>
        <w:t>”</w:t>
      </w:r>
      <w:r w:rsidRPr="00027523">
        <w:rPr>
          <w:lang w:val="fr-FR"/>
        </w:rPr>
        <w:t>.</w:t>
      </w:r>
    </w:p>
    <w:p w:rsidR="00F55485" w:rsidRDefault="00F55485" w:rsidP="00F55485">
      <w:pPr>
        <w:rPr>
          <w:lang w:val="fr-FR"/>
        </w:rPr>
      </w:pPr>
    </w:p>
    <w:p w:rsidR="00F55485" w:rsidRDefault="00F55485" w:rsidP="00F55485">
      <w:pPr>
        <w:rPr>
          <w:lang w:val="fr-FR"/>
        </w:rPr>
      </w:pPr>
    </w:p>
    <w:p w:rsidR="00F55485" w:rsidRPr="00A35026" w:rsidRDefault="00F55485" w:rsidP="00F55485">
      <w:pPr>
        <w:rPr>
          <w:lang w:val="fr-FR"/>
        </w:rPr>
      </w:pPr>
    </w:p>
    <w:p w:rsidR="00F55485" w:rsidRDefault="00F55485" w:rsidP="00F55485">
      <w:pPr>
        <w:pStyle w:val="Heading1"/>
        <w:rPr>
          <w:lang w:val="fr-FR"/>
        </w:rPr>
      </w:pPr>
      <w:bookmarkStart w:id="78" w:name="_Toc382814026"/>
      <w:bookmarkStart w:id="79" w:name="_Toc378597581"/>
      <w:r w:rsidRPr="00A35026">
        <w:rPr>
          <w:lang w:val="fr-FR"/>
        </w:rPr>
        <w:t>Examen des conditions</w:t>
      </w:r>
      <w:bookmarkEnd w:id="78"/>
    </w:p>
    <w:p w:rsidR="00F55485" w:rsidRPr="00A35026" w:rsidRDefault="00F55485" w:rsidP="00F55485">
      <w:pPr>
        <w:rPr>
          <w:lang w:val="fr-FR"/>
        </w:rPr>
      </w:pPr>
      <w:r w:rsidRPr="00A35026">
        <w:rPr>
          <w:lang w:val="fr-FR"/>
        </w:rPr>
        <w:t>(voir la note d du diagramme figurant dans le Module 1)</w:t>
      </w:r>
      <w:bookmarkEnd w:id="79"/>
    </w:p>
    <w:p w:rsidR="00F55485" w:rsidRPr="00A35026" w:rsidRDefault="00F55485" w:rsidP="00F55485">
      <w:pPr>
        <w:rPr>
          <w:lang w:val="fr-FR"/>
        </w:rPr>
      </w:pPr>
    </w:p>
    <w:p w:rsidR="00F55485" w:rsidRPr="00A35026" w:rsidRDefault="00F55485" w:rsidP="00F55485">
      <w:pPr>
        <w:rPr>
          <w:lang w:val="fr-FR"/>
        </w:rPr>
      </w:pPr>
      <w:r w:rsidRPr="00A35026">
        <w:rPr>
          <w:lang w:val="fr-FR"/>
        </w:rPr>
        <w:t>L</w:t>
      </w:r>
      <w:r w:rsidR="00F20C73">
        <w:rPr>
          <w:lang w:val="fr-FR"/>
        </w:rPr>
        <w:t>’</w:t>
      </w:r>
      <w:r w:rsidRPr="00A35026">
        <w:rPr>
          <w:lang w:val="fr-FR"/>
        </w:rPr>
        <w:t>examen de la nouveauté et de la dénomination proposée, ainsi que l</w:t>
      </w:r>
      <w:r w:rsidR="00F20C73">
        <w:rPr>
          <w:lang w:val="fr-FR"/>
        </w:rPr>
        <w:t>’</w:t>
      </w:r>
      <w:r w:rsidRPr="00A35026">
        <w:rPr>
          <w:lang w:val="fr-FR"/>
        </w:rPr>
        <w:t>examen DHS doivent être menés en parallèle, afin d</w:t>
      </w:r>
      <w:r w:rsidR="00F20C73">
        <w:rPr>
          <w:lang w:val="fr-FR"/>
        </w:rPr>
        <w:t>’</w:t>
      </w:r>
      <w:r w:rsidRPr="00A35026">
        <w:rPr>
          <w:lang w:val="fr-FR"/>
        </w:rPr>
        <w:t>éviter un retard dans l</w:t>
      </w:r>
      <w:r w:rsidR="00F20C73">
        <w:rPr>
          <w:lang w:val="fr-FR"/>
        </w:rPr>
        <w:t>’</w:t>
      </w:r>
      <w:r w:rsidRPr="00A35026">
        <w:rPr>
          <w:lang w:val="fr-FR"/>
        </w:rPr>
        <w:t>octroi des droits d</w:t>
      </w:r>
      <w:r w:rsidR="00F20C73">
        <w:rPr>
          <w:lang w:val="fr-FR"/>
        </w:rPr>
        <w:t>’</w:t>
      </w:r>
      <w:r w:rsidRPr="00A35026">
        <w:rPr>
          <w:lang w:val="fr-FR"/>
        </w:rPr>
        <w:t>obtenteur.  Plus précisément, la Convention UPOV exige que la dénomination soit enregistrée par le service en même temps qu</w:t>
      </w:r>
      <w:r w:rsidR="00F20C73">
        <w:rPr>
          <w:lang w:val="fr-FR"/>
        </w:rPr>
        <w:t>’</w:t>
      </w:r>
      <w:r w:rsidRPr="00A35026">
        <w:rPr>
          <w:lang w:val="fr-FR"/>
        </w:rPr>
        <w:t>est octroyé le droit d</w:t>
      </w:r>
      <w:r w:rsidR="00F20C73">
        <w:rPr>
          <w:lang w:val="fr-FR"/>
        </w:rPr>
        <w:t>’</w:t>
      </w:r>
      <w:r w:rsidRPr="00A35026">
        <w:rPr>
          <w:lang w:val="fr-FR"/>
        </w:rPr>
        <w:t>obtenteur (article 20.3) de l</w:t>
      </w:r>
      <w:r w:rsidR="00F20C73">
        <w:rPr>
          <w:lang w:val="fr-FR"/>
        </w:rPr>
        <w:t>’</w:t>
      </w:r>
      <w:r w:rsidRPr="00A35026">
        <w:rPr>
          <w:lang w:val="fr-FR"/>
        </w:rPr>
        <w:t>Acte de 1991 et article 13.3) de l</w:t>
      </w:r>
      <w:r w:rsidR="00F20C73">
        <w:rPr>
          <w:lang w:val="fr-FR"/>
        </w:rPr>
        <w:t>’</w:t>
      </w:r>
      <w:r w:rsidRPr="00A35026">
        <w:rPr>
          <w:lang w:val="fr-FR"/>
        </w:rPr>
        <w:t>Acte de 1978).  Différentes options existent s</w:t>
      </w:r>
      <w:r w:rsidR="00F20C73">
        <w:rPr>
          <w:lang w:val="fr-FR"/>
        </w:rPr>
        <w:t>’</w:t>
      </w:r>
      <w:r w:rsidRPr="00A35026">
        <w:rPr>
          <w:lang w:val="fr-FR"/>
        </w:rPr>
        <w:t>agissant de la procédure d</w:t>
      </w:r>
      <w:r w:rsidR="00F20C73">
        <w:rPr>
          <w:lang w:val="fr-FR"/>
        </w:rPr>
        <w:t>’</w:t>
      </w:r>
      <w:r w:rsidRPr="00A35026">
        <w:rPr>
          <w:lang w:val="fr-FR"/>
        </w:rPr>
        <w:t xml:space="preserve">examen.  Par exemple, une personne peut être désignée comme </w:t>
      </w:r>
      <w:r w:rsidR="00F20C73">
        <w:rPr>
          <w:lang w:val="fr-FR"/>
        </w:rPr>
        <w:t>“</w:t>
      </w:r>
      <w:r w:rsidRPr="00A35026">
        <w:rPr>
          <w:lang w:val="fr-FR"/>
        </w:rPr>
        <w:t>agent chargé du dossier</w:t>
      </w:r>
      <w:r w:rsidR="00F20C73">
        <w:rPr>
          <w:lang w:val="fr-FR"/>
        </w:rPr>
        <w:t>”</w:t>
      </w:r>
      <w:r w:rsidRPr="00A35026">
        <w:rPr>
          <w:lang w:val="fr-FR"/>
        </w:rPr>
        <w:t xml:space="preserve"> et chargée de la gestion de tous les aspects de l</w:t>
      </w:r>
      <w:r w:rsidR="00F20C73">
        <w:rPr>
          <w:lang w:val="fr-FR"/>
        </w:rPr>
        <w:t>’</w:t>
      </w:r>
      <w:r w:rsidRPr="00A35026">
        <w:rPr>
          <w:lang w:val="fr-FR"/>
        </w:rPr>
        <w:t xml:space="preserve">examen susmentionnée, ou alors, différentes parties du travail peuvent être confiées à des spécialistes.  </w:t>
      </w:r>
    </w:p>
    <w:p w:rsidR="00F55485" w:rsidRPr="00A35026" w:rsidRDefault="00F55485" w:rsidP="00F55485">
      <w:pPr>
        <w:rPr>
          <w:lang w:val="fr-FR"/>
        </w:rPr>
      </w:pPr>
    </w:p>
    <w:p w:rsidR="00F55485" w:rsidRDefault="00F55485" w:rsidP="00F55485">
      <w:pPr>
        <w:spacing w:after="720"/>
        <w:rPr>
          <w:caps/>
          <w:lang w:val="fr-FR"/>
        </w:rPr>
      </w:pPr>
      <w:r w:rsidRPr="00027523">
        <w:rPr>
          <w:lang w:val="fr-FR"/>
        </w:rPr>
        <w:lastRenderedPageBreak/>
        <w:t>L</w:t>
      </w:r>
      <w:r w:rsidR="00F20C73">
        <w:rPr>
          <w:lang w:val="fr-FR"/>
        </w:rPr>
        <w:t>’</w:t>
      </w:r>
      <w:r w:rsidRPr="00027523">
        <w:rPr>
          <w:lang w:val="fr-FR"/>
        </w:rPr>
        <w:t>examen de la dénomination fait l</w:t>
      </w:r>
      <w:r w:rsidR="00F20C73">
        <w:rPr>
          <w:lang w:val="fr-FR"/>
        </w:rPr>
        <w:t>’</w:t>
      </w:r>
      <w:r w:rsidRPr="00027523">
        <w:rPr>
          <w:lang w:val="fr-FR"/>
        </w:rPr>
        <w:t xml:space="preserve">objet du module 6 intitulé </w:t>
      </w:r>
      <w:r w:rsidR="00F20C73">
        <w:rPr>
          <w:lang w:val="fr-FR"/>
        </w:rPr>
        <w:t>“</w:t>
      </w:r>
      <w:r w:rsidRPr="00027523">
        <w:rPr>
          <w:lang w:val="fr-FR"/>
        </w:rPr>
        <w:t>Examen de la dénomination des variétés</w:t>
      </w:r>
      <w:r w:rsidR="00F20C73">
        <w:rPr>
          <w:lang w:val="fr-FR"/>
        </w:rPr>
        <w:t>”</w:t>
      </w:r>
      <w:r w:rsidRPr="00027523">
        <w:rPr>
          <w:lang w:val="fr-FR"/>
        </w:rPr>
        <w:t>.  L</w:t>
      </w:r>
      <w:r w:rsidR="00F20C73">
        <w:rPr>
          <w:lang w:val="fr-FR"/>
        </w:rPr>
        <w:t>’</w:t>
      </w:r>
      <w:r w:rsidRPr="00027523">
        <w:rPr>
          <w:lang w:val="fr-FR"/>
        </w:rPr>
        <w:t xml:space="preserve">examen de la nouveauté est traité dans le module 5 intitulé </w:t>
      </w:r>
      <w:r w:rsidR="00F20C73">
        <w:rPr>
          <w:lang w:val="fr-FR"/>
        </w:rPr>
        <w:t>“</w:t>
      </w:r>
      <w:r w:rsidRPr="00027523">
        <w:rPr>
          <w:lang w:val="fr-FR"/>
        </w:rPr>
        <w:t>Examen de la nouveauté</w:t>
      </w:r>
      <w:r w:rsidR="00F20C73">
        <w:rPr>
          <w:lang w:val="fr-FR"/>
        </w:rPr>
        <w:t>”</w:t>
      </w:r>
      <w:r w:rsidRPr="00027523">
        <w:rPr>
          <w:lang w:val="fr-FR"/>
        </w:rPr>
        <w:t>, alors que les modules 7 à 13 portent sur l</w:t>
      </w:r>
      <w:r w:rsidR="00F20C73">
        <w:rPr>
          <w:lang w:val="fr-FR"/>
        </w:rPr>
        <w:t>’“</w:t>
      </w:r>
      <w:r w:rsidRPr="00027523">
        <w:rPr>
          <w:lang w:val="fr-FR"/>
        </w:rPr>
        <w:t>Examen DHS</w:t>
      </w:r>
      <w:r w:rsidR="00F20C73">
        <w:rPr>
          <w:lang w:val="fr-FR"/>
        </w:rPr>
        <w:t>”</w:t>
      </w:r>
      <w:r w:rsidRPr="00027523">
        <w:rPr>
          <w:lang w:val="fr-FR"/>
        </w:rPr>
        <w:t>.</w:t>
      </w:r>
      <w:bookmarkStart w:id="80" w:name="_Toc378597582"/>
    </w:p>
    <w:p w:rsidR="00F55485" w:rsidRDefault="00F55485" w:rsidP="00F55485">
      <w:pPr>
        <w:pStyle w:val="Heading1"/>
        <w:rPr>
          <w:lang w:val="fr-FR"/>
        </w:rPr>
      </w:pPr>
      <w:bookmarkStart w:id="81" w:name="_Toc382814027"/>
      <w:r w:rsidRPr="00A35026">
        <w:rPr>
          <w:lang w:val="fr-FR"/>
        </w:rPr>
        <w:t>examen dhs</w:t>
      </w:r>
      <w:bookmarkEnd w:id="81"/>
    </w:p>
    <w:p w:rsidR="00F55485" w:rsidRPr="00A35026" w:rsidRDefault="00F55485" w:rsidP="00F55485">
      <w:pPr>
        <w:keepNext/>
        <w:rPr>
          <w:lang w:val="fr-FR"/>
        </w:rPr>
      </w:pPr>
      <w:r w:rsidRPr="00A35026">
        <w:rPr>
          <w:lang w:val="fr-FR"/>
        </w:rPr>
        <w:t>(voir la note e du diagramme figurant dans le module 1)</w:t>
      </w:r>
      <w:bookmarkEnd w:id="80"/>
    </w:p>
    <w:p w:rsidR="00F55485" w:rsidRPr="00A35026" w:rsidRDefault="00F55485" w:rsidP="00F55485">
      <w:pPr>
        <w:keepNext/>
        <w:rPr>
          <w:lang w:val="fr-FR"/>
        </w:rPr>
      </w:pPr>
    </w:p>
    <w:p w:rsidR="00F55485" w:rsidRPr="00A35026" w:rsidRDefault="00F55485" w:rsidP="00F55485">
      <w:pPr>
        <w:autoSpaceDE w:val="0"/>
        <w:autoSpaceDN w:val="0"/>
        <w:adjustRightInd w:val="0"/>
        <w:rPr>
          <w:lang w:val="fr-FR"/>
        </w:rPr>
      </w:pPr>
      <w:r w:rsidRPr="00A35026">
        <w:rPr>
          <w:lang w:val="fr-FR"/>
        </w:rPr>
        <w:t>La taille et la structure des services d</w:t>
      </w:r>
      <w:r w:rsidR="00F20C73">
        <w:rPr>
          <w:lang w:val="fr-FR"/>
        </w:rPr>
        <w:t>’</w:t>
      </w:r>
      <w:r w:rsidRPr="00A35026">
        <w:rPr>
          <w:lang w:val="fr-FR"/>
        </w:rPr>
        <w:t>octroi des droits d</w:t>
      </w:r>
      <w:r w:rsidR="00F20C73">
        <w:rPr>
          <w:lang w:val="fr-FR"/>
        </w:rPr>
        <w:t>’</w:t>
      </w:r>
      <w:r w:rsidRPr="00A35026">
        <w:rPr>
          <w:lang w:val="fr-FR"/>
        </w:rPr>
        <w:t>obtenteur sont liées aux modalités d</w:t>
      </w:r>
      <w:r w:rsidR="00F20C73">
        <w:rPr>
          <w:lang w:val="fr-FR"/>
        </w:rPr>
        <w:t>’</w:t>
      </w:r>
      <w:r w:rsidRPr="00A35026">
        <w:rPr>
          <w:lang w:val="fr-FR"/>
        </w:rPr>
        <w:t xml:space="preserve">examen DHS.  Un service peut, par exemple, recourir à un ou plusieurs des systèmes suivants : </w:t>
      </w:r>
    </w:p>
    <w:p w:rsidR="00F55485" w:rsidRPr="00A35026" w:rsidRDefault="00F55485" w:rsidP="00F55485">
      <w:pPr>
        <w:autoSpaceDE w:val="0"/>
        <w:autoSpaceDN w:val="0"/>
        <w:adjustRightInd w:val="0"/>
        <w:rPr>
          <w:lang w:val="fr-FR"/>
        </w:rPr>
      </w:pPr>
    </w:p>
    <w:p w:rsidR="00F55485" w:rsidRPr="00A35026" w:rsidRDefault="00F55485" w:rsidP="00F55485">
      <w:pPr>
        <w:numPr>
          <w:ilvl w:val="0"/>
          <w:numId w:val="7"/>
        </w:numPr>
        <w:autoSpaceDE w:val="0"/>
        <w:autoSpaceDN w:val="0"/>
        <w:adjustRightInd w:val="0"/>
        <w:spacing w:after="120"/>
        <w:ind w:hanging="357"/>
        <w:rPr>
          <w:lang w:val="fr-FR"/>
        </w:rPr>
      </w:pPr>
      <w:r w:rsidRPr="00A35026">
        <w:rPr>
          <w:lang w:val="fr-FR"/>
        </w:rPr>
        <w:t>le service procède lui</w:t>
      </w:r>
      <w:r w:rsidRPr="00A35026">
        <w:rPr>
          <w:lang w:val="fr-FR"/>
        </w:rPr>
        <w:noBreakHyphen/>
        <w:t>même à la mise en culture ou autres essais (examen effectué par le service)</w:t>
      </w:r>
    </w:p>
    <w:p w:rsidR="00F55485" w:rsidRPr="00A35026" w:rsidRDefault="00F55485" w:rsidP="00F55485">
      <w:pPr>
        <w:numPr>
          <w:ilvl w:val="0"/>
          <w:numId w:val="7"/>
        </w:numPr>
        <w:autoSpaceDE w:val="0"/>
        <w:autoSpaceDN w:val="0"/>
        <w:adjustRightInd w:val="0"/>
        <w:spacing w:after="120"/>
        <w:ind w:hanging="357"/>
        <w:rPr>
          <w:lang w:val="fr-FR"/>
        </w:rPr>
      </w:pPr>
      <w:r w:rsidRPr="00A35026">
        <w:rPr>
          <w:lang w:val="fr-FR"/>
        </w:rPr>
        <w:t>le service prend les dispositions nécessaires pour qu</w:t>
      </w:r>
      <w:r w:rsidR="00F20C73">
        <w:rPr>
          <w:lang w:val="fr-FR"/>
        </w:rPr>
        <w:t>’</w:t>
      </w:r>
      <w:r w:rsidRPr="00A35026">
        <w:rPr>
          <w:lang w:val="fr-FR"/>
        </w:rPr>
        <w:t>une ou plusieurs tierces parties procèdent à la mise en culture ou autres essais (en dehors du service).  Dans ce dernier cas, la tierce partie peut être, par exemple, un autre service, un institut indépendant ou l</w:t>
      </w:r>
      <w:r w:rsidR="00F20C73">
        <w:rPr>
          <w:lang w:val="fr-FR"/>
        </w:rPr>
        <w:t>’</w:t>
      </w:r>
      <w:r w:rsidRPr="00A35026">
        <w:rPr>
          <w:lang w:val="fr-FR"/>
        </w:rPr>
        <w:t>obtenteur.</w:t>
      </w:r>
    </w:p>
    <w:p w:rsidR="00F55485" w:rsidRPr="00A35026" w:rsidRDefault="00F55485" w:rsidP="00F55485">
      <w:pPr>
        <w:numPr>
          <w:ilvl w:val="0"/>
          <w:numId w:val="7"/>
        </w:numPr>
        <w:autoSpaceDE w:val="0"/>
        <w:autoSpaceDN w:val="0"/>
        <w:adjustRightInd w:val="0"/>
        <w:spacing w:after="120"/>
        <w:rPr>
          <w:lang w:val="fr-FR"/>
        </w:rPr>
      </w:pPr>
      <w:r w:rsidRPr="00A35026">
        <w:rPr>
          <w:lang w:val="fr-FR"/>
        </w:rPr>
        <w:t>le service prend en considération les résultats des essais en culture ou autres essais qui ont déjà été effectués (en dehors du service).</w:t>
      </w:r>
    </w:p>
    <w:p w:rsidR="00F55485" w:rsidRPr="00A35026" w:rsidRDefault="00F55485" w:rsidP="00F55485">
      <w:pPr>
        <w:autoSpaceDE w:val="0"/>
        <w:autoSpaceDN w:val="0"/>
        <w:adjustRightInd w:val="0"/>
        <w:rPr>
          <w:lang w:val="fr-FR"/>
        </w:rPr>
      </w:pPr>
    </w:p>
    <w:p w:rsidR="00F55485" w:rsidRPr="00027523" w:rsidRDefault="00F55485" w:rsidP="00F55485">
      <w:pPr>
        <w:autoSpaceDE w:val="0"/>
        <w:autoSpaceDN w:val="0"/>
        <w:adjustRightInd w:val="0"/>
        <w:rPr>
          <w:lang w:val="fr-FR"/>
        </w:rPr>
      </w:pPr>
      <w:r w:rsidRPr="00027523">
        <w:rPr>
          <w:lang w:val="fr-FR"/>
        </w:rPr>
        <w:t>Les différentes options en matière de coopération entre services et de coopération avec l</w:t>
      </w:r>
      <w:r w:rsidR="00F20C73">
        <w:rPr>
          <w:lang w:val="fr-FR"/>
        </w:rPr>
        <w:t>’</w:t>
      </w:r>
      <w:r w:rsidRPr="00027523">
        <w:rPr>
          <w:lang w:val="fr-FR"/>
        </w:rPr>
        <w:t>obtenteur dans le cadre de l</w:t>
      </w:r>
      <w:r w:rsidR="00F20C73">
        <w:rPr>
          <w:lang w:val="fr-FR"/>
        </w:rPr>
        <w:t>’</w:t>
      </w:r>
      <w:r w:rsidRPr="00027523">
        <w:rPr>
          <w:lang w:val="fr-FR"/>
        </w:rPr>
        <w:t xml:space="preserve">examen DHS sont étudiées plus en détail dans le module 13 intitulé </w:t>
      </w:r>
      <w:r w:rsidR="00F20C73">
        <w:rPr>
          <w:lang w:val="fr-FR"/>
        </w:rPr>
        <w:t>“</w:t>
      </w:r>
      <w:r w:rsidRPr="00027523">
        <w:rPr>
          <w:lang w:val="fr-FR"/>
        </w:rPr>
        <w:t>Coopération en matière d</w:t>
      </w:r>
      <w:r w:rsidR="00F20C73">
        <w:rPr>
          <w:lang w:val="fr-FR"/>
        </w:rPr>
        <w:t>’</w:t>
      </w:r>
      <w:r w:rsidRPr="00027523">
        <w:rPr>
          <w:lang w:val="fr-FR"/>
        </w:rPr>
        <w:t>examen DHS</w:t>
      </w:r>
      <w:r w:rsidR="00F20C73">
        <w:rPr>
          <w:lang w:val="fr-FR"/>
        </w:rPr>
        <w:t>”</w:t>
      </w:r>
      <w:r w:rsidRPr="00027523">
        <w:rPr>
          <w:lang w:val="fr-FR"/>
        </w:rPr>
        <w:t xml:space="preserve">.  Le document TGP/5 intitulé </w:t>
      </w:r>
      <w:r w:rsidR="00F20C73">
        <w:rPr>
          <w:lang w:val="fr-FR"/>
        </w:rPr>
        <w:t>“</w:t>
      </w:r>
      <w:r w:rsidRPr="00027523">
        <w:rPr>
          <w:lang w:val="fr-FR"/>
        </w:rPr>
        <w:t>Expérience et coopération en matière d</w:t>
      </w:r>
      <w:r w:rsidR="00F20C73">
        <w:rPr>
          <w:lang w:val="fr-FR"/>
        </w:rPr>
        <w:t>’</w:t>
      </w:r>
      <w:r w:rsidRPr="00027523">
        <w:rPr>
          <w:lang w:val="fr-FR"/>
        </w:rPr>
        <w:t>examen DHS</w:t>
      </w:r>
      <w:r w:rsidR="00F20C73">
        <w:rPr>
          <w:lang w:val="fr-FR"/>
        </w:rPr>
        <w:t>”</w:t>
      </w:r>
      <w:r w:rsidRPr="00027523">
        <w:rPr>
          <w:lang w:val="fr-FR"/>
        </w:rPr>
        <w:t xml:space="preserve">, Section 1 </w:t>
      </w:r>
      <w:r w:rsidR="00F20C73">
        <w:rPr>
          <w:lang w:val="fr-FR"/>
        </w:rPr>
        <w:t>“</w:t>
      </w:r>
      <w:r w:rsidRPr="00027523">
        <w:rPr>
          <w:lang w:val="fr-FR"/>
        </w:rPr>
        <w:t>Accord administratif type pour la coopération internationale en matière d</w:t>
      </w:r>
      <w:r w:rsidR="00F20C73">
        <w:rPr>
          <w:lang w:val="fr-FR"/>
        </w:rPr>
        <w:t>’</w:t>
      </w:r>
      <w:r w:rsidRPr="00027523">
        <w:rPr>
          <w:lang w:val="fr-FR"/>
        </w:rPr>
        <w:t>examen des variétés</w:t>
      </w:r>
      <w:r w:rsidR="00F20C73">
        <w:rPr>
          <w:lang w:val="fr-FR"/>
        </w:rPr>
        <w:t>”</w:t>
      </w:r>
      <w:r w:rsidRPr="00027523">
        <w:rPr>
          <w:lang w:val="fr-FR"/>
        </w:rPr>
        <w:t xml:space="preserve"> fournit également des indications utiles dans le cadre d</w:t>
      </w:r>
      <w:r w:rsidR="00F20C73">
        <w:rPr>
          <w:lang w:val="fr-FR"/>
        </w:rPr>
        <w:t>’</w:t>
      </w:r>
      <w:r w:rsidRPr="00027523">
        <w:rPr>
          <w:lang w:val="fr-FR"/>
        </w:rPr>
        <w:t>un accord administratif type pour la coopération internationale en matière d</w:t>
      </w:r>
      <w:r w:rsidR="00F20C73">
        <w:rPr>
          <w:lang w:val="fr-FR"/>
        </w:rPr>
        <w:t>’</w:t>
      </w:r>
      <w:r w:rsidRPr="00027523">
        <w:rPr>
          <w:lang w:val="fr-FR"/>
        </w:rPr>
        <w:t>examen des variétés.  Les membres de l</w:t>
      </w:r>
      <w:r w:rsidR="00F20C73">
        <w:rPr>
          <w:lang w:val="fr-FR"/>
        </w:rPr>
        <w:t>’</w:t>
      </w:r>
      <w:r w:rsidRPr="00027523">
        <w:rPr>
          <w:lang w:val="fr-FR"/>
        </w:rPr>
        <w:t>UPOV peuvent conclure des arrangements informels pour l</w:t>
      </w:r>
      <w:r w:rsidR="00F20C73">
        <w:rPr>
          <w:lang w:val="fr-FR"/>
        </w:rPr>
        <w:t>’</w:t>
      </w:r>
      <w:r w:rsidRPr="00027523">
        <w:rPr>
          <w:lang w:val="fr-FR"/>
        </w:rPr>
        <w:t>achat de rapports d</w:t>
      </w:r>
      <w:r w:rsidR="00F20C73">
        <w:rPr>
          <w:lang w:val="fr-FR"/>
        </w:rPr>
        <w:t>’</w:t>
      </w:r>
      <w:r w:rsidRPr="00027523">
        <w:rPr>
          <w:lang w:val="fr-FR"/>
        </w:rPr>
        <w:t xml:space="preserve">examen DHS (par exemple, par échange de lettres).  </w:t>
      </w:r>
    </w:p>
    <w:p w:rsidR="00F55485" w:rsidRPr="00027523" w:rsidRDefault="00F55485" w:rsidP="00F55485">
      <w:pPr>
        <w:autoSpaceDE w:val="0"/>
        <w:autoSpaceDN w:val="0"/>
        <w:adjustRightInd w:val="0"/>
        <w:rPr>
          <w:lang w:val="fr-FR"/>
        </w:rPr>
      </w:pPr>
    </w:p>
    <w:p w:rsidR="00F55485" w:rsidRPr="00027523" w:rsidRDefault="00F55485" w:rsidP="00F55485">
      <w:pPr>
        <w:autoSpaceDE w:val="0"/>
        <w:autoSpaceDN w:val="0"/>
        <w:adjustRightInd w:val="0"/>
        <w:rPr>
          <w:lang w:val="fr-FR"/>
        </w:rPr>
      </w:pPr>
    </w:p>
    <w:p w:rsidR="00F55485" w:rsidRPr="00027523" w:rsidRDefault="00F55485" w:rsidP="00F55485">
      <w:pPr>
        <w:autoSpaceDE w:val="0"/>
        <w:autoSpaceDN w:val="0"/>
        <w:adjustRightInd w:val="0"/>
        <w:rPr>
          <w:lang w:val="fr-FR"/>
        </w:rPr>
      </w:pPr>
    </w:p>
    <w:p w:rsidR="00F55485" w:rsidRPr="00027523" w:rsidRDefault="00F55485" w:rsidP="00F55485">
      <w:pPr>
        <w:pStyle w:val="Heading1"/>
        <w:rPr>
          <w:lang w:val="fr-FR"/>
        </w:rPr>
      </w:pPr>
      <w:bookmarkStart w:id="82" w:name="_Toc382814028"/>
      <w:bookmarkStart w:id="83" w:name="_Toc378597583"/>
      <w:r w:rsidRPr="00027523">
        <w:rPr>
          <w:lang w:val="fr-FR"/>
        </w:rPr>
        <w:t>décision Proposée</w:t>
      </w:r>
      <w:bookmarkEnd w:id="82"/>
    </w:p>
    <w:p w:rsidR="00F55485" w:rsidRPr="00027523" w:rsidRDefault="00F55485" w:rsidP="00F55485">
      <w:pPr>
        <w:rPr>
          <w:lang w:val="fr-FR"/>
        </w:rPr>
      </w:pPr>
      <w:r w:rsidRPr="00027523">
        <w:rPr>
          <w:lang w:val="fr-FR"/>
        </w:rPr>
        <w:t>(voir la note f du diagramme figurant dans le Module 1)</w:t>
      </w:r>
      <w:bookmarkEnd w:id="83"/>
    </w:p>
    <w:p w:rsidR="00F55485" w:rsidRPr="00027523" w:rsidRDefault="00F55485" w:rsidP="00F55485">
      <w:pPr>
        <w:rPr>
          <w:lang w:val="fr-FR"/>
        </w:rPr>
      </w:pPr>
    </w:p>
    <w:p w:rsidR="00F55485" w:rsidRPr="00027523" w:rsidRDefault="00F55485" w:rsidP="00F55485">
      <w:pPr>
        <w:rPr>
          <w:lang w:val="fr-FR"/>
        </w:rPr>
      </w:pPr>
      <w:r w:rsidRPr="00027523">
        <w:rPr>
          <w:lang w:val="fr-FR"/>
        </w:rPr>
        <w:t>Sur la base des résultats de l</w:t>
      </w:r>
      <w:r w:rsidR="00F20C73">
        <w:rPr>
          <w:lang w:val="fr-FR"/>
        </w:rPr>
        <w:t>’</w:t>
      </w:r>
      <w:r w:rsidRPr="00027523">
        <w:rPr>
          <w:lang w:val="fr-FR"/>
        </w:rPr>
        <w:t>examen de la nouveauté et de la dénomination et de l</w:t>
      </w:r>
      <w:r w:rsidR="00F20C73">
        <w:rPr>
          <w:lang w:val="fr-FR"/>
        </w:rPr>
        <w:t>’</w:t>
      </w:r>
      <w:r w:rsidRPr="00027523">
        <w:rPr>
          <w:lang w:val="fr-FR"/>
        </w:rPr>
        <w:t>examen DHS, une décision peut être proposée concernant l</w:t>
      </w:r>
      <w:r w:rsidR="00F20C73">
        <w:rPr>
          <w:lang w:val="fr-FR"/>
        </w:rPr>
        <w:t>’</w:t>
      </w:r>
      <w:r w:rsidRPr="00027523">
        <w:rPr>
          <w:lang w:val="fr-FR"/>
        </w:rPr>
        <w:t>octroi de la protection.  Cette décision peut être proposée au service chargé de l</w:t>
      </w:r>
      <w:r w:rsidR="00F20C73">
        <w:rPr>
          <w:lang w:val="fr-FR"/>
        </w:rPr>
        <w:t>’</w:t>
      </w:r>
      <w:r w:rsidRPr="00027523">
        <w:rPr>
          <w:lang w:val="fr-FR"/>
        </w:rPr>
        <w:t>octroi des droits d</w:t>
      </w:r>
      <w:r w:rsidR="00F20C73">
        <w:rPr>
          <w:lang w:val="fr-FR"/>
        </w:rPr>
        <w:t>’</w:t>
      </w:r>
      <w:r w:rsidRPr="00027523">
        <w:rPr>
          <w:lang w:val="fr-FR"/>
        </w:rPr>
        <w:t>obtenteur (service d</w:t>
      </w:r>
      <w:r w:rsidR="00F20C73">
        <w:rPr>
          <w:lang w:val="fr-FR"/>
        </w:rPr>
        <w:t>’</w:t>
      </w:r>
      <w:r w:rsidRPr="00027523">
        <w:rPr>
          <w:lang w:val="fr-FR"/>
        </w:rPr>
        <w:t>octroi des droits d</w:t>
      </w:r>
      <w:r w:rsidR="00F20C73">
        <w:rPr>
          <w:lang w:val="fr-FR"/>
        </w:rPr>
        <w:t>’</w:t>
      </w:r>
      <w:r w:rsidRPr="00027523">
        <w:rPr>
          <w:lang w:val="fr-FR"/>
        </w:rPr>
        <w:t>obtenteur) par un responsable ou un groupe de spécialistes, tels qu</w:t>
      </w:r>
      <w:r w:rsidR="00F20C73">
        <w:rPr>
          <w:lang w:val="fr-FR"/>
        </w:rPr>
        <w:t>’</w:t>
      </w:r>
      <w:r w:rsidRPr="00027523">
        <w:rPr>
          <w:lang w:val="fr-FR"/>
        </w:rPr>
        <w:t>un comité ou un groupe d</w:t>
      </w:r>
      <w:r w:rsidR="00F20C73">
        <w:rPr>
          <w:lang w:val="fr-FR"/>
        </w:rPr>
        <w:t>’</w:t>
      </w:r>
      <w:r w:rsidRPr="00027523">
        <w:rPr>
          <w:lang w:val="fr-FR"/>
        </w:rPr>
        <w:t xml:space="preserve">experts.  Si la décision est négative, le rejet de la demande est publié (voir le module 4 intitulé </w:t>
      </w:r>
      <w:r w:rsidR="00F20C73">
        <w:rPr>
          <w:lang w:val="fr-FR"/>
        </w:rPr>
        <w:t>“</w:t>
      </w:r>
      <w:r w:rsidRPr="00027523">
        <w:rPr>
          <w:lang w:val="fr-FR"/>
        </w:rPr>
        <w:t>Informations à publier</w:t>
      </w:r>
      <w:r w:rsidR="00F20C73">
        <w:rPr>
          <w:lang w:val="fr-FR"/>
        </w:rPr>
        <w:t>”</w:t>
      </w:r>
      <w:r w:rsidRPr="00027523">
        <w:rPr>
          <w:lang w:val="fr-FR"/>
        </w:rPr>
        <w:t xml:space="preserve">).  Le demandeur peut former un recours contre la décision négative proposée par le service.  </w:t>
      </w:r>
    </w:p>
    <w:p w:rsidR="00F55485" w:rsidRPr="00027523" w:rsidRDefault="00F55485" w:rsidP="00F55485">
      <w:pPr>
        <w:rPr>
          <w:lang w:val="fr-FR"/>
        </w:rPr>
      </w:pPr>
    </w:p>
    <w:p w:rsidR="00F55485" w:rsidRPr="00027523" w:rsidRDefault="00F55485" w:rsidP="00F55485">
      <w:pPr>
        <w:rPr>
          <w:lang w:val="fr-FR"/>
        </w:rPr>
      </w:pPr>
    </w:p>
    <w:p w:rsidR="00F55485" w:rsidRPr="00027523" w:rsidRDefault="00F55485" w:rsidP="00F55485">
      <w:pPr>
        <w:rPr>
          <w:lang w:val="fr-FR"/>
        </w:rPr>
      </w:pPr>
    </w:p>
    <w:p w:rsidR="00F55485" w:rsidRPr="00027523" w:rsidRDefault="00F55485" w:rsidP="00F55485">
      <w:pPr>
        <w:pStyle w:val="Heading1"/>
        <w:rPr>
          <w:lang w:val="fr-FR"/>
        </w:rPr>
      </w:pPr>
      <w:bookmarkStart w:id="84" w:name="_Toc382814029"/>
      <w:bookmarkStart w:id="85" w:name="_Toc378597584"/>
      <w:r w:rsidRPr="00027523">
        <w:rPr>
          <w:lang w:val="fr-FR"/>
        </w:rPr>
        <w:t>Objections</w:t>
      </w:r>
      <w:bookmarkEnd w:id="84"/>
    </w:p>
    <w:p w:rsidR="00F55485" w:rsidRPr="00027523" w:rsidRDefault="00F55485" w:rsidP="00F55485">
      <w:pPr>
        <w:rPr>
          <w:lang w:val="fr-FR"/>
        </w:rPr>
      </w:pPr>
      <w:r w:rsidRPr="00027523">
        <w:rPr>
          <w:lang w:val="fr-FR"/>
        </w:rPr>
        <w:t>(voir la note g du diagramme figurant dans le Module 1)</w:t>
      </w:r>
      <w:bookmarkEnd w:id="85"/>
    </w:p>
    <w:p w:rsidR="00F55485" w:rsidRPr="00027523" w:rsidRDefault="00F55485" w:rsidP="00F55485">
      <w:pPr>
        <w:rPr>
          <w:lang w:val="fr-FR"/>
        </w:rPr>
      </w:pPr>
    </w:p>
    <w:p w:rsidR="00F55485" w:rsidRPr="00A35026" w:rsidRDefault="00F55485" w:rsidP="00F55485">
      <w:pPr>
        <w:rPr>
          <w:lang w:val="fr-FR"/>
        </w:rPr>
      </w:pPr>
      <w:r w:rsidRPr="00027523">
        <w:rPr>
          <w:lang w:val="fr-FR"/>
        </w:rPr>
        <w:t>Le service d</w:t>
      </w:r>
      <w:r w:rsidR="00F20C73">
        <w:rPr>
          <w:lang w:val="fr-FR"/>
        </w:rPr>
        <w:t>’</w:t>
      </w:r>
      <w:r w:rsidRPr="00027523">
        <w:rPr>
          <w:lang w:val="fr-FR"/>
        </w:rPr>
        <w:t>octroi des droits d</w:t>
      </w:r>
      <w:r w:rsidR="00F20C73">
        <w:rPr>
          <w:lang w:val="fr-FR"/>
        </w:rPr>
        <w:t>’</w:t>
      </w:r>
      <w:r w:rsidRPr="00027523">
        <w:rPr>
          <w:lang w:val="fr-FR"/>
        </w:rPr>
        <w:t>obtenteur doit avoir mis en place des procédures visant à traiter les objections reçues à la suite de la publication des informations.  Les objections formulées par le public peuvent contenir des données pertinentes concernant l</w:t>
      </w:r>
      <w:r w:rsidR="00F20C73">
        <w:rPr>
          <w:lang w:val="fr-FR"/>
        </w:rPr>
        <w:t>’</w:t>
      </w:r>
      <w:r w:rsidRPr="00027523">
        <w:rPr>
          <w:lang w:val="fr-FR"/>
        </w:rPr>
        <w:t>examen des demandes et des dénominations.  Le demandeur peut aussi fournir d</w:t>
      </w:r>
      <w:r w:rsidR="00F20C73">
        <w:rPr>
          <w:lang w:val="fr-FR"/>
        </w:rPr>
        <w:t>’</w:t>
      </w:r>
      <w:r w:rsidRPr="00027523">
        <w:rPr>
          <w:lang w:val="fr-FR"/>
        </w:rPr>
        <w:t>autres informations pertinentes dans le cadre d</w:t>
      </w:r>
      <w:r w:rsidR="00F20C73">
        <w:rPr>
          <w:lang w:val="fr-FR"/>
        </w:rPr>
        <w:t>’</w:t>
      </w:r>
      <w:r w:rsidRPr="00027523">
        <w:rPr>
          <w:lang w:val="fr-FR"/>
        </w:rPr>
        <w:t>un recours formé contre une décision du service d</w:t>
      </w:r>
      <w:r w:rsidR="00F20C73">
        <w:rPr>
          <w:lang w:val="fr-FR"/>
        </w:rPr>
        <w:t>’</w:t>
      </w:r>
      <w:r w:rsidRPr="00027523">
        <w:rPr>
          <w:lang w:val="fr-FR"/>
        </w:rPr>
        <w:t>octroi des droits d</w:t>
      </w:r>
      <w:r w:rsidR="00F20C73">
        <w:rPr>
          <w:lang w:val="fr-FR"/>
        </w:rPr>
        <w:t>’</w:t>
      </w:r>
      <w:r w:rsidRPr="00027523">
        <w:rPr>
          <w:lang w:val="fr-FR"/>
        </w:rPr>
        <w:t>obtenteur.</w:t>
      </w:r>
      <w:r w:rsidRPr="00A35026">
        <w:rPr>
          <w:lang w:val="fr-FR"/>
        </w:rPr>
        <w:t xml:space="preserve">  </w:t>
      </w:r>
    </w:p>
    <w:p w:rsidR="00F55485" w:rsidRDefault="00F55485" w:rsidP="00F55485">
      <w:pPr>
        <w:rPr>
          <w:lang w:val="fr-FR"/>
        </w:rPr>
      </w:pPr>
    </w:p>
    <w:p w:rsidR="00F55485" w:rsidRPr="00A35026" w:rsidRDefault="00F55485" w:rsidP="00F55485">
      <w:pPr>
        <w:rPr>
          <w:lang w:val="fr-FR"/>
        </w:rPr>
      </w:pPr>
    </w:p>
    <w:p w:rsidR="00F55485" w:rsidRPr="00A35026" w:rsidRDefault="00F55485" w:rsidP="00F55485">
      <w:pPr>
        <w:rPr>
          <w:lang w:val="fr-FR"/>
        </w:rPr>
      </w:pPr>
    </w:p>
    <w:p w:rsidR="00F55485" w:rsidRDefault="00F55485" w:rsidP="00F55485">
      <w:pPr>
        <w:pStyle w:val="Heading1"/>
        <w:rPr>
          <w:lang w:val="fr-FR"/>
        </w:rPr>
      </w:pPr>
      <w:bookmarkStart w:id="86" w:name="_Toc382814030"/>
      <w:bookmarkStart w:id="87" w:name="_Toc378597585"/>
      <w:r w:rsidRPr="00A35026">
        <w:rPr>
          <w:lang w:val="fr-FR"/>
        </w:rPr>
        <w:t>octroi du Titre</w:t>
      </w:r>
      <w:bookmarkEnd w:id="86"/>
    </w:p>
    <w:p w:rsidR="00F55485" w:rsidRPr="00A35026" w:rsidRDefault="00F55485" w:rsidP="00F55485">
      <w:pPr>
        <w:rPr>
          <w:lang w:val="fr-FR"/>
        </w:rPr>
      </w:pPr>
      <w:r w:rsidRPr="00A35026">
        <w:rPr>
          <w:lang w:val="fr-FR"/>
        </w:rPr>
        <w:t>(voir la note </w:t>
      </w:r>
      <w:r>
        <w:rPr>
          <w:lang w:val="fr-FR"/>
        </w:rPr>
        <w:t>h</w:t>
      </w:r>
      <w:r w:rsidRPr="00A35026">
        <w:rPr>
          <w:lang w:val="fr-FR"/>
        </w:rPr>
        <w:t xml:space="preserve"> du diagramme figurant dans le Module 1)</w:t>
      </w:r>
      <w:bookmarkEnd w:id="87"/>
    </w:p>
    <w:p w:rsidR="00F55485" w:rsidRPr="00A35026" w:rsidRDefault="00F55485" w:rsidP="00F55485">
      <w:pPr>
        <w:rPr>
          <w:lang w:val="fr-FR"/>
        </w:rPr>
      </w:pPr>
    </w:p>
    <w:p w:rsidR="00F55485" w:rsidRPr="00027523" w:rsidRDefault="00F55485" w:rsidP="00F55485">
      <w:pPr>
        <w:spacing w:after="720"/>
        <w:rPr>
          <w:lang w:val="fr-FR"/>
        </w:rPr>
      </w:pPr>
      <w:r w:rsidRPr="00027523">
        <w:rPr>
          <w:lang w:val="fr-FR"/>
        </w:rPr>
        <w:t>Si la décision concernant l</w:t>
      </w:r>
      <w:r w:rsidR="00F20C73">
        <w:rPr>
          <w:lang w:val="fr-FR"/>
        </w:rPr>
        <w:t>’</w:t>
      </w:r>
      <w:r w:rsidRPr="00027523">
        <w:rPr>
          <w:lang w:val="fr-FR"/>
        </w:rPr>
        <w:t>octroi de la protection est positive, le titre est octroyé.  Le titre est délivré au titulaire du droit d</w:t>
      </w:r>
      <w:r w:rsidR="00F20C73">
        <w:rPr>
          <w:lang w:val="fr-FR"/>
        </w:rPr>
        <w:t>’</w:t>
      </w:r>
      <w:r w:rsidRPr="00027523">
        <w:rPr>
          <w:lang w:val="fr-FR"/>
        </w:rPr>
        <w:t>obtenteur.  Les droits d</w:t>
      </w:r>
      <w:r w:rsidR="00F20C73">
        <w:rPr>
          <w:lang w:val="fr-FR"/>
        </w:rPr>
        <w:t>’</w:t>
      </w:r>
      <w:r w:rsidRPr="00027523">
        <w:rPr>
          <w:lang w:val="fr-FR"/>
        </w:rPr>
        <w:t>obtenteur octroyés, ainsi que les dénominations approuvées sont enregistrés et publiés au même moment par le service d</w:t>
      </w:r>
      <w:r w:rsidR="00F20C73">
        <w:rPr>
          <w:lang w:val="fr-FR"/>
        </w:rPr>
        <w:t>’</w:t>
      </w:r>
      <w:r w:rsidRPr="00027523">
        <w:rPr>
          <w:lang w:val="fr-FR"/>
        </w:rPr>
        <w:t>octroi des droits d</w:t>
      </w:r>
      <w:r w:rsidR="00F20C73">
        <w:rPr>
          <w:lang w:val="fr-FR"/>
        </w:rPr>
        <w:t>’</w:t>
      </w:r>
      <w:r w:rsidRPr="00027523">
        <w:rPr>
          <w:lang w:val="fr-FR"/>
        </w:rPr>
        <w:t xml:space="preserve">obtenteur (voir le module 4 intitulé </w:t>
      </w:r>
      <w:r w:rsidR="00F20C73">
        <w:rPr>
          <w:lang w:val="fr-FR"/>
        </w:rPr>
        <w:t>“</w:t>
      </w:r>
      <w:r w:rsidRPr="00027523">
        <w:rPr>
          <w:lang w:val="fr-FR"/>
        </w:rPr>
        <w:t>Informations à publier</w:t>
      </w:r>
      <w:r w:rsidR="00F20C73">
        <w:rPr>
          <w:lang w:val="fr-FR"/>
        </w:rPr>
        <w:t>”</w:t>
      </w:r>
      <w:r w:rsidRPr="00027523">
        <w:rPr>
          <w:lang w:val="fr-FR"/>
        </w:rPr>
        <w:t>).</w:t>
      </w:r>
    </w:p>
    <w:p w:rsidR="00F55485" w:rsidRPr="00027523" w:rsidRDefault="00F55485" w:rsidP="00F55485">
      <w:pPr>
        <w:pStyle w:val="Heading1"/>
        <w:rPr>
          <w:lang w:val="fr-FR"/>
        </w:rPr>
      </w:pPr>
      <w:bookmarkStart w:id="88" w:name="_Toc382814031"/>
      <w:bookmarkStart w:id="89" w:name="_Toc378597586"/>
      <w:r w:rsidRPr="00027523">
        <w:rPr>
          <w:lang w:val="fr-FR"/>
        </w:rPr>
        <w:lastRenderedPageBreak/>
        <w:t>questions à prendre en considération après l</w:t>
      </w:r>
      <w:r w:rsidR="00F20C73">
        <w:rPr>
          <w:lang w:val="fr-FR"/>
        </w:rPr>
        <w:t>’</w:t>
      </w:r>
      <w:r w:rsidRPr="00027523">
        <w:rPr>
          <w:lang w:val="fr-FR"/>
        </w:rPr>
        <w:t>octroi du titre</w:t>
      </w:r>
      <w:bookmarkEnd w:id="88"/>
    </w:p>
    <w:p w:rsidR="00F55485" w:rsidRPr="00027523" w:rsidRDefault="00F55485" w:rsidP="00F55485">
      <w:pPr>
        <w:rPr>
          <w:lang w:val="fr-FR"/>
        </w:rPr>
      </w:pPr>
      <w:r w:rsidRPr="00027523">
        <w:rPr>
          <w:lang w:val="fr-FR"/>
        </w:rPr>
        <w:t>(voir la note i du diagramme figurant dans le Module 1)</w:t>
      </w:r>
      <w:bookmarkEnd w:id="89"/>
    </w:p>
    <w:p w:rsidR="00F55485" w:rsidRPr="00027523" w:rsidRDefault="00F55485" w:rsidP="00F55485">
      <w:pPr>
        <w:rPr>
          <w:szCs w:val="22"/>
          <w:lang w:val="fr-FR"/>
        </w:rPr>
      </w:pPr>
    </w:p>
    <w:p w:rsidR="00F55485" w:rsidRPr="00027523" w:rsidRDefault="00F55485" w:rsidP="00F55485">
      <w:pPr>
        <w:tabs>
          <w:tab w:val="left" w:pos="1440"/>
        </w:tabs>
        <w:rPr>
          <w:lang w:val="fr-FR"/>
        </w:rPr>
      </w:pPr>
      <w:r w:rsidRPr="00027523">
        <w:rPr>
          <w:szCs w:val="22"/>
          <w:lang w:val="fr-FR"/>
        </w:rPr>
        <w:t>Les tâches incombant au service après l</w:t>
      </w:r>
      <w:r w:rsidR="00F20C73">
        <w:rPr>
          <w:szCs w:val="22"/>
          <w:lang w:val="fr-FR"/>
        </w:rPr>
        <w:t>’</w:t>
      </w:r>
      <w:r w:rsidRPr="00027523">
        <w:rPr>
          <w:szCs w:val="22"/>
          <w:lang w:val="fr-FR"/>
        </w:rPr>
        <w:t>octroi des droits d</w:t>
      </w:r>
      <w:r w:rsidR="00F20C73">
        <w:rPr>
          <w:szCs w:val="22"/>
          <w:lang w:val="fr-FR"/>
        </w:rPr>
        <w:t>’</w:t>
      </w:r>
      <w:r w:rsidRPr="00027523">
        <w:rPr>
          <w:szCs w:val="22"/>
          <w:lang w:val="fr-FR"/>
        </w:rPr>
        <w:t>obtenteur comprennent l</w:t>
      </w:r>
      <w:r w:rsidR="00F20C73">
        <w:rPr>
          <w:szCs w:val="22"/>
          <w:lang w:val="fr-FR"/>
        </w:rPr>
        <w:t>’</w:t>
      </w:r>
      <w:r w:rsidRPr="00027523">
        <w:rPr>
          <w:szCs w:val="22"/>
          <w:lang w:val="fr-FR"/>
        </w:rPr>
        <w:t>obligation de maintenir à jour les renseignements pertinents dans le registre et les bases de données, la gestion du paiement des taxes (le cas échéant) par l</w:t>
      </w:r>
      <w:r w:rsidR="00F20C73">
        <w:rPr>
          <w:szCs w:val="22"/>
          <w:lang w:val="fr-FR"/>
        </w:rPr>
        <w:t>’</w:t>
      </w:r>
      <w:r w:rsidRPr="00027523">
        <w:rPr>
          <w:szCs w:val="22"/>
          <w:lang w:val="fr-FR"/>
        </w:rPr>
        <w:t>obtenteur en vue de maintenir les droits en vigueur et la publication d</w:t>
      </w:r>
      <w:r w:rsidR="00F20C73">
        <w:rPr>
          <w:szCs w:val="22"/>
          <w:lang w:val="fr-FR"/>
        </w:rPr>
        <w:t>’</w:t>
      </w:r>
      <w:r w:rsidRPr="00027523">
        <w:rPr>
          <w:szCs w:val="22"/>
          <w:lang w:val="fr-FR"/>
        </w:rPr>
        <w:t>informations pertinentes après l</w:t>
      </w:r>
      <w:r w:rsidR="00F20C73">
        <w:rPr>
          <w:szCs w:val="22"/>
          <w:lang w:val="fr-FR"/>
        </w:rPr>
        <w:t>’</w:t>
      </w:r>
      <w:r w:rsidRPr="00027523">
        <w:rPr>
          <w:szCs w:val="22"/>
          <w:lang w:val="fr-FR"/>
        </w:rPr>
        <w:t>octroi des droits, par exemple, l</w:t>
      </w:r>
      <w:r w:rsidR="00F20C73">
        <w:rPr>
          <w:szCs w:val="22"/>
          <w:lang w:val="fr-FR"/>
        </w:rPr>
        <w:t>’</w:t>
      </w:r>
      <w:r w:rsidRPr="00027523">
        <w:rPr>
          <w:szCs w:val="22"/>
          <w:lang w:val="fr-FR"/>
        </w:rPr>
        <w:t>expiration des droits d</w:t>
      </w:r>
      <w:r w:rsidR="00F20C73">
        <w:rPr>
          <w:szCs w:val="22"/>
          <w:lang w:val="fr-FR"/>
        </w:rPr>
        <w:t>’</w:t>
      </w:r>
      <w:r w:rsidRPr="00027523">
        <w:rPr>
          <w:szCs w:val="22"/>
          <w:lang w:val="fr-FR"/>
        </w:rPr>
        <w:t xml:space="preserve">obtenteur et les changements concernant le titulaire des droits et les dénominations (voir le </w:t>
      </w:r>
      <w:r w:rsidRPr="00027523">
        <w:rPr>
          <w:lang w:val="fr-FR"/>
        </w:rPr>
        <w:t>module 4 intitulé</w:t>
      </w:r>
      <w:r w:rsidRPr="00027523">
        <w:rPr>
          <w:szCs w:val="22"/>
          <w:lang w:val="fr-FR"/>
        </w:rPr>
        <w:t xml:space="preserve"> </w:t>
      </w:r>
      <w:r w:rsidR="00F20C73">
        <w:rPr>
          <w:szCs w:val="22"/>
          <w:lang w:val="fr-FR"/>
        </w:rPr>
        <w:t>“</w:t>
      </w:r>
      <w:r w:rsidRPr="00027523">
        <w:rPr>
          <w:lang w:val="fr-FR"/>
        </w:rPr>
        <w:t>Informations à publier</w:t>
      </w:r>
      <w:r w:rsidR="00F20C73">
        <w:rPr>
          <w:lang w:val="fr-FR"/>
        </w:rPr>
        <w:t>”</w:t>
      </w:r>
      <w:r w:rsidRPr="00027523">
        <w:rPr>
          <w:lang w:val="fr-FR"/>
        </w:rPr>
        <w:t xml:space="preserve">).  Le service peut aussi décider de prendre des mesures en vue de contrôler le maintien de la variété.  </w:t>
      </w:r>
    </w:p>
    <w:p w:rsidR="00F55485" w:rsidRPr="00027523" w:rsidRDefault="00F55485" w:rsidP="00F55485">
      <w:pPr>
        <w:tabs>
          <w:tab w:val="left" w:pos="1440"/>
        </w:tabs>
        <w:rPr>
          <w:lang w:val="fr-FR"/>
        </w:rPr>
      </w:pPr>
    </w:p>
    <w:p w:rsidR="00F55485" w:rsidRPr="00027523" w:rsidRDefault="00F55485" w:rsidP="00F55485">
      <w:pPr>
        <w:tabs>
          <w:tab w:val="left" w:pos="1440"/>
        </w:tabs>
        <w:rPr>
          <w:lang w:val="fr-FR"/>
        </w:rPr>
      </w:pPr>
    </w:p>
    <w:p w:rsidR="0020369A" w:rsidRPr="002F3B03" w:rsidRDefault="0020369A" w:rsidP="002B092C">
      <w:pPr>
        <w:autoSpaceDE w:val="0"/>
        <w:autoSpaceDN w:val="0"/>
        <w:adjustRightInd w:val="0"/>
        <w:rPr>
          <w:lang w:val="fr-FR"/>
        </w:rPr>
      </w:pPr>
    </w:p>
    <w:p w:rsidR="0020369A" w:rsidRPr="002F3B03" w:rsidRDefault="0020369A" w:rsidP="002B092C">
      <w:pPr>
        <w:autoSpaceDE w:val="0"/>
        <w:autoSpaceDN w:val="0"/>
        <w:adjustRightInd w:val="0"/>
        <w:jc w:val="right"/>
        <w:rPr>
          <w:lang w:val="fr-FR"/>
        </w:rPr>
      </w:pPr>
      <w:r w:rsidRPr="002F3B03">
        <w:rPr>
          <w:lang w:val="fr-FR"/>
        </w:rPr>
        <w:t>[Fin de l</w:t>
      </w:r>
      <w:r w:rsidR="00F20C73">
        <w:rPr>
          <w:lang w:val="fr-FR"/>
        </w:rPr>
        <w:t>’</w:t>
      </w:r>
      <w:r w:rsidRPr="002F3B03">
        <w:rPr>
          <w:lang w:val="fr-FR"/>
        </w:rPr>
        <w:t>annexe et du document]</w:t>
      </w:r>
    </w:p>
    <w:p w:rsidR="0020369A" w:rsidRPr="002F3B03" w:rsidRDefault="0020369A" w:rsidP="002B092C">
      <w:pPr>
        <w:rPr>
          <w:lang w:val="fr-FR"/>
        </w:rPr>
      </w:pPr>
    </w:p>
    <w:p w:rsidR="0020369A" w:rsidRPr="002F3B03" w:rsidRDefault="0020369A" w:rsidP="006507B7">
      <w:pPr>
        <w:rPr>
          <w:lang w:val="fr-FR"/>
        </w:rPr>
      </w:pPr>
    </w:p>
    <w:p w:rsidR="0020369A" w:rsidRPr="002F3B03" w:rsidRDefault="0020369A" w:rsidP="00641FEB">
      <w:pPr>
        <w:pStyle w:val="DecisionParagraphs"/>
        <w:jc w:val="right"/>
        <w:rPr>
          <w:i w:val="0"/>
          <w:iCs w:val="0"/>
          <w:kern w:val="28"/>
          <w:lang w:val="fr-FR"/>
        </w:rPr>
      </w:pPr>
    </w:p>
    <w:sectPr w:rsidR="0020369A" w:rsidRPr="002F3B03" w:rsidSect="009560C5">
      <w:headerReference w:type="default" r:id="rId25"/>
      <w:footerReference w:type="default" r:id="rId26"/>
      <w:footerReference w:type="first" r:id="rId27"/>
      <w:pgSz w:w="11907" w:h="16839" w:code="9"/>
      <w:pgMar w:top="510" w:right="1134" w:bottom="1134" w:left="1134" w:header="510" w:footer="62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43" w:rsidRDefault="00E56043">
      <w:r>
        <w:separator/>
      </w:r>
    </w:p>
    <w:p w:rsidR="00E56043" w:rsidRDefault="00E56043"/>
    <w:p w:rsidR="00E56043" w:rsidRDefault="00E56043"/>
  </w:endnote>
  <w:endnote w:type="continuationSeparator" w:id="0">
    <w:p w:rsidR="00E56043" w:rsidRDefault="00E56043">
      <w:r>
        <w:separator/>
      </w:r>
    </w:p>
    <w:p w:rsidR="00E56043" w:rsidRPr="00664515" w:rsidRDefault="00E56043">
      <w:pPr>
        <w:pStyle w:val="Footer"/>
        <w:spacing w:after="60"/>
        <w:rPr>
          <w:sz w:val="18"/>
          <w:szCs w:val="18"/>
          <w:lang w:val="fr-CH"/>
        </w:rPr>
      </w:pPr>
      <w:r w:rsidRPr="00664515">
        <w:rPr>
          <w:sz w:val="18"/>
          <w:szCs w:val="18"/>
          <w:lang w:val="fr-CH"/>
        </w:rPr>
        <w:t>[Suite de la note de la page précédente]</w:t>
      </w:r>
    </w:p>
    <w:p w:rsidR="00E56043" w:rsidRPr="00664515" w:rsidRDefault="00E56043">
      <w:pPr>
        <w:rPr>
          <w:lang w:val="fr-CH"/>
        </w:rPr>
      </w:pPr>
    </w:p>
    <w:p w:rsidR="00E56043" w:rsidRPr="00664515" w:rsidRDefault="00E56043">
      <w:pPr>
        <w:rPr>
          <w:lang w:val="fr-CH"/>
        </w:rPr>
      </w:pPr>
    </w:p>
  </w:endnote>
  <w:endnote w:type="continuationNotice" w:id="1">
    <w:p w:rsidR="00E56043" w:rsidRPr="00664515" w:rsidRDefault="00E56043">
      <w:pPr>
        <w:spacing w:before="60"/>
        <w:jc w:val="right"/>
        <w:rPr>
          <w:sz w:val="18"/>
          <w:szCs w:val="18"/>
          <w:lang w:val="fr-CH"/>
        </w:rPr>
      </w:pPr>
      <w:r w:rsidRPr="00664515">
        <w:rPr>
          <w:sz w:val="18"/>
          <w:szCs w:val="18"/>
          <w:lang w:val="fr-CH"/>
        </w:rPr>
        <w:t>[Suite de la note page suivante]</w:t>
      </w:r>
    </w:p>
    <w:p w:rsidR="00E56043" w:rsidRPr="00664515" w:rsidRDefault="00E56043">
      <w:pPr>
        <w:rPr>
          <w:lang w:val="fr-CH"/>
        </w:rPr>
      </w:pPr>
    </w:p>
    <w:p w:rsidR="00E56043" w:rsidRPr="00664515" w:rsidRDefault="00E5604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43" w:rsidRDefault="00E560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43" w:rsidRPr="009560C5" w:rsidRDefault="00E56043" w:rsidP="00956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43" w:rsidRDefault="00E56043" w:rsidP="009D690D">
      <w:pPr>
        <w:spacing w:before="120"/>
      </w:pPr>
      <w:r>
        <w:separator/>
      </w:r>
    </w:p>
  </w:footnote>
  <w:footnote w:type="continuationSeparator" w:id="0">
    <w:p w:rsidR="00E56043" w:rsidRDefault="00E56043" w:rsidP="00520297">
      <w:pPr>
        <w:spacing w:before="120"/>
        <w:jc w:val="left"/>
      </w:pPr>
      <w:r>
        <w:separator/>
      </w:r>
    </w:p>
  </w:footnote>
  <w:footnote w:type="continuationNotice" w:id="1">
    <w:p w:rsidR="00E56043" w:rsidRDefault="00E56043"/>
  </w:footnote>
  <w:footnote w:id="2">
    <w:p w:rsidR="00E56043" w:rsidRDefault="00E56043" w:rsidP="00F55485">
      <w:pPr>
        <w:ind w:left="567" w:hanging="567"/>
      </w:pPr>
      <w:r w:rsidRPr="00977F76">
        <w:rPr>
          <w:vertAlign w:val="superscript"/>
        </w:rPr>
        <w:footnoteRef/>
      </w:r>
      <w:r>
        <w:rPr>
          <w:rStyle w:val="FootnoteTextChar"/>
          <w:lang w:val="fr-FR"/>
        </w:rPr>
        <w:tab/>
      </w:r>
      <w:r w:rsidRPr="002136A3">
        <w:rPr>
          <w:rStyle w:val="FootnoteTextChar"/>
          <w:lang w:val="fr-FR"/>
        </w:rPr>
        <w:t xml:space="preserve">Prière de noter que cette table est fournie à des </w:t>
      </w:r>
      <w:r>
        <w:rPr>
          <w:rStyle w:val="FootnoteTextChar"/>
          <w:lang w:val="fr-FR"/>
        </w:rPr>
        <w:t>f</w:t>
      </w:r>
      <w:r w:rsidRPr="002136A3">
        <w:rPr>
          <w:rStyle w:val="FootnoteTextChar"/>
          <w:lang w:val="fr-FR"/>
        </w:rPr>
        <w:t xml:space="preserve">ins d’illustration et qu’elle risque d’être caduque lors de la lecture : </w:t>
      </w:r>
      <w:r>
        <w:rPr>
          <w:rStyle w:val="FootnoteTextChar"/>
          <w:lang w:val="fr-FR"/>
        </w:rPr>
        <w:t>le lien avec la table des matières actuelle est donné dans le texte ci-dessus</w:t>
      </w:r>
      <w:r w:rsidRPr="002136A3">
        <w:rPr>
          <w:rStyle w:val="FootnoteTextChar"/>
          <w:lang w:val="fr-FR"/>
        </w:rPr>
        <w:t>.</w:t>
      </w:r>
    </w:p>
  </w:footnote>
  <w:footnote w:id="3">
    <w:p w:rsidR="00E56043" w:rsidRDefault="00E56043" w:rsidP="00F55485">
      <w:pPr>
        <w:ind w:left="567" w:hanging="567"/>
      </w:pPr>
      <w:r w:rsidRPr="00C0236D">
        <w:rPr>
          <w:vertAlign w:val="superscript"/>
        </w:rPr>
        <w:footnoteRef/>
      </w:r>
      <w:r>
        <w:rPr>
          <w:rStyle w:val="FootnoteTextChar"/>
          <w:lang w:val="fr-FR"/>
        </w:rPr>
        <w:tab/>
      </w:r>
      <w:r w:rsidRPr="00CC748B">
        <w:rPr>
          <w:rStyle w:val="FootnoteTextChar"/>
          <w:lang w:val="fr-FR"/>
        </w:rPr>
        <w:t>Les notes qui figurent dans le diagramme ci-dessus concernent l’administration de l’exam</w:t>
      </w:r>
      <w:r>
        <w:rPr>
          <w:rStyle w:val="FootnoteTextChar"/>
          <w:lang w:val="fr-FR"/>
        </w:rPr>
        <w:t>en et sont expliquées dans le m</w:t>
      </w:r>
      <w:r w:rsidR="000B7B11">
        <w:rPr>
          <w:rStyle w:val="FootnoteTextChar"/>
          <w:lang w:val="fr-FR"/>
        </w:rPr>
        <w:t>odule </w:t>
      </w:r>
      <w:r w:rsidRPr="00CC748B">
        <w:rPr>
          <w:rStyle w:val="FootnoteTextChar"/>
          <w:lang w:val="fr-FR"/>
        </w:rPr>
        <w:t xml:space="preserve">2 “Administration </w:t>
      </w:r>
      <w:r>
        <w:rPr>
          <w:rStyle w:val="FootnoteTextChar"/>
          <w:lang w:val="fr-FR"/>
        </w:rPr>
        <w:t>des demandes</w:t>
      </w:r>
      <w:r w:rsidRPr="00CC748B">
        <w:rPr>
          <w:rStyle w:val="FootnoteTextCha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43" w:rsidRPr="00997029" w:rsidRDefault="00E56043" w:rsidP="00E23920">
    <w:pPr>
      <w:jc w:val="center"/>
      <w:rPr>
        <w:rStyle w:val="PageNumber"/>
      </w:rPr>
    </w:pPr>
    <w:r>
      <w:rPr>
        <w:rStyle w:val="PageNumber"/>
      </w:rPr>
      <w:t>CAJ/69/10</w:t>
    </w:r>
  </w:p>
  <w:p w:rsidR="00E56043" w:rsidRPr="00997029" w:rsidRDefault="00E56043"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33DDE">
      <w:rPr>
        <w:rStyle w:val="PageNumber"/>
        <w:noProof/>
      </w:rPr>
      <w:t>10</w:t>
    </w:r>
    <w:r w:rsidRPr="00997029">
      <w:rPr>
        <w:rStyle w:val="PageNumber"/>
      </w:rPr>
      <w:fldChar w:fldCharType="end"/>
    </w:r>
  </w:p>
  <w:p w:rsidR="00E56043" w:rsidRPr="00997029" w:rsidRDefault="00E56043"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43" w:rsidRPr="00997029" w:rsidRDefault="00E56043" w:rsidP="00E23920">
    <w:pPr>
      <w:jc w:val="center"/>
      <w:rPr>
        <w:rStyle w:val="PageNumber"/>
      </w:rPr>
    </w:pPr>
    <w:r>
      <w:rPr>
        <w:rStyle w:val="PageNumber"/>
      </w:rPr>
      <w:t>CAJ/69/10</w:t>
    </w:r>
  </w:p>
  <w:p w:rsidR="00E56043" w:rsidRPr="00997029" w:rsidRDefault="00E56043" w:rsidP="00E23920">
    <w:pPr>
      <w:jc w:val="center"/>
    </w:pPr>
    <w:r>
      <w:t xml:space="preserve">Annexe,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33DDE">
      <w:rPr>
        <w:rStyle w:val="PageNumber"/>
        <w:noProof/>
      </w:rPr>
      <w:t>10</w:t>
    </w:r>
    <w:r w:rsidRPr="00997029">
      <w:rPr>
        <w:rStyle w:val="PageNumber"/>
      </w:rPr>
      <w:fldChar w:fldCharType="end"/>
    </w:r>
  </w:p>
  <w:p w:rsidR="00E56043" w:rsidRPr="00997029" w:rsidRDefault="00E56043"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E246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371D0"/>
    <w:multiLevelType w:val="multilevel"/>
    <w:tmpl w:val="D3C84D7C"/>
    <w:lvl w:ilvl="0">
      <w:start w:val="1"/>
      <w:numFmt w:val="lowerRoman"/>
      <w:lvlText w:val="(%1)"/>
      <w:lvlJc w:val="left"/>
      <w:pPr>
        <w:tabs>
          <w:tab w:val="num" w:pos="1350"/>
        </w:tabs>
        <w:ind w:left="1350" w:hanging="72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2">
    <w:nsid w:val="07144B7D"/>
    <w:multiLevelType w:val="hybridMultilevel"/>
    <w:tmpl w:val="88DCDD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DCF67D6"/>
    <w:multiLevelType w:val="multilevel"/>
    <w:tmpl w:val="6F3E25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C731A68"/>
    <w:multiLevelType w:val="hybridMultilevel"/>
    <w:tmpl w:val="9F8C61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55B42E24"/>
    <w:multiLevelType w:val="hybridMultilevel"/>
    <w:tmpl w:val="EB56C0E2"/>
    <w:lvl w:ilvl="0" w:tplc="CBF888C2">
      <w:start w:val="1"/>
      <w:numFmt w:val="lowerRoman"/>
      <w:lvlText w:val="%1)"/>
      <w:lvlJc w:val="left"/>
      <w:pPr>
        <w:tabs>
          <w:tab w:val="num" w:pos="1350"/>
        </w:tabs>
        <w:ind w:left="1350" w:hanging="720"/>
      </w:pPr>
      <w:rPr>
        <w:rFonts w:hint="default"/>
      </w:r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6">
    <w:nsid w:val="55FD07AB"/>
    <w:multiLevelType w:val="hybridMultilevel"/>
    <w:tmpl w:val="426E07BE"/>
    <w:lvl w:ilvl="0" w:tplc="EEA4945E">
      <w:start w:val="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6A6E3B90"/>
    <w:multiLevelType w:val="hybridMultilevel"/>
    <w:tmpl w:val="6B4E2FCC"/>
    <w:lvl w:ilvl="0" w:tplc="04090001">
      <w:start w:val="1"/>
      <w:numFmt w:val="bullet"/>
      <w:lvlText w:val=""/>
      <w:lvlJc w:val="left"/>
      <w:pPr>
        <w:ind w:left="1494" w:hanging="360"/>
      </w:pPr>
      <w:rPr>
        <w:rFonts w:ascii="Symbol" w:hAnsi="Symbol" w:cs="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8">
    <w:nsid w:val="6BB42604"/>
    <w:multiLevelType w:val="hybridMultilevel"/>
    <w:tmpl w:val="4358D76A"/>
    <w:lvl w:ilvl="0" w:tplc="1762809C">
      <w:start w:val="1"/>
      <w:numFmt w:val="bullet"/>
      <w:lvlText w:val="-"/>
      <w:lvlJc w:val="left"/>
      <w:pPr>
        <w:ind w:left="930" w:hanging="360"/>
      </w:pPr>
      <w:rPr>
        <w:rFonts w:ascii="Arial" w:eastAsia="MS Mincho" w:hAnsi="Aria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cs="Wingdings" w:hint="default"/>
      </w:rPr>
    </w:lvl>
    <w:lvl w:ilvl="3" w:tplc="04090001">
      <w:start w:val="1"/>
      <w:numFmt w:val="bullet"/>
      <w:lvlText w:val=""/>
      <w:lvlJc w:val="left"/>
      <w:pPr>
        <w:ind w:left="3090" w:hanging="360"/>
      </w:pPr>
      <w:rPr>
        <w:rFonts w:ascii="Symbol" w:hAnsi="Symbol" w:cs="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cs="Wingdings" w:hint="default"/>
      </w:rPr>
    </w:lvl>
    <w:lvl w:ilvl="6" w:tplc="04090001">
      <w:start w:val="1"/>
      <w:numFmt w:val="bullet"/>
      <w:lvlText w:val=""/>
      <w:lvlJc w:val="left"/>
      <w:pPr>
        <w:ind w:left="5250" w:hanging="360"/>
      </w:pPr>
      <w:rPr>
        <w:rFonts w:ascii="Symbol" w:hAnsi="Symbol" w:cs="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cs="Wingdings" w:hint="default"/>
      </w:rPr>
    </w:lvl>
  </w:abstractNum>
  <w:abstractNum w:abstractNumId="9">
    <w:nsid w:val="71BC7CAF"/>
    <w:multiLevelType w:val="singleLevel"/>
    <w:tmpl w:val="D2A6D988"/>
    <w:lvl w:ilvl="0">
      <w:start w:val="1"/>
      <w:numFmt w:val="lowerRoman"/>
      <w:lvlText w:val="(%1)"/>
      <w:legacy w:legacy="1" w:legacySpace="170" w:legacyIndent="851"/>
      <w:lvlJc w:val="right"/>
    </w:lvl>
  </w:abstractNum>
  <w:abstractNum w:abstractNumId="10">
    <w:nsid w:val="772F1383"/>
    <w:multiLevelType w:val="hybridMultilevel"/>
    <w:tmpl w:val="410CF32C"/>
    <w:lvl w:ilvl="0" w:tplc="7632F0B0">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0"/>
  </w:num>
  <w:num w:numId="2">
    <w:abstractNumId w:val="4"/>
  </w:num>
  <w:num w:numId="3">
    <w:abstractNumId w:val="2"/>
  </w:num>
  <w:num w:numId="4">
    <w:abstractNumId w:val="6"/>
  </w:num>
  <w:num w:numId="5">
    <w:abstractNumId w:val="9"/>
  </w:num>
  <w:num w:numId="6">
    <w:abstractNumId w:val="7"/>
  </w:num>
  <w:num w:numId="7">
    <w:abstractNumId w:val="8"/>
  </w:num>
  <w:num w:numId="8">
    <w:abstractNumId w:val="1"/>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56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suppressSpBfAfterPgBrk/>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6C0"/>
    <w:rsid w:val="00001380"/>
    <w:rsid w:val="00001D48"/>
    <w:rsid w:val="00010CF3"/>
    <w:rsid w:val="00011E27"/>
    <w:rsid w:val="000148BC"/>
    <w:rsid w:val="000248FC"/>
    <w:rsid w:val="00024AB8"/>
    <w:rsid w:val="0003481B"/>
    <w:rsid w:val="0003562F"/>
    <w:rsid w:val="00036028"/>
    <w:rsid w:val="00036052"/>
    <w:rsid w:val="00037D15"/>
    <w:rsid w:val="00043EF7"/>
    <w:rsid w:val="000446B9"/>
    <w:rsid w:val="00045613"/>
    <w:rsid w:val="00046731"/>
    <w:rsid w:val="00047D77"/>
    <w:rsid w:val="00047E21"/>
    <w:rsid w:val="00051FA2"/>
    <w:rsid w:val="00055FE7"/>
    <w:rsid w:val="00064085"/>
    <w:rsid w:val="00065CAC"/>
    <w:rsid w:val="00070EC4"/>
    <w:rsid w:val="000716E0"/>
    <w:rsid w:val="00071DC7"/>
    <w:rsid w:val="000730F8"/>
    <w:rsid w:val="0008421F"/>
    <w:rsid w:val="00085505"/>
    <w:rsid w:val="000B3257"/>
    <w:rsid w:val="000B7B11"/>
    <w:rsid w:val="000B7F0C"/>
    <w:rsid w:val="000C7021"/>
    <w:rsid w:val="000D492E"/>
    <w:rsid w:val="000D6BBC"/>
    <w:rsid w:val="000D7780"/>
    <w:rsid w:val="00105929"/>
    <w:rsid w:val="00107021"/>
    <w:rsid w:val="00110481"/>
    <w:rsid w:val="001131D3"/>
    <w:rsid w:val="001131D5"/>
    <w:rsid w:val="00117343"/>
    <w:rsid w:val="00137C60"/>
    <w:rsid w:val="00140E1A"/>
    <w:rsid w:val="00141DB8"/>
    <w:rsid w:val="0014634A"/>
    <w:rsid w:val="0015775F"/>
    <w:rsid w:val="00161393"/>
    <w:rsid w:val="001613B4"/>
    <w:rsid w:val="001618CD"/>
    <w:rsid w:val="00163C90"/>
    <w:rsid w:val="00164AD9"/>
    <w:rsid w:val="0017474A"/>
    <w:rsid w:val="001758C6"/>
    <w:rsid w:val="00180F6A"/>
    <w:rsid w:val="0018478B"/>
    <w:rsid w:val="001979DD"/>
    <w:rsid w:val="001A1421"/>
    <w:rsid w:val="001A14E7"/>
    <w:rsid w:val="001C3DF3"/>
    <w:rsid w:val="001D0C7D"/>
    <w:rsid w:val="001D17EA"/>
    <w:rsid w:val="001E7623"/>
    <w:rsid w:val="001E7A2F"/>
    <w:rsid w:val="001E7D84"/>
    <w:rsid w:val="001F1F2A"/>
    <w:rsid w:val="001F2501"/>
    <w:rsid w:val="001F6407"/>
    <w:rsid w:val="0020369A"/>
    <w:rsid w:val="00204A51"/>
    <w:rsid w:val="002065F3"/>
    <w:rsid w:val="002067E8"/>
    <w:rsid w:val="0021332C"/>
    <w:rsid w:val="00213982"/>
    <w:rsid w:val="00223659"/>
    <w:rsid w:val="002241C3"/>
    <w:rsid w:val="00224367"/>
    <w:rsid w:val="00237C7D"/>
    <w:rsid w:val="0024416D"/>
    <w:rsid w:val="00253453"/>
    <w:rsid w:val="0027309C"/>
    <w:rsid w:val="00276CE7"/>
    <w:rsid w:val="002800A0"/>
    <w:rsid w:val="00281060"/>
    <w:rsid w:val="0028357E"/>
    <w:rsid w:val="002873E5"/>
    <w:rsid w:val="00291B91"/>
    <w:rsid w:val="00293268"/>
    <w:rsid w:val="0029439F"/>
    <w:rsid w:val="00295010"/>
    <w:rsid w:val="002A6E50"/>
    <w:rsid w:val="002B092C"/>
    <w:rsid w:val="002C0707"/>
    <w:rsid w:val="002C11F2"/>
    <w:rsid w:val="002C14E8"/>
    <w:rsid w:val="002C1C38"/>
    <w:rsid w:val="002C256A"/>
    <w:rsid w:val="002C6721"/>
    <w:rsid w:val="002E224A"/>
    <w:rsid w:val="002E7BA1"/>
    <w:rsid w:val="002F3B03"/>
    <w:rsid w:val="002F78FA"/>
    <w:rsid w:val="003037B9"/>
    <w:rsid w:val="00305A7F"/>
    <w:rsid w:val="00311DF3"/>
    <w:rsid w:val="003152FE"/>
    <w:rsid w:val="00315A30"/>
    <w:rsid w:val="003239E8"/>
    <w:rsid w:val="00326018"/>
    <w:rsid w:val="00327436"/>
    <w:rsid w:val="003416AA"/>
    <w:rsid w:val="00344BD6"/>
    <w:rsid w:val="003542E7"/>
    <w:rsid w:val="0035528D"/>
    <w:rsid w:val="00361821"/>
    <w:rsid w:val="00372992"/>
    <w:rsid w:val="00377348"/>
    <w:rsid w:val="0038248E"/>
    <w:rsid w:val="003A038D"/>
    <w:rsid w:val="003A12EA"/>
    <w:rsid w:val="003A17C8"/>
    <w:rsid w:val="003B07EC"/>
    <w:rsid w:val="003B69A1"/>
    <w:rsid w:val="003C563E"/>
    <w:rsid w:val="003C5C62"/>
    <w:rsid w:val="003D227C"/>
    <w:rsid w:val="003D2B4D"/>
    <w:rsid w:val="003D5CFA"/>
    <w:rsid w:val="003E2879"/>
    <w:rsid w:val="003E428C"/>
    <w:rsid w:val="003E42A5"/>
    <w:rsid w:val="003E65E5"/>
    <w:rsid w:val="003E7244"/>
    <w:rsid w:val="003F0C17"/>
    <w:rsid w:val="003F0EE1"/>
    <w:rsid w:val="003F251A"/>
    <w:rsid w:val="003F2859"/>
    <w:rsid w:val="003F41BE"/>
    <w:rsid w:val="003F4ED8"/>
    <w:rsid w:val="003F6136"/>
    <w:rsid w:val="00406CBF"/>
    <w:rsid w:val="00420FDB"/>
    <w:rsid w:val="00427139"/>
    <w:rsid w:val="004330C7"/>
    <w:rsid w:val="00444A88"/>
    <w:rsid w:val="00453603"/>
    <w:rsid w:val="004723F6"/>
    <w:rsid w:val="00474DA4"/>
    <w:rsid w:val="0048479B"/>
    <w:rsid w:val="00486E39"/>
    <w:rsid w:val="004926C1"/>
    <w:rsid w:val="004A39DF"/>
    <w:rsid w:val="004A5477"/>
    <w:rsid w:val="004A7127"/>
    <w:rsid w:val="004B0E07"/>
    <w:rsid w:val="004C6054"/>
    <w:rsid w:val="004C7CBB"/>
    <w:rsid w:val="004D047D"/>
    <w:rsid w:val="004D680E"/>
    <w:rsid w:val="004F305A"/>
    <w:rsid w:val="0050668C"/>
    <w:rsid w:val="00512164"/>
    <w:rsid w:val="00520297"/>
    <w:rsid w:val="0052515F"/>
    <w:rsid w:val="00525E3B"/>
    <w:rsid w:val="005326C0"/>
    <w:rsid w:val="005338F9"/>
    <w:rsid w:val="0054281C"/>
    <w:rsid w:val="00542CAA"/>
    <w:rsid w:val="0054760F"/>
    <w:rsid w:val="0055268D"/>
    <w:rsid w:val="0055760B"/>
    <w:rsid w:val="00567750"/>
    <w:rsid w:val="00571C59"/>
    <w:rsid w:val="00572E44"/>
    <w:rsid w:val="005735BF"/>
    <w:rsid w:val="00576BE4"/>
    <w:rsid w:val="0058593C"/>
    <w:rsid w:val="00586F56"/>
    <w:rsid w:val="00593588"/>
    <w:rsid w:val="00595BA6"/>
    <w:rsid w:val="005A1BC4"/>
    <w:rsid w:val="005A3D0C"/>
    <w:rsid w:val="005A400A"/>
    <w:rsid w:val="005A510F"/>
    <w:rsid w:val="005B04C4"/>
    <w:rsid w:val="005B7808"/>
    <w:rsid w:val="005C3CAA"/>
    <w:rsid w:val="005C3E4B"/>
    <w:rsid w:val="005C4485"/>
    <w:rsid w:val="005D1A83"/>
    <w:rsid w:val="005D3ACC"/>
    <w:rsid w:val="005E7052"/>
    <w:rsid w:val="00600235"/>
    <w:rsid w:val="00606160"/>
    <w:rsid w:val="006078B3"/>
    <w:rsid w:val="00612379"/>
    <w:rsid w:val="00612905"/>
    <w:rsid w:val="0061555F"/>
    <w:rsid w:val="00615C58"/>
    <w:rsid w:val="006359A2"/>
    <w:rsid w:val="00641200"/>
    <w:rsid w:val="00641FEB"/>
    <w:rsid w:val="006507B7"/>
    <w:rsid w:val="006529F6"/>
    <w:rsid w:val="00653C1D"/>
    <w:rsid w:val="00656964"/>
    <w:rsid w:val="0066052E"/>
    <w:rsid w:val="006608AB"/>
    <w:rsid w:val="00663ED8"/>
    <w:rsid w:val="006644BD"/>
    <w:rsid w:val="00664515"/>
    <w:rsid w:val="00672A45"/>
    <w:rsid w:val="006755B5"/>
    <w:rsid w:val="00685B1A"/>
    <w:rsid w:val="00687AF9"/>
    <w:rsid w:val="00687EB4"/>
    <w:rsid w:val="006964CE"/>
    <w:rsid w:val="00697024"/>
    <w:rsid w:val="006A1CE1"/>
    <w:rsid w:val="006A5734"/>
    <w:rsid w:val="006B17D2"/>
    <w:rsid w:val="006B18B7"/>
    <w:rsid w:val="006B45FA"/>
    <w:rsid w:val="006B4802"/>
    <w:rsid w:val="006C0479"/>
    <w:rsid w:val="006C0E37"/>
    <w:rsid w:val="006C224E"/>
    <w:rsid w:val="006C48D1"/>
    <w:rsid w:val="006C72B6"/>
    <w:rsid w:val="006D3D52"/>
    <w:rsid w:val="006F2B56"/>
    <w:rsid w:val="006F75D2"/>
    <w:rsid w:val="006F79FA"/>
    <w:rsid w:val="00702362"/>
    <w:rsid w:val="0071178E"/>
    <w:rsid w:val="007133A2"/>
    <w:rsid w:val="00732DEC"/>
    <w:rsid w:val="00735BD5"/>
    <w:rsid w:val="00737D0E"/>
    <w:rsid w:val="007510BB"/>
    <w:rsid w:val="0075117E"/>
    <w:rsid w:val="00753832"/>
    <w:rsid w:val="007556F6"/>
    <w:rsid w:val="00760EEF"/>
    <w:rsid w:val="00766EF4"/>
    <w:rsid w:val="00771553"/>
    <w:rsid w:val="007766D5"/>
    <w:rsid w:val="00777EE5"/>
    <w:rsid w:val="00784836"/>
    <w:rsid w:val="00784D4B"/>
    <w:rsid w:val="0079023E"/>
    <w:rsid w:val="0079453B"/>
    <w:rsid w:val="00797E6A"/>
    <w:rsid w:val="007B3AF6"/>
    <w:rsid w:val="007B6894"/>
    <w:rsid w:val="007C0383"/>
    <w:rsid w:val="007C10E7"/>
    <w:rsid w:val="007C6639"/>
    <w:rsid w:val="007D04DE"/>
    <w:rsid w:val="007D0B9D"/>
    <w:rsid w:val="007D167B"/>
    <w:rsid w:val="007D19B0"/>
    <w:rsid w:val="007D6C5B"/>
    <w:rsid w:val="007F498F"/>
    <w:rsid w:val="007F5CF8"/>
    <w:rsid w:val="00804C92"/>
    <w:rsid w:val="0080679D"/>
    <w:rsid w:val="008108B0"/>
    <w:rsid w:val="00811B20"/>
    <w:rsid w:val="00815077"/>
    <w:rsid w:val="008163C4"/>
    <w:rsid w:val="0082296E"/>
    <w:rsid w:val="00824099"/>
    <w:rsid w:val="008320F2"/>
    <w:rsid w:val="00834E82"/>
    <w:rsid w:val="00836E88"/>
    <w:rsid w:val="0084098C"/>
    <w:rsid w:val="00846C8D"/>
    <w:rsid w:val="00855DBD"/>
    <w:rsid w:val="00860532"/>
    <w:rsid w:val="00865CD3"/>
    <w:rsid w:val="00867AC1"/>
    <w:rsid w:val="00881DF5"/>
    <w:rsid w:val="008836D3"/>
    <w:rsid w:val="00885DDF"/>
    <w:rsid w:val="008A2480"/>
    <w:rsid w:val="008A395B"/>
    <w:rsid w:val="008A743F"/>
    <w:rsid w:val="008B1AAA"/>
    <w:rsid w:val="008B51D0"/>
    <w:rsid w:val="008B5C78"/>
    <w:rsid w:val="008C0970"/>
    <w:rsid w:val="008D1D47"/>
    <w:rsid w:val="008D1EB7"/>
    <w:rsid w:val="008D2CF7"/>
    <w:rsid w:val="008D7783"/>
    <w:rsid w:val="008E2023"/>
    <w:rsid w:val="008E408A"/>
    <w:rsid w:val="008E69ED"/>
    <w:rsid w:val="008E793E"/>
    <w:rsid w:val="008F3179"/>
    <w:rsid w:val="008F40F4"/>
    <w:rsid w:val="008F4C87"/>
    <w:rsid w:val="00900C26"/>
    <w:rsid w:val="0090197F"/>
    <w:rsid w:val="009030FC"/>
    <w:rsid w:val="00906DDC"/>
    <w:rsid w:val="00910FF6"/>
    <w:rsid w:val="00914F74"/>
    <w:rsid w:val="00917A8B"/>
    <w:rsid w:val="00923A40"/>
    <w:rsid w:val="00923B9F"/>
    <w:rsid w:val="00933DDE"/>
    <w:rsid w:val="00934E09"/>
    <w:rsid w:val="00936253"/>
    <w:rsid w:val="009560C5"/>
    <w:rsid w:val="00970FED"/>
    <w:rsid w:val="00972F3E"/>
    <w:rsid w:val="009738F6"/>
    <w:rsid w:val="00975B42"/>
    <w:rsid w:val="0098047B"/>
    <w:rsid w:val="0098083B"/>
    <w:rsid w:val="00980CC7"/>
    <w:rsid w:val="00982CBF"/>
    <w:rsid w:val="00987226"/>
    <w:rsid w:val="0099105A"/>
    <w:rsid w:val="00997029"/>
    <w:rsid w:val="009C51FE"/>
    <w:rsid w:val="009C7680"/>
    <w:rsid w:val="009D070E"/>
    <w:rsid w:val="009D0DE5"/>
    <w:rsid w:val="009D690D"/>
    <w:rsid w:val="009D7F70"/>
    <w:rsid w:val="009E5A3C"/>
    <w:rsid w:val="009E65B6"/>
    <w:rsid w:val="009E7571"/>
    <w:rsid w:val="009F7559"/>
    <w:rsid w:val="00A039B4"/>
    <w:rsid w:val="00A141E7"/>
    <w:rsid w:val="00A16079"/>
    <w:rsid w:val="00A20855"/>
    <w:rsid w:val="00A245F7"/>
    <w:rsid w:val="00A42AC3"/>
    <w:rsid w:val="00A430CF"/>
    <w:rsid w:val="00A54309"/>
    <w:rsid w:val="00A65201"/>
    <w:rsid w:val="00A80B59"/>
    <w:rsid w:val="00A8240F"/>
    <w:rsid w:val="00A86F1B"/>
    <w:rsid w:val="00A95847"/>
    <w:rsid w:val="00AB28D5"/>
    <w:rsid w:val="00AB2B93"/>
    <w:rsid w:val="00AB3724"/>
    <w:rsid w:val="00AC2EDE"/>
    <w:rsid w:val="00AC45FC"/>
    <w:rsid w:val="00AD5729"/>
    <w:rsid w:val="00AE0EF1"/>
    <w:rsid w:val="00AF5046"/>
    <w:rsid w:val="00AF7B11"/>
    <w:rsid w:val="00B07301"/>
    <w:rsid w:val="00B113EE"/>
    <w:rsid w:val="00B15752"/>
    <w:rsid w:val="00B224DE"/>
    <w:rsid w:val="00B33CFB"/>
    <w:rsid w:val="00B55B77"/>
    <w:rsid w:val="00B60F56"/>
    <w:rsid w:val="00B646A7"/>
    <w:rsid w:val="00B649C7"/>
    <w:rsid w:val="00B6646F"/>
    <w:rsid w:val="00B742E6"/>
    <w:rsid w:val="00B75B8F"/>
    <w:rsid w:val="00B76373"/>
    <w:rsid w:val="00B768B0"/>
    <w:rsid w:val="00B801A8"/>
    <w:rsid w:val="00B84BBD"/>
    <w:rsid w:val="00B855CE"/>
    <w:rsid w:val="00BA43FB"/>
    <w:rsid w:val="00BA4738"/>
    <w:rsid w:val="00BB1CC1"/>
    <w:rsid w:val="00BB36C0"/>
    <w:rsid w:val="00BB4D3E"/>
    <w:rsid w:val="00BC127D"/>
    <w:rsid w:val="00BC1FE6"/>
    <w:rsid w:val="00BD2C47"/>
    <w:rsid w:val="00BD4C24"/>
    <w:rsid w:val="00BE38A2"/>
    <w:rsid w:val="00BF11F5"/>
    <w:rsid w:val="00BF755D"/>
    <w:rsid w:val="00C0136B"/>
    <w:rsid w:val="00C0469A"/>
    <w:rsid w:val="00C061B6"/>
    <w:rsid w:val="00C07562"/>
    <w:rsid w:val="00C13D15"/>
    <w:rsid w:val="00C21485"/>
    <w:rsid w:val="00C21DBF"/>
    <w:rsid w:val="00C2446C"/>
    <w:rsid w:val="00C27C6A"/>
    <w:rsid w:val="00C36AE5"/>
    <w:rsid w:val="00C41AC9"/>
    <w:rsid w:val="00C41F17"/>
    <w:rsid w:val="00C4212E"/>
    <w:rsid w:val="00C54BF4"/>
    <w:rsid w:val="00C5791C"/>
    <w:rsid w:val="00C6153A"/>
    <w:rsid w:val="00C65133"/>
    <w:rsid w:val="00C65FE0"/>
    <w:rsid w:val="00C66028"/>
    <w:rsid w:val="00C66290"/>
    <w:rsid w:val="00C669D2"/>
    <w:rsid w:val="00C72B7A"/>
    <w:rsid w:val="00C74F5A"/>
    <w:rsid w:val="00C74F5E"/>
    <w:rsid w:val="00C81065"/>
    <w:rsid w:val="00C9078C"/>
    <w:rsid w:val="00C93A10"/>
    <w:rsid w:val="00C973F2"/>
    <w:rsid w:val="00CA774A"/>
    <w:rsid w:val="00CB118D"/>
    <w:rsid w:val="00CC11B0"/>
    <w:rsid w:val="00CC28D8"/>
    <w:rsid w:val="00CC6942"/>
    <w:rsid w:val="00CD76B9"/>
    <w:rsid w:val="00CE44A7"/>
    <w:rsid w:val="00CF53D2"/>
    <w:rsid w:val="00CF5651"/>
    <w:rsid w:val="00CF5A07"/>
    <w:rsid w:val="00CF7E36"/>
    <w:rsid w:val="00D17754"/>
    <w:rsid w:val="00D17A98"/>
    <w:rsid w:val="00D233D8"/>
    <w:rsid w:val="00D24210"/>
    <w:rsid w:val="00D32845"/>
    <w:rsid w:val="00D35C4F"/>
    <w:rsid w:val="00D3708D"/>
    <w:rsid w:val="00D40426"/>
    <w:rsid w:val="00D46F61"/>
    <w:rsid w:val="00D55CE0"/>
    <w:rsid w:val="00D57C96"/>
    <w:rsid w:val="00D72816"/>
    <w:rsid w:val="00D7723B"/>
    <w:rsid w:val="00D82399"/>
    <w:rsid w:val="00D879BD"/>
    <w:rsid w:val="00D91203"/>
    <w:rsid w:val="00D93C69"/>
    <w:rsid w:val="00D95174"/>
    <w:rsid w:val="00D95A5C"/>
    <w:rsid w:val="00DA22CD"/>
    <w:rsid w:val="00DA6F36"/>
    <w:rsid w:val="00DB6E8B"/>
    <w:rsid w:val="00DB6F29"/>
    <w:rsid w:val="00DB7D93"/>
    <w:rsid w:val="00DC00EA"/>
    <w:rsid w:val="00DE6490"/>
    <w:rsid w:val="00DE7C05"/>
    <w:rsid w:val="00DF4C14"/>
    <w:rsid w:val="00DF4D9A"/>
    <w:rsid w:val="00E0217B"/>
    <w:rsid w:val="00E02794"/>
    <w:rsid w:val="00E172C7"/>
    <w:rsid w:val="00E2196B"/>
    <w:rsid w:val="00E234BA"/>
    <w:rsid w:val="00E23920"/>
    <w:rsid w:val="00E251AF"/>
    <w:rsid w:val="00E54932"/>
    <w:rsid w:val="00E553D6"/>
    <w:rsid w:val="00E55C95"/>
    <w:rsid w:val="00E55FD8"/>
    <w:rsid w:val="00E56043"/>
    <w:rsid w:val="00E56EE3"/>
    <w:rsid w:val="00E6662E"/>
    <w:rsid w:val="00E72D49"/>
    <w:rsid w:val="00E73FE2"/>
    <w:rsid w:val="00E7593C"/>
    <w:rsid w:val="00E7678A"/>
    <w:rsid w:val="00E82604"/>
    <w:rsid w:val="00E834C3"/>
    <w:rsid w:val="00E85641"/>
    <w:rsid w:val="00E935F1"/>
    <w:rsid w:val="00E94A81"/>
    <w:rsid w:val="00EA064C"/>
    <w:rsid w:val="00EA1A0B"/>
    <w:rsid w:val="00EA1FFB"/>
    <w:rsid w:val="00EA2439"/>
    <w:rsid w:val="00EA2CC5"/>
    <w:rsid w:val="00EB048E"/>
    <w:rsid w:val="00EB27F7"/>
    <w:rsid w:val="00EB383D"/>
    <w:rsid w:val="00EB3EFA"/>
    <w:rsid w:val="00EC0AF1"/>
    <w:rsid w:val="00EC5326"/>
    <w:rsid w:val="00EC545A"/>
    <w:rsid w:val="00EE0680"/>
    <w:rsid w:val="00EE5E5D"/>
    <w:rsid w:val="00EE62F6"/>
    <w:rsid w:val="00EF2F89"/>
    <w:rsid w:val="00F03AF7"/>
    <w:rsid w:val="00F04DEB"/>
    <w:rsid w:val="00F06DFB"/>
    <w:rsid w:val="00F1231A"/>
    <w:rsid w:val="00F1237A"/>
    <w:rsid w:val="00F20C73"/>
    <w:rsid w:val="00F22CBD"/>
    <w:rsid w:val="00F32C0F"/>
    <w:rsid w:val="00F37961"/>
    <w:rsid w:val="00F40B28"/>
    <w:rsid w:val="00F4207E"/>
    <w:rsid w:val="00F442FE"/>
    <w:rsid w:val="00F474B6"/>
    <w:rsid w:val="00F55020"/>
    <w:rsid w:val="00F55485"/>
    <w:rsid w:val="00F6334D"/>
    <w:rsid w:val="00F633F2"/>
    <w:rsid w:val="00F706CD"/>
    <w:rsid w:val="00F81A2C"/>
    <w:rsid w:val="00F829F5"/>
    <w:rsid w:val="00FA49AB"/>
    <w:rsid w:val="00FB0D37"/>
    <w:rsid w:val="00FB53E7"/>
    <w:rsid w:val="00FC0E8B"/>
    <w:rsid w:val="00FE39C7"/>
    <w:rsid w:val="00FE4144"/>
    <w:rsid w:val="00FE4AF3"/>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A17C8"/>
    <w:pPr>
      <w:jc w:val="both"/>
    </w:pPr>
    <w:rPr>
      <w:rFonts w:ascii="Arial" w:hAnsi="Arial" w:cs="Arial"/>
      <w:sz w:val="20"/>
      <w:szCs w:val="20"/>
    </w:rPr>
  </w:style>
  <w:style w:type="paragraph" w:styleId="Heading1">
    <w:name w:val="heading 1"/>
    <w:basedOn w:val="Normal"/>
    <w:next w:val="Normal"/>
    <w:link w:val="Heading1Char"/>
    <w:autoRedefine/>
    <w:qFormat/>
    <w:rsid w:val="005735BF"/>
    <w:pPr>
      <w:outlineLvl w:val="0"/>
    </w:pPr>
    <w:rPr>
      <w:caps/>
    </w:rPr>
  </w:style>
  <w:style w:type="paragraph" w:styleId="Heading2">
    <w:name w:val="heading 2"/>
    <w:basedOn w:val="Normal"/>
    <w:next w:val="Normal"/>
    <w:link w:val="Heading2Char"/>
    <w:autoRedefine/>
    <w:qFormat/>
    <w:rsid w:val="005C3E4B"/>
    <w:pPr>
      <w:keepNext/>
      <w:outlineLvl w:val="1"/>
    </w:pPr>
    <w:rPr>
      <w:szCs w:val="18"/>
      <w:u w:val="single" w:color="000000"/>
      <w:lang w:val="fr-FR"/>
    </w:rPr>
  </w:style>
  <w:style w:type="paragraph" w:styleId="Heading3">
    <w:name w:val="heading 3"/>
    <w:basedOn w:val="Normal"/>
    <w:next w:val="Normal"/>
    <w:link w:val="Heading3Char"/>
    <w:autoRedefine/>
    <w:qFormat/>
    <w:rsid w:val="00C66028"/>
    <w:pPr>
      <w:keepNext/>
      <w:outlineLvl w:val="2"/>
    </w:pPr>
    <w:rPr>
      <w:i/>
      <w:iCs/>
    </w:rPr>
  </w:style>
  <w:style w:type="paragraph" w:styleId="Heading4">
    <w:name w:val="heading 4"/>
    <w:basedOn w:val="Normal"/>
    <w:next w:val="Normal"/>
    <w:link w:val="Heading4Char"/>
    <w:autoRedefine/>
    <w:uiPriority w:val="99"/>
    <w:qFormat/>
    <w:rsid w:val="00B76373"/>
    <w:pPr>
      <w:keepNext/>
      <w:ind w:firstLine="567"/>
      <w:outlineLvl w:val="3"/>
    </w:pPr>
    <w:rPr>
      <w:i/>
      <w:iCs/>
    </w:rPr>
  </w:style>
  <w:style w:type="paragraph" w:styleId="Heading5">
    <w:name w:val="heading 5"/>
    <w:basedOn w:val="Normal"/>
    <w:next w:val="Normal"/>
    <w:link w:val="Heading5Char"/>
    <w:autoRedefine/>
    <w:uiPriority w:val="99"/>
    <w:qFormat/>
    <w:rsid w:val="00F37961"/>
    <w:pPr>
      <w:keepNext/>
      <w:ind w:left="1134" w:hanging="567"/>
      <w:outlineLvl w:val="4"/>
    </w:pPr>
    <w:rPr>
      <w:sz w:val="18"/>
      <w:szCs w:val="18"/>
    </w:rPr>
  </w:style>
  <w:style w:type="paragraph" w:styleId="Heading9">
    <w:name w:val="heading 9"/>
    <w:basedOn w:val="Normal"/>
    <w:next w:val="Normal"/>
    <w:link w:val="Heading9Char"/>
    <w:uiPriority w:val="99"/>
    <w:qFormat/>
    <w:rsid w:val="00F37961"/>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EE3"/>
    <w:rPr>
      <w:rFonts w:ascii="Cambria" w:hAnsi="Cambria" w:cs="Cambria"/>
      <w:b/>
      <w:bCs/>
      <w:kern w:val="32"/>
      <w:sz w:val="32"/>
      <w:szCs w:val="32"/>
    </w:rPr>
  </w:style>
  <w:style w:type="character" w:customStyle="1" w:styleId="Heading2Char">
    <w:name w:val="Heading 2 Char"/>
    <w:basedOn w:val="DefaultParagraphFont"/>
    <w:link w:val="Heading2"/>
    <w:rsid w:val="005C3E4B"/>
    <w:rPr>
      <w:rFonts w:ascii="Arial" w:hAnsi="Arial" w:cs="Arial"/>
      <w:sz w:val="20"/>
      <w:szCs w:val="18"/>
      <w:u w:val="single" w:color="000000"/>
      <w:lang w:val="fr-FR"/>
    </w:rPr>
  </w:style>
  <w:style w:type="character" w:customStyle="1" w:styleId="Heading3Char">
    <w:name w:val="Heading 3 Char"/>
    <w:basedOn w:val="DefaultParagraphFont"/>
    <w:link w:val="Heading3"/>
    <w:rsid w:val="00E56EE3"/>
    <w:rPr>
      <w:rFonts w:ascii="Cambria" w:hAnsi="Cambria" w:cs="Cambria"/>
      <w:b/>
      <w:bCs/>
      <w:sz w:val="26"/>
      <w:szCs w:val="26"/>
    </w:rPr>
  </w:style>
  <w:style w:type="character" w:customStyle="1" w:styleId="Heading4Char">
    <w:name w:val="Heading 4 Char"/>
    <w:basedOn w:val="DefaultParagraphFont"/>
    <w:link w:val="Heading4"/>
    <w:uiPriority w:val="99"/>
    <w:semiHidden/>
    <w:rsid w:val="00E56EE3"/>
    <w:rPr>
      <w:rFonts w:ascii="Calibri" w:hAnsi="Calibri" w:cs="Calibri"/>
      <w:b/>
      <w:bCs/>
      <w:sz w:val="28"/>
      <w:szCs w:val="28"/>
    </w:rPr>
  </w:style>
  <w:style w:type="character" w:customStyle="1" w:styleId="Heading5Char">
    <w:name w:val="Heading 5 Char"/>
    <w:basedOn w:val="DefaultParagraphFont"/>
    <w:link w:val="Heading5"/>
    <w:uiPriority w:val="99"/>
    <w:semiHidden/>
    <w:rsid w:val="00E56EE3"/>
    <w:rPr>
      <w:rFonts w:ascii="Calibri" w:hAnsi="Calibri" w:cs="Calibri"/>
      <w:b/>
      <w:bCs/>
      <w:i/>
      <w:iCs/>
      <w:sz w:val="26"/>
      <w:szCs w:val="26"/>
    </w:rPr>
  </w:style>
  <w:style w:type="character" w:customStyle="1" w:styleId="Heading9Char">
    <w:name w:val="Heading 9 Char"/>
    <w:basedOn w:val="DefaultParagraphFont"/>
    <w:link w:val="Heading9"/>
    <w:uiPriority w:val="99"/>
    <w:semiHidden/>
    <w:rsid w:val="00E56EE3"/>
    <w:rPr>
      <w:rFonts w:ascii="Cambria" w:hAnsi="Cambria" w:cs="Cambria"/>
    </w:rPr>
  </w:style>
  <w:style w:type="paragraph" w:styleId="Header">
    <w:name w:val="header"/>
    <w:basedOn w:val="Normal"/>
    <w:link w:val="HeaderChar"/>
    <w:autoRedefine/>
    <w:uiPriority w:val="99"/>
    <w:rsid w:val="00F37961"/>
    <w:pPr>
      <w:tabs>
        <w:tab w:val="center" w:pos="4536"/>
        <w:tab w:val="right" w:pos="9072"/>
      </w:tabs>
      <w:jc w:val="center"/>
    </w:pPr>
    <w:rPr>
      <w:lang w:val="fr-FR"/>
    </w:rPr>
  </w:style>
  <w:style w:type="character" w:customStyle="1" w:styleId="HeaderChar">
    <w:name w:val="Header Char"/>
    <w:basedOn w:val="DefaultParagraphFont"/>
    <w:link w:val="Header"/>
    <w:uiPriority w:val="99"/>
    <w:semiHidden/>
    <w:rsid w:val="00E56EE3"/>
    <w:rPr>
      <w:rFonts w:ascii="Arial" w:hAnsi="Arial" w:cs="Arial"/>
      <w:sz w:val="20"/>
      <w:szCs w:val="20"/>
    </w:rPr>
  </w:style>
  <w:style w:type="paragraph" w:styleId="Footer">
    <w:name w:val="footer"/>
    <w:aliases w:val="doc_path_name"/>
    <w:basedOn w:val="Normal"/>
    <w:link w:val="FooterChar"/>
    <w:autoRedefine/>
    <w:uiPriority w:val="99"/>
    <w:rsid w:val="00F37961"/>
    <w:rPr>
      <w:sz w:val="14"/>
      <w:szCs w:val="14"/>
    </w:rPr>
  </w:style>
  <w:style w:type="character" w:customStyle="1" w:styleId="FooterChar">
    <w:name w:val="Footer Char"/>
    <w:aliases w:val="doc_path_name Char"/>
    <w:basedOn w:val="DefaultParagraphFont"/>
    <w:link w:val="Footer"/>
    <w:uiPriority w:val="99"/>
    <w:semiHidden/>
    <w:rsid w:val="00E56EE3"/>
    <w:rPr>
      <w:rFonts w:ascii="Arial" w:hAnsi="Arial" w:cs="Arial"/>
      <w:sz w:val="20"/>
      <w:szCs w:val="20"/>
    </w:rPr>
  </w:style>
  <w:style w:type="character" w:styleId="PageNumber">
    <w:name w:val="page number"/>
    <w:basedOn w:val="DefaultParagraphFont"/>
    <w:uiPriority w:val="99"/>
    <w:rsid w:val="00F37961"/>
    <w:rPr>
      <w:rFonts w:ascii="Arial" w:hAnsi="Arial" w:cs="Arial"/>
      <w:sz w:val="20"/>
      <w:szCs w:val="20"/>
    </w:rPr>
  </w:style>
  <w:style w:type="paragraph" w:styleId="Title">
    <w:name w:val="Title"/>
    <w:basedOn w:val="Normal"/>
    <w:link w:val="TitleChar"/>
    <w:uiPriority w:val="99"/>
    <w:qFormat/>
    <w:rsid w:val="00F37961"/>
    <w:pPr>
      <w:spacing w:after="300"/>
      <w:jc w:val="center"/>
    </w:pPr>
    <w:rPr>
      <w:b/>
      <w:bCs/>
      <w:caps/>
      <w:kern w:val="28"/>
      <w:sz w:val="30"/>
      <w:szCs w:val="30"/>
    </w:rPr>
  </w:style>
  <w:style w:type="character" w:customStyle="1" w:styleId="TitleChar">
    <w:name w:val="Title Char"/>
    <w:basedOn w:val="DefaultParagraphFont"/>
    <w:link w:val="Title"/>
    <w:uiPriority w:val="99"/>
    <w:rsid w:val="00E56EE3"/>
    <w:rPr>
      <w:rFonts w:ascii="Cambria" w:hAnsi="Cambria" w:cs="Cambria"/>
      <w:b/>
      <w:bCs/>
      <w:kern w:val="28"/>
      <w:sz w:val="32"/>
      <w:szCs w:val="32"/>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uiPriority w:val="99"/>
    <w:rsid w:val="00F37961"/>
    <w:pPr>
      <w:tabs>
        <w:tab w:val="left" w:pos="5387"/>
      </w:tabs>
      <w:ind w:left="4820"/>
    </w:pPr>
    <w:rPr>
      <w:i/>
      <w:iCs/>
    </w:rPr>
  </w:style>
  <w:style w:type="paragraph" w:styleId="FootnoteText">
    <w:name w:val="footnote text"/>
    <w:basedOn w:val="Normal"/>
    <w:link w:val="FootnoteTextChar"/>
    <w:autoRedefine/>
    <w:uiPriority w:val="99"/>
    <w:semiHidden/>
    <w:rsid w:val="00F37961"/>
    <w:pPr>
      <w:spacing w:before="60"/>
      <w:ind w:left="567" w:hanging="567"/>
    </w:pPr>
    <w:rPr>
      <w:sz w:val="16"/>
      <w:szCs w:val="16"/>
    </w:rPr>
  </w:style>
  <w:style w:type="character" w:customStyle="1" w:styleId="FootnoteTextChar">
    <w:name w:val="Footnote Text Char"/>
    <w:basedOn w:val="DefaultParagraphFont"/>
    <w:link w:val="FootnoteText"/>
    <w:uiPriority w:val="99"/>
    <w:rsid w:val="00653C1D"/>
    <w:rPr>
      <w:rFonts w:ascii="Arial" w:hAnsi="Arial" w:cs="Arial"/>
      <w:sz w:val="16"/>
      <w:szCs w:val="16"/>
      <w:lang w:val="en-US" w:eastAsia="en-US"/>
    </w:rPr>
  </w:style>
  <w:style w:type="character" w:styleId="FootnoteReference">
    <w:name w:val="footnote reference"/>
    <w:basedOn w:val="DefaultParagraphFont"/>
    <w:semiHidden/>
    <w:rsid w:val="00F37961"/>
    <w:rPr>
      <w:rFonts w:cs="Times New Roman"/>
      <w:vertAlign w:val="superscript"/>
    </w:rPr>
  </w:style>
  <w:style w:type="paragraph" w:styleId="Closing">
    <w:name w:val="Closing"/>
    <w:basedOn w:val="Normal"/>
    <w:link w:val="ClosingChar"/>
    <w:uiPriority w:val="99"/>
    <w:rsid w:val="00F37961"/>
    <w:pPr>
      <w:ind w:left="4536"/>
      <w:jc w:val="center"/>
    </w:pPr>
  </w:style>
  <w:style w:type="character" w:customStyle="1" w:styleId="ClosingChar">
    <w:name w:val="Closing Char"/>
    <w:basedOn w:val="DefaultParagraphFont"/>
    <w:link w:val="Closing"/>
    <w:uiPriority w:val="99"/>
    <w:semiHidden/>
    <w:rsid w:val="00E56EE3"/>
    <w:rPr>
      <w:rFonts w:ascii="Arial" w:hAnsi="Arial" w:cs="Arial"/>
      <w:sz w:val="20"/>
      <w:szCs w:val="20"/>
    </w:rPr>
  </w:style>
  <w:style w:type="paragraph" w:styleId="Index1">
    <w:name w:val="index 1"/>
    <w:basedOn w:val="Normal"/>
    <w:next w:val="Normal"/>
    <w:autoRedefine/>
    <w:uiPriority w:val="99"/>
    <w:semiHidden/>
    <w:rsid w:val="00F37961"/>
    <w:pPr>
      <w:tabs>
        <w:tab w:val="right" w:leader="dot" w:pos="9071"/>
      </w:tabs>
      <w:ind w:left="284" w:hanging="284"/>
    </w:pPr>
    <w:rPr>
      <w:sz w:val="24"/>
      <w:szCs w:val="24"/>
    </w:rPr>
  </w:style>
  <w:style w:type="paragraph" w:styleId="Index2">
    <w:name w:val="index 2"/>
    <w:basedOn w:val="Normal"/>
    <w:next w:val="Normal"/>
    <w:autoRedefine/>
    <w:uiPriority w:val="99"/>
    <w:semiHidden/>
    <w:rsid w:val="00F37961"/>
    <w:pPr>
      <w:tabs>
        <w:tab w:val="right" w:leader="dot" w:pos="9071"/>
      </w:tabs>
      <w:ind w:left="568" w:hanging="284"/>
    </w:pPr>
    <w:rPr>
      <w:sz w:val="24"/>
      <w:szCs w:val="24"/>
    </w:rPr>
  </w:style>
  <w:style w:type="paragraph" w:styleId="Index3">
    <w:name w:val="index 3"/>
    <w:basedOn w:val="Normal"/>
    <w:next w:val="Normal"/>
    <w:autoRedefine/>
    <w:uiPriority w:val="99"/>
    <w:semiHidden/>
    <w:rsid w:val="00F37961"/>
    <w:pPr>
      <w:tabs>
        <w:tab w:val="right" w:leader="dot" w:pos="9071"/>
      </w:tabs>
      <w:ind w:left="851" w:hanging="284"/>
    </w:pPr>
    <w:rPr>
      <w:sz w:val="24"/>
      <w:szCs w:val="24"/>
    </w:rPr>
  </w:style>
  <w:style w:type="paragraph" w:styleId="MacroText">
    <w:name w:val="macro"/>
    <w:link w:val="MacroTextChar"/>
    <w:uiPriority w:val="99"/>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basedOn w:val="DefaultParagraphFont"/>
    <w:link w:val="MacroText"/>
    <w:uiPriority w:val="99"/>
    <w:semiHidden/>
    <w:rsid w:val="00E56EE3"/>
    <w:rPr>
      <w:rFonts w:ascii="Courier New" w:hAnsi="Courier New" w:cs="Courier New"/>
      <w:sz w:val="16"/>
      <w:szCs w:val="16"/>
      <w:lang w:val="en-US" w:eastAsia="en-US"/>
    </w:rPr>
  </w:style>
  <w:style w:type="paragraph" w:styleId="Signature">
    <w:name w:val="Signature"/>
    <w:basedOn w:val="Normal"/>
    <w:link w:val="SignatureChar"/>
    <w:uiPriority w:val="99"/>
    <w:rsid w:val="00F37961"/>
    <w:pPr>
      <w:ind w:left="4536"/>
      <w:jc w:val="center"/>
    </w:pPr>
  </w:style>
  <w:style w:type="character" w:customStyle="1" w:styleId="SignatureChar">
    <w:name w:val="Signature Char"/>
    <w:basedOn w:val="DefaultParagraphFont"/>
    <w:link w:val="Signature"/>
    <w:uiPriority w:val="99"/>
    <w:semiHidden/>
    <w:rsid w:val="00E56EE3"/>
    <w:rPr>
      <w:rFonts w:ascii="Arial" w:hAnsi="Arial" w:cs="Arial"/>
      <w:sz w:val="20"/>
      <w:szCs w:val="20"/>
    </w:rPr>
  </w:style>
  <w:style w:type="character" w:customStyle="1" w:styleId="Doclang">
    <w:name w:val="Doc_lang"/>
    <w:basedOn w:val="DefaultParagraphFont"/>
    <w:uiPriority w:val="99"/>
    <w:rsid w:val="00F37961"/>
    <w:rPr>
      <w:rFonts w:ascii="Arial" w:hAnsi="Arial" w:cs="Arial"/>
      <w:sz w:val="20"/>
      <w:szCs w:val="20"/>
      <w:lang w:val="en-US"/>
    </w:rPr>
  </w:style>
  <w:style w:type="paragraph" w:customStyle="1" w:styleId="Session">
    <w:name w:val="Session"/>
    <w:basedOn w:val="Normal"/>
    <w:uiPriority w:val="99"/>
    <w:semiHidden/>
    <w:rsid w:val="00F37961"/>
    <w:pPr>
      <w:spacing w:before="60"/>
      <w:jc w:val="center"/>
    </w:pPr>
    <w:rPr>
      <w:b/>
      <w:bCs/>
    </w:rPr>
  </w:style>
  <w:style w:type="paragraph" w:customStyle="1" w:styleId="Organizer">
    <w:name w:val="Organizer"/>
    <w:basedOn w:val="Normal"/>
    <w:uiPriority w:val="99"/>
    <w:semiHidden/>
    <w:rsid w:val="00F37961"/>
    <w:pPr>
      <w:spacing w:after="600"/>
      <w:ind w:left="-993" w:right="-994"/>
      <w:jc w:val="center"/>
    </w:pPr>
    <w:rPr>
      <w:b/>
      <w:bCs/>
      <w:caps/>
      <w:kern w:val="26"/>
      <w:sz w:val="26"/>
      <w:szCs w:val="26"/>
    </w:rPr>
  </w:style>
  <w:style w:type="paragraph" w:styleId="BodyText">
    <w:name w:val="Body Text"/>
    <w:basedOn w:val="Normal"/>
    <w:link w:val="BodyTextChar"/>
    <w:uiPriority w:val="99"/>
    <w:rsid w:val="00F37961"/>
  </w:style>
  <w:style w:type="character" w:customStyle="1" w:styleId="BodyTextChar">
    <w:name w:val="Body Text Char"/>
    <w:basedOn w:val="DefaultParagraphFont"/>
    <w:link w:val="BodyText"/>
    <w:uiPriority w:val="99"/>
    <w:semiHidden/>
    <w:rsid w:val="00E56EE3"/>
    <w:rPr>
      <w:rFonts w:ascii="Arial" w:hAnsi="Arial" w:cs="Arial"/>
      <w:sz w:val="20"/>
      <w:szCs w:val="20"/>
    </w:rPr>
  </w:style>
  <w:style w:type="paragraph" w:customStyle="1" w:styleId="StyleDocoriginalNotBold">
    <w:name w:val="Style Doc_original + Not Bold"/>
    <w:basedOn w:val="Docoriginal"/>
    <w:link w:val="StyleDocoriginalNotBoldChar"/>
    <w:autoRedefine/>
    <w:uiPriority w:val="99"/>
    <w:rsid w:val="00F37961"/>
    <w:pPr>
      <w:ind w:left="1589"/>
      <w:jc w:val="left"/>
    </w:pPr>
  </w:style>
  <w:style w:type="paragraph" w:customStyle="1" w:styleId="upove">
    <w:name w:val="upov_e"/>
    <w:basedOn w:val="Normal"/>
    <w:rsid w:val="00F37961"/>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F37961"/>
  </w:style>
  <w:style w:type="paragraph" w:styleId="EndnoteText">
    <w:name w:val="endnote text"/>
    <w:basedOn w:val="Normal"/>
    <w:link w:val="EndnoteTextChar"/>
    <w:uiPriority w:val="99"/>
    <w:semiHidden/>
    <w:rsid w:val="00F37961"/>
  </w:style>
  <w:style w:type="character" w:customStyle="1" w:styleId="EndnoteTextChar">
    <w:name w:val="Endnote Text Char"/>
    <w:basedOn w:val="DefaultParagraphFont"/>
    <w:link w:val="EndnoteText"/>
    <w:uiPriority w:val="99"/>
    <w:semiHidden/>
    <w:rsid w:val="00E56EE3"/>
    <w:rPr>
      <w:rFonts w:ascii="Arial" w:hAnsi="Arial" w:cs="Arial"/>
      <w:sz w:val="20"/>
      <w:szCs w:val="20"/>
    </w:rPr>
  </w:style>
  <w:style w:type="character" w:styleId="EndnoteReference">
    <w:name w:val="endnote reference"/>
    <w:basedOn w:val="DefaultParagraphFont"/>
    <w:uiPriority w:val="99"/>
    <w:semiHidden/>
    <w:rsid w:val="00F37961"/>
    <w:rPr>
      <w:rFonts w:cs="Times New Roman"/>
      <w:vertAlign w:val="superscript"/>
    </w:rPr>
  </w:style>
  <w:style w:type="paragraph" w:customStyle="1" w:styleId="SessionMeetingPlace">
    <w:name w:val="Session_MeetingPlace"/>
    <w:basedOn w:val="Normal"/>
    <w:uiPriority w:val="99"/>
    <w:semiHidden/>
    <w:rsid w:val="00F37961"/>
    <w:pPr>
      <w:spacing w:before="480"/>
      <w:jc w:val="center"/>
    </w:pPr>
    <w:rPr>
      <w:b/>
      <w:bCs/>
      <w:kern w:val="28"/>
      <w:sz w:val="24"/>
      <w:szCs w:val="24"/>
    </w:rPr>
  </w:style>
  <w:style w:type="paragraph" w:customStyle="1" w:styleId="Original">
    <w:name w:val="Original"/>
    <w:basedOn w:val="Normal"/>
    <w:uiPriority w:val="99"/>
    <w:semiHidden/>
    <w:rsid w:val="00F37961"/>
    <w:pPr>
      <w:spacing w:before="60"/>
      <w:ind w:left="1276"/>
    </w:pPr>
    <w:rPr>
      <w:b/>
      <w:bCs/>
      <w:sz w:val="22"/>
      <w:szCs w:val="22"/>
    </w:rPr>
  </w:style>
  <w:style w:type="paragraph" w:styleId="Date">
    <w:name w:val="Date"/>
    <w:basedOn w:val="Normal"/>
    <w:link w:val="DateChar"/>
    <w:uiPriority w:val="99"/>
    <w:semiHidden/>
    <w:rsid w:val="00F37961"/>
    <w:pPr>
      <w:spacing w:line="340" w:lineRule="exact"/>
      <w:ind w:left="1276"/>
    </w:pPr>
    <w:rPr>
      <w:b/>
      <w:bCs/>
      <w:sz w:val="22"/>
      <w:szCs w:val="22"/>
    </w:rPr>
  </w:style>
  <w:style w:type="character" w:customStyle="1" w:styleId="DateChar">
    <w:name w:val="Date Char"/>
    <w:basedOn w:val="DefaultParagraphFont"/>
    <w:link w:val="Date"/>
    <w:uiPriority w:val="99"/>
    <w:semiHidden/>
    <w:rsid w:val="00E56EE3"/>
    <w:rPr>
      <w:rFonts w:ascii="Arial" w:hAnsi="Arial" w:cs="Arial"/>
      <w:sz w:val="20"/>
      <w:szCs w:val="20"/>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szCs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uiPriority w:val="99"/>
    <w:rsid w:val="00F37961"/>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F37961"/>
    <w:pPr>
      <w:spacing w:before="480"/>
    </w:pPr>
    <w:rPr>
      <w:caps/>
      <w:kern w:val="28"/>
      <w:sz w:val="24"/>
      <w:szCs w:val="24"/>
    </w:rPr>
  </w:style>
  <w:style w:type="paragraph" w:customStyle="1" w:styleId="plcountry">
    <w:name w:val="plcountry"/>
    <w:basedOn w:val="Normal"/>
    <w:uiPriority w:val="99"/>
    <w:rsid w:val="00F37961"/>
    <w:pPr>
      <w:keepNext/>
      <w:keepLines/>
      <w:spacing w:before="180" w:after="120"/>
      <w:jc w:val="left"/>
    </w:pPr>
    <w:rPr>
      <w:caps/>
      <w:noProof/>
      <w:u w:val="single"/>
    </w:rPr>
  </w:style>
  <w:style w:type="paragraph" w:customStyle="1" w:styleId="pldetails">
    <w:name w:val="pldetails"/>
    <w:basedOn w:val="Normal"/>
    <w:uiPriority w:val="99"/>
    <w:rsid w:val="00F37961"/>
    <w:pPr>
      <w:keepLines/>
      <w:spacing w:before="60" w:after="60"/>
      <w:jc w:val="left"/>
    </w:pPr>
    <w:rPr>
      <w:noProof/>
    </w:rPr>
  </w:style>
  <w:style w:type="paragraph" w:customStyle="1" w:styleId="plheading">
    <w:name w:val="plheading"/>
    <w:basedOn w:val="Normal"/>
    <w:uiPriority w:val="99"/>
    <w:rsid w:val="00F37961"/>
    <w:pPr>
      <w:keepNext/>
      <w:spacing w:before="480" w:after="120"/>
      <w:jc w:val="center"/>
    </w:pPr>
    <w:rPr>
      <w:caps/>
      <w:u w:val="single"/>
    </w:rPr>
  </w:style>
  <w:style w:type="paragraph" w:customStyle="1" w:styleId="Sessiontcplacedate">
    <w:name w:val="Session_tc_place_date"/>
    <w:basedOn w:val="SessionMeetingPlace"/>
    <w:uiPriority w:val="99"/>
    <w:rsid w:val="00F37961"/>
    <w:pPr>
      <w:spacing w:before="240"/>
    </w:pPr>
  </w:style>
  <w:style w:type="paragraph" w:customStyle="1" w:styleId="Titleofdoc0">
    <w:name w:val="Title_of_doc"/>
    <w:basedOn w:val="Normal"/>
    <w:uiPriority w:val="99"/>
    <w:rsid w:val="00F37961"/>
    <w:pPr>
      <w:spacing w:before="600"/>
      <w:jc w:val="center"/>
    </w:pPr>
    <w:rPr>
      <w:caps/>
    </w:rPr>
  </w:style>
  <w:style w:type="paragraph" w:customStyle="1" w:styleId="preparedby1">
    <w:name w:val="prepared_by"/>
    <w:basedOn w:val="Normal"/>
    <w:uiPriority w:val="99"/>
    <w:semiHidden/>
    <w:rsid w:val="00F37961"/>
    <w:pPr>
      <w:spacing w:before="240" w:after="600"/>
      <w:jc w:val="center"/>
    </w:pPr>
    <w:rPr>
      <w:i/>
      <w:iCs/>
    </w:rPr>
  </w:style>
  <w:style w:type="character" w:customStyle="1" w:styleId="CodeChar">
    <w:name w:val="Code Char"/>
    <w:basedOn w:val="DefaultParagraphFont"/>
    <w:link w:val="Code"/>
    <w:uiPriority w:val="99"/>
    <w:rsid w:val="00D3708D"/>
    <w:rPr>
      <w:rFonts w:ascii="Arial" w:hAnsi="Arial" w:cs="Arial"/>
      <w:b/>
      <w:bCs/>
      <w:spacing w:val="10"/>
      <w:lang w:val="fr-FR" w:eastAsia="en-US"/>
    </w:rPr>
  </w:style>
  <w:style w:type="paragraph" w:customStyle="1" w:styleId="endofdoc">
    <w:name w:val="end_of_doc"/>
    <w:autoRedefine/>
    <w:uiPriority w:val="99"/>
    <w:rsid w:val="00F37961"/>
    <w:pPr>
      <w:spacing w:before="480"/>
      <w:ind w:left="567" w:hanging="567"/>
      <w:jc w:val="right"/>
    </w:pPr>
    <w:rPr>
      <w:rFonts w:ascii="Arial" w:hAnsi="Arial" w:cs="Arial"/>
      <w:sz w:val="20"/>
      <w:szCs w:val="20"/>
    </w:rPr>
  </w:style>
  <w:style w:type="character" w:customStyle="1" w:styleId="DocoriginalChar">
    <w:name w:val="Doc_original Char"/>
    <w:basedOn w:val="DefaultParagraphFont"/>
    <w:link w:val="Docoriginal"/>
    <w:rsid w:val="00F37961"/>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rsid w:val="00F37961"/>
    <w:rPr>
      <w:rFonts w:ascii="Arial" w:hAnsi="Arial" w:cs="Arial"/>
      <w:b/>
      <w:bCs/>
      <w:spacing w:val="10"/>
      <w:lang w:val="en-US" w:eastAsia="en-US"/>
    </w:rPr>
  </w:style>
  <w:style w:type="paragraph" w:customStyle="1" w:styleId="StyleDocnumber">
    <w:name w:val="Style Doc_number"/>
    <w:basedOn w:val="Docoriginal"/>
    <w:uiPriority w:val="99"/>
    <w:rsid w:val="00F37961"/>
    <w:pPr>
      <w:ind w:left="1589"/>
    </w:pPr>
  </w:style>
  <w:style w:type="paragraph" w:customStyle="1" w:styleId="StyleDocoriginal">
    <w:name w:val="Style Doc_original"/>
    <w:basedOn w:val="Docoriginal"/>
    <w:link w:val="StyleDocoriginalChar"/>
    <w:uiPriority w:val="99"/>
    <w:rsid w:val="00F37961"/>
  </w:style>
  <w:style w:type="character" w:customStyle="1" w:styleId="StyleDocoriginalChar">
    <w:name w:val="Style Doc_original Char"/>
    <w:basedOn w:val="DocoriginalChar"/>
    <w:link w:val="StyleDocoriginal"/>
    <w:uiPriority w:val="99"/>
    <w:rsid w:val="00F37961"/>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cs="Arial"/>
      <w:b/>
      <w:bCs/>
      <w:spacing w:val="10"/>
      <w:lang w:val="en-US" w:eastAsia="en-US"/>
    </w:rPr>
  </w:style>
  <w:style w:type="character" w:customStyle="1" w:styleId="StyleDocoriginalNotBold1">
    <w:name w:val="Style Doc_original + Not Bold1"/>
    <w:basedOn w:val="DefaultParagraphFont"/>
    <w:rsid w:val="00F37961"/>
    <w:rPr>
      <w:rFonts w:ascii="Arial" w:hAnsi="Arial" w:cs="Arial"/>
      <w:b/>
      <w:bCs/>
      <w:spacing w:val="10"/>
      <w:lang w:val="en-US" w:eastAsia="en-US"/>
    </w:rPr>
  </w:style>
  <w:style w:type="character" w:customStyle="1" w:styleId="StyleDoclangBold">
    <w:name w:val="Style Doc_lang + Bold"/>
    <w:basedOn w:val="Doclang"/>
    <w:rsid w:val="00F37961"/>
    <w:rPr>
      <w:rFonts w:ascii="Arial" w:hAnsi="Arial" w:cs="Arial"/>
      <w:b/>
      <w:bCs/>
      <w:sz w:val="20"/>
      <w:szCs w:val="20"/>
      <w:lang w:val="en-US"/>
    </w:rPr>
  </w:style>
  <w:style w:type="paragraph" w:styleId="TOC2">
    <w:name w:val="toc 2"/>
    <w:basedOn w:val="Normal"/>
    <w:next w:val="Normal"/>
    <w:autoRedefine/>
    <w:uiPriority w:val="39"/>
    <w:rsid w:val="00EC5326"/>
    <w:pPr>
      <w:tabs>
        <w:tab w:val="right" w:leader="dot" w:pos="9639"/>
      </w:tabs>
      <w:spacing w:before="60" w:after="120"/>
      <w:ind w:left="851" w:right="851" w:hanging="284"/>
      <w:contextualSpacing/>
      <w:jc w:val="left"/>
    </w:pPr>
    <w:rPr>
      <w:noProof/>
    </w:rPr>
  </w:style>
  <w:style w:type="paragraph" w:styleId="TOC3">
    <w:name w:val="toc 3"/>
    <w:basedOn w:val="Normal"/>
    <w:next w:val="Normal"/>
    <w:autoRedefine/>
    <w:uiPriority w:val="39"/>
    <w:rsid w:val="00EC5326"/>
    <w:pPr>
      <w:tabs>
        <w:tab w:val="left" w:pos="1418"/>
        <w:tab w:val="right" w:leader="dot" w:pos="9639"/>
      </w:tabs>
      <w:spacing w:before="60"/>
      <w:ind w:left="1418" w:right="851" w:hanging="567"/>
      <w:contextualSpacing/>
      <w:jc w:val="left"/>
    </w:pPr>
    <w:rPr>
      <w:i/>
      <w:iCs/>
      <w:noProof/>
      <w:lang w:val="fr-FR"/>
    </w:rPr>
  </w:style>
  <w:style w:type="character" w:styleId="Hyperlink">
    <w:name w:val="Hyperlink"/>
    <w:basedOn w:val="DefaultParagraphFont"/>
    <w:uiPriority w:val="99"/>
    <w:rsid w:val="00F37961"/>
    <w:rPr>
      <w:rFonts w:ascii="Arial" w:hAnsi="Arial" w:cs="Arial"/>
      <w:color w:val="0000FF"/>
      <w:u w:val="single"/>
    </w:rPr>
  </w:style>
  <w:style w:type="paragraph" w:styleId="TOC4">
    <w:name w:val="toc 4"/>
    <w:basedOn w:val="Normal"/>
    <w:next w:val="Normal"/>
    <w:autoRedefine/>
    <w:uiPriority w:val="99"/>
    <w:semiHidden/>
    <w:rsid w:val="00F37961"/>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39"/>
    <w:rsid w:val="00EC5326"/>
    <w:pPr>
      <w:tabs>
        <w:tab w:val="right" w:leader="dot" w:pos="9639"/>
      </w:tabs>
      <w:spacing w:after="120"/>
      <w:ind w:left="567" w:right="567" w:hanging="567"/>
      <w:jc w:val="left"/>
    </w:pPr>
    <w:rPr>
      <w:caps/>
      <w:noProof/>
    </w:rPr>
  </w:style>
  <w:style w:type="paragraph" w:styleId="TOC5">
    <w:name w:val="toc 5"/>
    <w:basedOn w:val="Normal"/>
    <w:next w:val="Normal"/>
    <w:autoRedefine/>
    <w:uiPriority w:val="99"/>
    <w:semiHidden/>
    <w:rsid w:val="00F37961"/>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664515"/>
    <w:rPr>
      <w:rFonts w:ascii="Tahoma" w:hAnsi="Tahoma" w:cs="Tahoma"/>
      <w:sz w:val="16"/>
      <w:szCs w:val="16"/>
    </w:rPr>
  </w:style>
  <w:style w:type="character" w:customStyle="1" w:styleId="BalloonTextChar">
    <w:name w:val="Balloon Text Char"/>
    <w:basedOn w:val="DefaultParagraphFont"/>
    <w:link w:val="BalloonText"/>
    <w:uiPriority w:val="99"/>
    <w:rsid w:val="00664515"/>
    <w:rPr>
      <w:rFonts w:ascii="Tahoma" w:hAnsi="Tahoma" w:cs="Tahoma"/>
      <w:sz w:val="16"/>
      <w:szCs w:val="16"/>
    </w:rPr>
  </w:style>
  <w:style w:type="paragraph" w:styleId="ListParagraph">
    <w:name w:val="List Paragraph"/>
    <w:basedOn w:val="Normal"/>
    <w:uiPriority w:val="99"/>
    <w:qFormat/>
    <w:rsid w:val="00037D15"/>
    <w:pPr>
      <w:ind w:left="720"/>
    </w:pPr>
  </w:style>
  <w:style w:type="table" w:styleId="TableGrid">
    <w:name w:val="Table Grid"/>
    <w:basedOn w:val="TableNormal"/>
    <w:uiPriority w:val="99"/>
    <w:rsid w:val="009D070E"/>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D070E"/>
    <w:pPr>
      <w:autoSpaceDE w:val="0"/>
      <w:autoSpaceDN w:val="0"/>
      <w:adjustRightInd w:val="0"/>
    </w:pPr>
    <w:rPr>
      <w:rFonts w:ascii="Arial" w:hAnsi="Arial" w:cs="Arial"/>
      <w:color w:val="000000"/>
      <w:sz w:val="24"/>
      <w:szCs w:val="24"/>
    </w:rPr>
  </w:style>
  <w:style w:type="paragraph" w:customStyle="1" w:styleId="inf6normal">
    <w:name w:val="inf_6_normal"/>
    <w:basedOn w:val="Normal"/>
    <w:link w:val="inf6normalChar"/>
    <w:uiPriority w:val="99"/>
    <w:rsid w:val="00F4207E"/>
    <w:pPr>
      <w:tabs>
        <w:tab w:val="left" w:pos="426"/>
        <w:tab w:val="left" w:pos="992"/>
      </w:tabs>
    </w:pPr>
  </w:style>
  <w:style w:type="paragraph" w:customStyle="1" w:styleId="Inf6Titre4">
    <w:name w:val="Inf6_Titre4"/>
    <w:basedOn w:val="Normal"/>
    <w:next w:val="Normal"/>
    <w:uiPriority w:val="99"/>
    <w:rsid w:val="00F4207E"/>
    <w:pPr>
      <w:keepNext/>
      <w:spacing w:after="360"/>
      <w:jc w:val="center"/>
      <w:outlineLvl w:val="3"/>
    </w:pPr>
    <w:rPr>
      <w:caps/>
    </w:rPr>
  </w:style>
  <w:style w:type="character" w:customStyle="1" w:styleId="inf6normalChar">
    <w:name w:val="inf_6_normal Char"/>
    <w:basedOn w:val="DefaultParagraphFont"/>
    <w:link w:val="inf6normal"/>
    <w:uiPriority w:val="99"/>
    <w:rsid w:val="00F4207E"/>
    <w:rPr>
      <w:rFonts w:ascii="Arial" w:hAnsi="Arial" w:cs="Arial"/>
    </w:rPr>
  </w:style>
  <w:style w:type="character" w:customStyle="1" w:styleId="DecisionParagraphsChar">
    <w:name w:val="DecisionParagraphs Char"/>
    <w:basedOn w:val="DefaultParagraphFont"/>
    <w:link w:val="DecisionParagraphs"/>
    <w:uiPriority w:val="99"/>
    <w:rsid w:val="009C7680"/>
    <w:rPr>
      <w:rFonts w:ascii="Arial" w:hAnsi="Arial" w:cs="Arial"/>
      <w:i/>
      <w:iCs/>
    </w:rPr>
  </w:style>
  <w:style w:type="paragraph" w:customStyle="1" w:styleId="Style1">
    <w:name w:val="Style1"/>
    <w:basedOn w:val="Normal"/>
    <w:uiPriority w:val="99"/>
    <w:rsid w:val="00311DF3"/>
    <w:pPr>
      <w:tabs>
        <w:tab w:val="decimal" w:pos="907"/>
        <w:tab w:val="left" w:pos="1077"/>
      </w:tabs>
    </w:pPr>
    <w:rPr>
      <w:sz w:val="24"/>
      <w:szCs w:val="24"/>
    </w:rPr>
  </w:style>
  <w:style w:type="paragraph" w:customStyle="1" w:styleId="a">
    <w:name w:val="a"/>
    <w:basedOn w:val="Normal"/>
    <w:uiPriority w:val="99"/>
    <w:rsid w:val="00311DF3"/>
    <w:pPr>
      <w:overflowPunct w:val="0"/>
      <w:autoSpaceDE w:val="0"/>
      <w:autoSpaceDN w:val="0"/>
      <w:adjustRightInd w:val="0"/>
      <w:jc w:val="center"/>
      <w:textAlignment w:val="baseline"/>
    </w:pPr>
    <w:rPr>
      <w:b/>
      <w:bCs/>
      <w:sz w:val="24"/>
      <w:szCs w:val="24"/>
    </w:rPr>
  </w:style>
  <w:style w:type="paragraph" w:customStyle="1" w:styleId="Normaltg">
    <w:name w:val="Normaltg"/>
    <w:basedOn w:val="Normal"/>
    <w:rsid w:val="00C13D15"/>
    <w:pPr>
      <w:tabs>
        <w:tab w:val="left" w:pos="709"/>
        <w:tab w:val="left" w:pos="1418"/>
      </w:tabs>
    </w:pPr>
    <w:rPr>
      <w:rFonts w:ascii="Times New Roman" w:hAnsi="Times New Roman" w:cs="Times New Roman"/>
      <w:sz w:val="24"/>
      <w:szCs w:val="24"/>
      <w:lang w:val="fr-FR" w:eastAsia="ja-JP"/>
    </w:rPr>
  </w:style>
  <w:style w:type="paragraph" w:styleId="NormalWeb">
    <w:name w:val="Normal (Web)"/>
    <w:basedOn w:val="Normal"/>
    <w:uiPriority w:val="99"/>
    <w:rsid w:val="00860532"/>
    <w:pPr>
      <w:spacing w:before="100" w:beforeAutospacing="1" w:after="100" w:afterAutospacing="1"/>
      <w:jc w:val="left"/>
    </w:pPr>
    <w:rPr>
      <w:rFonts w:ascii="Times New Roman" w:eastAsia="MS Mincho" w:hAnsi="Times New Roman" w:cs="Times New Roman"/>
      <w:sz w:val="24"/>
      <w:szCs w:val="24"/>
    </w:rPr>
  </w:style>
  <w:style w:type="paragraph" w:styleId="ListBullet">
    <w:name w:val="List Bullet"/>
    <w:basedOn w:val="Normal"/>
    <w:uiPriority w:val="99"/>
    <w:unhideWhenUsed/>
    <w:rsid w:val="00E56043"/>
    <w:pPr>
      <w:numPr>
        <w:numId w:val="1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en/topic.jsp?group_id=252" TargetMode="External"/><Relationship Id="rId18" Type="http://schemas.openxmlformats.org/officeDocument/2006/relationships/hyperlink" Target="http://www.upov.int/information_documents/f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pov.int/tgp/en/" TargetMode="External"/><Relationship Id="rId7" Type="http://schemas.openxmlformats.org/officeDocument/2006/relationships/footnotes" Target="footnotes.xml"/><Relationship Id="rId12" Type="http://schemas.openxmlformats.org/officeDocument/2006/relationships/hyperlink" Target="http://www.upov.int/tgp/en/" TargetMode="External"/><Relationship Id="rId17" Type="http://schemas.openxmlformats.org/officeDocument/2006/relationships/image" Target="media/image2.jp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pov.int/resource/en/subscribe.html" TargetMode="External"/><Relationship Id="rId20" Type="http://schemas.openxmlformats.org/officeDocument/2006/relationships/hyperlink" Target="http://www.upov.int/tgp/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resource/fr/dus_guidance.html" TargetMode="External"/><Relationship Id="rId24" Type="http://schemas.openxmlformats.org/officeDocument/2006/relationships/hyperlink" Target="http://www.upov.int/explanatory_notes/fr/" TargetMode="External"/><Relationship Id="rId5" Type="http://schemas.openxmlformats.org/officeDocument/2006/relationships/settings" Target="settings.xml"/><Relationship Id="rId15" Type="http://schemas.openxmlformats.org/officeDocument/2006/relationships/hyperlink" Target="http://www.upov.int/upov_collection/en/" TargetMode="External"/><Relationship Id="rId23" Type="http://schemas.openxmlformats.org/officeDocument/2006/relationships/hyperlink" Target="http://www.upov.int/test_guidelines/fr/" TargetMode="External"/><Relationship Id="rId28" Type="http://schemas.openxmlformats.org/officeDocument/2006/relationships/fontTable" Target="fontTable.xml"/><Relationship Id="rId10" Type="http://schemas.openxmlformats.org/officeDocument/2006/relationships/hyperlink" Target="http://www.upov.int/edocs/tgpdocs/fr/tgp_7.pdf" TargetMode="External"/><Relationship Id="rId19" Type="http://schemas.openxmlformats.org/officeDocument/2006/relationships/hyperlink" Target="http://www.upov.int/tgp/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132F-3AB9-448F-B5AB-C5F97875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21</Pages>
  <Words>8599</Words>
  <Characters>46870</Characters>
  <Application>Microsoft Office Word</Application>
  <DocSecurity>0</DocSecurity>
  <Lines>1201</Lines>
  <Paragraphs>549</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54920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subject/>
  <dc:creator>BESSE Ariane</dc:creator>
  <cp:keywords>BP/mhf</cp:keywords>
  <dc:description/>
  <cp:lastModifiedBy>BESSE Ariane</cp:lastModifiedBy>
  <cp:revision>51</cp:revision>
  <cp:lastPrinted>2014-03-19T08:29:00Z</cp:lastPrinted>
  <dcterms:created xsi:type="dcterms:W3CDTF">2014-03-04T18:35:00Z</dcterms:created>
  <dcterms:modified xsi:type="dcterms:W3CDTF">2014-03-19T08:40:00Z</dcterms:modified>
</cp:coreProperties>
</file>