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D145F3" w:rsidRPr="00974BF5">
        <w:trPr>
          <w:trHeight w:val="1760"/>
        </w:trPr>
        <w:tc>
          <w:tcPr>
            <w:tcW w:w="4243" w:type="dxa"/>
          </w:tcPr>
          <w:p w:rsidR="00D145F3" w:rsidRPr="00997029" w:rsidRDefault="00D145F3" w:rsidP="007D0B9D"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D145F3" w:rsidRPr="00576BE4" w:rsidRDefault="007E4277" w:rsidP="00576BE4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88695" cy="488950"/>
                  <wp:effectExtent l="0" t="0" r="1905" b="635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D145F3" w:rsidRPr="00997029" w:rsidRDefault="00D145F3" w:rsidP="00576BE4">
            <w:pPr>
              <w:pStyle w:val="Lettrine"/>
            </w:pPr>
            <w:r>
              <w:t>F</w:t>
            </w:r>
          </w:p>
          <w:p w:rsidR="00D145F3" w:rsidRPr="00997029" w:rsidRDefault="00D145F3" w:rsidP="00474DA4">
            <w:pPr>
              <w:pStyle w:val="Docoriginal"/>
              <w:jc w:val="left"/>
            </w:pPr>
            <w:r>
              <w:t>CAJ/68/7</w:t>
            </w:r>
            <w:bookmarkStart w:id="1" w:name="Code"/>
            <w:bookmarkEnd w:id="1"/>
          </w:p>
          <w:p w:rsidR="00D145F3" w:rsidRPr="00974BF5" w:rsidRDefault="00D145F3" w:rsidP="00474DA4">
            <w:pPr>
              <w:pStyle w:val="Docoriginal"/>
              <w:jc w:val="left"/>
              <w:rPr>
                <w:lang w:val="fr-FR"/>
              </w:rPr>
            </w:pPr>
            <w:r w:rsidRPr="00974BF5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04183A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974BF5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bookmarkStart w:id="2" w:name="Original"/>
            <w:bookmarkEnd w:id="2"/>
            <w:r w:rsidRPr="00974BF5">
              <w:rPr>
                <w:rStyle w:val="StyleDoclangBold"/>
                <w:b/>
                <w:bCs/>
                <w:spacing w:val="0"/>
                <w:lang w:val="fr-FR"/>
              </w:rPr>
              <w:t xml:space="preserve"> </w:t>
            </w:r>
            <w:r w:rsidRPr="00974BF5">
              <w:rPr>
                <w:b w:val="0"/>
                <w:bCs w:val="0"/>
                <w:spacing w:val="0"/>
                <w:lang w:val="fr-FR"/>
              </w:rPr>
              <w:t>anglais</w:t>
            </w:r>
          </w:p>
          <w:p w:rsidR="00D145F3" w:rsidRPr="00974BF5" w:rsidRDefault="00D145F3" w:rsidP="00B00310">
            <w:pPr>
              <w:pStyle w:val="Docoriginal"/>
              <w:jc w:val="left"/>
              <w:rPr>
                <w:b w:val="0"/>
                <w:bCs w:val="0"/>
                <w:spacing w:val="0"/>
                <w:highlight w:val="cyan"/>
                <w:lang w:val="fr-FR"/>
              </w:rPr>
            </w:pPr>
            <w:r w:rsidRPr="00974BF5">
              <w:rPr>
                <w:spacing w:val="0"/>
                <w:lang w:val="fr-FR"/>
              </w:rPr>
              <w:t>DATE</w:t>
            </w:r>
            <w:r w:rsidR="0004183A">
              <w:rPr>
                <w:spacing w:val="0"/>
                <w:lang w:val="fr-FR"/>
              </w:rPr>
              <w:t> </w:t>
            </w:r>
            <w:r w:rsidRPr="00974BF5">
              <w:rPr>
                <w:spacing w:val="0"/>
                <w:lang w:val="fr-FR"/>
              </w:rPr>
              <w:t>:</w:t>
            </w:r>
            <w:bookmarkStart w:id="3" w:name="Date"/>
            <w:bookmarkEnd w:id="3"/>
            <w:r w:rsidRPr="00974BF5">
              <w:rPr>
                <w:rStyle w:val="StyleDocoriginalNotBold1"/>
                <w:spacing w:val="0"/>
                <w:lang w:val="fr-FR"/>
              </w:rPr>
              <w:t xml:space="preserve"> </w:t>
            </w:r>
            <w:r w:rsidR="00B00310">
              <w:rPr>
                <w:rStyle w:val="StyleDocoriginalNotBold1"/>
                <w:spacing w:val="0"/>
                <w:lang w:val="fr-FR"/>
              </w:rPr>
              <w:t>2</w:t>
            </w:r>
            <w:r w:rsidR="00954C85">
              <w:rPr>
                <w:rStyle w:val="StyleDocoriginalNotBold1"/>
                <w:spacing w:val="0"/>
                <w:lang w:val="fr-FR"/>
              </w:rPr>
              <w:t> </w:t>
            </w:r>
            <w:r w:rsidR="00954C85" w:rsidRPr="00974BF5">
              <w:rPr>
                <w:rStyle w:val="StyleDocoriginalNotBold1"/>
                <w:spacing w:val="0"/>
                <w:lang w:val="fr-FR"/>
              </w:rPr>
              <w:t>octobre</w:t>
            </w:r>
            <w:r w:rsidR="00954C85">
              <w:rPr>
                <w:rStyle w:val="StyleDocoriginalNotBold1"/>
                <w:spacing w:val="0"/>
                <w:lang w:val="fr-FR"/>
              </w:rPr>
              <w:t> </w:t>
            </w:r>
            <w:r w:rsidR="00954C85" w:rsidRPr="00974BF5">
              <w:rPr>
                <w:b w:val="0"/>
                <w:bCs w:val="0"/>
                <w:spacing w:val="0"/>
                <w:lang w:val="fr-FR"/>
              </w:rPr>
              <w:t>20</w:t>
            </w:r>
            <w:r w:rsidRPr="00974BF5">
              <w:rPr>
                <w:b w:val="0"/>
                <w:bCs w:val="0"/>
                <w:spacing w:val="0"/>
                <w:lang w:val="fr-FR"/>
              </w:rPr>
              <w:t>13</w:t>
            </w:r>
          </w:p>
        </w:tc>
      </w:tr>
      <w:tr w:rsidR="00D145F3" w:rsidRPr="005E293B">
        <w:tc>
          <w:tcPr>
            <w:tcW w:w="10131" w:type="dxa"/>
            <w:gridSpan w:val="3"/>
          </w:tcPr>
          <w:p w:rsidR="00D145F3" w:rsidRPr="005E293B" w:rsidRDefault="00D145F3" w:rsidP="0080679D">
            <w:pPr>
              <w:pStyle w:val="upove"/>
              <w:rPr>
                <w:sz w:val="28"/>
                <w:szCs w:val="28"/>
                <w:lang w:val="fr-FR"/>
              </w:rPr>
            </w:pPr>
            <w:r w:rsidRPr="005E293B">
              <w:rPr>
                <w:snapToGrid w:val="0"/>
                <w:lang w:val="fr-FR"/>
              </w:rPr>
              <w:t xml:space="preserve">UNION INTERNATIONALE POUR LA PROTECTION DES OBTENTIONS VÉGÉTALES </w:t>
            </w:r>
          </w:p>
        </w:tc>
      </w:tr>
      <w:tr w:rsidR="00D145F3" w:rsidRPr="00997029">
        <w:tc>
          <w:tcPr>
            <w:tcW w:w="10131" w:type="dxa"/>
            <w:gridSpan w:val="3"/>
          </w:tcPr>
          <w:p w:rsidR="00D145F3" w:rsidRPr="00997029" w:rsidRDefault="00D145F3" w:rsidP="0080679D">
            <w:pPr>
              <w:pStyle w:val="Country"/>
            </w:pPr>
            <w:r>
              <w:t>Genève</w:t>
            </w:r>
          </w:p>
        </w:tc>
      </w:tr>
    </w:tbl>
    <w:p w:rsidR="00D145F3" w:rsidRPr="00997029" w:rsidRDefault="00D145F3" w:rsidP="0080679D">
      <w:pPr>
        <w:pStyle w:val="Sessiontc"/>
      </w:pPr>
      <w:r>
        <w:t>comité aDministratif et juridique</w:t>
      </w:r>
    </w:p>
    <w:p w:rsidR="00D145F3" w:rsidRPr="00974BF5" w:rsidRDefault="00D145F3" w:rsidP="0080679D">
      <w:pPr>
        <w:pStyle w:val="Sessiontcplacedate"/>
        <w:rPr>
          <w:lang w:val="fr-FR"/>
        </w:rPr>
      </w:pPr>
      <w:r w:rsidRPr="00974BF5">
        <w:rPr>
          <w:lang w:val="fr-FR"/>
        </w:rPr>
        <w:t>Soixante</w:t>
      </w:r>
      <w:r w:rsidR="00014DCB">
        <w:rPr>
          <w:lang w:val="fr-FR"/>
        </w:rPr>
        <w:noBreakHyphen/>
      </w:r>
      <w:r w:rsidRPr="00974BF5">
        <w:rPr>
          <w:lang w:val="fr-FR"/>
        </w:rPr>
        <w:t>huitième</w:t>
      </w:r>
      <w:r w:rsidR="0004183A">
        <w:rPr>
          <w:lang w:val="fr-FR"/>
        </w:rPr>
        <w:t> </w:t>
      </w:r>
      <w:r w:rsidRPr="00974BF5">
        <w:rPr>
          <w:lang w:val="fr-FR"/>
        </w:rPr>
        <w:t>session</w:t>
      </w:r>
      <w:r w:rsidRPr="00974BF5">
        <w:rPr>
          <w:lang w:val="fr-FR"/>
        </w:rPr>
        <w:br/>
        <w:t>Genève, 2</w:t>
      </w:r>
      <w:r w:rsidR="00954C85" w:rsidRPr="00974BF5">
        <w:rPr>
          <w:lang w:val="fr-FR"/>
        </w:rPr>
        <w:t>1</w:t>
      </w:r>
      <w:r w:rsidR="00954C85">
        <w:rPr>
          <w:lang w:val="fr-FR"/>
        </w:rPr>
        <w:t> </w:t>
      </w:r>
      <w:r w:rsidR="00954C85" w:rsidRPr="00974BF5">
        <w:rPr>
          <w:lang w:val="fr-FR"/>
        </w:rPr>
        <w:t>octobre</w:t>
      </w:r>
      <w:r w:rsidR="00954C85">
        <w:rPr>
          <w:lang w:val="fr-FR"/>
        </w:rPr>
        <w:t> </w:t>
      </w:r>
      <w:r w:rsidR="00954C85" w:rsidRPr="00974BF5">
        <w:rPr>
          <w:lang w:val="fr-FR"/>
        </w:rPr>
        <w:t>20</w:t>
      </w:r>
      <w:r w:rsidRPr="00974BF5">
        <w:rPr>
          <w:lang w:val="fr-FR"/>
        </w:rPr>
        <w:t>13</w:t>
      </w:r>
    </w:p>
    <w:p w:rsidR="00D145F3" w:rsidRPr="00974BF5" w:rsidRDefault="00D145F3" w:rsidP="0080679D">
      <w:pPr>
        <w:pStyle w:val="Titleofdoc0"/>
        <w:rPr>
          <w:lang w:val="fr-FR"/>
        </w:rPr>
      </w:pPr>
      <w:bookmarkStart w:id="4" w:name="TitleOfDoc"/>
      <w:bookmarkEnd w:id="4"/>
      <w:r w:rsidRPr="00974BF5">
        <w:rPr>
          <w:kern w:val="28"/>
          <w:lang w:val="fr-FR"/>
        </w:rPr>
        <w:t xml:space="preserve">logiciels </w:t>
      </w:r>
      <w:r>
        <w:rPr>
          <w:kern w:val="28"/>
          <w:lang w:val="fr-FR"/>
        </w:rPr>
        <w:t>É</w:t>
      </w:r>
      <w:r w:rsidRPr="00974BF5">
        <w:rPr>
          <w:kern w:val="28"/>
          <w:lang w:val="fr-FR"/>
        </w:rPr>
        <w:t>changEables</w:t>
      </w:r>
    </w:p>
    <w:p w:rsidR="00D145F3" w:rsidRPr="00974BF5" w:rsidRDefault="00D145F3" w:rsidP="0080679D">
      <w:pPr>
        <w:pStyle w:val="preparedby1"/>
        <w:rPr>
          <w:lang w:val="fr-FR"/>
        </w:rPr>
      </w:pPr>
      <w:bookmarkStart w:id="5" w:name="Prepared"/>
      <w:bookmarkEnd w:id="5"/>
      <w:r w:rsidRPr="00974BF5">
        <w:rPr>
          <w:lang w:val="fr-FR"/>
        </w:rPr>
        <w:t>Document établi par le Bureau de l</w:t>
      </w:r>
      <w:r w:rsidR="00FF1074">
        <w:rPr>
          <w:lang w:val="fr-FR"/>
        </w:rPr>
        <w:t>’</w:t>
      </w:r>
      <w:r w:rsidRPr="00974BF5">
        <w:rPr>
          <w:lang w:val="fr-FR"/>
        </w:rPr>
        <w:t>Union</w:t>
      </w:r>
      <w:r w:rsidRPr="00974BF5">
        <w:rPr>
          <w:lang w:val="fr-FR"/>
        </w:rPr>
        <w:br/>
      </w:r>
      <w:r w:rsidRPr="00974BF5">
        <w:rPr>
          <w:lang w:val="fr-FR"/>
        </w:rPr>
        <w:br/>
      </w:r>
      <w:r w:rsidRPr="00B726EA">
        <w:rPr>
          <w:color w:val="A6A6A6"/>
          <w:lang w:val="fr-FR"/>
        </w:rPr>
        <w:t>Avertissement : le présent document ne représente pas les principes ou les orientations de l</w:t>
      </w:r>
      <w:r w:rsidR="00FF1074" w:rsidRPr="00B726EA">
        <w:rPr>
          <w:color w:val="A6A6A6"/>
          <w:lang w:val="fr-FR"/>
        </w:rPr>
        <w:t>’</w:t>
      </w:r>
      <w:r w:rsidRPr="00B726EA">
        <w:rPr>
          <w:color w:val="A6A6A6"/>
          <w:lang w:val="fr-FR"/>
        </w:rPr>
        <w:t>UPOV</w:t>
      </w:r>
    </w:p>
    <w:p w:rsidR="00D145F3" w:rsidRPr="005E293B" w:rsidRDefault="00D145F3" w:rsidP="008578D1">
      <w:pPr>
        <w:rPr>
          <w:lang w:val="fr-FR"/>
        </w:rPr>
      </w:pPr>
      <w:r w:rsidRPr="005E293B">
        <w:rPr>
          <w:snapToGrid w:val="0"/>
          <w:lang w:val="fr-FR"/>
        </w:rPr>
        <w:fldChar w:fldCharType="begin"/>
      </w:r>
      <w:r w:rsidRPr="005E293B">
        <w:rPr>
          <w:snapToGrid w:val="0"/>
          <w:lang w:val="fr-FR"/>
        </w:rPr>
        <w:instrText xml:space="preserve"> AUTONUM  </w:instrText>
      </w:r>
      <w:r w:rsidRPr="005E293B">
        <w:rPr>
          <w:snapToGrid w:val="0"/>
          <w:lang w:val="fr-FR"/>
        </w:rPr>
        <w:fldChar w:fldCharType="end"/>
      </w:r>
      <w:r w:rsidRPr="005E293B">
        <w:rPr>
          <w:snapToGrid w:val="0"/>
          <w:lang w:val="fr-FR"/>
        </w:rPr>
        <w:tab/>
      </w:r>
      <w:r w:rsidRPr="005E293B">
        <w:rPr>
          <w:lang w:val="fr-FR"/>
        </w:rPr>
        <w:t>À sa soixante</w:t>
      </w:r>
      <w:r w:rsidR="00014DCB">
        <w:rPr>
          <w:lang w:val="fr-FR"/>
        </w:rPr>
        <w:noBreakHyphen/>
      </w:r>
      <w:r w:rsidRPr="005E293B">
        <w:rPr>
          <w:lang w:val="fr-FR"/>
        </w:rPr>
        <w:t>septième session tenue à Genève le 21 mars 2013,</w:t>
      </w:r>
      <w:r w:rsidRPr="005E293B">
        <w:rPr>
          <w:color w:val="000000"/>
          <w:lang w:val="fr-FR"/>
        </w:rPr>
        <w:t xml:space="preserve"> le Comité administratif et juridique a pris note qu</w:t>
      </w:r>
      <w:r w:rsidR="00FF1074">
        <w:rPr>
          <w:color w:val="000000"/>
          <w:lang w:val="fr-FR"/>
        </w:rPr>
        <w:t>’</w:t>
      </w:r>
      <w:r w:rsidRPr="005E293B">
        <w:rPr>
          <w:color w:val="000000"/>
          <w:lang w:val="fr-FR"/>
        </w:rPr>
        <w:t>il serait invit</w:t>
      </w:r>
      <w:r>
        <w:rPr>
          <w:color w:val="000000"/>
          <w:lang w:val="fr-FR"/>
        </w:rPr>
        <w:t>é, à sa soixante</w:t>
      </w:r>
      <w:r w:rsidR="00014DCB">
        <w:rPr>
          <w:color w:val="000000"/>
          <w:lang w:val="fr-FR"/>
        </w:rPr>
        <w:noBreakHyphen/>
      </w:r>
      <w:r>
        <w:rPr>
          <w:color w:val="000000"/>
          <w:lang w:val="fr-FR"/>
        </w:rPr>
        <w:t>huitième</w:t>
      </w:r>
      <w:r w:rsidR="0004183A">
        <w:rPr>
          <w:color w:val="000000"/>
          <w:lang w:val="fr-FR"/>
        </w:rPr>
        <w:t> </w:t>
      </w:r>
      <w:r>
        <w:rPr>
          <w:color w:val="000000"/>
          <w:lang w:val="fr-FR"/>
        </w:rPr>
        <w:t xml:space="preserve">session, qui se tiendra à Genève en </w:t>
      </w:r>
      <w:r w:rsidR="00954C85">
        <w:rPr>
          <w:color w:val="000000"/>
          <w:lang w:val="fr-FR"/>
        </w:rPr>
        <w:t>octob</w:t>
      </w:r>
      <w:r w:rsidR="00954C85" w:rsidRPr="005E293B">
        <w:rPr>
          <w:color w:val="000000"/>
          <w:lang w:val="fr-FR"/>
        </w:rPr>
        <w:t>r</w:t>
      </w:r>
      <w:r w:rsidR="00954C85">
        <w:rPr>
          <w:color w:val="000000"/>
          <w:lang w:val="fr-FR"/>
        </w:rPr>
        <w:t>e </w:t>
      </w:r>
      <w:r w:rsidR="00954C85" w:rsidRPr="005E293B">
        <w:rPr>
          <w:color w:val="000000"/>
          <w:lang w:val="fr-FR"/>
        </w:rPr>
        <w:t>20</w:t>
      </w:r>
      <w:r w:rsidRPr="005E293B">
        <w:rPr>
          <w:color w:val="000000"/>
          <w:lang w:val="fr-FR"/>
        </w:rPr>
        <w:t xml:space="preserve">13, </w:t>
      </w:r>
      <w:r>
        <w:rPr>
          <w:color w:val="000000"/>
          <w:lang w:val="fr-FR"/>
        </w:rPr>
        <w:t>à examiner une proposition de révision du</w:t>
      </w:r>
      <w:r w:rsidRPr="005E293B">
        <w:rPr>
          <w:color w:val="000000"/>
          <w:lang w:val="fr-FR"/>
        </w:rPr>
        <w:t xml:space="preserve"> document UPOV/INF/16 </w:t>
      </w:r>
      <w:r w:rsidR="00FF1074">
        <w:rPr>
          <w:color w:val="000000"/>
          <w:lang w:val="fr-FR"/>
        </w:rPr>
        <w:t>“</w:t>
      </w:r>
      <w:r>
        <w:rPr>
          <w:color w:val="000000"/>
          <w:lang w:val="fr-FR"/>
        </w:rPr>
        <w:t>Logiciels échangeables</w:t>
      </w:r>
      <w:r w:rsidR="00FF1074">
        <w:rPr>
          <w:color w:val="000000"/>
          <w:lang w:val="fr-FR"/>
        </w:rPr>
        <w:t>”</w:t>
      </w:r>
      <w:r>
        <w:rPr>
          <w:color w:val="000000"/>
          <w:lang w:val="fr-FR"/>
        </w:rPr>
        <w:t xml:space="preserve"> </w:t>
      </w:r>
      <w:r w:rsidRPr="005E293B">
        <w:rPr>
          <w:lang w:val="fr-FR"/>
        </w:rPr>
        <w:t>(</w:t>
      </w:r>
      <w:r>
        <w:rPr>
          <w:lang w:val="fr-FR"/>
        </w:rPr>
        <w:t>voir le paragraphe</w:t>
      </w:r>
      <w:r w:rsidR="0004183A">
        <w:rPr>
          <w:lang w:val="fr-FR"/>
        </w:rPr>
        <w:t> </w:t>
      </w:r>
      <w:r>
        <w:rPr>
          <w:lang w:val="fr-FR"/>
        </w:rPr>
        <w:t>56 du</w:t>
      </w:r>
      <w:r w:rsidRPr="005E293B">
        <w:rPr>
          <w:lang w:val="fr-FR"/>
        </w:rPr>
        <w:t xml:space="preserve"> document CAJ/67/14 </w:t>
      </w:r>
      <w:r w:rsidR="00FF1074">
        <w:rPr>
          <w:lang w:val="fr-FR"/>
        </w:rPr>
        <w:t>“</w:t>
      </w:r>
      <w:r>
        <w:rPr>
          <w:lang w:val="fr-FR"/>
        </w:rPr>
        <w:t>Compte rendu des c</w:t>
      </w:r>
      <w:r w:rsidRPr="005E293B">
        <w:rPr>
          <w:lang w:val="fr-FR"/>
        </w:rPr>
        <w:t>onclusions</w:t>
      </w:r>
      <w:r w:rsidR="00FF1074">
        <w:rPr>
          <w:lang w:val="fr-FR"/>
        </w:rPr>
        <w:t>”</w:t>
      </w:r>
      <w:r w:rsidRPr="005E293B">
        <w:rPr>
          <w:lang w:val="fr-FR"/>
        </w:rPr>
        <w:t>).</w:t>
      </w:r>
    </w:p>
    <w:p w:rsidR="00D145F3" w:rsidRPr="005E293B" w:rsidRDefault="00D145F3" w:rsidP="0070011F">
      <w:pPr>
        <w:rPr>
          <w:lang w:val="fr-FR"/>
        </w:rPr>
      </w:pPr>
    </w:p>
    <w:p w:rsidR="00D145F3" w:rsidRPr="005E293B" w:rsidRDefault="00D145F3" w:rsidP="0070011F">
      <w:pPr>
        <w:rPr>
          <w:snapToGrid w:val="0"/>
          <w:lang w:val="fr-FR"/>
        </w:rPr>
      </w:pPr>
      <w:r w:rsidRPr="005E293B">
        <w:rPr>
          <w:snapToGrid w:val="0"/>
          <w:lang w:val="fr-FR"/>
        </w:rPr>
        <w:fldChar w:fldCharType="begin"/>
      </w:r>
      <w:r w:rsidRPr="005E293B">
        <w:rPr>
          <w:snapToGrid w:val="0"/>
          <w:lang w:val="fr-FR"/>
        </w:rPr>
        <w:instrText xml:space="preserve"> AUTONUM  </w:instrText>
      </w:r>
      <w:r w:rsidRPr="005E293B">
        <w:rPr>
          <w:snapToGrid w:val="0"/>
          <w:lang w:val="fr-FR"/>
        </w:rPr>
        <w:fldChar w:fldCharType="end"/>
      </w:r>
      <w:r w:rsidRPr="005E293B">
        <w:rPr>
          <w:snapToGrid w:val="0"/>
          <w:lang w:val="fr-FR"/>
        </w:rPr>
        <w:tab/>
        <w:t>Le présent document est structuré comme suit</w:t>
      </w:r>
      <w:r w:rsidR="0004183A">
        <w:rPr>
          <w:snapToGrid w:val="0"/>
          <w:lang w:val="fr-FR"/>
        </w:rPr>
        <w:t> </w:t>
      </w:r>
      <w:r w:rsidRPr="005E293B">
        <w:rPr>
          <w:snapToGrid w:val="0"/>
          <w:lang w:val="fr-FR"/>
        </w:rPr>
        <w:t>:</w:t>
      </w:r>
    </w:p>
    <w:p w:rsidR="00D145F3" w:rsidRPr="005E293B" w:rsidRDefault="00D145F3" w:rsidP="0070011F">
      <w:pPr>
        <w:rPr>
          <w:snapToGrid w:val="0"/>
          <w:lang w:val="fr-FR"/>
        </w:rPr>
      </w:pPr>
    </w:p>
    <w:p w:rsidR="00AA3174" w:rsidRPr="00B726EA" w:rsidRDefault="00D145F3" w:rsidP="00AA3174">
      <w:pPr>
        <w:pStyle w:val="TOC1"/>
        <w:rPr>
          <w:rFonts w:ascii="Calibri" w:hAnsi="Calibri" w:cs="Times New Roman"/>
          <w:sz w:val="22"/>
          <w:szCs w:val="22"/>
        </w:rPr>
      </w:pPr>
      <w:r w:rsidRPr="002B1DCF">
        <w:rPr>
          <w:b/>
          <w:bCs/>
          <w:sz w:val="16"/>
          <w:szCs w:val="16"/>
          <w:highlight w:val="yellow"/>
        </w:rPr>
        <w:fldChar w:fldCharType="begin"/>
      </w:r>
      <w:r w:rsidRPr="002B1DCF">
        <w:rPr>
          <w:b/>
          <w:bCs/>
          <w:sz w:val="16"/>
          <w:szCs w:val="16"/>
          <w:highlight w:val="yellow"/>
        </w:rPr>
        <w:instrText xml:space="preserve"> TOC \o "1-3" \u </w:instrText>
      </w:r>
      <w:r w:rsidRPr="002B1DCF">
        <w:rPr>
          <w:b/>
          <w:bCs/>
          <w:sz w:val="16"/>
          <w:szCs w:val="16"/>
          <w:highlight w:val="yellow"/>
        </w:rPr>
        <w:fldChar w:fldCharType="separate"/>
      </w:r>
      <w:r w:rsidR="00AA3174" w:rsidRPr="001168B2">
        <w:rPr>
          <w:lang w:val="fr-FR"/>
        </w:rPr>
        <w:t>i.</w:t>
      </w:r>
      <w:r w:rsidR="00AA3174" w:rsidRPr="00B726EA">
        <w:rPr>
          <w:rFonts w:ascii="Calibri" w:hAnsi="Calibri" w:cs="Times New Roman"/>
          <w:sz w:val="22"/>
          <w:szCs w:val="22"/>
        </w:rPr>
        <w:tab/>
      </w:r>
      <w:r w:rsidR="00AA3174" w:rsidRPr="001168B2">
        <w:rPr>
          <w:lang w:val="fr-FR"/>
        </w:rPr>
        <w:t>Examen des exigences en ce qui concerne les logiciels Échangeables</w:t>
      </w:r>
      <w:r w:rsidR="00AA3174">
        <w:tab/>
      </w:r>
      <w:r w:rsidR="00AA3174">
        <w:fldChar w:fldCharType="begin"/>
      </w:r>
      <w:r w:rsidR="00AA3174">
        <w:instrText xml:space="preserve"> PAGEREF _Toc369099621 \h </w:instrText>
      </w:r>
      <w:r w:rsidR="00AA3174">
        <w:fldChar w:fldCharType="separate"/>
      </w:r>
      <w:r w:rsidR="009142CA">
        <w:t>1</w:t>
      </w:r>
      <w:r w:rsidR="00AA3174">
        <w:fldChar w:fldCharType="end"/>
      </w:r>
    </w:p>
    <w:p w:rsidR="00AA3174" w:rsidRPr="00B726EA" w:rsidRDefault="00AA3174" w:rsidP="00AA3174">
      <w:pPr>
        <w:pStyle w:val="TOC1"/>
        <w:rPr>
          <w:rFonts w:ascii="Calibri" w:hAnsi="Calibri" w:cs="Times New Roman"/>
          <w:sz w:val="22"/>
          <w:szCs w:val="22"/>
        </w:rPr>
      </w:pPr>
      <w:r w:rsidRPr="001168B2">
        <w:rPr>
          <w:lang w:val="fr-FR"/>
        </w:rPr>
        <w:t>ii.</w:t>
      </w:r>
      <w:r w:rsidRPr="00B726EA">
        <w:rPr>
          <w:rFonts w:ascii="Calibri" w:hAnsi="Calibri" w:cs="Times New Roman"/>
          <w:sz w:val="22"/>
          <w:szCs w:val="22"/>
        </w:rPr>
        <w:tab/>
      </w:r>
      <w:r w:rsidRPr="001168B2">
        <w:rPr>
          <w:lang w:val="fr-FR"/>
        </w:rPr>
        <w:t>logiciels proposÉs pour inclusion dans le document upov/inf/16</w:t>
      </w:r>
      <w:r>
        <w:tab/>
      </w:r>
      <w:r>
        <w:fldChar w:fldCharType="begin"/>
      </w:r>
      <w:r>
        <w:instrText xml:space="preserve"> PAGEREF _Toc369099622 \h </w:instrText>
      </w:r>
      <w:r>
        <w:fldChar w:fldCharType="separate"/>
      </w:r>
      <w:r w:rsidR="009142CA">
        <w:t>2</w:t>
      </w:r>
      <w:r>
        <w:fldChar w:fldCharType="end"/>
      </w:r>
    </w:p>
    <w:p w:rsidR="00AA3174" w:rsidRPr="00B726EA" w:rsidRDefault="00AA3174" w:rsidP="00AA3174">
      <w:pPr>
        <w:pStyle w:val="TOC1"/>
        <w:rPr>
          <w:rFonts w:ascii="Calibri" w:hAnsi="Calibri" w:cs="Times New Roman"/>
          <w:sz w:val="22"/>
          <w:szCs w:val="22"/>
        </w:rPr>
      </w:pPr>
      <w:r w:rsidRPr="001168B2">
        <w:rPr>
          <w:lang w:val="fr-FR"/>
        </w:rPr>
        <w:t>III.</w:t>
      </w:r>
      <w:r w:rsidRPr="00B726EA">
        <w:rPr>
          <w:rFonts w:ascii="Calibri" w:hAnsi="Calibri" w:cs="Times New Roman"/>
          <w:sz w:val="22"/>
          <w:szCs w:val="22"/>
        </w:rPr>
        <w:tab/>
      </w:r>
      <w:r w:rsidRPr="001168B2">
        <w:rPr>
          <w:lang w:val="fr-FR"/>
        </w:rPr>
        <w:t>informations sur l’utilisation par les membres</w:t>
      </w:r>
      <w:r>
        <w:tab/>
      </w:r>
      <w:r>
        <w:fldChar w:fldCharType="begin"/>
      </w:r>
      <w:r>
        <w:instrText xml:space="preserve"> PAGEREF _Toc369099623 \h </w:instrText>
      </w:r>
      <w:r>
        <w:fldChar w:fldCharType="separate"/>
      </w:r>
      <w:r w:rsidR="009142CA">
        <w:t>3</w:t>
      </w:r>
      <w:r>
        <w:fldChar w:fldCharType="end"/>
      </w:r>
    </w:p>
    <w:p w:rsidR="00D145F3" w:rsidRDefault="00D145F3" w:rsidP="0070011F">
      <w:pPr>
        <w:rPr>
          <w:sz w:val="18"/>
          <w:szCs w:val="18"/>
        </w:rPr>
      </w:pPr>
      <w:r w:rsidRPr="002B1DCF">
        <w:rPr>
          <w:b/>
          <w:bCs/>
          <w:sz w:val="16"/>
          <w:szCs w:val="16"/>
          <w:highlight w:val="yellow"/>
        </w:rPr>
        <w:fldChar w:fldCharType="end"/>
      </w:r>
    </w:p>
    <w:p w:rsidR="00D145F3" w:rsidRDefault="00D145F3" w:rsidP="0070011F">
      <w:pPr>
        <w:rPr>
          <w:sz w:val="18"/>
          <w:szCs w:val="18"/>
        </w:rPr>
      </w:pPr>
    </w:p>
    <w:p w:rsidR="00D145F3" w:rsidRDefault="00D145F3" w:rsidP="0070011F"/>
    <w:p w:rsidR="00D145F3" w:rsidRPr="005E293B" w:rsidRDefault="00D27DD2" w:rsidP="00AA3174">
      <w:pPr>
        <w:pStyle w:val="Heading1"/>
        <w:rPr>
          <w:lang w:val="fr-FR"/>
        </w:rPr>
      </w:pPr>
      <w:bookmarkStart w:id="6" w:name="_Toc369099621"/>
      <w:r>
        <w:rPr>
          <w:lang w:val="fr-FR"/>
        </w:rPr>
        <w:t>i.</w:t>
      </w:r>
      <w:r>
        <w:rPr>
          <w:lang w:val="fr-FR"/>
        </w:rPr>
        <w:tab/>
      </w:r>
      <w:r w:rsidR="00D145F3" w:rsidRPr="005E293B">
        <w:rPr>
          <w:lang w:val="fr-FR"/>
        </w:rPr>
        <w:t>Examen des exigences en ce qui concerne les logiciels Échangeable</w:t>
      </w:r>
      <w:r w:rsidR="00D145F3">
        <w:rPr>
          <w:lang w:val="fr-FR"/>
        </w:rPr>
        <w:t>s</w:t>
      </w:r>
      <w:bookmarkEnd w:id="6"/>
    </w:p>
    <w:p w:rsidR="00D145F3" w:rsidRPr="005E293B" w:rsidRDefault="00D145F3" w:rsidP="009237AB">
      <w:pPr>
        <w:rPr>
          <w:snapToGrid w:val="0"/>
          <w:lang w:val="fr-FR"/>
        </w:rPr>
      </w:pPr>
    </w:p>
    <w:p w:rsidR="00D145F3" w:rsidRPr="004C5121" w:rsidRDefault="00D145F3" w:rsidP="00974BF5">
      <w:pPr>
        <w:rPr>
          <w:snapToGrid w:val="0"/>
          <w:lang w:val="fr-FR"/>
        </w:rPr>
      </w:pPr>
      <w:r w:rsidRPr="00974BF5">
        <w:rPr>
          <w:lang w:val="fr-FR"/>
        </w:rPr>
        <w:fldChar w:fldCharType="begin"/>
      </w:r>
      <w:r w:rsidRPr="00974BF5">
        <w:rPr>
          <w:lang w:val="fr-FR"/>
        </w:rPr>
        <w:instrText xml:space="preserve"> AUTONUM  </w:instrText>
      </w:r>
      <w:r w:rsidRPr="00974BF5">
        <w:rPr>
          <w:lang w:val="fr-FR"/>
        </w:rPr>
        <w:fldChar w:fldCharType="end"/>
      </w:r>
      <w:r w:rsidRPr="00974BF5">
        <w:rPr>
          <w:lang w:val="fr-FR"/>
        </w:rPr>
        <w:tab/>
        <w:t>À sa soixante</w:t>
      </w:r>
      <w:r w:rsidR="00014DCB">
        <w:rPr>
          <w:lang w:val="fr-FR"/>
        </w:rPr>
        <w:noBreakHyphen/>
      </w:r>
      <w:r w:rsidRPr="00974BF5">
        <w:rPr>
          <w:lang w:val="fr-FR"/>
        </w:rPr>
        <w:t>septième session tenue à Genève le 21 mars 2013,</w:t>
      </w:r>
      <w:r w:rsidR="00954C85" w:rsidRPr="00974BF5">
        <w:rPr>
          <w:color w:val="000000"/>
          <w:lang w:val="fr-FR"/>
        </w:rPr>
        <w:t xml:space="preserve"> le</w:t>
      </w:r>
      <w:r w:rsidR="00954C85">
        <w:rPr>
          <w:color w:val="000000"/>
          <w:lang w:val="fr-FR"/>
        </w:rPr>
        <w:t> </w:t>
      </w:r>
      <w:r w:rsidR="00954C85" w:rsidRPr="00974BF5">
        <w:rPr>
          <w:color w:val="000000"/>
          <w:lang w:val="fr-FR"/>
        </w:rPr>
        <w:t>CAJ</w:t>
      </w:r>
      <w:r w:rsidRPr="00974BF5">
        <w:rPr>
          <w:color w:val="000000"/>
          <w:lang w:val="fr-FR"/>
        </w:rPr>
        <w:t xml:space="preserve"> a pris note que</w:t>
      </w:r>
      <w:r>
        <w:rPr>
          <w:color w:val="000000"/>
          <w:lang w:val="fr-FR"/>
        </w:rPr>
        <w:t xml:space="preserve"> le Comité technique, à sa quarante</w:t>
      </w:r>
      <w:r w:rsidR="00014DCB">
        <w:rPr>
          <w:color w:val="000000"/>
          <w:lang w:val="fr-FR"/>
        </w:rPr>
        <w:noBreakHyphen/>
      </w:r>
      <w:r>
        <w:rPr>
          <w:color w:val="000000"/>
          <w:lang w:val="fr-FR"/>
        </w:rPr>
        <w:t>neuvième</w:t>
      </w:r>
      <w:r w:rsidR="0004183A">
        <w:rPr>
          <w:color w:val="000000"/>
          <w:lang w:val="fr-FR"/>
        </w:rPr>
        <w:t> </w:t>
      </w:r>
      <w:r w:rsidR="00890846">
        <w:rPr>
          <w:color w:val="000000"/>
          <w:lang w:val="fr-FR"/>
        </w:rPr>
        <w:t>session tenue à Genève du </w:t>
      </w:r>
      <w:r>
        <w:rPr>
          <w:color w:val="000000"/>
          <w:lang w:val="fr-FR"/>
        </w:rPr>
        <w:t>18 au 2</w:t>
      </w:r>
      <w:r w:rsidR="00954C85">
        <w:rPr>
          <w:color w:val="000000"/>
          <w:lang w:val="fr-FR"/>
        </w:rPr>
        <w:t>0 mars 20</w:t>
      </w:r>
      <w:r>
        <w:rPr>
          <w:color w:val="000000"/>
          <w:lang w:val="fr-FR"/>
        </w:rPr>
        <w:t>13,</w:t>
      </w:r>
      <w:r w:rsidRPr="00974BF5">
        <w:rPr>
          <w:color w:val="000000"/>
          <w:lang w:val="fr-FR"/>
        </w:rPr>
        <w:t xml:space="preserve"> a</w:t>
      </w:r>
      <w:r>
        <w:rPr>
          <w:color w:val="000000"/>
          <w:lang w:val="fr-FR"/>
        </w:rPr>
        <w:t>vait</w:t>
      </w:r>
      <w:r w:rsidRPr="00974BF5">
        <w:rPr>
          <w:color w:val="000000"/>
          <w:lang w:val="fr-FR"/>
        </w:rPr>
        <w:t xml:space="preserve"> révisé le titre du document UPOV/INF/16 </w:t>
      </w:r>
      <w:r w:rsidR="00FF1074">
        <w:rPr>
          <w:color w:val="000000"/>
          <w:lang w:val="fr-FR"/>
        </w:rPr>
        <w:t>“</w:t>
      </w:r>
      <w:r w:rsidRPr="00974BF5">
        <w:rPr>
          <w:color w:val="000000"/>
          <w:lang w:val="fr-FR"/>
        </w:rPr>
        <w:t>Logiciels échangeables</w:t>
      </w:r>
      <w:r w:rsidR="00FF1074">
        <w:rPr>
          <w:color w:val="000000"/>
          <w:lang w:val="fr-FR"/>
        </w:rPr>
        <w:t>”</w:t>
      </w:r>
      <w:r w:rsidRPr="00974BF5">
        <w:rPr>
          <w:color w:val="000000"/>
          <w:lang w:val="fr-FR"/>
        </w:rPr>
        <w:t xml:space="preserve"> et la section 1 </w:t>
      </w:r>
      <w:r w:rsidR="00FF1074">
        <w:rPr>
          <w:color w:val="000000"/>
          <w:lang w:val="fr-FR"/>
        </w:rPr>
        <w:t>“</w:t>
      </w:r>
      <w:r w:rsidRPr="00974BF5">
        <w:rPr>
          <w:color w:val="000000"/>
          <w:lang w:val="fr-FR"/>
        </w:rPr>
        <w:t>Exigences en ce qui concerne les logiciels échangeables</w:t>
      </w:r>
      <w:r w:rsidR="00FF1074">
        <w:rPr>
          <w:color w:val="000000"/>
          <w:lang w:val="fr-FR"/>
        </w:rPr>
        <w:t>”</w:t>
      </w:r>
      <w:r w:rsidRPr="00974BF5">
        <w:rPr>
          <w:color w:val="000000"/>
          <w:lang w:val="fr-FR"/>
        </w:rPr>
        <w:t xml:space="preserve"> et qu</w:t>
      </w:r>
      <w:r w:rsidR="00FF1074">
        <w:rPr>
          <w:color w:val="000000"/>
          <w:lang w:val="fr-FR"/>
        </w:rPr>
        <w:t>’</w:t>
      </w:r>
      <w:r w:rsidRPr="00974BF5">
        <w:rPr>
          <w:color w:val="000000"/>
          <w:lang w:val="fr-FR"/>
        </w:rPr>
        <w:t xml:space="preserve">il </w:t>
      </w:r>
      <w:r>
        <w:rPr>
          <w:color w:val="000000"/>
          <w:lang w:val="fr-FR"/>
        </w:rPr>
        <w:t xml:space="preserve">était </w:t>
      </w:r>
      <w:r w:rsidRPr="00974BF5">
        <w:rPr>
          <w:color w:val="000000"/>
          <w:lang w:val="fr-FR"/>
        </w:rPr>
        <w:t>convenu que ces textes devraient demeurer inchangés car ce document concern</w:t>
      </w:r>
      <w:r>
        <w:rPr>
          <w:color w:val="000000"/>
          <w:lang w:val="fr-FR"/>
        </w:rPr>
        <w:t xml:space="preserve">ait </w:t>
      </w:r>
      <w:r w:rsidRPr="00974BF5">
        <w:rPr>
          <w:color w:val="000000"/>
          <w:lang w:val="fr-FR"/>
        </w:rPr>
        <w:t>les logiciels mis au point ou adaptés par un membre de l</w:t>
      </w:r>
      <w:r w:rsidR="00FF1074">
        <w:rPr>
          <w:color w:val="000000"/>
          <w:lang w:val="fr-FR"/>
        </w:rPr>
        <w:t>’</w:t>
      </w:r>
      <w:r w:rsidRPr="00974BF5">
        <w:rPr>
          <w:color w:val="000000"/>
          <w:lang w:val="fr-FR"/>
        </w:rPr>
        <w:t>Union aux fins de l</w:t>
      </w:r>
      <w:r w:rsidR="00FF1074">
        <w:rPr>
          <w:color w:val="000000"/>
          <w:lang w:val="fr-FR"/>
        </w:rPr>
        <w:t>’</w:t>
      </w:r>
      <w:r w:rsidRPr="00974BF5">
        <w:rPr>
          <w:color w:val="000000"/>
          <w:lang w:val="fr-FR"/>
        </w:rPr>
        <w:t>UPOV.</w:t>
      </w:r>
      <w:r>
        <w:rPr>
          <w:color w:val="000000"/>
          <w:lang w:val="fr-FR"/>
        </w:rPr>
        <w:t xml:space="preserve">  Néanmoins, le</w:t>
      </w:r>
      <w:r w:rsidR="00FF1074">
        <w:rPr>
          <w:color w:val="000000"/>
          <w:lang w:val="fr-FR"/>
        </w:rPr>
        <w:t> TC</w:t>
      </w:r>
      <w:r>
        <w:rPr>
          <w:color w:val="000000"/>
          <w:lang w:val="fr-FR"/>
        </w:rPr>
        <w:t xml:space="preserve"> était également </w:t>
      </w:r>
      <w:r w:rsidRPr="004C5121">
        <w:rPr>
          <w:color w:val="000000"/>
          <w:lang w:val="fr-FR"/>
        </w:rPr>
        <w:t>convenu qu</w:t>
      </w:r>
      <w:r w:rsidR="00FF1074">
        <w:rPr>
          <w:color w:val="000000"/>
          <w:lang w:val="fr-FR"/>
        </w:rPr>
        <w:t>’</w:t>
      </w:r>
      <w:r w:rsidRPr="004C5121">
        <w:rPr>
          <w:color w:val="000000"/>
          <w:lang w:val="fr-FR"/>
        </w:rPr>
        <w:t>il serait utile d</w:t>
      </w:r>
      <w:r w:rsidR="00FF1074">
        <w:rPr>
          <w:color w:val="000000"/>
          <w:lang w:val="fr-FR"/>
        </w:rPr>
        <w:t>’</w:t>
      </w:r>
      <w:r w:rsidRPr="004C5121">
        <w:rPr>
          <w:color w:val="000000"/>
          <w:lang w:val="fr-FR"/>
        </w:rPr>
        <w:t>élaborer un document d</w:t>
      </w:r>
      <w:r w:rsidR="00FF1074">
        <w:rPr>
          <w:color w:val="000000"/>
          <w:lang w:val="fr-FR"/>
        </w:rPr>
        <w:t>’</w:t>
      </w:r>
      <w:r w:rsidRPr="004C5121">
        <w:rPr>
          <w:color w:val="000000"/>
          <w:lang w:val="fr-FR"/>
        </w:rPr>
        <w:t>i</w:t>
      </w:r>
      <w:r>
        <w:rPr>
          <w:color w:val="000000"/>
          <w:lang w:val="fr-FR"/>
        </w:rPr>
        <w:t>nformation distinct qui permettrait</w:t>
      </w:r>
      <w:r w:rsidRPr="004C5121">
        <w:rPr>
          <w:color w:val="000000"/>
          <w:lang w:val="fr-FR"/>
        </w:rPr>
        <w:t xml:space="preserve"> aux membres de l</w:t>
      </w:r>
      <w:r w:rsidR="00FF1074">
        <w:rPr>
          <w:color w:val="000000"/>
          <w:lang w:val="fr-FR"/>
        </w:rPr>
        <w:t>’</w:t>
      </w:r>
      <w:r w:rsidRPr="004C5121">
        <w:rPr>
          <w:color w:val="000000"/>
          <w:lang w:val="fr-FR"/>
        </w:rPr>
        <w:t xml:space="preserve">Union de fournir des </w:t>
      </w:r>
      <w:r>
        <w:rPr>
          <w:color w:val="000000"/>
          <w:lang w:val="fr-FR"/>
        </w:rPr>
        <w:t>informations</w:t>
      </w:r>
      <w:r w:rsidRPr="004C5121">
        <w:rPr>
          <w:color w:val="000000"/>
          <w:lang w:val="fr-FR"/>
        </w:rPr>
        <w:t xml:space="preserve"> sur les logiciels et équipements (p. ex. le matériel de saisie de données) non personnalisés qui </w:t>
      </w:r>
      <w:r>
        <w:rPr>
          <w:color w:val="000000"/>
          <w:lang w:val="fr-FR"/>
        </w:rPr>
        <w:t xml:space="preserve">étaient </w:t>
      </w:r>
      <w:r w:rsidRPr="004C5121">
        <w:rPr>
          <w:color w:val="000000"/>
          <w:lang w:val="fr-FR"/>
        </w:rPr>
        <w:t>utilisés par les membres de l</w:t>
      </w:r>
      <w:r w:rsidR="00FF1074">
        <w:rPr>
          <w:color w:val="000000"/>
          <w:lang w:val="fr-FR"/>
        </w:rPr>
        <w:t>’</w:t>
      </w:r>
      <w:r w:rsidRPr="004C5121">
        <w:rPr>
          <w:color w:val="000000"/>
          <w:lang w:val="fr-FR"/>
        </w:rPr>
        <w:t>Union (voir le paragraphe 24</w:t>
      </w:r>
      <w:r>
        <w:rPr>
          <w:color w:val="000000"/>
          <w:lang w:val="fr-FR"/>
        </w:rPr>
        <w:t xml:space="preserve"> de l</w:t>
      </w:r>
      <w:r w:rsidR="00FF1074">
        <w:rPr>
          <w:color w:val="000000"/>
          <w:lang w:val="fr-FR"/>
        </w:rPr>
        <w:t>’</w:t>
      </w:r>
      <w:r>
        <w:rPr>
          <w:color w:val="000000"/>
          <w:lang w:val="fr-FR"/>
        </w:rPr>
        <w:t xml:space="preserve">annexe du </w:t>
      </w:r>
      <w:r w:rsidR="00954C85">
        <w:rPr>
          <w:color w:val="000000"/>
          <w:lang w:val="fr-FR"/>
        </w:rPr>
        <w:t>do</w:t>
      </w:r>
      <w:r w:rsidR="00954C85" w:rsidRPr="004C5121">
        <w:rPr>
          <w:lang w:val="fr-FR"/>
        </w:rPr>
        <w:t>cument</w:t>
      </w:r>
      <w:r w:rsidR="00954C85">
        <w:rPr>
          <w:color w:val="000000"/>
          <w:lang w:val="fr-FR"/>
        </w:rPr>
        <w:t xml:space="preserve"> </w:t>
      </w:r>
      <w:r w:rsidR="00954C85" w:rsidRPr="004C5121">
        <w:rPr>
          <w:lang w:val="fr-FR"/>
        </w:rPr>
        <w:t>CA</w:t>
      </w:r>
      <w:r w:rsidRPr="004C5121">
        <w:rPr>
          <w:lang w:val="fr-FR"/>
        </w:rPr>
        <w:t>J/67/13</w:t>
      </w:r>
      <w:r>
        <w:rPr>
          <w:lang w:val="fr-FR"/>
        </w:rPr>
        <w:t xml:space="preserve"> </w:t>
      </w:r>
      <w:r w:rsidR="00FF1074">
        <w:rPr>
          <w:spacing w:val="-2"/>
          <w:lang w:val="fr-FR"/>
        </w:rPr>
        <w:t>“</w:t>
      </w:r>
      <w:r w:rsidRPr="004C5121">
        <w:rPr>
          <w:color w:val="000000"/>
          <w:lang w:val="fr-FR"/>
        </w:rPr>
        <w:t>Rapport sur les faits nouveaux intervenus au sein du Comité technique</w:t>
      </w:r>
      <w:r w:rsidR="00FF1074">
        <w:rPr>
          <w:spacing w:val="-2"/>
          <w:lang w:val="fr-FR"/>
        </w:rPr>
        <w:t>”</w:t>
      </w:r>
      <w:r>
        <w:rPr>
          <w:spacing w:val="-2"/>
          <w:lang w:val="fr-FR"/>
        </w:rPr>
        <w:t xml:space="preserve"> et le </w:t>
      </w:r>
      <w:r w:rsidRPr="004C5121">
        <w:rPr>
          <w:lang w:val="fr-FR"/>
        </w:rPr>
        <w:t>paragraph</w:t>
      </w:r>
      <w:r>
        <w:rPr>
          <w:lang w:val="fr-FR"/>
        </w:rPr>
        <w:t>e</w:t>
      </w:r>
      <w:r w:rsidR="0004183A">
        <w:rPr>
          <w:lang w:val="fr-FR"/>
        </w:rPr>
        <w:t> </w:t>
      </w:r>
      <w:r>
        <w:rPr>
          <w:lang w:val="fr-FR"/>
        </w:rPr>
        <w:t>55 du</w:t>
      </w:r>
      <w:r w:rsidRPr="004C5121">
        <w:rPr>
          <w:lang w:val="fr-FR"/>
        </w:rPr>
        <w:t xml:space="preserve"> </w:t>
      </w:r>
      <w:r w:rsidRPr="004C5121">
        <w:rPr>
          <w:snapToGrid w:val="0"/>
          <w:lang w:val="fr-FR"/>
        </w:rPr>
        <w:t xml:space="preserve">document CAJ/67/14 </w:t>
      </w:r>
      <w:r w:rsidR="00FF1074">
        <w:rPr>
          <w:snapToGrid w:val="0"/>
          <w:lang w:val="fr-FR"/>
        </w:rPr>
        <w:t>“</w:t>
      </w:r>
      <w:r>
        <w:rPr>
          <w:snapToGrid w:val="0"/>
          <w:lang w:val="fr-FR"/>
        </w:rPr>
        <w:t>Compte rendu des co</w:t>
      </w:r>
      <w:r w:rsidRPr="004C5121">
        <w:rPr>
          <w:snapToGrid w:val="0"/>
          <w:lang w:val="fr-FR"/>
        </w:rPr>
        <w:t>nclusions</w:t>
      </w:r>
      <w:r w:rsidR="00FF1074">
        <w:rPr>
          <w:snapToGrid w:val="0"/>
          <w:lang w:val="fr-FR"/>
        </w:rPr>
        <w:t>”</w:t>
      </w:r>
      <w:r w:rsidRPr="004C5121">
        <w:rPr>
          <w:snapToGrid w:val="0"/>
          <w:lang w:val="fr-FR"/>
        </w:rPr>
        <w:t>).</w:t>
      </w:r>
    </w:p>
    <w:p w:rsidR="00D145F3" w:rsidRPr="004C5121" w:rsidRDefault="00D145F3" w:rsidP="003510E2">
      <w:pPr>
        <w:rPr>
          <w:snapToGrid w:val="0"/>
          <w:lang w:val="fr-FR"/>
        </w:rPr>
      </w:pPr>
    </w:p>
    <w:p w:rsidR="00D145F3" w:rsidRPr="004C5121" w:rsidRDefault="00D145F3" w:rsidP="00566C09">
      <w:pPr>
        <w:tabs>
          <w:tab w:val="left" w:pos="5387"/>
        </w:tabs>
        <w:ind w:left="4820"/>
        <w:rPr>
          <w:rFonts w:eastAsia="MS Mincho"/>
          <w:i/>
          <w:iCs/>
          <w:color w:val="000000"/>
          <w:lang w:val="fr-FR"/>
        </w:rPr>
      </w:pPr>
      <w:r w:rsidRPr="000511C9">
        <w:rPr>
          <w:rFonts w:eastAsia="MS Mincho"/>
          <w:i/>
          <w:color w:val="000000"/>
          <w:lang w:val="fr-FR"/>
        </w:rPr>
        <w:fldChar w:fldCharType="begin"/>
      </w:r>
      <w:r w:rsidRPr="000511C9">
        <w:rPr>
          <w:rFonts w:eastAsia="MS Mincho"/>
          <w:i/>
          <w:color w:val="000000"/>
          <w:lang w:val="fr-FR"/>
        </w:rPr>
        <w:instrText xml:space="preserve"> AUTONUM  </w:instrText>
      </w:r>
      <w:r w:rsidRPr="000511C9">
        <w:rPr>
          <w:rFonts w:eastAsia="MS Mincho"/>
          <w:i/>
          <w:color w:val="000000"/>
          <w:lang w:val="fr-FR"/>
        </w:rPr>
        <w:fldChar w:fldCharType="end"/>
      </w:r>
      <w:r w:rsidRPr="000511C9">
        <w:rPr>
          <w:rFonts w:eastAsia="MS Mincho"/>
          <w:i/>
          <w:iCs/>
          <w:color w:val="000000"/>
          <w:lang w:val="fr-FR"/>
        </w:rPr>
        <w:tab/>
        <w:t xml:space="preserve">Le CAJ </w:t>
      </w:r>
      <w:r w:rsidRPr="004C5121">
        <w:rPr>
          <w:rFonts w:eastAsia="MS Mincho"/>
          <w:i/>
          <w:iCs/>
          <w:color w:val="000000"/>
          <w:lang w:val="fr-FR"/>
        </w:rPr>
        <w:t>est invité à se demander</w:t>
      </w:r>
      <w:r w:rsidR="0004183A">
        <w:rPr>
          <w:rFonts w:eastAsia="MS Mincho"/>
          <w:i/>
          <w:iCs/>
          <w:color w:val="000000"/>
          <w:lang w:val="fr-FR"/>
        </w:rPr>
        <w:t> </w:t>
      </w:r>
      <w:r w:rsidRPr="004C5121">
        <w:rPr>
          <w:rFonts w:eastAsia="MS Mincho"/>
          <w:i/>
          <w:iCs/>
          <w:color w:val="000000"/>
          <w:lang w:val="fr-FR"/>
        </w:rPr>
        <w:t>:</w:t>
      </w:r>
    </w:p>
    <w:p w:rsidR="00D145F3" w:rsidRPr="004C5121" w:rsidRDefault="00D145F3" w:rsidP="00566C09">
      <w:pPr>
        <w:tabs>
          <w:tab w:val="left" w:pos="5387"/>
        </w:tabs>
        <w:ind w:left="4820"/>
        <w:rPr>
          <w:rFonts w:eastAsia="MS Mincho"/>
          <w:i/>
          <w:iCs/>
          <w:color w:val="000000"/>
          <w:lang w:val="fr-FR"/>
        </w:rPr>
      </w:pPr>
    </w:p>
    <w:p w:rsidR="00954C85" w:rsidRDefault="00D145F3" w:rsidP="000511C9">
      <w:pPr>
        <w:tabs>
          <w:tab w:val="left" w:pos="5387"/>
          <w:tab w:val="left" w:pos="5954"/>
        </w:tabs>
        <w:ind w:left="4820"/>
        <w:rPr>
          <w:rFonts w:eastAsia="MS Mincho"/>
          <w:i/>
          <w:iCs/>
          <w:color w:val="000000"/>
          <w:lang w:val="fr-FR"/>
        </w:rPr>
      </w:pPr>
      <w:r w:rsidRPr="004C5121">
        <w:rPr>
          <w:rFonts w:eastAsia="MS Mincho"/>
          <w:i/>
          <w:iCs/>
          <w:color w:val="000000"/>
          <w:lang w:val="fr-FR"/>
        </w:rPr>
        <w:tab/>
      </w:r>
      <w:r>
        <w:rPr>
          <w:rFonts w:eastAsia="MS Mincho"/>
          <w:i/>
          <w:iCs/>
          <w:color w:val="000000"/>
          <w:lang w:val="fr-FR"/>
        </w:rPr>
        <w:t>a)</w:t>
      </w:r>
      <w:r>
        <w:rPr>
          <w:rFonts w:eastAsia="MS Mincho"/>
          <w:i/>
          <w:iCs/>
          <w:color w:val="000000"/>
          <w:lang w:val="fr-FR"/>
        </w:rPr>
        <w:tab/>
        <w:t>si le titr</w:t>
      </w:r>
      <w:r w:rsidRPr="004C5121">
        <w:rPr>
          <w:rFonts w:eastAsia="MS Mincho"/>
          <w:i/>
          <w:iCs/>
          <w:color w:val="000000"/>
          <w:lang w:val="fr-FR"/>
        </w:rPr>
        <w:t xml:space="preserve">e </w:t>
      </w:r>
      <w:r>
        <w:rPr>
          <w:rFonts w:eastAsia="MS Mincho"/>
          <w:i/>
          <w:iCs/>
          <w:color w:val="000000"/>
          <w:lang w:val="fr-FR"/>
        </w:rPr>
        <w:t xml:space="preserve">du </w:t>
      </w:r>
      <w:r w:rsidRPr="004C5121">
        <w:rPr>
          <w:rFonts w:eastAsia="MS Mincho"/>
          <w:i/>
          <w:iCs/>
          <w:color w:val="000000"/>
          <w:lang w:val="fr-FR"/>
        </w:rPr>
        <w:t xml:space="preserve">document UPOV/INF/16 </w:t>
      </w:r>
      <w:r w:rsidR="00FF1074">
        <w:rPr>
          <w:rFonts w:eastAsia="MS Mincho"/>
          <w:i/>
          <w:iCs/>
          <w:color w:val="000000"/>
          <w:lang w:val="fr-FR"/>
        </w:rPr>
        <w:t>“</w:t>
      </w:r>
      <w:r>
        <w:rPr>
          <w:rFonts w:eastAsia="MS Mincho"/>
          <w:i/>
          <w:iCs/>
          <w:color w:val="000000"/>
          <w:lang w:val="fr-FR"/>
        </w:rPr>
        <w:t>Logiciels échangeables</w:t>
      </w:r>
      <w:r w:rsidR="00FF1074">
        <w:rPr>
          <w:rFonts w:eastAsia="MS Mincho"/>
          <w:i/>
          <w:iCs/>
          <w:color w:val="000000"/>
          <w:lang w:val="fr-FR"/>
        </w:rPr>
        <w:t>”</w:t>
      </w:r>
      <w:r>
        <w:rPr>
          <w:rFonts w:eastAsia="MS Mincho"/>
          <w:i/>
          <w:iCs/>
          <w:color w:val="000000"/>
          <w:lang w:val="fr-FR"/>
        </w:rPr>
        <w:t xml:space="preserve"> et le texte de la </w:t>
      </w:r>
      <w:r w:rsidRPr="004C5121">
        <w:rPr>
          <w:rFonts w:eastAsia="MS Mincho"/>
          <w:i/>
          <w:iCs/>
          <w:color w:val="000000"/>
          <w:lang w:val="fr-FR"/>
        </w:rPr>
        <w:t>Section</w:t>
      </w:r>
      <w:r w:rsidR="0004183A">
        <w:rPr>
          <w:rFonts w:eastAsia="MS Mincho"/>
          <w:i/>
          <w:iCs/>
          <w:color w:val="000000"/>
          <w:lang w:val="fr-FR"/>
        </w:rPr>
        <w:t> </w:t>
      </w:r>
      <w:r w:rsidRPr="004C5121">
        <w:rPr>
          <w:rFonts w:eastAsia="MS Mincho"/>
          <w:i/>
          <w:iCs/>
          <w:color w:val="000000"/>
          <w:lang w:val="fr-FR"/>
        </w:rPr>
        <w:t xml:space="preserve">1 </w:t>
      </w:r>
      <w:r w:rsidR="00FF1074">
        <w:rPr>
          <w:rFonts w:eastAsia="MS Mincho"/>
          <w:i/>
          <w:iCs/>
          <w:color w:val="000000"/>
          <w:lang w:val="fr-FR"/>
        </w:rPr>
        <w:t>“</w:t>
      </w:r>
      <w:r w:rsidRPr="004C5121">
        <w:rPr>
          <w:rFonts w:eastAsia="MS Mincho"/>
          <w:i/>
          <w:iCs/>
          <w:color w:val="000000"/>
          <w:lang w:val="fr-FR"/>
        </w:rPr>
        <w:t>Exigences en ce qui concerne les logiciels échangeables</w:t>
      </w:r>
      <w:r w:rsidR="00FF1074">
        <w:rPr>
          <w:rFonts w:eastAsia="MS Mincho"/>
          <w:i/>
          <w:iCs/>
          <w:color w:val="000000"/>
          <w:lang w:val="fr-FR"/>
        </w:rPr>
        <w:t>”</w:t>
      </w:r>
      <w:r w:rsidRPr="004C5121">
        <w:rPr>
          <w:rFonts w:eastAsia="MS Mincho"/>
          <w:i/>
          <w:iCs/>
          <w:color w:val="000000"/>
          <w:lang w:val="fr-FR"/>
        </w:rPr>
        <w:t xml:space="preserve"> </w:t>
      </w:r>
      <w:r>
        <w:rPr>
          <w:rFonts w:eastAsia="MS Mincho"/>
          <w:i/>
          <w:iCs/>
          <w:color w:val="000000"/>
          <w:lang w:val="fr-FR"/>
        </w:rPr>
        <w:t xml:space="preserve">devraient demeurer inchangés car ce </w:t>
      </w:r>
      <w:r w:rsidRPr="004C5121">
        <w:rPr>
          <w:rFonts w:eastAsia="MS Mincho"/>
          <w:i/>
          <w:iCs/>
          <w:color w:val="000000"/>
          <w:lang w:val="fr-FR"/>
        </w:rPr>
        <w:t>document concerne les logiciels mis au point ou adaptés par un membre de l</w:t>
      </w:r>
      <w:r w:rsidR="00FF1074">
        <w:rPr>
          <w:rFonts w:eastAsia="MS Mincho"/>
          <w:i/>
          <w:iCs/>
          <w:color w:val="000000"/>
          <w:lang w:val="fr-FR"/>
        </w:rPr>
        <w:t>’</w:t>
      </w:r>
      <w:r w:rsidRPr="004C5121">
        <w:rPr>
          <w:rFonts w:eastAsia="MS Mincho"/>
          <w:i/>
          <w:iCs/>
          <w:color w:val="000000"/>
          <w:lang w:val="fr-FR"/>
        </w:rPr>
        <w:t>Union aux fins de l</w:t>
      </w:r>
      <w:r w:rsidR="00FF1074">
        <w:rPr>
          <w:rFonts w:eastAsia="MS Mincho"/>
          <w:i/>
          <w:iCs/>
          <w:color w:val="000000"/>
          <w:lang w:val="fr-FR"/>
        </w:rPr>
        <w:t>’</w:t>
      </w:r>
      <w:r w:rsidRPr="004C5121">
        <w:rPr>
          <w:rFonts w:eastAsia="MS Mincho"/>
          <w:i/>
          <w:iCs/>
          <w:color w:val="000000"/>
          <w:lang w:val="fr-FR"/>
        </w:rPr>
        <w:t xml:space="preserve">UPOV; </w:t>
      </w:r>
      <w:r w:rsidR="0004183A">
        <w:rPr>
          <w:rFonts w:eastAsia="MS Mincho"/>
          <w:i/>
          <w:iCs/>
          <w:color w:val="000000"/>
          <w:lang w:val="fr-FR"/>
        </w:rPr>
        <w:t xml:space="preserve"> </w:t>
      </w:r>
      <w:r w:rsidR="00AA3174">
        <w:rPr>
          <w:rFonts w:eastAsia="MS Mincho"/>
          <w:i/>
          <w:iCs/>
          <w:color w:val="000000"/>
          <w:lang w:val="fr-FR"/>
        </w:rPr>
        <w:t xml:space="preserve"> </w:t>
      </w:r>
      <w:r>
        <w:rPr>
          <w:rFonts w:eastAsia="MS Mincho"/>
          <w:i/>
          <w:iCs/>
          <w:color w:val="000000"/>
          <w:lang w:val="fr-FR"/>
        </w:rPr>
        <w:t>et</w:t>
      </w:r>
    </w:p>
    <w:p w:rsidR="00D145F3" w:rsidRPr="005E293B" w:rsidRDefault="00D145F3" w:rsidP="000511C9">
      <w:pPr>
        <w:tabs>
          <w:tab w:val="left" w:pos="5387"/>
          <w:tab w:val="left" w:pos="5954"/>
        </w:tabs>
        <w:ind w:left="4820"/>
        <w:rPr>
          <w:rFonts w:eastAsia="MS Mincho"/>
          <w:i/>
          <w:iCs/>
          <w:color w:val="000000"/>
          <w:lang w:val="fr-FR"/>
        </w:rPr>
      </w:pPr>
      <w:r w:rsidRPr="004C5121">
        <w:rPr>
          <w:rFonts w:eastAsia="MS Mincho"/>
          <w:i/>
          <w:iCs/>
          <w:color w:val="000000"/>
          <w:lang w:val="fr-FR"/>
        </w:rPr>
        <w:lastRenderedPageBreak/>
        <w:tab/>
      </w:r>
      <w:r w:rsidRPr="00EA3D1D">
        <w:rPr>
          <w:rFonts w:eastAsia="MS Mincho"/>
          <w:i/>
          <w:iCs/>
          <w:color w:val="000000"/>
          <w:lang w:val="fr-FR"/>
        </w:rPr>
        <w:t>b)</w:t>
      </w:r>
      <w:r w:rsidRPr="00EA3D1D">
        <w:rPr>
          <w:rFonts w:eastAsia="MS Mincho"/>
          <w:i/>
          <w:iCs/>
          <w:color w:val="000000"/>
          <w:lang w:val="fr-FR"/>
        </w:rPr>
        <w:tab/>
      </w:r>
      <w:r w:rsidRPr="005E293B">
        <w:rPr>
          <w:rFonts w:eastAsia="MS Mincho"/>
          <w:i/>
          <w:iCs/>
          <w:color w:val="000000"/>
          <w:lang w:val="fr-FR"/>
        </w:rPr>
        <w:t>s</w:t>
      </w:r>
      <w:r w:rsidR="00FF1074">
        <w:rPr>
          <w:rFonts w:eastAsia="MS Mincho"/>
          <w:i/>
          <w:iCs/>
          <w:color w:val="000000"/>
          <w:lang w:val="fr-FR"/>
        </w:rPr>
        <w:t>’</w:t>
      </w:r>
      <w:r w:rsidRPr="005E293B">
        <w:rPr>
          <w:rFonts w:eastAsia="MS Mincho"/>
          <w:i/>
          <w:iCs/>
          <w:color w:val="000000"/>
          <w:lang w:val="fr-FR"/>
        </w:rPr>
        <w:t>il serait utile pour le</w:t>
      </w:r>
      <w:r w:rsidR="00FF1074">
        <w:rPr>
          <w:rFonts w:eastAsia="MS Mincho"/>
          <w:i/>
          <w:iCs/>
          <w:color w:val="000000"/>
          <w:lang w:val="fr-FR"/>
        </w:rPr>
        <w:t> TC</w:t>
      </w:r>
      <w:r w:rsidRPr="005E293B">
        <w:rPr>
          <w:rFonts w:eastAsia="MS Mincho"/>
          <w:i/>
          <w:iCs/>
          <w:color w:val="000000"/>
          <w:lang w:val="fr-FR"/>
        </w:rPr>
        <w:t xml:space="preserve"> de chercher </w:t>
      </w:r>
      <w:r w:rsidRPr="005E293B">
        <w:rPr>
          <w:i/>
          <w:iCs/>
          <w:color w:val="000000"/>
          <w:lang w:val="fr-FR"/>
        </w:rPr>
        <w:t>à élaborer un document d</w:t>
      </w:r>
      <w:r w:rsidR="00FF1074">
        <w:rPr>
          <w:i/>
          <w:iCs/>
          <w:color w:val="000000"/>
          <w:lang w:val="fr-FR"/>
        </w:rPr>
        <w:t>’</w:t>
      </w:r>
      <w:r w:rsidRPr="005E293B">
        <w:rPr>
          <w:i/>
          <w:iCs/>
          <w:color w:val="000000"/>
          <w:lang w:val="fr-FR"/>
        </w:rPr>
        <w:t>information distinct qui permettrait aux membres de l</w:t>
      </w:r>
      <w:r w:rsidR="00FF1074">
        <w:rPr>
          <w:i/>
          <w:iCs/>
          <w:color w:val="000000"/>
          <w:lang w:val="fr-FR"/>
        </w:rPr>
        <w:t>’</w:t>
      </w:r>
      <w:r w:rsidRPr="005E293B">
        <w:rPr>
          <w:i/>
          <w:iCs/>
          <w:color w:val="000000"/>
          <w:lang w:val="fr-FR"/>
        </w:rPr>
        <w:t>Union de fournir des informations sur les logiciels et équipements non personnalisés</w:t>
      </w:r>
      <w:r w:rsidRPr="005E293B">
        <w:rPr>
          <w:rFonts w:eastAsia="MS Mincho"/>
          <w:i/>
          <w:iCs/>
          <w:color w:val="000000"/>
          <w:lang w:val="fr-FR"/>
        </w:rPr>
        <w:t xml:space="preserve"> (p.</w:t>
      </w:r>
      <w:r w:rsidR="0004183A">
        <w:rPr>
          <w:rFonts w:eastAsia="MS Mincho"/>
          <w:i/>
          <w:iCs/>
          <w:color w:val="000000"/>
          <w:lang w:val="fr-FR"/>
        </w:rPr>
        <w:t> </w:t>
      </w:r>
      <w:r w:rsidRPr="005E293B">
        <w:rPr>
          <w:rFonts w:eastAsia="MS Mincho"/>
          <w:i/>
          <w:iCs/>
          <w:color w:val="000000"/>
          <w:lang w:val="fr-FR"/>
        </w:rPr>
        <w:t xml:space="preserve">ex. </w:t>
      </w:r>
      <w:r w:rsidRPr="00CC51D3">
        <w:rPr>
          <w:i/>
          <w:iCs/>
          <w:color w:val="000000"/>
          <w:lang w:val="fr-FR"/>
        </w:rPr>
        <w:t>le matériel de saisie de données</w:t>
      </w:r>
      <w:r w:rsidRPr="005E293B">
        <w:rPr>
          <w:rFonts w:eastAsia="MS Mincho"/>
          <w:i/>
          <w:iCs/>
          <w:color w:val="000000"/>
          <w:lang w:val="fr-FR"/>
        </w:rPr>
        <w:t>)</w:t>
      </w:r>
      <w:r w:rsidRPr="005E293B">
        <w:rPr>
          <w:i/>
          <w:iCs/>
          <w:color w:val="000000"/>
          <w:lang w:val="fr-FR"/>
        </w:rPr>
        <w:t xml:space="preserve"> qui étaient utilisés par les membres de l</w:t>
      </w:r>
      <w:r w:rsidR="00FF1074">
        <w:rPr>
          <w:i/>
          <w:iCs/>
          <w:color w:val="000000"/>
          <w:lang w:val="fr-FR"/>
        </w:rPr>
        <w:t>’</w:t>
      </w:r>
      <w:r w:rsidRPr="005E293B">
        <w:rPr>
          <w:i/>
          <w:iCs/>
          <w:color w:val="000000"/>
          <w:lang w:val="fr-FR"/>
        </w:rPr>
        <w:t>Union</w:t>
      </w:r>
      <w:r w:rsidRPr="005E293B">
        <w:rPr>
          <w:rFonts w:eastAsia="MS Mincho"/>
          <w:i/>
          <w:iCs/>
          <w:color w:val="000000"/>
          <w:lang w:val="fr-FR"/>
        </w:rPr>
        <w:t>.</w:t>
      </w:r>
    </w:p>
    <w:p w:rsidR="00D145F3" w:rsidRPr="00EA3D1D" w:rsidRDefault="00D145F3" w:rsidP="0070011F">
      <w:pPr>
        <w:rPr>
          <w:lang w:val="fr-FR"/>
        </w:rPr>
      </w:pPr>
    </w:p>
    <w:p w:rsidR="00D145F3" w:rsidRPr="00EA3D1D" w:rsidRDefault="00D145F3" w:rsidP="0070011F">
      <w:pPr>
        <w:rPr>
          <w:lang w:val="fr-FR"/>
        </w:rPr>
      </w:pPr>
    </w:p>
    <w:p w:rsidR="00D145F3" w:rsidRPr="00EA3D1D" w:rsidRDefault="00D145F3" w:rsidP="0070011F">
      <w:pPr>
        <w:rPr>
          <w:lang w:val="fr-FR"/>
        </w:rPr>
      </w:pPr>
    </w:p>
    <w:p w:rsidR="00954C85" w:rsidRDefault="00D145F3" w:rsidP="00AA3174">
      <w:pPr>
        <w:pStyle w:val="Heading1"/>
        <w:rPr>
          <w:lang w:val="fr-FR"/>
        </w:rPr>
      </w:pPr>
      <w:bookmarkStart w:id="7" w:name="_Toc369099622"/>
      <w:r w:rsidRPr="00DC7480">
        <w:rPr>
          <w:lang w:val="fr-FR"/>
        </w:rPr>
        <w:t>ii.</w:t>
      </w:r>
      <w:r w:rsidRPr="00DC7480">
        <w:rPr>
          <w:lang w:val="fr-FR"/>
        </w:rPr>
        <w:tab/>
        <w:t>logiciels proposÉs pour inclusion dans le document upov/inf/16</w:t>
      </w:r>
      <w:bookmarkEnd w:id="7"/>
    </w:p>
    <w:p w:rsidR="00D145F3" w:rsidRPr="00DC7480" w:rsidRDefault="00D145F3" w:rsidP="0070011F">
      <w:pPr>
        <w:keepNext/>
        <w:rPr>
          <w:lang w:val="fr-FR"/>
        </w:rPr>
      </w:pPr>
    </w:p>
    <w:p w:rsidR="00D145F3" w:rsidRPr="00DC7480" w:rsidRDefault="00D145F3" w:rsidP="0070011F">
      <w:pPr>
        <w:keepNext/>
        <w:rPr>
          <w:lang w:val="fr-FR"/>
        </w:rPr>
      </w:pPr>
      <w:r w:rsidRPr="00DC7480">
        <w:rPr>
          <w:snapToGrid w:val="0"/>
          <w:lang w:val="fr-FR"/>
        </w:rPr>
        <w:fldChar w:fldCharType="begin"/>
      </w:r>
      <w:r w:rsidRPr="00DC7480">
        <w:rPr>
          <w:snapToGrid w:val="0"/>
          <w:lang w:val="fr-FR"/>
        </w:rPr>
        <w:instrText xml:space="preserve"> AUTONUM  </w:instrText>
      </w:r>
      <w:r w:rsidRPr="00DC7480">
        <w:rPr>
          <w:snapToGrid w:val="0"/>
          <w:lang w:val="fr-FR"/>
        </w:rPr>
        <w:fldChar w:fldCharType="end"/>
      </w:r>
      <w:r w:rsidRPr="00DC7480">
        <w:rPr>
          <w:snapToGrid w:val="0"/>
          <w:lang w:val="fr-FR"/>
        </w:rPr>
        <w:tab/>
        <w:t>La procédure d</w:t>
      </w:r>
      <w:r w:rsidR="00FF1074">
        <w:rPr>
          <w:snapToGrid w:val="0"/>
          <w:lang w:val="fr-FR"/>
        </w:rPr>
        <w:t>’</w:t>
      </w:r>
      <w:r w:rsidRPr="00DC7480">
        <w:rPr>
          <w:snapToGrid w:val="0"/>
          <w:lang w:val="fr-FR"/>
        </w:rPr>
        <w:t>examen des propositions d</w:t>
      </w:r>
      <w:r w:rsidR="00FF1074">
        <w:rPr>
          <w:snapToGrid w:val="0"/>
          <w:lang w:val="fr-FR"/>
        </w:rPr>
        <w:t>’</w:t>
      </w:r>
      <w:r w:rsidRPr="00DC7480">
        <w:rPr>
          <w:snapToGrid w:val="0"/>
          <w:lang w:val="fr-FR"/>
        </w:rPr>
        <w:t xml:space="preserve">incorporation des logiciels est décrite dans le document UPOV/INF/16/ </w:t>
      </w:r>
      <w:r w:rsidR="00FF1074">
        <w:rPr>
          <w:snapToGrid w:val="0"/>
          <w:lang w:val="fr-FR"/>
        </w:rPr>
        <w:t>“</w:t>
      </w:r>
      <w:r w:rsidRPr="00DC7480">
        <w:rPr>
          <w:snapToGrid w:val="0"/>
          <w:lang w:val="fr-FR"/>
        </w:rPr>
        <w:t>Logiciels échangeables</w:t>
      </w:r>
      <w:r w:rsidR="00FF1074">
        <w:rPr>
          <w:snapToGrid w:val="0"/>
          <w:lang w:val="fr-FR"/>
        </w:rPr>
        <w:t>”</w:t>
      </w:r>
      <w:r w:rsidRPr="00DC7480">
        <w:rPr>
          <w:snapToGrid w:val="0"/>
          <w:lang w:val="fr-FR"/>
        </w:rPr>
        <w:t>, comme suit</w:t>
      </w:r>
      <w:r w:rsidR="0004183A">
        <w:rPr>
          <w:snapToGrid w:val="0"/>
          <w:lang w:val="fr-FR"/>
        </w:rPr>
        <w:t> </w:t>
      </w:r>
      <w:r w:rsidRPr="00DC7480">
        <w:rPr>
          <w:lang w:val="fr-FR"/>
        </w:rPr>
        <w:t>:</w:t>
      </w:r>
    </w:p>
    <w:p w:rsidR="00D145F3" w:rsidRPr="00DC7480" w:rsidRDefault="00D145F3" w:rsidP="0070011F">
      <w:pPr>
        <w:keepNext/>
        <w:rPr>
          <w:snapToGrid w:val="0"/>
          <w:lang w:val="fr-FR"/>
        </w:rPr>
      </w:pPr>
    </w:p>
    <w:p w:rsidR="00954C85" w:rsidRDefault="00FF1074" w:rsidP="0070011F">
      <w:pPr>
        <w:keepNext/>
        <w:keepLines/>
        <w:ind w:left="567" w:right="288"/>
        <w:rPr>
          <w:snapToGrid w:val="0"/>
          <w:sz w:val="18"/>
          <w:szCs w:val="18"/>
          <w:u w:val="single"/>
          <w:lang w:val="fr-FR"/>
        </w:rPr>
      </w:pPr>
      <w:r>
        <w:rPr>
          <w:snapToGrid w:val="0"/>
          <w:sz w:val="18"/>
          <w:szCs w:val="18"/>
          <w:lang w:val="fr-FR"/>
        </w:rPr>
        <w:t>“</w:t>
      </w:r>
      <w:r w:rsidR="00D145F3" w:rsidRPr="00DC7480">
        <w:rPr>
          <w:snapToGrid w:val="0"/>
          <w:sz w:val="18"/>
          <w:szCs w:val="18"/>
          <w:lang w:val="fr-FR"/>
        </w:rPr>
        <w:t>2.</w:t>
      </w:r>
      <w:r w:rsidR="00D145F3" w:rsidRPr="00DC7480">
        <w:rPr>
          <w:snapToGrid w:val="0"/>
          <w:sz w:val="18"/>
          <w:szCs w:val="18"/>
          <w:lang w:val="fr-FR"/>
        </w:rPr>
        <w:tab/>
      </w:r>
      <w:r w:rsidR="00D145F3" w:rsidRPr="00DC7480">
        <w:rPr>
          <w:snapToGrid w:val="0"/>
          <w:sz w:val="18"/>
          <w:szCs w:val="18"/>
          <w:u w:val="single"/>
          <w:lang w:val="fr-FR"/>
        </w:rPr>
        <w:t>Procédure à suivre pour inclure des logiciel</w:t>
      </w:r>
      <w:r w:rsidR="00D145F3">
        <w:rPr>
          <w:snapToGrid w:val="0"/>
          <w:sz w:val="18"/>
          <w:szCs w:val="18"/>
          <w:u w:val="single"/>
          <w:lang w:val="fr-FR"/>
        </w:rPr>
        <w:t>s</w:t>
      </w:r>
    </w:p>
    <w:p w:rsidR="00D145F3" w:rsidRPr="00DC7480" w:rsidRDefault="00D145F3" w:rsidP="0070011F">
      <w:pPr>
        <w:keepNext/>
        <w:keepLines/>
        <w:ind w:left="567" w:right="288"/>
        <w:rPr>
          <w:snapToGrid w:val="0"/>
          <w:sz w:val="18"/>
          <w:szCs w:val="18"/>
          <w:u w:val="single"/>
          <w:lang w:val="fr-FR"/>
        </w:rPr>
      </w:pPr>
    </w:p>
    <w:p w:rsidR="00D145F3" w:rsidRPr="00DC7480" w:rsidRDefault="00FF1074" w:rsidP="00DC7480">
      <w:pPr>
        <w:ind w:left="567" w:right="567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  <w:lang w:val="fr-FR"/>
        </w:rPr>
        <w:t>“</w:t>
      </w:r>
      <w:r w:rsidR="00D145F3" w:rsidRPr="00DC7480">
        <w:rPr>
          <w:snapToGrid w:val="0"/>
          <w:sz w:val="18"/>
          <w:szCs w:val="18"/>
          <w:lang w:val="fr-FR"/>
        </w:rPr>
        <w:t>Les logiciels qu</w:t>
      </w:r>
      <w:r>
        <w:rPr>
          <w:snapToGrid w:val="0"/>
          <w:sz w:val="18"/>
          <w:szCs w:val="18"/>
          <w:lang w:val="fr-FR"/>
        </w:rPr>
        <w:t>’</w:t>
      </w:r>
      <w:r w:rsidR="00D145F3" w:rsidRPr="00DC7480">
        <w:rPr>
          <w:snapToGrid w:val="0"/>
          <w:sz w:val="18"/>
          <w:szCs w:val="18"/>
          <w:lang w:val="fr-FR"/>
        </w:rPr>
        <w:t>il est proposé d</w:t>
      </w:r>
      <w:r>
        <w:rPr>
          <w:snapToGrid w:val="0"/>
          <w:sz w:val="18"/>
          <w:szCs w:val="18"/>
          <w:lang w:val="fr-FR"/>
        </w:rPr>
        <w:t>’</w:t>
      </w:r>
      <w:r w:rsidR="00D145F3" w:rsidRPr="00DC7480">
        <w:rPr>
          <w:snapToGrid w:val="0"/>
          <w:sz w:val="18"/>
          <w:szCs w:val="18"/>
          <w:lang w:val="fr-FR"/>
        </w:rPr>
        <w:t>inclure dans le document UPOV/INF/16 par les membres de l</w:t>
      </w:r>
      <w:r>
        <w:rPr>
          <w:snapToGrid w:val="0"/>
          <w:sz w:val="18"/>
          <w:szCs w:val="18"/>
          <w:lang w:val="fr-FR"/>
        </w:rPr>
        <w:t>’</w:t>
      </w:r>
      <w:r w:rsidR="00D145F3" w:rsidRPr="00DC7480">
        <w:rPr>
          <w:snapToGrid w:val="0"/>
          <w:sz w:val="18"/>
          <w:szCs w:val="18"/>
          <w:lang w:val="fr-FR"/>
        </w:rPr>
        <w:t>Union sont tout d</w:t>
      </w:r>
      <w:r>
        <w:rPr>
          <w:snapToGrid w:val="0"/>
          <w:sz w:val="18"/>
          <w:szCs w:val="18"/>
          <w:lang w:val="fr-FR"/>
        </w:rPr>
        <w:t>’</w:t>
      </w:r>
      <w:r w:rsidR="00D145F3" w:rsidRPr="00DC7480">
        <w:rPr>
          <w:snapToGrid w:val="0"/>
          <w:sz w:val="18"/>
          <w:szCs w:val="18"/>
          <w:lang w:val="fr-FR"/>
        </w:rPr>
        <w:t>abord soumis pour examen au Groupe de travail technique sur les systèmes d</w:t>
      </w:r>
      <w:r>
        <w:rPr>
          <w:snapToGrid w:val="0"/>
          <w:sz w:val="18"/>
          <w:szCs w:val="18"/>
          <w:lang w:val="fr-FR"/>
        </w:rPr>
        <w:t>’</w:t>
      </w:r>
      <w:r w:rsidR="00D145F3" w:rsidRPr="00DC7480">
        <w:rPr>
          <w:snapToGrid w:val="0"/>
          <w:sz w:val="18"/>
          <w:szCs w:val="18"/>
          <w:lang w:val="fr-FR"/>
        </w:rPr>
        <w:t>automatisation et les programmes d</w:t>
      </w:r>
      <w:r>
        <w:rPr>
          <w:snapToGrid w:val="0"/>
          <w:sz w:val="18"/>
          <w:szCs w:val="18"/>
          <w:lang w:val="fr-FR"/>
        </w:rPr>
        <w:t>’</w:t>
      </w:r>
      <w:r w:rsidR="00D145F3" w:rsidRPr="00DC7480">
        <w:rPr>
          <w:snapToGrid w:val="0"/>
          <w:sz w:val="18"/>
          <w:szCs w:val="18"/>
          <w:lang w:val="fr-FR"/>
        </w:rPr>
        <w:t>ordinateur (TWC).</w:t>
      </w:r>
      <w:r w:rsidR="00D145F3">
        <w:rPr>
          <w:snapToGrid w:val="0"/>
          <w:sz w:val="18"/>
          <w:szCs w:val="18"/>
          <w:lang w:val="fr-FR"/>
        </w:rPr>
        <w:t xml:space="preserve"> </w:t>
      </w:r>
      <w:r w:rsidR="0004183A">
        <w:rPr>
          <w:snapToGrid w:val="0"/>
          <w:sz w:val="18"/>
          <w:szCs w:val="18"/>
          <w:lang w:val="fr-FR"/>
        </w:rPr>
        <w:t xml:space="preserve"> </w:t>
      </w:r>
      <w:r w:rsidR="00D145F3" w:rsidRPr="00DC7480">
        <w:rPr>
          <w:snapToGrid w:val="0"/>
          <w:sz w:val="18"/>
          <w:szCs w:val="18"/>
          <w:lang w:val="fr-FR"/>
        </w:rPr>
        <w:t>En fonction des logiciels présentés et de l</w:t>
      </w:r>
      <w:r>
        <w:rPr>
          <w:snapToGrid w:val="0"/>
          <w:sz w:val="18"/>
          <w:szCs w:val="18"/>
          <w:lang w:val="fr-FR"/>
        </w:rPr>
        <w:t>’</w:t>
      </w:r>
      <w:r w:rsidR="00D145F3" w:rsidRPr="00DC7480">
        <w:rPr>
          <w:snapToGrid w:val="0"/>
          <w:sz w:val="18"/>
          <w:szCs w:val="18"/>
          <w:lang w:val="fr-FR"/>
        </w:rPr>
        <w:t>expérience des membres de l</w:t>
      </w:r>
      <w:r>
        <w:rPr>
          <w:snapToGrid w:val="0"/>
          <w:sz w:val="18"/>
          <w:szCs w:val="18"/>
          <w:lang w:val="fr-FR"/>
        </w:rPr>
        <w:t>’</w:t>
      </w:r>
      <w:r w:rsidR="00D145F3" w:rsidRPr="00DC7480">
        <w:rPr>
          <w:snapToGrid w:val="0"/>
          <w:sz w:val="18"/>
          <w:szCs w:val="18"/>
          <w:lang w:val="fr-FR"/>
        </w:rPr>
        <w:t>Union, le TWC formule une recommandation au Comité technique (TC) en ce qui concerne la mention éventuelle de ces logiciels dans le document UPOV/INF/16.</w:t>
      </w:r>
      <w:r w:rsidR="00D145F3">
        <w:rPr>
          <w:snapToGrid w:val="0"/>
          <w:sz w:val="18"/>
          <w:szCs w:val="18"/>
          <w:lang w:val="fr-FR"/>
        </w:rPr>
        <w:t xml:space="preserve"> </w:t>
      </w:r>
      <w:r w:rsidR="0004183A">
        <w:rPr>
          <w:snapToGrid w:val="0"/>
          <w:sz w:val="18"/>
          <w:szCs w:val="18"/>
          <w:lang w:val="fr-FR"/>
        </w:rPr>
        <w:t xml:space="preserve"> </w:t>
      </w:r>
      <w:r w:rsidR="00D145F3" w:rsidRPr="00DC7480">
        <w:rPr>
          <w:snapToGrid w:val="0"/>
          <w:sz w:val="18"/>
          <w:szCs w:val="18"/>
          <w:lang w:val="fr-FR"/>
        </w:rPr>
        <w:t>Si le</w:t>
      </w:r>
      <w:r>
        <w:rPr>
          <w:snapToGrid w:val="0"/>
          <w:sz w:val="18"/>
          <w:szCs w:val="18"/>
          <w:lang w:val="fr-FR"/>
        </w:rPr>
        <w:t> TC</w:t>
      </w:r>
      <w:r w:rsidR="00D145F3" w:rsidRPr="00DC7480">
        <w:rPr>
          <w:snapToGrid w:val="0"/>
          <w:sz w:val="18"/>
          <w:szCs w:val="18"/>
          <w:lang w:val="fr-FR"/>
        </w:rPr>
        <w:t xml:space="preserve"> et le Comité administratif et juridique (CAJ) formulent une recommandation positive, les logiciels seront mentionnés dans un projet de document UPOV/INF/16, qui sera examiné par le Conseil en vue de son adoption.</w:t>
      </w:r>
      <w:r w:rsidR="00D145F3">
        <w:rPr>
          <w:snapToGrid w:val="0"/>
          <w:sz w:val="18"/>
          <w:szCs w:val="18"/>
          <w:lang w:val="fr-FR"/>
        </w:rPr>
        <w:t xml:space="preserve">  </w:t>
      </w:r>
      <w:r w:rsidR="00D145F3" w:rsidRPr="00DC7480">
        <w:rPr>
          <w:snapToGrid w:val="0"/>
          <w:sz w:val="18"/>
          <w:szCs w:val="18"/>
        </w:rPr>
        <w:t>Le document UPOV/INF/16 est adopté par le Conseil</w:t>
      </w:r>
      <w:r w:rsidR="00AA3174">
        <w:rPr>
          <w:snapToGrid w:val="0"/>
          <w:sz w:val="18"/>
          <w:szCs w:val="18"/>
        </w:rPr>
        <w:t>.</w:t>
      </w:r>
      <w:r>
        <w:rPr>
          <w:snapToGrid w:val="0"/>
          <w:sz w:val="18"/>
          <w:szCs w:val="18"/>
        </w:rPr>
        <w:t>”</w:t>
      </w:r>
    </w:p>
    <w:p w:rsidR="00D145F3" w:rsidRPr="00DC7480" w:rsidRDefault="00D145F3" w:rsidP="009237AB">
      <w:pPr>
        <w:rPr>
          <w:snapToGrid w:val="0"/>
        </w:rPr>
      </w:pPr>
    </w:p>
    <w:p w:rsidR="00D145F3" w:rsidRPr="007A6DEB" w:rsidRDefault="00D145F3" w:rsidP="008578D1">
      <w:pPr>
        <w:rPr>
          <w:color w:val="000000"/>
          <w:lang w:val="fr-FR"/>
        </w:rPr>
      </w:pPr>
      <w:r w:rsidRPr="00DC7480">
        <w:rPr>
          <w:lang w:val="fr-FR"/>
        </w:rPr>
        <w:fldChar w:fldCharType="begin"/>
      </w:r>
      <w:r w:rsidRPr="00DC7480">
        <w:rPr>
          <w:lang w:val="fr-FR"/>
        </w:rPr>
        <w:instrText xml:space="preserve"> AUTONUM  </w:instrText>
      </w:r>
      <w:r w:rsidRPr="00DC7480">
        <w:rPr>
          <w:lang w:val="fr-FR"/>
        </w:rPr>
        <w:fldChar w:fldCharType="end"/>
      </w:r>
      <w:r w:rsidRPr="00DC7480">
        <w:rPr>
          <w:lang w:val="fr-FR"/>
        </w:rPr>
        <w:tab/>
      </w:r>
      <w:r w:rsidRPr="00974BF5">
        <w:rPr>
          <w:lang w:val="fr-FR"/>
        </w:rPr>
        <w:t>À</w:t>
      </w:r>
      <w:r w:rsidRPr="00DC7480">
        <w:rPr>
          <w:lang w:val="fr-FR"/>
        </w:rPr>
        <w:t xml:space="preserve"> sa quarante</w:t>
      </w:r>
      <w:r w:rsidR="00014DCB">
        <w:rPr>
          <w:lang w:val="fr-FR"/>
        </w:rPr>
        <w:noBreakHyphen/>
      </w:r>
      <w:r w:rsidRPr="00DC7480">
        <w:rPr>
          <w:lang w:val="fr-FR"/>
        </w:rPr>
        <w:t>neuvième</w:t>
      </w:r>
      <w:r w:rsidR="0004183A">
        <w:rPr>
          <w:lang w:val="fr-FR"/>
        </w:rPr>
        <w:t> </w:t>
      </w:r>
      <w:r w:rsidRPr="00DC7480">
        <w:rPr>
          <w:lang w:val="fr-FR"/>
        </w:rPr>
        <w:t>session, le</w:t>
      </w:r>
      <w:r w:rsidR="00FF1074">
        <w:rPr>
          <w:lang w:val="fr-FR"/>
        </w:rPr>
        <w:t> TC</w:t>
      </w:r>
      <w:r w:rsidRPr="00DC7480">
        <w:rPr>
          <w:lang w:val="fr-FR"/>
        </w:rPr>
        <w:t xml:space="preserve"> a fait sienne la </w:t>
      </w:r>
      <w:r w:rsidRPr="00DC7480">
        <w:rPr>
          <w:color w:val="000000"/>
          <w:lang w:val="fr-FR"/>
        </w:rPr>
        <w:t>recommandation du Groupe de travail technique sur les systèmes d</w:t>
      </w:r>
      <w:r w:rsidR="00FF1074">
        <w:rPr>
          <w:color w:val="000000"/>
          <w:lang w:val="fr-FR"/>
        </w:rPr>
        <w:t>’</w:t>
      </w:r>
      <w:r w:rsidRPr="00DC7480">
        <w:rPr>
          <w:color w:val="000000"/>
          <w:lang w:val="fr-FR"/>
        </w:rPr>
        <w:t>automatisation et les programmes d</w:t>
      </w:r>
      <w:r w:rsidR="00FF1074">
        <w:rPr>
          <w:color w:val="000000"/>
          <w:lang w:val="fr-FR"/>
        </w:rPr>
        <w:t>’</w:t>
      </w:r>
      <w:r w:rsidRPr="00DC7480">
        <w:rPr>
          <w:color w:val="000000"/>
          <w:lang w:val="fr-FR"/>
        </w:rPr>
        <w:t xml:space="preserve">ordinateur (TWC), à sa trentième session tenue à Chisinau (République de Moldova), </w:t>
      </w:r>
      <w:r>
        <w:rPr>
          <w:color w:val="000000"/>
          <w:lang w:val="fr-FR"/>
        </w:rPr>
        <w:t xml:space="preserve">tenue </w:t>
      </w:r>
      <w:r w:rsidRPr="00DC7480">
        <w:rPr>
          <w:color w:val="000000"/>
          <w:lang w:val="fr-FR"/>
        </w:rPr>
        <w:t xml:space="preserve">du 26 au 29 juin 2012, </w:t>
      </w:r>
      <w:r w:rsidRPr="005E293B">
        <w:rPr>
          <w:color w:val="000000"/>
          <w:lang w:val="fr-FR"/>
        </w:rPr>
        <w:t>concernant l</w:t>
      </w:r>
      <w:r w:rsidR="00FF1074">
        <w:rPr>
          <w:color w:val="000000"/>
          <w:lang w:val="fr-FR"/>
        </w:rPr>
        <w:t>’</w:t>
      </w:r>
      <w:r w:rsidRPr="005E293B">
        <w:rPr>
          <w:color w:val="000000"/>
          <w:lang w:val="fr-FR"/>
        </w:rPr>
        <w:t xml:space="preserve">inclusion du document </w:t>
      </w:r>
      <w:r w:rsidR="00FF1074">
        <w:rPr>
          <w:color w:val="000000"/>
          <w:lang w:val="fr-FR"/>
        </w:rPr>
        <w:t>“</w:t>
      </w:r>
      <w:r w:rsidRPr="005E293B">
        <w:rPr>
          <w:color w:val="000000"/>
          <w:lang w:val="fr-FR"/>
        </w:rPr>
        <w:t>Information System (IS) used for Test and Protection of Plant Varieties in the Russian Federation</w:t>
      </w:r>
      <w:r w:rsidR="00FF1074">
        <w:rPr>
          <w:color w:val="000000"/>
          <w:lang w:val="fr-FR"/>
        </w:rPr>
        <w:t>”</w:t>
      </w:r>
      <w:r w:rsidRPr="005E293B">
        <w:rPr>
          <w:color w:val="000000"/>
          <w:lang w:val="fr-FR"/>
        </w:rPr>
        <w:t xml:space="preserve"> dans le document UPOV/INF/16, comme indiqué </w:t>
      </w:r>
      <w:r>
        <w:rPr>
          <w:color w:val="000000"/>
          <w:lang w:val="fr-FR"/>
        </w:rPr>
        <w:t>au</w:t>
      </w:r>
      <w:r w:rsidRPr="005E293B">
        <w:rPr>
          <w:color w:val="000000"/>
          <w:lang w:val="fr-FR"/>
        </w:rPr>
        <w:t xml:space="preserve"> paragraphe 18 du </w:t>
      </w:r>
      <w:r w:rsidR="00FF1074" w:rsidRPr="005E293B">
        <w:rPr>
          <w:color w:val="000000"/>
          <w:lang w:val="fr-FR"/>
        </w:rPr>
        <w:t>document</w:t>
      </w:r>
      <w:r w:rsidR="00FF1074">
        <w:rPr>
          <w:color w:val="000000"/>
          <w:lang w:val="fr-FR"/>
        </w:rPr>
        <w:t xml:space="preserve"> TC</w:t>
      </w:r>
      <w:r w:rsidRPr="005E293B">
        <w:rPr>
          <w:color w:val="000000"/>
          <w:lang w:val="fr-FR"/>
        </w:rPr>
        <w:t xml:space="preserve">/49/12. </w:t>
      </w:r>
      <w:r w:rsidR="0004183A">
        <w:rPr>
          <w:color w:val="000000"/>
          <w:lang w:val="fr-FR"/>
        </w:rPr>
        <w:t xml:space="preserve"> </w:t>
      </w:r>
      <w:r>
        <w:rPr>
          <w:color w:val="000000"/>
          <w:lang w:val="fr-FR"/>
        </w:rPr>
        <w:t>Le</w:t>
      </w:r>
      <w:r w:rsidR="00FF1074">
        <w:rPr>
          <w:color w:val="000000"/>
          <w:lang w:val="fr-FR"/>
        </w:rPr>
        <w:t> TC</w:t>
      </w:r>
      <w:r w:rsidRPr="007A6DEB">
        <w:rPr>
          <w:color w:val="000000"/>
          <w:lang w:val="fr-FR"/>
        </w:rPr>
        <w:t xml:space="preserve"> a par ailleurs </w:t>
      </w:r>
      <w:r>
        <w:rPr>
          <w:color w:val="000000"/>
          <w:lang w:val="fr-FR"/>
        </w:rPr>
        <w:t xml:space="preserve">demandé </w:t>
      </w:r>
      <w:r w:rsidRPr="007A6DEB">
        <w:rPr>
          <w:color w:val="000000"/>
          <w:lang w:val="fr-FR"/>
        </w:rPr>
        <w:t>au Bureau de l</w:t>
      </w:r>
      <w:r w:rsidR="00FF1074">
        <w:rPr>
          <w:color w:val="000000"/>
          <w:lang w:val="fr-FR"/>
        </w:rPr>
        <w:t>’</w:t>
      </w:r>
      <w:r w:rsidRPr="007A6DEB">
        <w:rPr>
          <w:color w:val="000000"/>
          <w:lang w:val="fr-FR"/>
        </w:rPr>
        <w:t>Union d</w:t>
      </w:r>
      <w:r w:rsidR="00FF1074">
        <w:rPr>
          <w:color w:val="000000"/>
          <w:lang w:val="fr-FR"/>
        </w:rPr>
        <w:t>’</w:t>
      </w:r>
      <w:r w:rsidRPr="007A6DEB">
        <w:rPr>
          <w:color w:val="000000"/>
          <w:lang w:val="fr-FR"/>
        </w:rPr>
        <w:t>étudier la possibilité de traduire en anglais les interfaces d</w:t>
      </w:r>
      <w:r w:rsidR="00FF1074">
        <w:rPr>
          <w:color w:val="000000"/>
          <w:lang w:val="fr-FR"/>
        </w:rPr>
        <w:t>’</w:t>
      </w:r>
      <w:r w:rsidRPr="007A6DEB">
        <w:rPr>
          <w:color w:val="000000"/>
          <w:lang w:val="fr-FR"/>
        </w:rPr>
        <w:t>utilisateur et le manuel d</w:t>
      </w:r>
      <w:r w:rsidR="00FF1074">
        <w:rPr>
          <w:color w:val="000000"/>
          <w:lang w:val="fr-FR"/>
        </w:rPr>
        <w:t>’</w:t>
      </w:r>
      <w:r w:rsidRPr="007A6DEB">
        <w:rPr>
          <w:color w:val="000000"/>
          <w:lang w:val="fr-FR"/>
        </w:rPr>
        <w:t xml:space="preserve">utilisation, </w:t>
      </w:r>
      <w:r>
        <w:rPr>
          <w:color w:val="000000"/>
          <w:lang w:val="fr-FR"/>
        </w:rPr>
        <w:t xml:space="preserve">étant </w:t>
      </w:r>
      <w:r w:rsidRPr="007A6DEB">
        <w:rPr>
          <w:color w:val="000000"/>
          <w:lang w:val="fr-FR"/>
        </w:rPr>
        <w:t>entendu que la Fédération de Russie vérifier</w:t>
      </w:r>
      <w:r>
        <w:rPr>
          <w:color w:val="000000"/>
          <w:lang w:val="fr-FR"/>
        </w:rPr>
        <w:t>ait</w:t>
      </w:r>
      <w:r w:rsidRPr="007A6DEB">
        <w:rPr>
          <w:color w:val="000000"/>
          <w:lang w:val="fr-FR"/>
        </w:rPr>
        <w:t xml:space="preserve"> la traduction fournie par le Bureau de l</w:t>
      </w:r>
      <w:r w:rsidR="00FF1074">
        <w:rPr>
          <w:color w:val="000000"/>
          <w:lang w:val="fr-FR"/>
        </w:rPr>
        <w:t>’</w:t>
      </w:r>
      <w:r w:rsidRPr="007A6DEB">
        <w:rPr>
          <w:color w:val="000000"/>
          <w:lang w:val="fr-FR"/>
        </w:rPr>
        <w:t>Union.</w:t>
      </w:r>
    </w:p>
    <w:p w:rsidR="00D145F3" w:rsidRPr="007A6DEB" w:rsidRDefault="00D145F3" w:rsidP="008578D1">
      <w:pPr>
        <w:rPr>
          <w:lang w:val="fr-FR"/>
        </w:rPr>
      </w:pPr>
    </w:p>
    <w:p w:rsidR="00954C85" w:rsidRDefault="00D145F3" w:rsidP="007A6DEB">
      <w:pPr>
        <w:rPr>
          <w:color w:val="000000"/>
          <w:lang w:val="fr-FR"/>
        </w:rPr>
      </w:pPr>
      <w:r w:rsidRPr="007A6DEB">
        <w:rPr>
          <w:lang w:val="fr-FR"/>
        </w:rPr>
        <w:fldChar w:fldCharType="begin"/>
      </w:r>
      <w:r w:rsidRPr="007A6DEB">
        <w:rPr>
          <w:lang w:val="fr-FR"/>
        </w:rPr>
        <w:instrText xml:space="preserve"> AUTONUM  </w:instrText>
      </w:r>
      <w:r w:rsidRPr="007A6DEB">
        <w:rPr>
          <w:lang w:val="fr-FR"/>
        </w:rPr>
        <w:fldChar w:fldCharType="end"/>
      </w:r>
      <w:r w:rsidRPr="007A6DEB">
        <w:rPr>
          <w:lang w:val="fr-FR"/>
        </w:rPr>
        <w:tab/>
      </w:r>
      <w:r w:rsidRPr="00974BF5">
        <w:rPr>
          <w:lang w:val="fr-FR"/>
        </w:rPr>
        <w:t>À</w:t>
      </w:r>
      <w:r w:rsidRPr="007A6DEB">
        <w:rPr>
          <w:lang w:val="fr-FR"/>
        </w:rPr>
        <w:t xml:space="preserve"> sa quarante</w:t>
      </w:r>
      <w:r w:rsidR="00014DCB">
        <w:rPr>
          <w:lang w:val="fr-FR"/>
        </w:rPr>
        <w:noBreakHyphen/>
      </w:r>
      <w:r w:rsidRPr="007A6DEB">
        <w:rPr>
          <w:lang w:val="fr-FR"/>
        </w:rPr>
        <w:t>neuvième</w:t>
      </w:r>
      <w:r w:rsidR="0004183A">
        <w:rPr>
          <w:lang w:val="fr-FR"/>
        </w:rPr>
        <w:t> </w:t>
      </w:r>
      <w:r w:rsidRPr="007A6DEB">
        <w:rPr>
          <w:lang w:val="fr-FR"/>
        </w:rPr>
        <w:t>session, le</w:t>
      </w:r>
      <w:r w:rsidR="00FF1074">
        <w:rPr>
          <w:lang w:val="fr-FR"/>
        </w:rPr>
        <w:t> TC</w:t>
      </w:r>
      <w:r w:rsidRPr="007A6DEB">
        <w:rPr>
          <w:lang w:val="fr-FR"/>
        </w:rPr>
        <w:t xml:space="preserve"> a fait sienne la recommandation</w:t>
      </w:r>
      <w:r w:rsidR="00954C85" w:rsidRPr="007A6DEB">
        <w:rPr>
          <w:lang w:val="fr-FR"/>
        </w:rPr>
        <w:t xml:space="preserve"> du</w:t>
      </w:r>
      <w:r w:rsidR="00954C85">
        <w:rPr>
          <w:lang w:val="fr-FR"/>
        </w:rPr>
        <w:t> </w:t>
      </w:r>
      <w:r w:rsidR="00954C85" w:rsidRPr="007A6DEB">
        <w:rPr>
          <w:lang w:val="fr-FR"/>
        </w:rPr>
        <w:t>TWC</w:t>
      </w:r>
      <w:r w:rsidRPr="007A6DEB">
        <w:rPr>
          <w:lang w:val="fr-FR"/>
        </w:rPr>
        <w:t>, à sa trentième</w:t>
      </w:r>
      <w:r w:rsidR="0004183A">
        <w:rPr>
          <w:lang w:val="fr-FR"/>
        </w:rPr>
        <w:t> </w:t>
      </w:r>
      <w:r w:rsidRPr="007A6DEB">
        <w:rPr>
          <w:lang w:val="fr-FR"/>
        </w:rPr>
        <w:t>session, concernant l</w:t>
      </w:r>
      <w:r w:rsidR="00FF1074">
        <w:rPr>
          <w:lang w:val="fr-FR"/>
        </w:rPr>
        <w:t>’</w:t>
      </w:r>
      <w:r w:rsidRPr="007A6DEB">
        <w:rPr>
          <w:lang w:val="fr-FR"/>
        </w:rPr>
        <w:t>inclusion du logiciel AIM de la France dans le document UPOV/INF/16</w:t>
      </w:r>
      <w:r>
        <w:rPr>
          <w:lang w:val="fr-FR"/>
        </w:rPr>
        <w:t xml:space="preserve"> comme indiqué au</w:t>
      </w:r>
      <w:r w:rsidRPr="007A6DEB">
        <w:rPr>
          <w:lang w:val="fr-FR"/>
        </w:rPr>
        <w:t xml:space="preserve"> paragraph</w:t>
      </w:r>
      <w:r>
        <w:rPr>
          <w:lang w:val="fr-FR"/>
        </w:rPr>
        <w:t>e</w:t>
      </w:r>
      <w:r w:rsidRPr="007A6DEB">
        <w:rPr>
          <w:lang w:val="fr-FR"/>
        </w:rPr>
        <w:t xml:space="preserve"> 19 </w:t>
      </w:r>
      <w:r>
        <w:rPr>
          <w:lang w:val="fr-FR"/>
        </w:rPr>
        <w:t>du</w:t>
      </w:r>
      <w:r w:rsidRPr="007A6DEB">
        <w:rPr>
          <w:lang w:val="fr-FR"/>
        </w:rPr>
        <w:t xml:space="preserve"> </w:t>
      </w:r>
      <w:r w:rsidR="00FF1074" w:rsidRPr="007A6DEB">
        <w:rPr>
          <w:lang w:val="fr-FR"/>
        </w:rPr>
        <w:t>document</w:t>
      </w:r>
      <w:r w:rsidR="00FF1074">
        <w:rPr>
          <w:lang w:val="fr-FR"/>
        </w:rPr>
        <w:t xml:space="preserve"> TC</w:t>
      </w:r>
      <w:r w:rsidRPr="007A6DEB">
        <w:rPr>
          <w:color w:val="000000"/>
          <w:lang w:val="fr-FR"/>
        </w:rPr>
        <w:t xml:space="preserve">/49/12. </w:t>
      </w:r>
      <w:r w:rsidR="0004183A">
        <w:rPr>
          <w:color w:val="000000"/>
          <w:lang w:val="fr-FR"/>
        </w:rPr>
        <w:t xml:space="preserve"> </w:t>
      </w:r>
      <w:r w:rsidRPr="007A6DEB">
        <w:rPr>
          <w:color w:val="000000"/>
          <w:lang w:val="fr-FR"/>
        </w:rPr>
        <w:t>Le</w:t>
      </w:r>
      <w:r w:rsidR="00FF1074">
        <w:rPr>
          <w:color w:val="000000"/>
          <w:lang w:val="fr-FR"/>
        </w:rPr>
        <w:t> TC</w:t>
      </w:r>
      <w:r w:rsidRPr="007A6DEB">
        <w:rPr>
          <w:color w:val="000000"/>
          <w:lang w:val="fr-FR"/>
        </w:rPr>
        <w:t xml:space="preserve"> a par ailleurs </w:t>
      </w:r>
      <w:r>
        <w:rPr>
          <w:color w:val="000000"/>
          <w:lang w:val="fr-FR"/>
        </w:rPr>
        <w:t xml:space="preserve">demandé </w:t>
      </w:r>
      <w:r w:rsidRPr="007A6DEB">
        <w:rPr>
          <w:color w:val="000000"/>
          <w:lang w:val="fr-FR"/>
        </w:rPr>
        <w:t>au Bureau de l</w:t>
      </w:r>
      <w:r w:rsidR="00FF1074">
        <w:rPr>
          <w:color w:val="000000"/>
          <w:lang w:val="fr-FR"/>
        </w:rPr>
        <w:t>’</w:t>
      </w:r>
      <w:r w:rsidRPr="007A6DEB">
        <w:rPr>
          <w:color w:val="000000"/>
          <w:lang w:val="fr-FR"/>
        </w:rPr>
        <w:t>Union de traduire</w:t>
      </w:r>
      <w:r>
        <w:rPr>
          <w:color w:val="000000"/>
          <w:lang w:val="fr-FR"/>
        </w:rPr>
        <w:t xml:space="preserve"> le logiciel en anglais d</w:t>
      </w:r>
      <w:r w:rsidRPr="007A6DEB">
        <w:rPr>
          <w:color w:val="000000"/>
          <w:lang w:val="fr-FR"/>
        </w:rPr>
        <w:t>es interfaces d</w:t>
      </w:r>
      <w:r w:rsidR="00FF1074">
        <w:rPr>
          <w:color w:val="000000"/>
          <w:lang w:val="fr-FR"/>
        </w:rPr>
        <w:t>’</w:t>
      </w:r>
      <w:r w:rsidRPr="007A6DEB">
        <w:rPr>
          <w:color w:val="000000"/>
          <w:lang w:val="fr-FR"/>
        </w:rPr>
        <w:t xml:space="preserve">utilisateur et </w:t>
      </w:r>
      <w:r>
        <w:rPr>
          <w:color w:val="000000"/>
          <w:lang w:val="fr-FR"/>
        </w:rPr>
        <w:t>du</w:t>
      </w:r>
      <w:r w:rsidRPr="007A6DEB">
        <w:rPr>
          <w:color w:val="000000"/>
          <w:lang w:val="fr-FR"/>
        </w:rPr>
        <w:t> manuel d</w:t>
      </w:r>
      <w:r w:rsidR="00FF1074">
        <w:rPr>
          <w:color w:val="000000"/>
          <w:lang w:val="fr-FR"/>
        </w:rPr>
        <w:t>’</w:t>
      </w:r>
      <w:r w:rsidRPr="007A6DEB">
        <w:rPr>
          <w:color w:val="000000"/>
          <w:lang w:val="fr-FR"/>
        </w:rPr>
        <w:t xml:space="preserve">utilisation, </w:t>
      </w:r>
      <w:r>
        <w:rPr>
          <w:color w:val="000000"/>
          <w:lang w:val="fr-FR"/>
        </w:rPr>
        <w:t xml:space="preserve">étant </w:t>
      </w:r>
      <w:r w:rsidRPr="007A6DEB">
        <w:rPr>
          <w:color w:val="000000"/>
          <w:lang w:val="fr-FR"/>
        </w:rPr>
        <w:t>entendu que la F</w:t>
      </w:r>
      <w:r>
        <w:rPr>
          <w:color w:val="000000"/>
          <w:lang w:val="fr-FR"/>
        </w:rPr>
        <w:t>rance</w:t>
      </w:r>
      <w:r w:rsidRPr="007A6DEB">
        <w:rPr>
          <w:color w:val="000000"/>
          <w:lang w:val="fr-FR"/>
        </w:rPr>
        <w:t xml:space="preserve"> vérifier</w:t>
      </w:r>
      <w:r>
        <w:rPr>
          <w:color w:val="000000"/>
          <w:lang w:val="fr-FR"/>
        </w:rPr>
        <w:t>ait</w:t>
      </w:r>
      <w:r w:rsidRPr="007A6DEB">
        <w:rPr>
          <w:color w:val="000000"/>
          <w:lang w:val="fr-FR"/>
        </w:rPr>
        <w:t xml:space="preserve"> la traduction fournie par le Bureau de l</w:t>
      </w:r>
      <w:r w:rsidR="00FF1074">
        <w:rPr>
          <w:color w:val="000000"/>
          <w:lang w:val="fr-FR"/>
        </w:rPr>
        <w:t>’</w:t>
      </w:r>
      <w:r w:rsidRPr="007A6DEB">
        <w:rPr>
          <w:color w:val="000000"/>
          <w:lang w:val="fr-FR"/>
        </w:rPr>
        <w:t>Union.</w:t>
      </w:r>
    </w:p>
    <w:p w:rsidR="00954C85" w:rsidRDefault="00954C85" w:rsidP="007A6DEB">
      <w:pPr>
        <w:rPr>
          <w:color w:val="000000"/>
          <w:lang w:val="fr-FR"/>
        </w:rPr>
      </w:pPr>
    </w:p>
    <w:p w:rsidR="00D145F3" w:rsidRPr="007A6DEB" w:rsidRDefault="00D145F3" w:rsidP="00273FE7">
      <w:pPr>
        <w:rPr>
          <w:color w:val="000000"/>
          <w:lang w:val="fr-FR"/>
        </w:rPr>
      </w:pPr>
      <w:r w:rsidRPr="007A6DEB">
        <w:rPr>
          <w:lang w:val="fr-FR"/>
        </w:rPr>
        <w:fldChar w:fldCharType="begin"/>
      </w:r>
      <w:r w:rsidRPr="007A6DEB">
        <w:rPr>
          <w:lang w:val="fr-FR"/>
        </w:rPr>
        <w:instrText xml:space="preserve"> AUTONUM  </w:instrText>
      </w:r>
      <w:r w:rsidRPr="007A6DEB">
        <w:rPr>
          <w:lang w:val="fr-FR"/>
        </w:rPr>
        <w:fldChar w:fldCharType="end"/>
      </w:r>
      <w:r w:rsidRPr="007A6DEB">
        <w:rPr>
          <w:lang w:val="fr-FR"/>
        </w:rPr>
        <w:tab/>
      </w:r>
      <w:r w:rsidRPr="00974BF5">
        <w:rPr>
          <w:lang w:val="fr-FR"/>
        </w:rPr>
        <w:t>À</w:t>
      </w:r>
      <w:r w:rsidRPr="007A6DEB">
        <w:rPr>
          <w:lang w:val="fr-FR"/>
        </w:rPr>
        <w:t xml:space="preserve"> sa quarante</w:t>
      </w:r>
      <w:r w:rsidR="00014DCB">
        <w:rPr>
          <w:lang w:val="fr-FR"/>
        </w:rPr>
        <w:noBreakHyphen/>
      </w:r>
      <w:r w:rsidRPr="007A6DEB">
        <w:rPr>
          <w:lang w:val="fr-FR"/>
        </w:rPr>
        <w:t>neuvième</w:t>
      </w:r>
      <w:r w:rsidR="0004183A">
        <w:rPr>
          <w:lang w:val="fr-FR"/>
        </w:rPr>
        <w:t> </w:t>
      </w:r>
      <w:r w:rsidRPr="007A6DEB">
        <w:rPr>
          <w:lang w:val="fr-FR"/>
        </w:rPr>
        <w:t>session, le</w:t>
      </w:r>
      <w:r w:rsidR="00FF1074">
        <w:rPr>
          <w:lang w:val="fr-FR"/>
        </w:rPr>
        <w:t> TC</w:t>
      </w:r>
      <w:r w:rsidRPr="007A6DEB">
        <w:rPr>
          <w:lang w:val="fr-FR"/>
        </w:rPr>
        <w:t xml:space="preserve"> </w:t>
      </w:r>
      <w:r>
        <w:rPr>
          <w:lang w:val="fr-FR"/>
        </w:rPr>
        <w:t xml:space="preserve">a pris note </w:t>
      </w:r>
      <w:r w:rsidRPr="007A6DEB">
        <w:rPr>
          <w:lang w:val="fr-FR"/>
        </w:rPr>
        <w:t>que le Mexique sera</w:t>
      </w:r>
      <w:r>
        <w:rPr>
          <w:lang w:val="fr-FR"/>
        </w:rPr>
        <w:t>it</w:t>
      </w:r>
      <w:r w:rsidRPr="007A6DEB">
        <w:rPr>
          <w:lang w:val="fr-FR"/>
        </w:rPr>
        <w:t xml:space="preserve"> invité à présenter son logiciel échangeable proposé tel qu</w:t>
      </w:r>
      <w:r w:rsidR="00FF1074">
        <w:rPr>
          <w:lang w:val="fr-FR"/>
        </w:rPr>
        <w:t>’</w:t>
      </w:r>
      <w:r w:rsidRPr="007A6DEB">
        <w:rPr>
          <w:lang w:val="fr-FR"/>
        </w:rPr>
        <w:t>il figure dans l</w:t>
      </w:r>
      <w:r w:rsidR="00FF1074">
        <w:rPr>
          <w:lang w:val="fr-FR"/>
        </w:rPr>
        <w:t>’</w:t>
      </w:r>
      <w:r w:rsidRPr="007A6DEB">
        <w:rPr>
          <w:lang w:val="fr-FR"/>
        </w:rPr>
        <w:t xml:space="preserve">annexe II du </w:t>
      </w:r>
      <w:r w:rsidR="00FF1074" w:rsidRPr="007A6DEB">
        <w:rPr>
          <w:lang w:val="fr-FR"/>
        </w:rPr>
        <w:t>document</w:t>
      </w:r>
      <w:r w:rsidR="00FF1074">
        <w:rPr>
          <w:lang w:val="fr-FR"/>
        </w:rPr>
        <w:t xml:space="preserve"> TC</w:t>
      </w:r>
      <w:r w:rsidRPr="007A6DEB">
        <w:rPr>
          <w:lang w:val="fr-FR"/>
        </w:rPr>
        <w:t>/49/12 Add., à la trente et unième session du TWC en vue de son incorporation éventuelle dans une future version révisée du document UPOV/INF/16.</w:t>
      </w:r>
    </w:p>
    <w:p w:rsidR="00D145F3" w:rsidRPr="007A6DEB" w:rsidRDefault="00D145F3" w:rsidP="00273FE7">
      <w:pPr>
        <w:rPr>
          <w:color w:val="000000"/>
          <w:lang w:val="fr-FR"/>
        </w:rPr>
      </w:pPr>
    </w:p>
    <w:p w:rsidR="00D145F3" w:rsidRPr="000C1CCD" w:rsidRDefault="00D145F3" w:rsidP="003510E2">
      <w:pPr>
        <w:rPr>
          <w:lang w:val="fr-FR"/>
        </w:rPr>
      </w:pPr>
      <w:r w:rsidRPr="000C1CCD">
        <w:rPr>
          <w:snapToGrid w:val="0"/>
          <w:lang w:val="fr-FR"/>
        </w:rPr>
        <w:fldChar w:fldCharType="begin"/>
      </w:r>
      <w:r w:rsidRPr="000C1CCD">
        <w:rPr>
          <w:snapToGrid w:val="0"/>
          <w:lang w:val="fr-FR"/>
        </w:rPr>
        <w:instrText xml:space="preserve"> AUTONUM  </w:instrText>
      </w:r>
      <w:r w:rsidRPr="000C1CCD">
        <w:rPr>
          <w:snapToGrid w:val="0"/>
          <w:lang w:val="fr-FR"/>
        </w:rPr>
        <w:fldChar w:fldCharType="end"/>
      </w:r>
      <w:r w:rsidRPr="000C1CCD">
        <w:rPr>
          <w:snapToGrid w:val="0"/>
          <w:lang w:val="fr-FR"/>
        </w:rPr>
        <w:tab/>
      </w:r>
      <w:r w:rsidRPr="00974BF5">
        <w:rPr>
          <w:lang w:val="fr-FR"/>
        </w:rPr>
        <w:t>À</w:t>
      </w:r>
      <w:r w:rsidRPr="000C1CCD">
        <w:rPr>
          <w:snapToGrid w:val="0"/>
          <w:lang w:val="fr-FR"/>
        </w:rPr>
        <w:t xml:space="preserve"> sa soixante</w:t>
      </w:r>
      <w:r w:rsidR="00014DCB">
        <w:rPr>
          <w:snapToGrid w:val="0"/>
          <w:lang w:val="fr-FR"/>
        </w:rPr>
        <w:noBreakHyphen/>
      </w:r>
      <w:r w:rsidRPr="000C1CCD">
        <w:rPr>
          <w:snapToGrid w:val="0"/>
          <w:lang w:val="fr-FR"/>
        </w:rPr>
        <w:t>septième</w:t>
      </w:r>
      <w:r w:rsidR="0004183A">
        <w:rPr>
          <w:snapToGrid w:val="0"/>
          <w:lang w:val="fr-FR"/>
        </w:rPr>
        <w:t> </w:t>
      </w:r>
      <w:r w:rsidRPr="000C1CCD">
        <w:rPr>
          <w:lang w:val="fr-FR"/>
        </w:rPr>
        <w:t>session,</w:t>
      </w:r>
      <w:r w:rsidR="00954C85" w:rsidRPr="000C1CCD">
        <w:rPr>
          <w:lang w:val="fr-FR"/>
        </w:rPr>
        <w:t xml:space="preserve"> le</w:t>
      </w:r>
      <w:r w:rsidR="00954C85">
        <w:rPr>
          <w:lang w:val="fr-FR"/>
        </w:rPr>
        <w:t> </w:t>
      </w:r>
      <w:r w:rsidR="00954C85" w:rsidRPr="000C1CCD">
        <w:rPr>
          <w:lang w:val="fr-FR"/>
        </w:rPr>
        <w:t>CAJ</w:t>
      </w:r>
      <w:r w:rsidRPr="000C1CCD">
        <w:rPr>
          <w:lang w:val="fr-FR"/>
        </w:rPr>
        <w:t xml:space="preserve"> a noté les conclusions du</w:t>
      </w:r>
      <w:r w:rsidR="00FF1074">
        <w:rPr>
          <w:lang w:val="fr-FR"/>
        </w:rPr>
        <w:t> TC</w:t>
      </w:r>
      <w:r w:rsidRPr="000C1CCD">
        <w:rPr>
          <w:lang w:val="fr-FR"/>
        </w:rPr>
        <w:t>, à sa quarante</w:t>
      </w:r>
      <w:r w:rsidR="00014DCB">
        <w:rPr>
          <w:lang w:val="fr-FR"/>
        </w:rPr>
        <w:noBreakHyphen/>
      </w:r>
      <w:r w:rsidRPr="000C1CCD">
        <w:rPr>
          <w:lang w:val="fr-FR"/>
        </w:rPr>
        <w:t>neuvième</w:t>
      </w:r>
      <w:r w:rsidR="0004183A">
        <w:rPr>
          <w:lang w:val="fr-FR"/>
        </w:rPr>
        <w:t> </w:t>
      </w:r>
      <w:r w:rsidRPr="000C1CCD">
        <w:rPr>
          <w:lang w:val="fr-FR"/>
        </w:rPr>
        <w:t xml:space="preserve">session, </w:t>
      </w:r>
      <w:r>
        <w:rPr>
          <w:lang w:val="fr-FR"/>
        </w:rPr>
        <w:t xml:space="preserve">sur </w:t>
      </w:r>
      <w:r w:rsidRPr="000C1CCD">
        <w:rPr>
          <w:lang w:val="fr-FR"/>
        </w:rPr>
        <w:t>révision proposée du document UPOV/INF/16 en vue de l</w:t>
      </w:r>
      <w:r w:rsidR="00FF1074">
        <w:rPr>
          <w:lang w:val="fr-FR"/>
        </w:rPr>
        <w:t>’</w:t>
      </w:r>
      <w:r w:rsidRPr="000C1CCD">
        <w:rPr>
          <w:lang w:val="fr-FR"/>
        </w:rPr>
        <w:t>inclusion de nouveaux logiciels</w:t>
      </w:r>
      <w:r>
        <w:rPr>
          <w:lang w:val="fr-FR"/>
        </w:rPr>
        <w:t>,</w:t>
      </w:r>
      <w:r w:rsidRPr="000C1CCD">
        <w:rPr>
          <w:lang w:val="fr-FR"/>
        </w:rPr>
        <w:t xml:space="preserve"> </w:t>
      </w:r>
      <w:r>
        <w:rPr>
          <w:lang w:val="fr-FR"/>
        </w:rPr>
        <w:t>comme indiqué dans les paragraphes</w:t>
      </w:r>
      <w:r w:rsidR="0004183A">
        <w:rPr>
          <w:lang w:val="fr-FR"/>
        </w:rPr>
        <w:t> </w:t>
      </w:r>
      <w:r>
        <w:rPr>
          <w:lang w:val="fr-FR"/>
        </w:rPr>
        <w:t>25 et 26 de l</w:t>
      </w:r>
      <w:r w:rsidR="00FF1074">
        <w:rPr>
          <w:lang w:val="fr-FR"/>
        </w:rPr>
        <w:t>’</w:t>
      </w:r>
      <w:r>
        <w:rPr>
          <w:lang w:val="fr-FR"/>
        </w:rPr>
        <w:t>a</w:t>
      </w:r>
      <w:r w:rsidRPr="000C1CCD">
        <w:rPr>
          <w:lang w:val="fr-FR"/>
        </w:rPr>
        <w:t>nnex</w:t>
      </w:r>
      <w:r>
        <w:rPr>
          <w:lang w:val="fr-FR"/>
        </w:rPr>
        <w:t xml:space="preserve">e du </w:t>
      </w:r>
      <w:r w:rsidR="00954C85" w:rsidRPr="000C1CCD">
        <w:rPr>
          <w:lang w:val="fr-FR"/>
        </w:rPr>
        <w:t>document</w:t>
      </w:r>
      <w:r w:rsidR="00954C85">
        <w:rPr>
          <w:lang w:val="fr-FR"/>
        </w:rPr>
        <w:t xml:space="preserve"> </w:t>
      </w:r>
      <w:r w:rsidR="00954C85" w:rsidRPr="000C1CCD">
        <w:rPr>
          <w:lang w:val="fr-FR"/>
        </w:rPr>
        <w:t>CA</w:t>
      </w:r>
      <w:r w:rsidRPr="000C1CCD">
        <w:rPr>
          <w:lang w:val="fr-FR"/>
        </w:rPr>
        <w:t xml:space="preserve">J/67/13 </w:t>
      </w:r>
      <w:r w:rsidR="00AA3174">
        <w:rPr>
          <w:spacing w:val="-2"/>
          <w:lang w:val="fr-FR"/>
        </w:rPr>
        <w:t>“</w:t>
      </w:r>
      <w:r w:rsidRPr="000C1CCD">
        <w:rPr>
          <w:spacing w:val="-2"/>
          <w:lang w:val="fr-FR"/>
        </w:rPr>
        <w:t>Rapport sur les faits nouveaux intervenus au sein du Comité technique</w:t>
      </w:r>
      <w:r w:rsidR="00FF1074">
        <w:rPr>
          <w:spacing w:val="-2"/>
          <w:lang w:val="fr-FR"/>
        </w:rPr>
        <w:t>”</w:t>
      </w:r>
      <w:r w:rsidRPr="000C1CCD">
        <w:rPr>
          <w:lang w:val="fr-FR"/>
        </w:rPr>
        <w:t xml:space="preserve"> (</w:t>
      </w:r>
      <w:r>
        <w:rPr>
          <w:lang w:val="fr-FR"/>
        </w:rPr>
        <w:t>voir le paragraphe</w:t>
      </w:r>
      <w:r w:rsidR="0004183A">
        <w:rPr>
          <w:lang w:val="fr-FR"/>
        </w:rPr>
        <w:t> </w:t>
      </w:r>
      <w:r>
        <w:rPr>
          <w:lang w:val="fr-FR"/>
        </w:rPr>
        <w:t xml:space="preserve">54 du </w:t>
      </w:r>
      <w:r w:rsidRPr="000C1CCD">
        <w:rPr>
          <w:snapToGrid w:val="0"/>
          <w:lang w:val="fr-FR"/>
        </w:rPr>
        <w:t xml:space="preserve">document CAJ/67/14 </w:t>
      </w:r>
      <w:r w:rsidR="00FF1074">
        <w:rPr>
          <w:snapToGrid w:val="0"/>
          <w:lang w:val="fr-FR"/>
        </w:rPr>
        <w:t>“</w:t>
      </w:r>
      <w:r>
        <w:rPr>
          <w:snapToGrid w:val="0"/>
          <w:lang w:val="fr-FR"/>
        </w:rPr>
        <w:t>Compte rendu des c</w:t>
      </w:r>
      <w:r w:rsidRPr="000C1CCD">
        <w:rPr>
          <w:snapToGrid w:val="0"/>
          <w:lang w:val="fr-FR"/>
        </w:rPr>
        <w:t>onclusions</w:t>
      </w:r>
      <w:r w:rsidR="00FF1074">
        <w:rPr>
          <w:snapToGrid w:val="0"/>
          <w:lang w:val="fr-FR"/>
        </w:rPr>
        <w:t>”</w:t>
      </w:r>
      <w:r w:rsidRPr="000C1CCD">
        <w:rPr>
          <w:snapToGrid w:val="0"/>
          <w:lang w:val="fr-FR"/>
        </w:rPr>
        <w:t>)</w:t>
      </w:r>
      <w:r w:rsidRPr="000C1CCD">
        <w:rPr>
          <w:lang w:val="fr-FR"/>
        </w:rPr>
        <w:t>.</w:t>
      </w:r>
    </w:p>
    <w:p w:rsidR="00D145F3" w:rsidRPr="000C1CCD" w:rsidRDefault="00D145F3" w:rsidP="0070011F">
      <w:pPr>
        <w:rPr>
          <w:lang w:val="fr-FR"/>
        </w:rPr>
      </w:pPr>
    </w:p>
    <w:p w:rsidR="00D145F3" w:rsidRPr="000C1CCD" w:rsidRDefault="00D145F3" w:rsidP="00AA3174">
      <w:pPr>
        <w:tabs>
          <w:tab w:val="left" w:pos="5387"/>
          <w:tab w:val="left" w:pos="5954"/>
        </w:tabs>
        <w:ind w:left="4820"/>
        <w:rPr>
          <w:i/>
          <w:iCs/>
          <w:color w:val="000000"/>
          <w:lang w:val="fr-FR"/>
        </w:rPr>
      </w:pPr>
      <w:r w:rsidRPr="000C1CCD">
        <w:rPr>
          <w:rFonts w:eastAsia="MS Mincho"/>
          <w:i/>
          <w:iCs/>
          <w:color w:val="000000"/>
          <w:lang w:val="fr-FR"/>
        </w:rPr>
        <w:fldChar w:fldCharType="begin"/>
      </w:r>
      <w:r w:rsidRPr="000C1CCD">
        <w:rPr>
          <w:rFonts w:eastAsia="MS Mincho"/>
          <w:i/>
          <w:iCs/>
          <w:color w:val="000000"/>
          <w:lang w:val="fr-FR"/>
        </w:rPr>
        <w:instrText xml:space="preserve"> AUTONUM  </w:instrText>
      </w:r>
      <w:r w:rsidRPr="000C1CCD">
        <w:rPr>
          <w:rFonts w:eastAsia="MS Mincho"/>
          <w:i/>
          <w:iCs/>
          <w:color w:val="000000"/>
          <w:lang w:val="fr-FR"/>
        </w:rPr>
        <w:fldChar w:fldCharType="end"/>
      </w:r>
      <w:r w:rsidR="00AA3174">
        <w:rPr>
          <w:rFonts w:eastAsia="MS Mincho"/>
          <w:i/>
          <w:iCs/>
          <w:color w:val="000000"/>
          <w:lang w:val="fr-FR"/>
        </w:rPr>
        <w:tab/>
      </w:r>
      <w:r w:rsidR="00954C85" w:rsidRPr="000C1CCD">
        <w:rPr>
          <w:rFonts w:eastAsia="MS Mincho"/>
          <w:i/>
          <w:iCs/>
          <w:color w:val="000000"/>
          <w:lang w:val="fr-FR"/>
        </w:rPr>
        <w:t>Le</w:t>
      </w:r>
      <w:r w:rsidR="00954C85">
        <w:rPr>
          <w:rFonts w:eastAsia="MS Mincho"/>
          <w:i/>
          <w:iCs/>
          <w:color w:val="000000"/>
          <w:lang w:val="fr-FR"/>
        </w:rPr>
        <w:t> </w:t>
      </w:r>
      <w:r w:rsidR="00954C85" w:rsidRPr="000C1CCD">
        <w:rPr>
          <w:rFonts w:eastAsia="MS Mincho"/>
          <w:i/>
          <w:iCs/>
          <w:color w:val="000000"/>
          <w:lang w:val="fr-FR"/>
        </w:rPr>
        <w:t>CAJ</w:t>
      </w:r>
      <w:r w:rsidRPr="000C1CCD">
        <w:rPr>
          <w:rFonts w:eastAsia="MS Mincho"/>
          <w:i/>
          <w:iCs/>
          <w:color w:val="000000"/>
          <w:lang w:val="fr-FR"/>
        </w:rPr>
        <w:t xml:space="preserve"> est invité à examiner </w:t>
      </w:r>
      <w:r>
        <w:rPr>
          <w:rFonts w:eastAsia="MS Mincho"/>
          <w:i/>
          <w:iCs/>
          <w:color w:val="000000"/>
          <w:lang w:val="fr-FR"/>
        </w:rPr>
        <w:t xml:space="preserve">la </w:t>
      </w:r>
      <w:r w:rsidRPr="000C1CCD">
        <w:rPr>
          <w:rFonts w:eastAsia="MS Mincho"/>
          <w:i/>
          <w:iCs/>
          <w:color w:val="000000"/>
          <w:lang w:val="fr-FR"/>
        </w:rPr>
        <w:t>révision proposée du document UPOV/INF/16 en vue de l</w:t>
      </w:r>
      <w:r w:rsidR="00FF1074">
        <w:rPr>
          <w:rFonts w:eastAsia="MS Mincho"/>
          <w:i/>
          <w:iCs/>
          <w:color w:val="000000"/>
          <w:lang w:val="fr-FR"/>
        </w:rPr>
        <w:t>’</w:t>
      </w:r>
      <w:r w:rsidRPr="000C1CCD">
        <w:rPr>
          <w:rFonts w:eastAsia="MS Mincho"/>
          <w:i/>
          <w:iCs/>
          <w:color w:val="000000"/>
          <w:lang w:val="fr-FR"/>
        </w:rPr>
        <w:t xml:space="preserve">inclusion de nouveaux logiciels, </w:t>
      </w:r>
      <w:r>
        <w:rPr>
          <w:rFonts w:eastAsia="MS Mincho"/>
          <w:i/>
          <w:iCs/>
          <w:color w:val="000000"/>
          <w:lang w:val="fr-FR"/>
        </w:rPr>
        <w:t>comme indiqué dans les</w:t>
      </w:r>
      <w:r w:rsidRPr="000C1CCD">
        <w:rPr>
          <w:rFonts w:eastAsia="MS Mincho"/>
          <w:i/>
          <w:iCs/>
          <w:color w:val="000000"/>
          <w:lang w:val="fr-FR"/>
        </w:rPr>
        <w:t xml:space="preserve"> paragraph</w:t>
      </w:r>
      <w:r>
        <w:rPr>
          <w:rFonts w:eastAsia="MS Mincho"/>
          <w:i/>
          <w:iCs/>
          <w:color w:val="000000"/>
          <w:lang w:val="fr-FR"/>
        </w:rPr>
        <w:t>e</w:t>
      </w:r>
      <w:r w:rsidRPr="000C1CCD">
        <w:rPr>
          <w:rFonts w:eastAsia="MS Mincho"/>
          <w:i/>
          <w:iCs/>
          <w:color w:val="000000"/>
          <w:lang w:val="fr-FR"/>
        </w:rPr>
        <w:t>s</w:t>
      </w:r>
      <w:r w:rsidR="0004183A">
        <w:rPr>
          <w:rFonts w:eastAsia="MS Mincho"/>
          <w:i/>
          <w:iCs/>
          <w:color w:val="000000"/>
          <w:lang w:val="fr-FR"/>
        </w:rPr>
        <w:t> </w:t>
      </w:r>
      <w:r w:rsidRPr="000C1CCD">
        <w:rPr>
          <w:rFonts w:eastAsia="MS Mincho"/>
          <w:i/>
          <w:iCs/>
          <w:color w:val="000000"/>
          <w:lang w:val="fr-FR"/>
        </w:rPr>
        <w:t xml:space="preserve">6 </w:t>
      </w:r>
      <w:r>
        <w:rPr>
          <w:rFonts w:eastAsia="MS Mincho"/>
          <w:i/>
          <w:iCs/>
          <w:color w:val="000000"/>
          <w:lang w:val="fr-FR"/>
        </w:rPr>
        <w:t>et</w:t>
      </w:r>
      <w:r w:rsidRPr="000C1CCD">
        <w:rPr>
          <w:rFonts w:eastAsia="MS Mincho"/>
          <w:i/>
          <w:iCs/>
          <w:color w:val="000000"/>
          <w:lang w:val="fr-FR"/>
        </w:rPr>
        <w:t xml:space="preserve"> 7 </w:t>
      </w:r>
      <w:r>
        <w:rPr>
          <w:rFonts w:eastAsia="MS Mincho"/>
          <w:i/>
          <w:iCs/>
          <w:color w:val="000000"/>
          <w:lang w:val="fr-FR"/>
        </w:rPr>
        <w:t>de ce</w:t>
      </w:r>
      <w:r w:rsidRPr="000C1CCD">
        <w:rPr>
          <w:rFonts w:eastAsia="MS Mincho"/>
          <w:i/>
          <w:iCs/>
          <w:color w:val="000000"/>
          <w:lang w:val="fr-FR"/>
        </w:rPr>
        <w:t xml:space="preserve"> document, </w:t>
      </w:r>
      <w:r>
        <w:rPr>
          <w:rFonts w:eastAsia="MS Mincho"/>
          <w:i/>
          <w:iCs/>
          <w:color w:val="000000"/>
          <w:lang w:val="fr-FR"/>
        </w:rPr>
        <w:t>sur la base du</w:t>
      </w:r>
      <w:r w:rsidRPr="000C1CCD">
        <w:rPr>
          <w:rFonts w:eastAsia="MS Mincho"/>
          <w:i/>
          <w:iCs/>
          <w:color w:val="000000"/>
          <w:lang w:val="fr-FR"/>
        </w:rPr>
        <w:t xml:space="preserve"> </w:t>
      </w:r>
      <w:r w:rsidR="00954C85" w:rsidRPr="000C1CCD">
        <w:rPr>
          <w:i/>
          <w:iCs/>
          <w:color w:val="000000"/>
          <w:lang w:val="fr-FR"/>
        </w:rPr>
        <w:t>document</w:t>
      </w:r>
      <w:r w:rsidR="00954C85">
        <w:rPr>
          <w:i/>
          <w:iCs/>
          <w:color w:val="000000"/>
          <w:lang w:val="fr-FR"/>
        </w:rPr>
        <w:t xml:space="preserve"> </w:t>
      </w:r>
      <w:r w:rsidR="00954C85" w:rsidRPr="000C1CCD">
        <w:rPr>
          <w:i/>
          <w:iCs/>
          <w:color w:val="000000"/>
          <w:lang w:val="fr-FR"/>
        </w:rPr>
        <w:t>UP</w:t>
      </w:r>
      <w:r w:rsidRPr="000C1CCD">
        <w:rPr>
          <w:i/>
          <w:iCs/>
          <w:color w:val="000000"/>
          <w:lang w:val="fr-FR"/>
        </w:rPr>
        <w:t>OV/INF/16/3 Draft 1.</w:t>
      </w:r>
    </w:p>
    <w:p w:rsidR="00D145F3" w:rsidRPr="000C1CCD" w:rsidRDefault="00D145F3" w:rsidP="00566C09">
      <w:pPr>
        <w:tabs>
          <w:tab w:val="left" w:pos="5387"/>
        </w:tabs>
        <w:ind w:left="4820"/>
        <w:rPr>
          <w:i/>
          <w:iCs/>
          <w:color w:val="000000"/>
          <w:lang w:val="fr-FR"/>
        </w:rPr>
      </w:pPr>
    </w:p>
    <w:p w:rsidR="00D145F3" w:rsidRPr="000C1CCD" w:rsidRDefault="00D145F3" w:rsidP="0070011F">
      <w:pPr>
        <w:rPr>
          <w:lang w:val="fr-FR"/>
        </w:rPr>
      </w:pPr>
    </w:p>
    <w:p w:rsidR="00D145F3" w:rsidRPr="000C1CCD" w:rsidRDefault="00D145F3" w:rsidP="0070011F">
      <w:pPr>
        <w:rPr>
          <w:lang w:val="fr-FR"/>
        </w:rPr>
      </w:pPr>
    </w:p>
    <w:p w:rsidR="00D145F3" w:rsidRPr="000C1CCD" w:rsidRDefault="00D145F3" w:rsidP="0070011F">
      <w:pPr>
        <w:rPr>
          <w:lang w:val="fr-FR"/>
        </w:rPr>
      </w:pPr>
    </w:p>
    <w:p w:rsidR="00D145F3" w:rsidRPr="000C1CCD" w:rsidRDefault="00D145F3" w:rsidP="0070011F">
      <w:pPr>
        <w:rPr>
          <w:lang w:val="fr-FR"/>
        </w:rPr>
      </w:pPr>
    </w:p>
    <w:p w:rsidR="00954C85" w:rsidRDefault="00D145F3" w:rsidP="00AA3174">
      <w:pPr>
        <w:pStyle w:val="Heading1"/>
        <w:rPr>
          <w:lang w:val="fr-FR"/>
        </w:rPr>
      </w:pPr>
      <w:r w:rsidRPr="000C1CCD">
        <w:rPr>
          <w:lang w:val="fr-FR"/>
        </w:rPr>
        <w:br w:type="page"/>
      </w:r>
      <w:bookmarkStart w:id="8" w:name="_Toc369099623"/>
      <w:r w:rsidR="00AA3174" w:rsidRPr="000C1CCD">
        <w:rPr>
          <w:lang w:val="fr-FR"/>
        </w:rPr>
        <w:lastRenderedPageBreak/>
        <w:t>III</w:t>
      </w:r>
      <w:r w:rsidRPr="000C1CCD">
        <w:rPr>
          <w:lang w:val="fr-FR"/>
        </w:rPr>
        <w:t>.</w:t>
      </w:r>
      <w:r w:rsidRPr="000C1CCD">
        <w:rPr>
          <w:lang w:val="fr-FR"/>
        </w:rPr>
        <w:tab/>
        <w:t>informations sur l</w:t>
      </w:r>
      <w:r w:rsidR="00FF1074">
        <w:rPr>
          <w:lang w:val="fr-FR"/>
        </w:rPr>
        <w:t>’</w:t>
      </w:r>
      <w:r w:rsidRPr="000C1CCD">
        <w:rPr>
          <w:lang w:val="fr-FR"/>
        </w:rPr>
        <w:t>utilisation par les membres</w:t>
      </w:r>
      <w:bookmarkEnd w:id="8"/>
    </w:p>
    <w:p w:rsidR="00D145F3" w:rsidRPr="000C1CCD" w:rsidRDefault="00D145F3" w:rsidP="007D5A04">
      <w:pPr>
        <w:rPr>
          <w:lang w:val="fr-FR"/>
        </w:rPr>
      </w:pPr>
    </w:p>
    <w:p w:rsidR="00D145F3" w:rsidRPr="000C1CCD" w:rsidRDefault="00D145F3" w:rsidP="0070011F">
      <w:pPr>
        <w:keepNext/>
        <w:rPr>
          <w:lang w:val="fr-FR"/>
        </w:rPr>
      </w:pPr>
      <w:r w:rsidRPr="000C1CCD">
        <w:rPr>
          <w:snapToGrid w:val="0"/>
          <w:lang w:val="fr-FR"/>
        </w:rPr>
        <w:fldChar w:fldCharType="begin"/>
      </w:r>
      <w:r w:rsidRPr="000C1CCD">
        <w:rPr>
          <w:snapToGrid w:val="0"/>
          <w:lang w:val="fr-FR"/>
        </w:rPr>
        <w:instrText xml:space="preserve"> AUTONUM  </w:instrText>
      </w:r>
      <w:r w:rsidRPr="000C1CCD">
        <w:rPr>
          <w:snapToGrid w:val="0"/>
          <w:lang w:val="fr-FR"/>
        </w:rPr>
        <w:fldChar w:fldCharType="end"/>
      </w:r>
      <w:r w:rsidRPr="000C1CCD">
        <w:rPr>
          <w:snapToGrid w:val="0"/>
          <w:lang w:val="fr-FR"/>
        </w:rPr>
        <w:tab/>
        <w:t xml:space="preserve">La Section 4 du document UPOV/INF/16 </w:t>
      </w:r>
      <w:r w:rsidR="00FF1074">
        <w:rPr>
          <w:snapToGrid w:val="0"/>
          <w:lang w:val="fr-FR"/>
        </w:rPr>
        <w:t>“</w:t>
      </w:r>
      <w:r w:rsidRPr="000C1CCD">
        <w:rPr>
          <w:snapToGrid w:val="0"/>
          <w:lang w:val="fr-FR"/>
        </w:rPr>
        <w:t>Logiciels échangeables</w:t>
      </w:r>
      <w:r w:rsidR="00FF1074">
        <w:rPr>
          <w:snapToGrid w:val="0"/>
          <w:lang w:val="fr-FR"/>
        </w:rPr>
        <w:t>”</w:t>
      </w:r>
      <w:r w:rsidRPr="000C1CCD">
        <w:rPr>
          <w:snapToGrid w:val="0"/>
          <w:lang w:val="fr-FR"/>
        </w:rPr>
        <w:t xml:space="preserve"> est ainsi libellée </w:t>
      </w:r>
      <w:r w:rsidRPr="000C1CCD">
        <w:rPr>
          <w:lang w:val="fr-FR"/>
        </w:rPr>
        <w:t>:</w:t>
      </w:r>
    </w:p>
    <w:p w:rsidR="00D145F3" w:rsidRPr="000C1CCD" w:rsidRDefault="00D145F3" w:rsidP="0070011F">
      <w:pPr>
        <w:keepNext/>
        <w:rPr>
          <w:lang w:val="fr-FR"/>
        </w:rPr>
      </w:pPr>
    </w:p>
    <w:p w:rsidR="00D145F3" w:rsidRPr="000C1CCD" w:rsidRDefault="00FF1074" w:rsidP="0070011F">
      <w:pPr>
        <w:keepNext/>
        <w:ind w:left="567" w:right="566"/>
        <w:rPr>
          <w:snapToGrid w:val="0"/>
          <w:sz w:val="18"/>
          <w:szCs w:val="18"/>
          <w:u w:val="single"/>
          <w:lang w:val="fr-FR"/>
        </w:rPr>
      </w:pPr>
      <w:r>
        <w:rPr>
          <w:snapToGrid w:val="0"/>
          <w:sz w:val="18"/>
          <w:szCs w:val="18"/>
          <w:lang w:val="fr-FR"/>
        </w:rPr>
        <w:t>“</w:t>
      </w:r>
      <w:r w:rsidR="00D145F3" w:rsidRPr="000C1CCD">
        <w:rPr>
          <w:snapToGrid w:val="0"/>
          <w:sz w:val="18"/>
          <w:szCs w:val="18"/>
          <w:lang w:val="fr-FR"/>
        </w:rPr>
        <w:t>4.</w:t>
      </w:r>
      <w:r w:rsidR="00D145F3" w:rsidRPr="000C1CCD">
        <w:rPr>
          <w:snapToGrid w:val="0"/>
          <w:sz w:val="18"/>
          <w:szCs w:val="18"/>
          <w:lang w:val="fr-FR"/>
        </w:rPr>
        <w:tab/>
      </w:r>
      <w:r w:rsidR="00D145F3" w:rsidRPr="000C1CCD">
        <w:rPr>
          <w:snapToGrid w:val="0"/>
          <w:sz w:val="18"/>
          <w:szCs w:val="18"/>
          <w:u w:val="single"/>
          <w:lang w:val="fr-FR"/>
        </w:rPr>
        <w:t>Renseignements sur l</w:t>
      </w:r>
      <w:r>
        <w:rPr>
          <w:snapToGrid w:val="0"/>
          <w:sz w:val="18"/>
          <w:szCs w:val="18"/>
          <w:u w:val="single"/>
          <w:lang w:val="fr-FR"/>
        </w:rPr>
        <w:t>’</w:t>
      </w:r>
      <w:r w:rsidR="00D145F3" w:rsidRPr="000C1CCD">
        <w:rPr>
          <w:snapToGrid w:val="0"/>
          <w:sz w:val="18"/>
          <w:szCs w:val="18"/>
          <w:u w:val="single"/>
          <w:lang w:val="fr-FR"/>
        </w:rPr>
        <w:t>utilisation des logiciels par les membres de l</w:t>
      </w:r>
      <w:r>
        <w:rPr>
          <w:snapToGrid w:val="0"/>
          <w:sz w:val="18"/>
          <w:szCs w:val="18"/>
          <w:u w:val="single"/>
          <w:lang w:val="fr-FR"/>
        </w:rPr>
        <w:t>’</w:t>
      </w:r>
      <w:r w:rsidR="00D145F3" w:rsidRPr="000C1CCD">
        <w:rPr>
          <w:snapToGrid w:val="0"/>
          <w:sz w:val="18"/>
          <w:szCs w:val="18"/>
          <w:u w:val="single"/>
          <w:lang w:val="fr-FR"/>
        </w:rPr>
        <w:t>Union</w:t>
      </w:r>
    </w:p>
    <w:p w:rsidR="00D145F3" w:rsidRPr="000C1CCD" w:rsidRDefault="00D145F3" w:rsidP="0070011F">
      <w:pPr>
        <w:keepNext/>
        <w:ind w:left="567" w:right="566"/>
        <w:rPr>
          <w:snapToGrid w:val="0"/>
          <w:sz w:val="18"/>
          <w:szCs w:val="18"/>
          <w:lang w:val="fr-FR"/>
        </w:rPr>
      </w:pPr>
    </w:p>
    <w:p w:rsidR="00954C85" w:rsidRDefault="00FF1074" w:rsidP="0070011F">
      <w:pPr>
        <w:keepNext/>
        <w:ind w:left="567" w:right="566"/>
        <w:rPr>
          <w:snapToGrid w:val="0"/>
          <w:sz w:val="18"/>
          <w:szCs w:val="18"/>
          <w:lang w:val="fr-FR"/>
        </w:rPr>
      </w:pPr>
      <w:r>
        <w:rPr>
          <w:snapToGrid w:val="0"/>
          <w:sz w:val="18"/>
          <w:szCs w:val="18"/>
          <w:lang w:val="fr-FR"/>
        </w:rPr>
        <w:t>“</w:t>
      </w:r>
      <w:r w:rsidR="00D145F3" w:rsidRPr="000C1CCD">
        <w:rPr>
          <w:snapToGrid w:val="0"/>
          <w:sz w:val="18"/>
          <w:szCs w:val="18"/>
          <w:lang w:val="fr-FR"/>
        </w:rPr>
        <w:t>4.1</w:t>
      </w:r>
      <w:r w:rsidR="00D145F3" w:rsidRPr="000C1CCD">
        <w:rPr>
          <w:snapToGrid w:val="0"/>
          <w:sz w:val="18"/>
          <w:szCs w:val="18"/>
          <w:lang w:val="fr-FR"/>
        </w:rPr>
        <w:tab/>
        <w:t>Une circulaire est diffusée aux membres de l</w:t>
      </w:r>
      <w:r>
        <w:rPr>
          <w:snapToGrid w:val="0"/>
          <w:sz w:val="18"/>
          <w:szCs w:val="18"/>
          <w:lang w:val="fr-FR"/>
        </w:rPr>
        <w:t>’</w:t>
      </w:r>
      <w:r w:rsidR="00D145F3" w:rsidRPr="000C1CCD">
        <w:rPr>
          <w:snapToGrid w:val="0"/>
          <w:sz w:val="18"/>
          <w:szCs w:val="18"/>
          <w:lang w:val="fr-FR"/>
        </w:rPr>
        <w:t>Union chaque année, en vue de les inviter à donner des renseignements sur leur utilisation des logiciels figurant dans le document UPOV/INF/16.</w:t>
      </w:r>
    </w:p>
    <w:p w:rsidR="00D145F3" w:rsidRPr="008C25E1" w:rsidRDefault="00D145F3" w:rsidP="0070011F">
      <w:pPr>
        <w:keepNext/>
        <w:ind w:left="567" w:right="566"/>
        <w:rPr>
          <w:snapToGrid w:val="0"/>
          <w:sz w:val="18"/>
          <w:szCs w:val="18"/>
        </w:rPr>
      </w:pPr>
    </w:p>
    <w:p w:rsidR="00954C85" w:rsidRDefault="00FF1074" w:rsidP="00806696">
      <w:pPr>
        <w:keepNext/>
        <w:ind w:left="567" w:right="566"/>
        <w:rPr>
          <w:snapToGrid w:val="0"/>
          <w:sz w:val="18"/>
          <w:szCs w:val="18"/>
          <w:lang w:val="fr-FR"/>
        </w:rPr>
      </w:pPr>
      <w:r>
        <w:rPr>
          <w:snapToGrid w:val="0"/>
          <w:sz w:val="18"/>
          <w:szCs w:val="18"/>
          <w:lang w:val="fr-FR"/>
        </w:rPr>
        <w:t>“</w:t>
      </w:r>
      <w:r w:rsidR="00D145F3" w:rsidRPr="00806696">
        <w:rPr>
          <w:snapToGrid w:val="0"/>
          <w:sz w:val="18"/>
          <w:szCs w:val="18"/>
          <w:lang w:val="fr-FR"/>
        </w:rPr>
        <w:t>4.2</w:t>
      </w:r>
      <w:r w:rsidR="00D145F3" w:rsidRPr="00806696">
        <w:rPr>
          <w:snapToGrid w:val="0"/>
          <w:sz w:val="18"/>
          <w:szCs w:val="18"/>
          <w:lang w:val="fr-FR"/>
        </w:rPr>
        <w:tab/>
        <w:t>Les renseignements sur l</w:t>
      </w:r>
      <w:r>
        <w:rPr>
          <w:snapToGrid w:val="0"/>
          <w:sz w:val="18"/>
          <w:szCs w:val="18"/>
          <w:lang w:val="fr-FR"/>
        </w:rPr>
        <w:t>’</w:t>
      </w:r>
      <w:r w:rsidR="00D145F3" w:rsidRPr="00806696">
        <w:rPr>
          <w:snapToGrid w:val="0"/>
          <w:sz w:val="18"/>
          <w:szCs w:val="18"/>
          <w:lang w:val="fr-FR"/>
        </w:rPr>
        <w:t>utilisation des logiciels par les membres de l</w:t>
      </w:r>
      <w:r>
        <w:rPr>
          <w:snapToGrid w:val="0"/>
          <w:sz w:val="18"/>
          <w:szCs w:val="18"/>
          <w:lang w:val="fr-FR"/>
        </w:rPr>
        <w:t>’</w:t>
      </w:r>
      <w:r w:rsidR="00D145F3" w:rsidRPr="00806696">
        <w:rPr>
          <w:snapToGrid w:val="0"/>
          <w:sz w:val="18"/>
          <w:szCs w:val="18"/>
          <w:lang w:val="fr-FR"/>
        </w:rPr>
        <w:t xml:space="preserve">Union sont indiqués dans les colonnes </w:t>
      </w:r>
      <w:r>
        <w:rPr>
          <w:snapToGrid w:val="0"/>
          <w:sz w:val="18"/>
          <w:szCs w:val="18"/>
          <w:lang w:val="fr-FR"/>
        </w:rPr>
        <w:t>‘</w:t>
      </w:r>
      <w:r w:rsidR="00D145F3" w:rsidRPr="00806696">
        <w:rPr>
          <w:snapToGrid w:val="0"/>
          <w:sz w:val="18"/>
          <w:szCs w:val="18"/>
          <w:lang w:val="fr-FR"/>
        </w:rPr>
        <w:t>Membre(s) de l</w:t>
      </w:r>
      <w:r>
        <w:rPr>
          <w:snapToGrid w:val="0"/>
          <w:sz w:val="18"/>
          <w:szCs w:val="18"/>
          <w:lang w:val="fr-FR"/>
        </w:rPr>
        <w:t>’</w:t>
      </w:r>
      <w:r w:rsidR="00D145F3" w:rsidRPr="00806696">
        <w:rPr>
          <w:snapToGrid w:val="0"/>
          <w:sz w:val="18"/>
          <w:szCs w:val="18"/>
          <w:lang w:val="fr-FR"/>
        </w:rPr>
        <w:t>UPOV utilisant le logiciel</w:t>
      </w:r>
      <w:r>
        <w:rPr>
          <w:snapToGrid w:val="0"/>
          <w:sz w:val="18"/>
          <w:szCs w:val="18"/>
          <w:lang w:val="fr-FR"/>
        </w:rPr>
        <w:t>’</w:t>
      </w:r>
      <w:r w:rsidR="00D145F3" w:rsidRPr="00806696">
        <w:rPr>
          <w:snapToGrid w:val="0"/>
          <w:sz w:val="18"/>
          <w:szCs w:val="18"/>
          <w:lang w:val="fr-FR"/>
        </w:rPr>
        <w:t xml:space="preserve"> et </w:t>
      </w:r>
      <w:r>
        <w:rPr>
          <w:snapToGrid w:val="0"/>
          <w:sz w:val="18"/>
          <w:szCs w:val="18"/>
          <w:lang w:val="fr-FR"/>
        </w:rPr>
        <w:t>‘</w:t>
      </w:r>
      <w:r w:rsidR="00D145F3" w:rsidRPr="00806696">
        <w:rPr>
          <w:snapToGrid w:val="0"/>
          <w:sz w:val="18"/>
          <w:szCs w:val="18"/>
          <w:lang w:val="fr-FR"/>
        </w:rPr>
        <w:t>Application par l</w:t>
      </w:r>
      <w:r>
        <w:rPr>
          <w:snapToGrid w:val="0"/>
          <w:sz w:val="18"/>
          <w:szCs w:val="18"/>
          <w:lang w:val="fr-FR"/>
        </w:rPr>
        <w:t>’</w:t>
      </w:r>
      <w:r w:rsidR="00D145F3" w:rsidRPr="00806696">
        <w:rPr>
          <w:snapToGrid w:val="0"/>
          <w:sz w:val="18"/>
          <w:szCs w:val="18"/>
          <w:lang w:val="fr-FR"/>
        </w:rPr>
        <w:t>(les) utilisateur(s)</w:t>
      </w:r>
      <w:r>
        <w:rPr>
          <w:snapToGrid w:val="0"/>
          <w:sz w:val="18"/>
          <w:szCs w:val="18"/>
          <w:lang w:val="fr-FR"/>
        </w:rPr>
        <w:t>’</w:t>
      </w:r>
      <w:r w:rsidR="00D145F3" w:rsidRPr="00806696">
        <w:rPr>
          <w:snapToGrid w:val="0"/>
          <w:sz w:val="18"/>
          <w:szCs w:val="18"/>
          <w:lang w:val="fr-FR"/>
        </w:rPr>
        <w:t>.</w:t>
      </w:r>
      <w:r w:rsidR="00D145F3">
        <w:rPr>
          <w:snapToGrid w:val="0"/>
          <w:sz w:val="18"/>
          <w:szCs w:val="18"/>
          <w:lang w:val="fr-FR"/>
        </w:rPr>
        <w:t xml:space="preserve"> </w:t>
      </w:r>
      <w:r w:rsidR="0004183A">
        <w:rPr>
          <w:snapToGrid w:val="0"/>
          <w:sz w:val="18"/>
          <w:szCs w:val="18"/>
          <w:lang w:val="fr-FR"/>
        </w:rPr>
        <w:t xml:space="preserve"> </w:t>
      </w:r>
      <w:r w:rsidR="00D145F3" w:rsidRPr="00806696">
        <w:rPr>
          <w:snapToGrid w:val="0"/>
          <w:sz w:val="18"/>
          <w:szCs w:val="18"/>
          <w:lang w:val="fr-FR"/>
        </w:rPr>
        <w:t xml:space="preserve">En ce qui concerne la colonne </w:t>
      </w:r>
      <w:r>
        <w:rPr>
          <w:snapToGrid w:val="0"/>
          <w:sz w:val="18"/>
          <w:szCs w:val="18"/>
          <w:lang w:val="fr-FR"/>
        </w:rPr>
        <w:t>‘</w:t>
      </w:r>
      <w:r w:rsidR="00D145F3" w:rsidRPr="00806696">
        <w:rPr>
          <w:snapToGrid w:val="0"/>
          <w:sz w:val="18"/>
          <w:szCs w:val="18"/>
          <w:lang w:val="fr-FR"/>
        </w:rPr>
        <w:t>Application par l</w:t>
      </w:r>
      <w:r>
        <w:rPr>
          <w:snapToGrid w:val="0"/>
          <w:sz w:val="18"/>
          <w:szCs w:val="18"/>
          <w:lang w:val="fr-FR"/>
        </w:rPr>
        <w:t>’</w:t>
      </w:r>
      <w:r w:rsidR="00D145F3" w:rsidRPr="00806696">
        <w:rPr>
          <w:snapToGrid w:val="0"/>
          <w:sz w:val="18"/>
          <w:szCs w:val="18"/>
          <w:lang w:val="fr-FR"/>
        </w:rPr>
        <w:t>(les) utilisateur(s)</w:t>
      </w:r>
      <w:r>
        <w:rPr>
          <w:snapToGrid w:val="0"/>
          <w:sz w:val="18"/>
          <w:szCs w:val="18"/>
          <w:lang w:val="fr-FR"/>
        </w:rPr>
        <w:t>’</w:t>
      </w:r>
      <w:r w:rsidR="00D145F3" w:rsidRPr="00806696">
        <w:rPr>
          <w:snapToGrid w:val="0"/>
          <w:sz w:val="18"/>
          <w:szCs w:val="18"/>
          <w:lang w:val="fr-FR"/>
        </w:rPr>
        <w:t>, les membres de l</w:t>
      </w:r>
      <w:r>
        <w:rPr>
          <w:snapToGrid w:val="0"/>
          <w:sz w:val="18"/>
          <w:szCs w:val="18"/>
          <w:lang w:val="fr-FR"/>
        </w:rPr>
        <w:t>’</w:t>
      </w:r>
      <w:r w:rsidR="00D145F3" w:rsidRPr="00806696">
        <w:rPr>
          <w:snapToGrid w:val="0"/>
          <w:sz w:val="18"/>
          <w:szCs w:val="18"/>
          <w:lang w:val="fr-FR"/>
        </w:rPr>
        <w:t>Union peuvent indiquer, par exemple, les plantes ou les types de plantes pour lesqu</w:t>
      </w:r>
      <w:r w:rsidR="00D145F3">
        <w:rPr>
          <w:snapToGrid w:val="0"/>
          <w:sz w:val="18"/>
          <w:szCs w:val="18"/>
          <w:lang w:val="fr-FR"/>
        </w:rPr>
        <w:t>els les logiciels sont utilisés</w:t>
      </w:r>
      <w:r>
        <w:rPr>
          <w:snapToGrid w:val="0"/>
          <w:sz w:val="18"/>
          <w:szCs w:val="18"/>
          <w:lang w:val="fr-FR"/>
        </w:rPr>
        <w:t>”</w:t>
      </w:r>
      <w:r w:rsidR="00D145F3">
        <w:rPr>
          <w:snapToGrid w:val="0"/>
          <w:sz w:val="18"/>
          <w:szCs w:val="18"/>
          <w:lang w:val="fr-FR"/>
        </w:rPr>
        <w:t>.</w:t>
      </w:r>
    </w:p>
    <w:p w:rsidR="00D145F3" w:rsidRPr="00806696" w:rsidRDefault="00D145F3" w:rsidP="0070011F">
      <w:pPr>
        <w:keepNext/>
        <w:ind w:left="567" w:right="566"/>
        <w:rPr>
          <w:sz w:val="18"/>
          <w:szCs w:val="18"/>
          <w:lang w:val="fr-FR"/>
        </w:rPr>
      </w:pPr>
    </w:p>
    <w:p w:rsidR="00D145F3" w:rsidRPr="00806696" w:rsidRDefault="00D145F3" w:rsidP="0070011F">
      <w:pPr>
        <w:rPr>
          <w:color w:val="000000"/>
          <w:lang w:val="fr-FR" w:eastAsia="ja-JP"/>
        </w:rPr>
      </w:pPr>
      <w:r w:rsidRPr="00806696">
        <w:rPr>
          <w:snapToGrid w:val="0"/>
          <w:lang w:val="fr-FR"/>
        </w:rPr>
        <w:fldChar w:fldCharType="begin"/>
      </w:r>
      <w:r w:rsidRPr="00806696">
        <w:rPr>
          <w:snapToGrid w:val="0"/>
          <w:lang w:val="fr-FR"/>
        </w:rPr>
        <w:instrText xml:space="preserve"> AUTONUM  </w:instrText>
      </w:r>
      <w:r w:rsidRPr="00806696">
        <w:rPr>
          <w:snapToGrid w:val="0"/>
          <w:lang w:val="fr-FR"/>
        </w:rPr>
        <w:fldChar w:fldCharType="end"/>
      </w:r>
      <w:r w:rsidRPr="00806696">
        <w:rPr>
          <w:snapToGrid w:val="0"/>
          <w:lang w:val="fr-FR"/>
        </w:rPr>
        <w:tab/>
        <w:t>Le 5 février 2013, le Bureau de l</w:t>
      </w:r>
      <w:r w:rsidR="00FF1074">
        <w:rPr>
          <w:snapToGrid w:val="0"/>
          <w:lang w:val="fr-FR"/>
        </w:rPr>
        <w:t>’</w:t>
      </w:r>
      <w:r w:rsidRPr="00806696">
        <w:rPr>
          <w:snapToGrid w:val="0"/>
          <w:lang w:val="fr-FR"/>
        </w:rPr>
        <w:t>Union a diffusé la circulaire E</w:t>
      </w:r>
      <w:r w:rsidR="00014DCB">
        <w:rPr>
          <w:snapToGrid w:val="0"/>
          <w:lang w:val="fr-FR"/>
        </w:rPr>
        <w:noBreakHyphen/>
      </w:r>
      <w:r w:rsidRPr="00806696">
        <w:rPr>
          <w:snapToGrid w:val="0"/>
          <w:lang w:val="fr-FR"/>
        </w:rPr>
        <w:t>13/023 auprès des personnes désignées par les membres de l</w:t>
      </w:r>
      <w:r w:rsidR="00FF1074">
        <w:rPr>
          <w:snapToGrid w:val="0"/>
          <w:lang w:val="fr-FR"/>
        </w:rPr>
        <w:t>’</w:t>
      </w:r>
      <w:r w:rsidRPr="00806696">
        <w:rPr>
          <w:snapToGrid w:val="0"/>
          <w:lang w:val="fr-FR"/>
        </w:rPr>
        <w:t>Union faisant partie du</w:t>
      </w:r>
      <w:r w:rsidR="00FF1074">
        <w:rPr>
          <w:snapToGrid w:val="0"/>
          <w:lang w:val="fr-FR"/>
        </w:rPr>
        <w:t> TC</w:t>
      </w:r>
      <w:r w:rsidRPr="00806696">
        <w:rPr>
          <w:snapToGrid w:val="0"/>
          <w:lang w:val="fr-FR"/>
        </w:rPr>
        <w:t>, les invitant à donner ou actualiser des informations sur l</w:t>
      </w:r>
      <w:r w:rsidR="00FF1074">
        <w:rPr>
          <w:snapToGrid w:val="0"/>
          <w:lang w:val="fr-FR"/>
        </w:rPr>
        <w:t>’</w:t>
      </w:r>
      <w:r w:rsidRPr="00806696">
        <w:rPr>
          <w:snapToGrid w:val="0"/>
          <w:lang w:val="fr-FR"/>
        </w:rPr>
        <w:t xml:space="preserve">utilisation des logiciels mentionnés dans le document UPOV/INF/16. </w:t>
      </w:r>
      <w:r>
        <w:rPr>
          <w:snapToGrid w:val="0"/>
          <w:lang w:val="fr-FR"/>
        </w:rPr>
        <w:t xml:space="preserve"> </w:t>
      </w:r>
      <w:r w:rsidRPr="00806696">
        <w:rPr>
          <w:snapToGrid w:val="0"/>
          <w:lang w:val="fr-FR"/>
        </w:rPr>
        <w:t>Les informations reçues en réponse à cette circulaire</w:t>
      </w:r>
      <w:r>
        <w:rPr>
          <w:snapToGrid w:val="0"/>
          <w:lang w:val="fr-FR"/>
        </w:rPr>
        <w:t xml:space="preserve"> ont été présentées dans le</w:t>
      </w:r>
      <w:r w:rsidRPr="00806696">
        <w:rPr>
          <w:color w:val="000000"/>
          <w:lang w:val="fr-FR" w:eastAsia="ja-JP"/>
        </w:rPr>
        <w:t xml:space="preserve"> </w:t>
      </w:r>
      <w:r w:rsidR="00FF1074" w:rsidRPr="00806696">
        <w:rPr>
          <w:snapToGrid w:val="0"/>
          <w:lang w:val="fr-FR"/>
        </w:rPr>
        <w:t>document</w:t>
      </w:r>
      <w:r w:rsidR="00FF1074">
        <w:rPr>
          <w:snapToGrid w:val="0"/>
          <w:lang w:val="fr-FR"/>
        </w:rPr>
        <w:t xml:space="preserve"> TC</w:t>
      </w:r>
      <w:r w:rsidRPr="00806696">
        <w:rPr>
          <w:snapToGrid w:val="0"/>
          <w:lang w:val="fr-FR"/>
        </w:rPr>
        <w:t>/49/12 Add.</w:t>
      </w:r>
    </w:p>
    <w:p w:rsidR="00D145F3" w:rsidRPr="00806696" w:rsidRDefault="00D145F3" w:rsidP="0070011F">
      <w:pPr>
        <w:rPr>
          <w:color w:val="000000"/>
          <w:lang w:val="fr-FR" w:eastAsia="ja-JP"/>
        </w:rPr>
      </w:pPr>
    </w:p>
    <w:p w:rsidR="00D145F3" w:rsidRPr="00EA3D1D" w:rsidRDefault="00D145F3" w:rsidP="0070011F">
      <w:pPr>
        <w:rPr>
          <w:snapToGrid w:val="0"/>
          <w:lang w:val="fr-FR"/>
        </w:rPr>
      </w:pPr>
      <w:r w:rsidRPr="00EA3D1D">
        <w:rPr>
          <w:lang w:val="fr-FR"/>
        </w:rPr>
        <w:fldChar w:fldCharType="begin"/>
      </w:r>
      <w:r w:rsidRPr="00EA3D1D">
        <w:rPr>
          <w:lang w:val="fr-FR"/>
        </w:rPr>
        <w:instrText xml:space="preserve"> AUTONUM  </w:instrText>
      </w:r>
      <w:r w:rsidRPr="00EA3D1D">
        <w:rPr>
          <w:lang w:val="fr-FR"/>
        </w:rPr>
        <w:fldChar w:fldCharType="end"/>
      </w:r>
      <w:r w:rsidRPr="00EA3D1D">
        <w:rPr>
          <w:lang w:val="fr-FR"/>
        </w:rPr>
        <w:tab/>
      </w:r>
      <w:r w:rsidRPr="00974BF5">
        <w:rPr>
          <w:lang w:val="fr-FR"/>
        </w:rPr>
        <w:t>À</w:t>
      </w:r>
      <w:r w:rsidRPr="00EA3D1D">
        <w:rPr>
          <w:lang w:val="fr-FR"/>
        </w:rPr>
        <w:t xml:space="preserve"> sa quarante</w:t>
      </w:r>
      <w:r w:rsidR="00014DCB">
        <w:rPr>
          <w:lang w:val="fr-FR"/>
        </w:rPr>
        <w:noBreakHyphen/>
      </w:r>
      <w:r w:rsidRPr="00EA3D1D">
        <w:rPr>
          <w:lang w:val="fr-FR"/>
        </w:rPr>
        <w:t>neuvième</w:t>
      </w:r>
      <w:r w:rsidR="0004183A">
        <w:rPr>
          <w:lang w:val="fr-FR"/>
        </w:rPr>
        <w:t> </w:t>
      </w:r>
      <w:r w:rsidRPr="00EA3D1D">
        <w:rPr>
          <w:lang w:val="fr-FR"/>
        </w:rPr>
        <w:t>session, le</w:t>
      </w:r>
      <w:r w:rsidR="00FF1074">
        <w:rPr>
          <w:lang w:val="fr-FR"/>
        </w:rPr>
        <w:t> TC</w:t>
      </w:r>
      <w:r w:rsidRPr="00EA3D1D">
        <w:rPr>
          <w:lang w:val="fr-FR"/>
        </w:rPr>
        <w:t xml:space="preserve"> a fait sienne l</w:t>
      </w:r>
      <w:r w:rsidR="00FF1074">
        <w:rPr>
          <w:lang w:val="fr-FR"/>
        </w:rPr>
        <w:t>’</w:t>
      </w:r>
      <w:r w:rsidRPr="00EA3D1D">
        <w:rPr>
          <w:lang w:val="fr-FR"/>
        </w:rPr>
        <w:t xml:space="preserve">inclusion des </w:t>
      </w:r>
      <w:r w:rsidRPr="00EA3D1D">
        <w:rPr>
          <w:snapToGrid w:val="0"/>
          <w:lang w:val="fr-FR"/>
        </w:rPr>
        <w:t>informations figurant à l</w:t>
      </w:r>
      <w:r w:rsidR="00FF1074">
        <w:rPr>
          <w:snapToGrid w:val="0"/>
          <w:lang w:val="fr-FR"/>
        </w:rPr>
        <w:t>’</w:t>
      </w:r>
      <w:r w:rsidRPr="00EA3D1D">
        <w:rPr>
          <w:snapToGrid w:val="0"/>
          <w:lang w:val="fr-FR"/>
        </w:rPr>
        <w:t xml:space="preserve">annexe I du </w:t>
      </w:r>
      <w:r w:rsidR="00FF1074" w:rsidRPr="00EA3D1D">
        <w:rPr>
          <w:snapToGrid w:val="0"/>
          <w:lang w:val="fr-FR"/>
        </w:rPr>
        <w:t>document</w:t>
      </w:r>
      <w:r w:rsidR="00FF1074">
        <w:rPr>
          <w:snapToGrid w:val="0"/>
          <w:lang w:val="fr-FR"/>
        </w:rPr>
        <w:t xml:space="preserve"> TC</w:t>
      </w:r>
      <w:r w:rsidRPr="00EA3D1D">
        <w:rPr>
          <w:snapToGrid w:val="0"/>
          <w:lang w:val="fr-FR"/>
        </w:rPr>
        <w:t>/49/12 Add. en vue d</w:t>
      </w:r>
      <w:r w:rsidR="00FF1074">
        <w:rPr>
          <w:snapToGrid w:val="0"/>
          <w:lang w:val="fr-FR"/>
        </w:rPr>
        <w:t>’</w:t>
      </w:r>
      <w:r w:rsidRPr="00EA3D1D">
        <w:rPr>
          <w:snapToGrid w:val="0"/>
          <w:lang w:val="fr-FR"/>
        </w:rPr>
        <w:t xml:space="preserve">une révision </w:t>
      </w:r>
      <w:r>
        <w:rPr>
          <w:snapToGrid w:val="0"/>
          <w:lang w:val="fr-FR"/>
        </w:rPr>
        <w:t xml:space="preserve">du </w:t>
      </w:r>
      <w:r w:rsidRPr="00EA3D1D">
        <w:rPr>
          <w:snapToGrid w:val="0"/>
          <w:lang w:val="fr-FR"/>
        </w:rPr>
        <w:t xml:space="preserve">document UPOV/INF/16 </w:t>
      </w:r>
      <w:r>
        <w:rPr>
          <w:snapToGrid w:val="0"/>
          <w:lang w:val="fr-FR"/>
        </w:rPr>
        <w:t>par le Conseil à sa quarante</w:t>
      </w:r>
      <w:r w:rsidR="00014DCB">
        <w:rPr>
          <w:snapToGrid w:val="0"/>
          <w:lang w:val="fr-FR"/>
        </w:rPr>
        <w:noBreakHyphen/>
      </w:r>
      <w:r>
        <w:rPr>
          <w:snapToGrid w:val="0"/>
          <w:lang w:val="fr-FR"/>
        </w:rPr>
        <w:t>septième</w:t>
      </w:r>
      <w:r w:rsidR="0004183A">
        <w:rPr>
          <w:snapToGrid w:val="0"/>
          <w:lang w:val="fr-FR"/>
        </w:rPr>
        <w:t> </w:t>
      </w:r>
      <w:r>
        <w:rPr>
          <w:snapToGrid w:val="0"/>
          <w:lang w:val="fr-FR"/>
        </w:rPr>
        <w:t>session qui se tiendra à Genève le 2</w:t>
      </w:r>
      <w:r w:rsidR="00954C85">
        <w:rPr>
          <w:snapToGrid w:val="0"/>
          <w:lang w:val="fr-FR"/>
        </w:rPr>
        <w:t>4 octobre </w:t>
      </w:r>
      <w:r w:rsidR="00954C85" w:rsidRPr="00EA3D1D">
        <w:rPr>
          <w:snapToGrid w:val="0"/>
          <w:lang w:val="fr-FR"/>
        </w:rPr>
        <w:t>20</w:t>
      </w:r>
      <w:r w:rsidRPr="00EA3D1D">
        <w:rPr>
          <w:snapToGrid w:val="0"/>
          <w:lang w:val="fr-FR"/>
        </w:rPr>
        <w:t xml:space="preserve">13 </w:t>
      </w:r>
      <w:r w:rsidRPr="00EA3D1D">
        <w:rPr>
          <w:color w:val="000000"/>
          <w:lang w:val="fr-FR"/>
        </w:rPr>
        <w:t>(</w:t>
      </w:r>
      <w:r>
        <w:rPr>
          <w:color w:val="000000"/>
          <w:lang w:val="fr-FR"/>
        </w:rPr>
        <w:t>voir le</w:t>
      </w:r>
      <w:r w:rsidRPr="00EA3D1D">
        <w:rPr>
          <w:color w:val="000000"/>
          <w:lang w:val="fr-FR"/>
        </w:rPr>
        <w:t xml:space="preserve"> </w:t>
      </w:r>
      <w:r w:rsidR="00954C85" w:rsidRPr="00EA3D1D">
        <w:rPr>
          <w:color w:val="000000"/>
          <w:lang w:val="fr-FR"/>
        </w:rPr>
        <w:t>document</w:t>
      </w:r>
      <w:r w:rsidR="00954C85">
        <w:rPr>
          <w:color w:val="000000"/>
          <w:lang w:val="fr-FR"/>
        </w:rPr>
        <w:t xml:space="preserve"> </w:t>
      </w:r>
      <w:r w:rsidR="00954C85" w:rsidRPr="00EA3D1D">
        <w:rPr>
          <w:color w:val="000000"/>
          <w:lang w:val="fr-FR"/>
        </w:rPr>
        <w:t>UP</w:t>
      </w:r>
      <w:r w:rsidRPr="00EA3D1D">
        <w:rPr>
          <w:color w:val="000000"/>
          <w:lang w:val="fr-FR"/>
        </w:rPr>
        <w:t>OV/INF/16/3 Draft 1).</w:t>
      </w:r>
    </w:p>
    <w:p w:rsidR="00D145F3" w:rsidRPr="00EA3D1D" w:rsidRDefault="00D145F3" w:rsidP="0070011F">
      <w:pPr>
        <w:rPr>
          <w:snapToGrid w:val="0"/>
          <w:lang w:val="fr-FR"/>
        </w:rPr>
      </w:pPr>
    </w:p>
    <w:p w:rsidR="00D145F3" w:rsidRPr="00DC2021" w:rsidRDefault="00D145F3" w:rsidP="00273FE7">
      <w:pPr>
        <w:rPr>
          <w:lang w:val="fr-FR"/>
        </w:rPr>
      </w:pPr>
      <w:r w:rsidRPr="00DC2021">
        <w:rPr>
          <w:snapToGrid w:val="0"/>
          <w:lang w:val="fr-FR"/>
        </w:rPr>
        <w:fldChar w:fldCharType="begin"/>
      </w:r>
      <w:r w:rsidRPr="00DC2021">
        <w:rPr>
          <w:snapToGrid w:val="0"/>
          <w:lang w:val="fr-FR"/>
        </w:rPr>
        <w:instrText xml:space="preserve"> AUTONUM  </w:instrText>
      </w:r>
      <w:r w:rsidRPr="00DC2021">
        <w:rPr>
          <w:snapToGrid w:val="0"/>
          <w:lang w:val="fr-FR"/>
        </w:rPr>
        <w:fldChar w:fldCharType="end"/>
      </w:r>
      <w:r w:rsidRPr="00DC2021">
        <w:rPr>
          <w:snapToGrid w:val="0"/>
          <w:lang w:val="fr-FR"/>
        </w:rPr>
        <w:tab/>
      </w:r>
      <w:r w:rsidRPr="00974BF5">
        <w:rPr>
          <w:lang w:val="fr-FR"/>
        </w:rPr>
        <w:t>À</w:t>
      </w:r>
      <w:r w:rsidRPr="00DC2021">
        <w:rPr>
          <w:snapToGrid w:val="0"/>
          <w:lang w:val="fr-FR"/>
        </w:rPr>
        <w:t xml:space="preserve"> sa soixante</w:t>
      </w:r>
      <w:r w:rsidR="00014DCB">
        <w:rPr>
          <w:snapToGrid w:val="0"/>
          <w:lang w:val="fr-FR"/>
        </w:rPr>
        <w:noBreakHyphen/>
      </w:r>
      <w:r w:rsidRPr="00DC2021">
        <w:rPr>
          <w:snapToGrid w:val="0"/>
          <w:lang w:val="fr-FR"/>
        </w:rPr>
        <w:t>septième</w:t>
      </w:r>
      <w:r w:rsidR="0004183A">
        <w:rPr>
          <w:snapToGrid w:val="0"/>
          <w:lang w:val="fr-FR"/>
        </w:rPr>
        <w:t> </w:t>
      </w:r>
      <w:r w:rsidRPr="00DC2021">
        <w:rPr>
          <w:lang w:val="fr-FR"/>
        </w:rPr>
        <w:t>session,</w:t>
      </w:r>
      <w:r w:rsidR="00954C85" w:rsidRPr="00DC2021">
        <w:rPr>
          <w:lang w:val="fr-FR"/>
        </w:rPr>
        <w:t xml:space="preserve"> le</w:t>
      </w:r>
      <w:r w:rsidR="00954C85">
        <w:rPr>
          <w:lang w:val="fr-FR"/>
        </w:rPr>
        <w:t> </w:t>
      </w:r>
      <w:r w:rsidR="00954C85" w:rsidRPr="00DC2021">
        <w:rPr>
          <w:lang w:val="fr-FR"/>
        </w:rPr>
        <w:t>CAJ</w:t>
      </w:r>
      <w:r w:rsidRPr="00DC2021">
        <w:rPr>
          <w:lang w:val="fr-FR"/>
        </w:rPr>
        <w:t xml:space="preserve"> a pris note des conclusions du</w:t>
      </w:r>
      <w:r w:rsidR="00FF1074">
        <w:rPr>
          <w:lang w:val="fr-FR"/>
        </w:rPr>
        <w:t> TC</w:t>
      </w:r>
      <w:r w:rsidRPr="00DC2021">
        <w:rPr>
          <w:lang w:val="fr-FR"/>
        </w:rPr>
        <w:t>, à sa quarante</w:t>
      </w:r>
      <w:r w:rsidR="00014DCB">
        <w:rPr>
          <w:lang w:val="fr-FR"/>
        </w:rPr>
        <w:noBreakHyphen/>
      </w:r>
      <w:r w:rsidRPr="00DC2021">
        <w:rPr>
          <w:lang w:val="fr-FR"/>
        </w:rPr>
        <w:t>neuvième</w:t>
      </w:r>
      <w:r w:rsidR="0004183A">
        <w:rPr>
          <w:lang w:val="fr-FR"/>
        </w:rPr>
        <w:t> </w:t>
      </w:r>
      <w:r w:rsidRPr="00DC2021">
        <w:rPr>
          <w:lang w:val="fr-FR"/>
        </w:rPr>
        <w:t>session, sur une révision proposée du document UPOV/INF/16 en vue de l</w:t>
      </w:r>
      <w:r w:rsidR="00FF1074">
        <w:rPr>
          <w:lang w:val="fr-FR"/>
        </w:rPr>
        <w:t>’</w:t>
      </w:r>
      <w:r w:rsidRPr="00DC2021">
        <w:rPr>
          <w:lang w:val="fr-FR"/>
        </w:rPr>
        <w:t>inclusion de renseignements sur l</w:t>
      </w:r>
      <w:r w:rsidR="00FF1074">
        <w:rPr>
          <w:lang w:val="fr-FR"/>
        </w:rPr>
        <w:t>’</w:t>
      </w:r>
      <w:r w:rsidRPr="00DC2021">
        <w:rPr>
          <w:lang w:val="fr-FR"/>
        </w:rPr>
        <w:t>utilisation des logiciels par les membres de l</w:t>
      </w:r>
      <w:r w:rsidR="00FF1074">
        <w:rPr>
          <w:lang w:val="fr-FR"/>
        </w:rPr>
        <w:t>’</w:t>
      </w:r>
      <w:r w:rsidRPr="00DC2021">
        <w:rPr>
          <w:lang w:val="fr-FR"/>
        </w:rPr>
        <w:t xml:space="preserve">Union, </w:t>
      </w:r>
      <w:r>
        <w:rPr>
          <w:lang w:val="fr-FR"/>
        </w:rPr>
        <w:t>comme indiqué dans les paragraphes</w:t>
      </w:r>
      <w:r w:rsidR="0004183A">
        <w:rPr>
          <w:lang w:val="fr-FR"/>
        </w:rPr>
        <w:t> </w:t>
      </w:r>
      <w:r>
        <w:rPr>
          <w:lang w:val="fr-FR"/>
        </w:rPr>
        <w:t>27 et 28 de l</w:t>
      </w:r>
      <w:r w:rsidR="00FF1074">
        <w:rPr>
          <w:lang w:val="fr-FR"/>
        </w:rPr>
        <w:t>’</w:t>
      </w:r>
      <w:r>
        <w:rPr>
          <w:lang w:val="fr-FR"/>
        </w:rPr>
        <w:t xml:space="preserve">annexe du </w:t>
      </w:r>
      <w:r w:rsidR="00954C85">
        <w:rPr>
          <w:lang w:val="fr-FR"/>
        </w:rPr>
        <w:t xml:space="preserve">document </w:t>
      </w:r>
      <w:r w:rsidR="00954C85" w:rsidRPr="00DC2021">
        <w:rPr>
          <w:lang w:val="fr-FR"/>
        </w:rPr>
        <w:t>CA</w:t>
      </w:r>
      <w:r w:rsidRPr="00DC2021">
        <w:rPr>
          <w:lang w:val="fr-FR"/>
        </w:rPr>
        <w:t xml:space="preserve">J/67/13 </w:t>
      </w:r>
      <w:r w:rsidR="00AA3174">
        <w:rPr>
          <w:spacing w:val="-2"/>
          <w:lang w:val="fr-FR"/>
        </w:rPr>
        <w:t>“</w:t>
      </w:r>
      <w:r w:rsidRPr="00EA3D1D">
        <w:rPr>
          <w:spacing w:val="-2"/>
          <w:lang w:val="fr-FR"/>
        </w:rPr>
        <w:t>Rapport sur les faits nouveaux intervenus au sein du Comité technique</w:t>
      </w:r>
      <w:r w:rsidR="00FF1074">
        <w:rPr>
          <w:spacing w:val="-2"/>
          <w:lang w:val="fr-FR"/>
        </w:rPr>
        <w:t>”</w:t>
      </w:r>
      <w:r w:rsidRPr="00DC2021">
        <w:rPr>
          <w:lang w:val="fr-FR"/>
        </w:rPr>
        <w:t xml:space="preserve"> (</w:t>
      </w:r>
      <w:r>
        <w:rPr>
          <w:lang w:val="fr-FR"/>
        </w:rPr>
        <w:t>voir le paragraphe</w:t>
      </w:r>
      <w:r w:rsidR="0004183A">
        <w:rPr>
          <w:lang w:val="fr-FR"/>
        </w:rPr>
        <w:t> </w:t>
      </w:r>
      <w:r>
        <w:rPr>
          <w:lang w:val="fr-FR"/>
        </w:rPr>
        <w:t>54 du</w:t>
      </w:r>
      <w:r w:rsidRPr="00DC2021">
        <w:rPr>
          <w:lang w:val="fr-FR"/>
        </w:rPr>
        <w:t xml:space="preserve"> </w:t>
      </w:r>
      <w:r w:rsidRPr="00DC2021">
        <w:rPr>
          <w:snapToGrid w:val="0"/>
          <w:lang w:val="fr-FR"/>
        </w:rPr>
        <w:t xml:space="preserve">document CAJ/67/14 </w:t>
      </w:r>
      <w:r w:rsidR="00FF1074">
        <w:rPr>
          <w:snapToGrid w:val="0"/>
          <w:lang w:val="fr-FR"/>
        </w:rPr>
        <w:t>“</w:t>
      </w:r>
      <w:r>
        <w:rPr>
          <w:snapToGrid w:val="0"/>
          <w:lang w:val="fr-FR"/>
        </w:rPr>
        <w:t>Compte rendu des c</w:t>
      </w:r>
      <w:r w:rsidRPr="00DC2021">
        <w:rPr>
          <w:snapToGrid w:val="0"/>
          <w:lang w:val="fr-FR"/>
        </w:rPr>
        <w:t>onclusions</w:t>
      </w:r>
      <w:r w:rsidR="00FF1074">
        <w:rPr>
          <w:snapToGrid w:val="0"/>
          <w:lang w:val="fr-FR"/>
        </w:rPr>
        <w:t>”</w:t>
      </w:r>
      <w:r w:rsidRPr="00DC2021">
        <w:rPr>
          <w:snapToGrid w:val="0"/>
          <w:lang w:val="fr-FR"/>
        </w:rPr>
        <w:t>)</w:t>
      </w:r>
      <w:r w:rsidRPr="00DC2021">
        <w:rPr>
          <w:lang w:val="fr-FR"/>
        </w:rPr>
        <w:t>.</w:t>
      </w:r>
    </w:p>
    <w:p w:rsidR="00D145F3" w:rsidRPr="00DC2021" w:rsidRDefault="00D145F3" w:rsidP="00273FE7">
      <w:pPr>
        <w:rPr>
          <w:snapToGrid w:val="0"/>
          <w:lang w:val="fr-FR"/>
        </w:rPr>
      </w:pPr>
    </w:p>
    <w:p w:rsidR="00D145F3" w:rsidRPr="009142CA" w:rsidRDefault="00D145F3" w:rsidP="007D5A04">
      <w:pPr>
        <w:pStyle w:val="DecisionParagraphs"/>
        <w:rPr>
          <w:color w:val="000000"/>
          <w:lang w:val="fr-FR"/>
        </w:rPr>
      </w:pPr>
      <w:r w:rsidRPr="009142CA">
        <w:rPr>
          <w:iCs w:val="0"/>
          <w:color w:val="000000"/>
          <w:lang w:val="fr-FR"/>
        </w:rPr>
        <w:fldChar w:fldCharType="begin"/>
      </w:r>
      <w:r w:rsidRPr="009142CA">
        <w:rPr>
          <w:iCs w:val="0"/>
          <w:color w:val="000000"/>
          <w:lang w:val="fr-FR"/>
        </w:rPr>
        <w:instrText xml:space="preserve"> AUTONUM  </w:instrText>
      </w:r>
      <w:r w:rsidRPr="009142CA">
        <w:rPr>
          <w:iCs w:val="0"/>
          <w:color w:val="000000"/>
          <w:lang w:val="fr-FR"/>
        </w:rPr>
        <w:fldChar w:fldCharType="end"/>
      </w:r>
      <w:r w:rsidRPr="009142CA">
        <w:rPr>
          <w:color w:val="000000"/>
          <w:lang w:val="fr-FR"/>
        </w:rPr>
        <w:tab/>
      </w:r>
      <w:r w:rsidRPr="009142CA">
        <w:rPr>
          <w:lang w:val="fr-FR"/>
        </w:rPr>
        <w:t>Le CAJ est invité à examiner la proposition de révision du document</w:t>
      </w:r>
      <w:r w:rsidRPr="009142CA">
        <w:rPr>
          <w:color w:val="000000"/>
          <w:lang w:val="fr-FR"/>
        </w:rPr>
        <w:t xml:space="preserve"> UPOV/INF/16 concernant l</w:t>
      </w:r>
      <w:r w:rsidR="00FF1074" w:rsidRPr="009142CA">
        <w:rPr>
          <w:color w:val="000000"/>
          <w:lang w:val="fr-FR"/>
        </w:rPr>
        <w:t>’</w:t>
      </w:r>
      <w:r w:rsidRPr="009142CA">
        <w:rPr>
          <w:color w:val="000000"/>
          <w:lang w:val="fr-FR"/>
        </w:rPr>
        <w:t>inclusion d</w:t>
      </w:r>
      <w:r w:rsidR="00FF1074" w:rsidRPr="009142CA">
        <w:rPr>
          <w:color w:val="000000"/>
          <w:lang w:val="fr-FR"/>
        </w:rPr>
        <w:t>’</w:t>
      </w:r>
      <w:r w:rsidRPr="009142CA">
        <w:rPr>
          <w:color w:val="000000"/>
          <w:lang w:val="fr-FR"/>
        </w:rPr>
        <w:t>informations sur l</w:t>
      </w:r>
      <w:r w:rsidR="00FF1074" w:rsidRPr="009142CA">
        <w:rPr>
          <w:color w:val="000000"/>
          <w:lang w:val="fr-FR"/>
        </w:rPr>
        <w:t>’</w:t>
      </w:r>
      <w:r w:rsidRPr="009142CA">
        <w:rPr>
          <w:color w:val="000000"/>
          <w:lang w:val="fr-FR"/>
        </w:rPr>
        <w:t>utilisation des logiciels par les membres de l</w:t>
      </w:r>
      <w:r w:rsidR="00FF1074" w:rsidRPr="009142CA">
        <w:rPr>
          <w:color w:val="000000"/>
          <w:lang w:val="fr-FR"/>
        </w:rPr>
        <w:t>’</w:t>
      </w:r>
      <w:r w:rsidRPr="009142CA">
        <w:rPr>
          <w:color w:val="000000"/>
          <w:lang w:val="fr-FR"/>
        </w:rPr>
        <w:t>Union, comme indiqué aux paragraphes</w:t>
      </w:r>
      <w:r w:rsidR="0004183A" w:rsidRPr="009142CA">
        <w:rPr>
          <w:color w:val="000000"/>
          <w:lang w:val="fr-FR"/>
        </w:rPr>
        <w:t> </w:t>
      </w:r>
      <w:r w:rsidRPr="009142CA">
        <w:rPr>
          <w:color w:val="000000"/>
          <w:lang w:val="fr-FR"/>
        </w:rPr>
        <w:t>13 et 14 de ce document, sur la base du document UPOV/INF/16/3 Draft 1.</w:t>
      </w:r>
    </w:p>
    <w:p w:rsidR="00D145F3" w:rsidRPr="009142CA" w:rsidRDefault="00D145F3" w:rsidP="007D5A04">
      <w:pPr>
        <w:pStyle w:val="DecisionParagraphs"/>
        <w:ind w:left="0"/>
        <w:rPr>
          <w:lang w:val="fr-FR"/>
        </w:rPr>
      </w:pPr>
    </w:p>
    <w:p w:rsidR="00D145F3" w:rsidRPr="009142CA" w:rsidRDefault="00D145F3" w:rsidP="0070011F">
      <w:pPr>
        <w:rPr>
          <w:i/>
          <w:color w:val="000000"/>
          <w:lang w:val="fr-FR" w:eastAsia="ja-JP"/>
        </w:rPr>
      </w:pPr>
    </w:p>
    <w:p w:rsidR="00D145F3" w:rsidRPr="00DC2021" w:rsidRDefault="00D145F3" w:rsidP="00C833F8">
      <w:pPr>
        <w:rPr>
          <w:lang w:val="fr-FR"/>
        </w:rPr>
      </w:pPr>
      <w:r w:rsidRPr="00DC2021">
        <w:rPr>
          <w:lang w:val="fr-FR"/>
        </w:rPr>
        <w:fldChar w:fldCharType="begin"/>
      </w:r>
      <w:r w:rsidRPr="00DC2021">
        <w:rPr>
          <w:lang w:val="fr-FR"/>
        </w:rPr>
        <w:instrText xml:space="preserve"> AUTONUM  </w:instrText>
      </w:r>
      <w:r w:rsidRPr="00DC2021">
        <w:rPr>
          <w:lang w:val="fr-FR"/>
        </w:rPr>
        <w:fldChar w:fldCharType="end"/>
      </w:r>
      <w:r w:rsidRPr="00DC2021">
        <w:rPr>
          <w:lang w:val="fr-FR"/>
        </w:rPr>
        <w:tab/>
      </w:r>
      <w:r w:rsidRPr="00974BF5">
        <w:rPr>
          <w:lang w:val="fr-FR"/>
        </w:rPr>
        <w:t>À</w:t>
      </w:r>
      <w:r w:rsidRPr="00DC2021">
        <w:rPr>
          <w:lang w:val="fr-FR"/>
        </w:rPr>
        <w:t xml:space="preserve"> sa quarante</w:t>
      </w:r>
      <w:r w:rsidR="00014DCB">
        <w:rPr>
          <w:lang w:val="fr-FR"/>
        </w:rPr>
        <w:noBreakHyphen/>
      </w:r>
      <w:r w:rsidRPr="00DC2021">
        <w:rPr>
          <w:lang w:val="fr-FR"/>
        </w:rPr>
        <w:t>neuvième</w:t>
      </w:r>
      <w:r w:rsidR="0004183A">
        <w:rPr>
          <w:lang w:val="fr-FR"/>
        </w:rPr>
        <w:t> </w:t>
      </w:r>
      <w:r w:rsidRPr="00DC2021">
        <w:rPr>
          <w:lang w:val="fr-FR"/>
        </w:rPr>
        <w:t>session, le</w:t>
      </w:r>
      <w:r w:rsidR="00FF1074">
        <w:rPr>
          <w:lang w:val="fr-FR"/>
        </w:rPr>
        <w:t> TC</w:t>
      </w:r>
      <w:r w:rsidRPr="00DC2021">
        <w:rPr>
          <w:lang w:val="fr-FR"/>
        </w:rPr>
        <w:t xml:space="preserve"> a noté que, sous ré</w:t>
      </w:r>
      <w:r>
        <w:rPr>
          <w:lang w:val="fr-FR"/>
        </w:rPr>
        <w:t>s</w:t>
      </w:r>
      <w:r w:rsidRPr="00DC2021">
        <w:rPr>
          <w:lang w:val="fr-FR"/>
        </w:rPr>
        <w:t>erve de l</w:t>
      </w:r>
      <w:r w:rsidR="00FF1074">
        <w:rPr>
          <w:lang w:val="fr-FR"/>
        </w:rPr>
        <w:t>’</w:t>
      </w:r>
      <w:r w:rsidRPr="00DC2021">
        <w:rPr>
          <w:lang w:val="fr-FR"/>
        </w:rPr>
        <w:t>approbation</w:t>
      </w:r>
      <w:r w:rsidR="00954C85" w:rsidRPr="00DC2021">
        <w:rPr>
          <w:lang w:val="fr-FR"/>
        </w:rPr>
        <w:t xml:space="preserve"> du</w:t>
      </w:r>
      <w:r w:rsidR="00954C85">
        <w:rPr>
          <w:lang w:val="fr-FR"/>
        </w:rPr>
        <w:t> </w:t>
      </w:r>
      <w:r w:rsidR="00954C85" w:rsidRPr="00DC2021">
        <w:rPr>
          <w:lang w:val="fr-FR"/>
        </w:rPr>
        <w:t>CAJ</w:t>
      </w:r>
      <w:r w:rsidRPr="00DC2021">
        <w:rPr>
          <w:lang w:val="fr-FR"/>
        </w:rPr>
        <w:t xml:space="preserve"> à sa soixante</w:t>
      </w:r>
      <w:r w:rsidR="00014DCB">
        <w:rPr>
          <w:lang w:val="fr-FR"/>
        </w:rPr>
        <w:noBreakHyphen/>
      </w:r>
      <w:r w:rsidRPr="00DC2021">
        <w:rPr>
          <w:lang w:val="fr-FR"/>
        </w:rPr>
        <w:t>huitième</w:t>
      </w:r>
      <w:r w:rsidR="0004183A">
        <w:rPr>
          <w:lang w:val="fr-FR"/>
        </w:rPr>
        <w:t> </w:t>
      </w:r>
      <w:r w:rsidRPr="00DC2021">
        <w:rPr>
          <w:lang w:val="fr-FR"/>
        </w:rPr>
        <w:t>session, la version révisée du document UPOV/INF/16 serait examinée pour adoption par le Conseil à sa quarante</w:t>
      </w:r>
      <w:r w:rsidR="00014DCB">
        <w:rPr>
          <w:lang w:val="fr-FR"/>
        </w:rPr>
        <w:noBreakHyphen/>
      </w:r>
      <w:r w:rsidRPr="00DC2021">
        <w:rPr>
          <w:lang w:val="fr-FR"/>
        </w:rPr>
        <w:t xml:space="preserve">septième session ordinaire, qui se tiendra le 24 octobre 2013. </w:t>
      </w:r>
      <w:r w:rsidR="0004183A">
        <w:rPr>
          <w:lang w:val="fr-FR"/>
        </w:rPr>
        <w:t xml:space="preserve"> </w:t>
      </w:r>
      <w:r w:rsidRPr="00DC2021">
        <w:rPr>
          <w:lang w:val="fr-FR"/>
        </w:rPr>
        <w:t>Un compte rendu des conclusions du CAJ, à sa soixante</w:t>
      </w:r>
      <w:r w:rsidR="00014DCB">
        <w:rPr>
          <w:lang w:val="fr-FR"/>
        </w:rPr>
        <w:noBreakHyphen/>
      </w:r>
      <w:r w:rsidRPr="00DC2021">
        <w:rPr>
          <w:lang w:val="fr-FR"/>
        </w:rPr>
        <w:t>huitième</w:t>
      </w:r>
      <w:r w:rsidR="0004183A">
        <w:rPr>
          <w:lang w:val="fr-FR"/>
        </w:rPr>
        <w:t> </w:t>
      </w:r>
      <w:r w:rsidRPr="00DC2021">
        <w:rPr>
          <w:lang w:val="fr-FR"/>
        </w:rPr>
        <w:t>session</w:t>
      </w:r>
      <w:r w:rsidRPr="00DC2021">
        <w:rPr>
          <w:snapToGrid w:val="0"/>
          <w:lang w:val="fr-FR"/>
        </w:rPr>
        <w:t xml:space="preserve">, concernant les modifications proposées </w:t>
      </w:r>
      <w:r>
        <w:rPr>
          <w:snapToGrid w:val="0"/>
          <w:lang w:val="fr-FR"/>
        </w:rPr>
        <w:t>du</w:t>
      </w:r>
      <w:r w:rsidRPr="00DC2021">
        <w:rPr>
          <w:snapToGrid w:val="0"/>
          <w:lang w:val="fr-FR"/>
        </w:rPr>
        <w:t xml:space="preserve"> document UPOV/INF/16, sera présenté au Conseil à sa quarante</w:t>
      </w:r>
      <w:r w:rsidR="00014DCB">
        <w:rPr>
          <w:snapToGrid w:val="0"/>
          <w:lang w:val="fr-FR"/>
        </w:rPr>
        <w:noBreakHyphen/>
      </w:r>
      <w:r>
        <w:rPr>
          <w:snapToGrid w:val="0"/>
          <w:lang w:val="fr-FR"/>
        </w:rPr>
        <w:t>septième</w:t>
      </w:r>
      <w:r w:rsidRPr="00DC2021">
        <w:rPr>
          <w:snapToGrid w:val="0"/>
          <w:lang w:val="fr-FR"/>
        </w:rPr>
        <w:t> session ordinaire</w:t>
      </w:r>
      <w:r w:rsidRPr="00DC2021">
        <w:rPr>
          <w:lang w:val="fr-FR"/>
        </w:rPr>
        <w:t>.</w:t>
      </w:r>
    </w:p>
    <w:p w:rsidR="00D145F3" w:rsidRPr="00DC2021" w:rsidRDefault="00D145F3" w:rsidP="00C833F8">
      <w:pPr>
        <w:rPr>
          <w:lang w:val="fr-FR"/>
        </w:rPr>
      </w:pPr>
    </w:p>
    <w:p w:rsidR="00D145F3" w:rsidRPr="00DC2021" w:rsidRDefault="00D145F3" w:rsidP="00C833F8">
      <w:pPr>
        <w:rPr>
          <w:lang w:val="fr-FR"/>
        </w:rPr>
      </w:pPr>
    </w:p>
    <w:p w:rsidR="00D145F3" w:rsidRPr="009142CA" w:rsidRDefault="00D145F3" w:rsidP="007D5A04">
      <w:pPr>
        <w:pStyle w:val="DecisionParagraphs"/>
        <w:rPr>
          <w:color w:val="000000"/>
          <w:lang w:val="fr-FR"/>
        </w:rPr>
      </w:pPr>
      <w:r w:rsidRPr="009142CA">
        <w:rPr>
          <w:iCs w:val="0"/>
          <w:color w:val="000000"/>
          <w:lang w:val="fr-FR"/>
        </w:rPr>
        <w:fldChar w:fldCharType="begin"/>
      </w:r>
      <w:r w:rsidRPr="009142CA">
        <w:rPr>
          <w:iCs w:val="0"/>
          <w:color w:val="000000"/>
          <w:lang w:val="fr-FR"/>
        </w:rPr>
        <w:instrText xml:space="preserve"> AUTONUM  </w:instrText>
      </w:r>
      <w:r w:rsidRPr="009142CA">
        <w:rPr>
          <w:iCs w:val="0"/>
          <w:color w:val="000000"/>
          <w:lang w:val="fr-FR"/>
        </w:rPr>
        <w:fldChar w:fldCharType="end"/>
      </w:r>
      <w:r w:rsidRPr="009142CA">
        <w:rPr>
          <w:color w:val="000000"/>
          <w:lang w:val="fr-FR"/>
        </w:rPr>
        <w:tab/>
      </w:r>
      <w:r w:rsidRPr="009142CA">
        <w:rPr>
          <w:lang w:val="fr-FR"/>
        </w:rPr>
        <w:t>Le CAJ est invité à prendre note que, sous réserve de l</w:t>
      </w:r>
      <w:r w:rsidR="00FF1074" w:rsidRPr="009142CA">
        <w:rPr>
          <w:lang w:val="fr-FR"/>
        </w:rPr>
        <w:t>’</w:t>
      </w:r>
      <w:r w:rsidRPr="009142CA">
        <w:rPr>
          <w:lang w:val="fr-FR"/>
        </w:rPr>
        <w:t>approbation</w:t>
      </w:r>
      <w:r w:rsidR="00954C85" w:rsidRPr="009142CA">
        <w:rPr>
          <w:lang w:val="fr-FR"/>
        </w:rPr>
        <w:t xml:space="preserve"> du CAJ</w:t>
      </w:r>
      <w:r w:rsidRPr="009142CA">
        <w:rPr>
          <w:lang w:val="fr-FR"/>
        </w:rPr>
        <w:t xml:space="preserve"> à sa soixante</w:t>
      </w:r>
      <w:r w:rsidR="00014DCB" w:rsidRPr="009142CA">
        <w:rPr>
          <w:lang w:val="fr-FR"/>
        </w:rPr>
        <w:noBreakHyphen/>
      </w:r>
      <w:r w:rsidRPr="009142CA">
        <w:rPr>
          <w:lang w:val="fr-FR"/>
        </w:rPr>
        <w:t>huitième</w:t>
      </w:r>
      <w:r w:rsidR="0004183A" w:rsidRPr="009142CA">
        <w:rPr>
          <w:lang w:val="fr-FR"/>
        </w:rPr>
        <w:t> </w:t>
      </w:r>
      <w:r w:rsidRPr="009142CA">
        <w:rPr>
          <w:lang w:val="fr-FR"/>
        </w:rPr>
        <w:t>session, la version révisée du document UPOV/INF/16 sera examinée pour adoption par le Conseil à sa quarante</w:t>
      </w:r>
      <w:r w:rsidR="00014DCB" w:rsidRPr="009142CA">
        <w:rPr>
          <w:lang w:val="fr-FR"/>
        </w:rPr>
        <w:noBreakHyphen/>
      </w:r>
      <w:r w:rsidRPr="009142CA">
        <w:rPr>
          <w:lang w:val="fr-FR"/>
        </w:rPr>
        <w:t>septième session ordinaire, qui se tiendra le 24 octobre 2013.</w:t>
      </w:r>
    </w:p>
    <w:p w:rsidR="00D145F3" w:rsidRPr="009142CA" w:rsidRDefault="00D145F3" w:rsidP="007D5A04">
      <w:pPr>
        <w:pStyle w:val="DecisionParagraphs"/>
        <w:ind w:left="0"/>
        <w:rPr>
          <w:lang w:val="fr-FR"/>
        </w:rPr>
      </w:pPr>
    </w:p>
    <w:p w:rsidR="00D145F3" w:rsidRPr="00806696" w:rsidRDefault="00D145F3" w:rsidP="0070011F">
      <w:pPr>
        <w:pStyle w:val="DecisionParagraphs"/>
        <w:ind w:left="0"/>
        <w:rPr>
          <w:lang w:val="fr-FR"/>
        </w:rPr>
      </w:pPr>
    </w:p>
    <w:p w:rsidR="00D145F3" w:rsidRPr="00806696" w:rsidRDefault="00D145F3" w:rsidP="0070011F">
      <w:pPr>
        <w:pStyle w:val="DecisionParagraphs"/>
        <w:ind w:left="0"/>
        <w:rPr>
          <w:lang w:val="fr-FR"/>
        </w:rPr>
      </w:pPr>
    </w:p>
    <w:p w:rsidR="00D145F3" w:rsidRPr="008B118E" w:rsidRDefault="00D145F3" w:rsidP="0070011F">
      <w:pPr>
        <w:pStyle w:val="DecisionParagraphs"/>
        <w:jc w:val="right"/>
        <w:rPr>
          <w:i w:val="0"/>
          <w:iCs w:val="0"/>
        </w:rPr>
      </w:pPr>
      <w:r w:rsidRPr="008B118E">
        <w:rPr>
          <w:i w:val="0"/>
          <w:iCs w:val="0"/>
        </w:rPr>
        <w:t>[</w:t>
      </w:r>
      <w:r>
        <w:rPr>
          <w:i w:val="0"/>
          <w:iCs w:val="0"/>
        </w:rPr>
        <w:t>Fin du</w:t>
      </w:r>
      <w:r w:rsidRPr="008B118E">
        <w:rPr>
          <w:i w:val="0"/>
          <w:iCs w:val="0"/>
        </w:rPr>
        <w:t xml:space="preserve"> document]</w:t>
      </w:r>
    </w:p>
    <w:sectPr w:rsidR="00D145F3" w:rsidRPr="008B118E" w:rsidSect="00890846">
      <w:headerReference w:type="default" r:id="rId11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6BD" w:rsidRDefault="00A536BD">
      <w:r>
        <w:separator/>
      </w:r>
    </w:p>
    <w:p w:rsidR="00A536BD" w:rsidRDefault="00A536BD"/>
    <w:p w:rsidR="00A536BD" w:rsidRDefault="00A536BD"/>
  </w:endnote>
  <w:endnote w:type="continuationSeparator" w:id="0">
    <w:p w:rsidR="00A536BD" w:rsidRDefault="00A536BD">
      <w:r>
        <w:separator/>
      </w:r>
    </w:p>
    <w:p w:rsidR="00A536BD" w:rsidRPr="00664515" w:rsidRDefault="00A536BD">
      <w:pPr>
        <w:pStyle w:val="Footer"/>
        <w:spacing w:after="60"/>
        <w:rPr>
          <w:sz w:val="18"/>
          <w:szCs w:val="18"/>
          <w:lang w:val="fr-CH"/>
        </w:rPr>
      </w:pPr>
      <w:r w:rsidRPr="00664515">
        <w:rPr>
          <w:sz w:val="18"/>
          <w:szCs w:val="18"/>
          <w:lang w:val="fr-CH"/>
        </w:rPr>
        <w:t>[Suite de la note de la page précédente]</w:t>
      </w:r>
    </w:p>
    <w:p w:rsidR="00A536BD" w:rsidRPr="00664515" w:rsidRDefault="00A536BD">
      <w:pPr>
        <w:rPr>
          <w:lang w:val="fr-CH"/>
        </w:rPr>
      </w:pPr>
    </w:p>
    <w:p w:rsidR="00A536BD" w:rsidRPr="00664515" w:rsidRDefault="00A536BD">
      <w:pPr>
        <w:rPr>
          <w:lang w:val="fr-CH"/>
        </w:rPr>
      </w:pPr>
    </w:p>
  </w:endnote>
  <w:endnote w:type="continuationNotice" w:id="1">
    <w:p w:rsidR="00A536BD" w:rsidRPr="00664515" w:rsidRDefault="00A536BD">
      <w:pPr>
        <w:spacing w:before="60"/>
        <w:jc w:val="right"/>
        <w:rPr>
          <w:sz w:val="18"/>
          <w:szCs w:val="18"/>
          <w:lang w:val="fr-CH"/>
        </w:rPr>
      </w:pPr>
      <w:r w:rsidRPr="00664515">
        <w:rPr>
          <w:sz w:val="18"/>
          <w:szCs w:val="18"/>
          <w:lang w:val="fr-CH"/>
        </w:rPr>
        <w:t>[Suite de la note page suivante]</w:t>
      </w:r>
    </w:p>
    <w:p w:rsidR="00A536BD" w:rsidRPr="00664515" w:rsidRDefault="00A536BD">
      <w:pPr>
        <w:rPr>
          <w:lang w:val="fr-CH"/>
        </w:rPr>
      </w:pPr>
    </w:p>
    <w:p w:rsidR="00A536BD" w:rsidRPr="00664515" w:rsidRDefault="00A536BD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6BD" w:rsidRDefault="00A536BD" w:rsidP="009D690D">
      <w:pPr>
        <w:spacing w:before="120"/>
      </w:pPr>
      <w:r>
        <w:separator/>
      </w:r>
    </w:p>
  </w:footnote>
  <w:footnote w:type="continuationSeparator" w:id="0">
    <w:p w:rsidR="00A536BD" w:rsidRDefault="00A536BD" w:rsidP="00520297">
      <w:pPr>
        <w:spacing w:before="120"/>
        <w:jc w:val="left"/>
      </w:pPr>
      <w:r>
        <w:separator/>
      </w:r>
    </w:p>
  </w:footnote>
  <w:footnote w:type="continuationNotice" w:id="1">
    <w:p w:rsidR="00A536BD" w:rsidRDefault="00A536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5F3" w:rsidRPr="00997029" w:rsidRDefault="00D145F3" w:rsidP="00EB048E">
    <w:pPr>
      <w:pStyle w:val="Header"/>
      <w:rPr>
        <w:rStyle w:val="PageNumber"/>
      </w:rPr>
    </w:pPr>
    <w:r>
      <w:rPr>
        <w:rStyle w:val="PageNumber"/>
      </w:rPr>
      <w:t>CAJ/68/7</w:t>
    </w:r>
  </w:p>
  <w:p w:rsidR="00D145F3" w:rsidRPr="00997029" w:rsidRDefault="00D145F3" w:rsidP="00EB048E">
    <w:pPr>
      <w:pStyle w:val="Header"/>
    </w:pPr>
    <w:r w:rsidRPr="00997029">
      <w:t>page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7E4277">
      <w:rPr>
        <w:rStyle w:val="PageNumber"/>
        <w:noProof/>
      </w:rPr>
      <w:t>3</w:t>
    </w:r>
    <w:r w:rsidRPr="00997029">
      <w:rPr>
        <w:rStyle w:val="PageNumber"/>
      </w:rPr>
      <w:fldChar w:fldCharType="end"/>
    </w:r>
  </w:p>
  <w:p w:rsidR="00D145F3" w:rsidRPr="00997029" w:rsidRDefault="00D145F3" w:rsidP="00EB048E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F08B1"/>
    <w:multiLevelType w:val="hybridMultilevel"/>
    <w:tmpl w:val="4B28BBD0"/>
    <w:lvl w:ilvl="0" w:tplc="8494BA70">
      <w:start w:val="1"/>
      <w:numFmt w:val="lowerLetter"/>
      <w:lvlText w:val="(%1)"/>
      <w:lvlJc w:val="left"/>
      <w:pPr>
        <w:tabs>
          <w:tab w:val="num" w:pos="5750"/>
        </w:tabs>
        <w:ind w:left="5750" w:hanging="360"/>
      </w:pPr>
      <w:rPr>
        <w:rFonts w:hint="default"/>
      </w:rPr>
    </w:lvl>
    <w:lvl w:ilvl="1" w:tplc="B06A546A">
      <w:start w:val="2"/>
      <w:numFmt w:val="lowerRoman"/>
      <w:lvlText w:val="(%2)"/>
      <w:lvlJc w:val="left"/>
      <w:pPr>
        <w:tabs>
          <w:tab w:val="num" w:pos="6830"/>
        </w:tabs>
        <w:ind w:left="6830" w:hanging="720"/>
      </w:pPr>
      <w:rPr>
        <w:rFonts w:hint="default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7190"/>
        </w:tabs>
        <w:ind w:left="71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910"/>
        </w:tabs>
        <w:ind w:left="79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630"/>
        </w:tabs>
        <w:ind w:left="86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9350"/>
        </w:tabs>
        <w:ind w:left="93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0070"/>
        </w:tabs>
        <w:ind w:left="100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790"/>
        </w:tabs>
        <w:ind w:left="107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510"/>
        </w:tabs>
        <w:ind w:left="115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defaultTabStop w:val="56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47"/>
    <w:rsid w:val="00001380"/>
    <w:rsid w:val="00001D48"/>
    <w:rsid w:val="00010CF3"/>
    <w:rsid w:val="00011E27"/>
    <w:rsid w:val="000148BC"/>
    <w:rsid w:val="00014DCB"/>
    <w:rsid w:val="00024AB8"/>
    <w:rsid w:val="00036028"/>
    <w:rsid w:val="0004005F"/>
    <w:rsid w:val="0004183A"/>
    <w:rsid w:val="000446B9"/>
    <w:rsid w:val="00047E21"/>
    <w:rsid w:val="000511C9"/>
    <w:rsid w:val="00064100"/>
    <w:rsid w:val="00085505"/>
    <w:rsid w:val="000C1CCD"/>
    <w:rsid w:val="000C7021"/>
    <w:rsid w:val="000D6BBC"/>
    <w:rsid w:val="000D7780"/>
    <w:rsid w:val="000E678E"/>
    <w:rsid w:val="000F3B05"/>
    <w:rsid w:val="00105929"/>
    <w:rsid w:val="00110481"/>
    <w:rsid w:val="001131D5"/>
    <w:rsid w:val="00123152"/>
    <w:rsid w:val="00141DB8"/>
    <w:rsid w:val="00145A97"/>
    <w:rsid w:val="001605FB"/>
    <w:rsid w:val="0017474A"/>
    <w:rsid w:val="001758C6"/>
    <w:rsid w:val="00197BB1"/>
    <w:rsid w:val="001B0C1C"/>
    <w:rsid w:val="001C3DF3"/>
    <w:rsid w:val="001C4931"/>
    <w:rsid w:val="001F1F2A"/>
    <w:rsid w:val="001F69C2"/>
    <w:rsid w:val="0021332C"/>
    <w:rsid w:val="00213982"/>
    <w:rsid w:val="00217CF3"/>
    <w:rsid w:val="00237C7D"/>
    <w:rsid w:val="0024416D"/>
    <w:rsid w:val="00245720"/>
    <w:rsid w:val="0027309C"/>
    <w:rsid w:val="00273FE7"/>
    <w:rsid w:val="002800A0"/>
    <w:rsid w:val="00281060"/>
    <w:rsid w:val="0029439F"/>
    <w:rsid w:val="002A2FA8"/>
    <w:rsid w:val="002A6E50"/>
    <w:rsid w:val="002B1DCF"/>
    <w:rsid w:val="002C256A"/>
    <w:rsid w:val="002D329E"/>
    <w:rsid w:val="002E7BA1"/>
    <w:rsid w:val="002F78FA"/>
    <w:rsid w:val="00305A7F"/>
    <w:rsid w:val="003152FE"/>
    <w:rsid w:val="00327436"/>
    <w:rsid w:val="00344BD6"/>
    <w:rsid w:val="003510E2"/>
    <w:rsid w:val="0035528D"/>
    <w:rsid w:val="00361821"/>
    <w:rsid w:val="003A17C8"/>
    <w:rsid w:val="003A5F70"/>
    <w:rsid w:val="003C563E"/>
    <w:rsid w:val="003C7D09"/>
    <w:rsid w:val="003D227C"/>
    <w:rsid w:val="003D2B4D"/>
    <w:rsid w:val="003F4C58"/>
    <w:rsid w:val="003F6136"/>
    <w:rsid w:val="00427139"/>
    <w:rsid w:val="00444A88"/>
    <w:rsid w:val="00445153"/>
    <w:rsid w:val="00445A2A"/>
    <w:rsid w:val="00474DA4"/>
    <w:rsid w:val="00476E42"/>
    <w:rsid w:val="004775FA"/>
    <w:rsid w:val="004942AA"/>
    <w:rsid w:val="004C5121"/>
    <w:rsid w:val="004D047D"/>
    <w:rsid w:val="004F305A"/>
    <w:rsid w:val="00501DC7"/>
    <w:rsid w:val="00512164"/>
    <w:rsid w:val="00520297"/>
    <w:rsid w:val="005338F9"/>
    <w:rsid w:val="0054281C"/>
    <w:rsid w:val="0055268D"/>
    <w:rsid w:val="00557E57"/>
    <w:rsid w:val="00566C09"/>
    <w:rsid w:val="00572E44"/>
    <w:rsid w:val="00576BE4"/>
    <w:rsid w:val="0058757A"/>
    <w:rsid w:val="005A400A"/>
    <w:rsid w:val="005E293B"/>
    <w:rsid w:val="005F650E"/>
    <w:rsid w:val="00612379"/>
    <w:rsid w:val="0061555F"/>
    <w:rsid w:val="00641200"/>
    <w:rsid w:val="006639BD"/>
    <w:rsid w:val="00663ED8"/>
    <w:rsid w:val="00664515"/>
    <w:rsid w:val="00670FC6"/>
    <w:rsid w:val="00687EB4"/>
    <w:rsid w:val="006A79C8"/>
    <w:rsid w:val="006B17D2"/>
    <w:rsid w:val="006B45FA"/>
    <w:rsid w:val="006C224E"/>
    <w:rsid w:val="0070011F"/>
    <w:rsid w:val="007164C9"/>
    <w:rsid w:val="00732DEC"/>
    <w:rsid w:val="00735BD5"/>
    <w:rsid w:val="00736C19"/>
    <w:rsid w:val="00744D73"/>
    <w:rsid w:val="0075117E"/>
    <w:rsid w:val="00751BD6"/>
    <w:rsid w:val="007556F6"/>
    <w:rsid w:val="00760EEF"/>
    <w:rsid w:val="00777EE5"/>
    <w:rsid w:val="00784836"/>
    <w:rsid w:val="0079023E"/>
    <w:rsid w:val="007A18B1"/>
    <w:rsid w:val="007A6DEB"/>
    <w:rsid w:val="007B6413"/>
    <w:rsid w:val="007B6894"/>
    <w:rsid w:val="007D0B9D"/>
    <w:rsid w:val="007D19B0"/>
    <w:rsid w:val="007D5A04"/>
    <w:rsid w:val="007E4277"/>
    <w:rsid w:val="007F3F15"/>
    <w:rsid w:val="007F498F"/>
    <w:rsid w:val="00806696"/>
    <w:rsid w:val="0080679D"/>
    <w:rsid w:val="008108B0"/>
    <w:rsid w:val="00811B20"/>
    <w:rsid w:val="0082296E"/>
    <w:rsid w:val="00824099"/>
    <w:rsid w:val="00836E88"/>
    <w:rsid w:val="00855DBD"/>
    <w:rsid w:val="008578D1"/>
    <w:rsid w:val="008657F3"/>
    <w:rsid w:val="00867AC1"/>
    <w:rsid w:val="00890846"/>
    <w:rsid w:val="008A395B"/>
    <w:rsid w:val="008A743F"/>
    <w:rsid w:val="008B118E"/>
    <w:rsid w:val="008B1F09"/>
    <w:rsid w:val="008B51D0"/>
    <w:rsid w:val="008C0970"/>
    <w:rsid w:val="008C25E1"/>
    <w:rsid w:val="008D2CF7"/>
    <w:rsid w:val="008E793E"/>
    <w:rsid w:val="00900C26"/>
    <w:rsid w:val="0090197F"/>
    <w:rsid w:val="00906DDC"/>
    <w:rsid w:val="009142CA"/>
    <w:rsid w:val="00917F0A"/>
    <w:rsid w:val="009237AB"/>
    <w:rsid w:val="00934E09"/>
    <w:rsid w:val="00936253"/>
    <w:rsid w:val="009513F0"/>
    <w:rsid w:val="00954C85"/>
    <w:rsid w:val="0095795C"/>
    <w:rsid w:val="00965154"/>
    <w:rsid w:val="00970FED"/>
    <w:rsid w:val="009742A8"/>
    <w:rsid w:val="00974BF5"/>
    <w:rsid w:val="00997029"/>
    <w:rsid w:val="009B45BB"/>
    <w:rsid w:val="009D0DE5"/>
    <w:rsid w:val="009D690D"/>
    <w:rsid w:val="009E65B6"/>
    <w:rsid w:val="00A006B1"/>
    <w:rsid w:val="00A42AC3"/>
    <w:rsid w:val="00A430CF"/>
    <w:rsid w:val="00A536BD"/>
    <w:rsid w:val="00A54309"/>
    <w:rsid w:val="00A80F47"/>
    <w:rsid w:val="00A86B3A"/>
    <w:rsid w:val="00AA3174"/>
    <w:rsid w:val="00AB2B93"/>
    <w:rsid w:val="00AE0EF1"/>
    <w:rsid w:val="00AE2185"/>
    <w:rsid w:val="00AF1403"/>
    <w:rsid w:val="00B00310"/>
    <w:rsid w:val="00B07301"/>
    <w:rsid w:val="00B224DE"/>
    <w:rsid w:val="00B45DC5"/>
    <w:rsid w:val="00B540EA"/>
    <w:rsid w:val="00B62F85"/>
    <w:rsid w:val="00B726EA"/>
    <w:rsid w:val="00B84BBD"/>
    <w:rsid w:val="00BA43FB"/>
    <w:rsid w:val="00BC127D"/>
    <w:rsid w:val="00BC1FE6"/>
    <w:rsid w:val="00BC49C1"/>
    <w:rsid w:val="00BD42E8"/>
    <w:rsid w:val="00BD4C24"/>
    <w:rsid w:val="00C061B6"/>
    <w:rsid w:val="00C21DBF"/>
    <w:rsid w:val="00C2446C"/>
    <w:rsid w:val="00C36AE5"/>
    <w:rsid w:val="00C41F17"/>
    <w:rsid w:val="00C54BF4"/>
    <w:rsid w:val="00C5791C"/>
    <w:rsid w:val="00C66290"/>
    <w:rsid w:val="00C72B7A"/>
    <w:rsid w:val="00C833F8"/>
    <w:rsid w:val="00C973F2"/>
    <w:rsid w:val="00CA774A"/>
    <w:rsid w:val="00CC11B0"/>
    <w:rsid w:val="00CC51D3"/>
    <w:rsid w:val="00CD5848"/>
    <w:rsid w:val="00CF7E36"/>
    <w:rsid w:val="00D145F3"/>
    <w:rsid w:val="00D20AD1"/>
    <w:rsid w:val="00D24210"/>
    <w:rsid w:val="00D27DD2"/>
    <w:rsid w:val="00D3708D"/>
    <w:rsid w:val="00D40426"/>
    <w:rsid w:val="00D57C96"/>
    <w:rsid w:val="00D91203"/>
    <w:rsid w:val="00D95174"/>
    <w:rsid w:val="00D95A5C"/>
    <w:rsid w:val="00DA6F36"/>
    <w:rsid w:val="00DC00EA"/>
    <w:rsid w:val="00DC1C6F"/>
    <w:rsid w:val="00DC2021"/>
    <w:rsid w:val="00DC7480"/>
    <w:rsid w:val="00DE7939"/>
    <w:rsid w:val="00DF1C81"/>
    <w:rsid w:val="00E72D49"/>
    <w:rsid w:val="00E7593C"/>
    <w:rsid w:val="00E7678A"/>
    <w:rsid w:val="00E935F1"/>
    <w:rsid w:val="00E94A81"/>
    <w:rsid w:val="00EA1FFB"/>
    <w:rsid w:val="00EA3D1D"/>
    <w:rsid w:val="00EB048E"/>
    <w:rsid w:val="00EB3EFA"/>
    <w:rsid w:val="00ED4597"/>
    <w:rsid w:val="00EF2F89"/>
    <w:rsid w:val="00F04DEB"/>
    <w:rsid w:val="00F1237A"/>
    <w:rsid w:val="00F14F77"/>
    <w:rsid w:val="00F22CBD"/>
    <w:rsid w:val="00F33529"/>
    <w:rsid w:val="00F37961"/>
    <w:rsid w:val="00F470F6"/>
    <w:rsid w:val="00F6334D"/>
    <w:rsid w:val="00FA384D"/>
    <w:rsid w:val="00FA49AB"/>
    <w:rsid w:val="00FB0D37"/>
    <w:rsid w:val="00FD4D3A"/>
    <w:rsid w:val="00FE20B1"/>
    <w:rsid w:val="00FE39C7"/>
    <w:rsid w:val="00FE4AF3"/>
    <w:rsid w:val="00FF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semiHidden="0" w:qFormat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table of authorities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Default Paragraph Font" w:uiPriority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F37961"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F37961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F37961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F37961"/>
    <w:pPr>
      <w:keepNext/>
      <w:ind w:left="567"/>
      <w:outlineLvl w:val="3"/>
    </w:pPr>
    <w:rPr>
      <w:i/>
      <w:iCs/>
      <w:lang w:val="fr-FR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F37961"/>
    <w:pPr>
      <w:keepNext/>
      <w:ind w:left="1134" w:hanging="567"/>
      <w:outlineLvl w:val="4"/>
    </w:pPr>
    <w:rPr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37961"/>
    <w:pPr>
      <w:spacing w:before="240" w:after="60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70011F"/>
    <w:rPr>
      <w:rFonts w:ascii="Arial" w:hAnsi="Arial" w:cs="Arial"/>
      <w:caps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6526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6526A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6526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526A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link w:val="Heading9"/>
    <w:uiPriority w:val="9"/>
    <w:semiHidden/>
    <w:rsid w:val="006526A2"/>
    <w:rPr>
      <w:rFonts w:ascii="Cambria" w:eastAsia="Times New Roman" w:hAnsi="Cambria" w:cs="Times New Roman"/>
    </w:rPr>
  </w:style>
  <w:style w:type="paragraph" w:styleId="Header">
    <w:name w:val="header"/>
    <w:basedOn w:val="Normal"/>
    <w:link w:val="HeaderChar"/>
    <w:autoRedefine/>
    <w:uiPriority w:val="99"/>
    <w:rsid w:val="00F37961"/>
    <w:pPr>
      <w:tabs>
        <w:tab w:val="center" w:pos="4536"/>
        <w:tab w:val="right" w:pos="9072"/>
      </w:tabs>
      <w:jc w:val="center"/>
    </w:pPr>
    <w:rPr>
      <w:lang w:val="fr-FR"/>
    </w:rPr>
  </w:style>
  <w:style w:type="character" w:customStyle="1" w:styleId="HeaderChar">
    <w:name w:val="Header Char"/>
    <w:link w:val="Header"/>
    <w:uiPriority w:val="99"/>
    <w:semiHidden/>
    <w:rsid w:val="006526A2"/>
    <w:rPr>
      <w:rFonts w:ascii="Arial" w:hAnsi="Arial" w:cs="Arial"/>
      <w:sz w:val="20"/>
      <w:szCs w:val="20"/>
    </w:rPr>
  </w:style>
  <w:style w:type="paragraph" w:styleId="Footer">
    <w:name w:val="footer"/>
    <w:aliases w:val="doc_path_name"/>
    <w:basedOn w:val="Normal"/>
    <w:link w:val="FooterChar"/>
    <w:autoRedefine/>
    <w:uiPriority w:val="99"/>
    <w:rsid w:val="00F37961"/>
    <w:rPr>
      <w:sz w:val="14"/>
      <w:szCs w:val="14"/>
    </w:rPr>
  </w:style>
  <w:style w:type="character" w:customStyle="1" w:styleId="FooterChar">
    <w:name w:val="Footer Char"/>
    <w:aliases w:val="doc_path_name Char"/>
    <w:link w:val="Footer"/>
    <w:uiPriority w:val="99"/>
    <w:semiHidden/>
    <w:rsid w:val="006526A2"/>
    <w:rPr>
      <w:rFonts w:ascii="Arial" w:hAnsi="Arial" w:cs="Arial"/>
      <w:sz w:val="20"/>
      <w:szCs w:val="20"/>
    </w:rPr>
  </w:style>
  <w:style w:type="character" w:styleId="PageNumber">
    <w:name w:val="page number"/>
    <w:uiPriority w:val="99"/>
    <w:rsid w:val="00F37961"/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F37961"/>
    <w:pPr>
      <w:spacing w:after="300"/>
      <w:jc w:val="center"/>
    </w:pPr>
    <w:rPr>
      <w:b/>
      <w:bCs/>
      <w:caps/>
      <w:kern w:val="28"/>
      <w:sz w:val="30"/>
      <w:szCs w:val="30"/>
    </w:rPr>
  </w:style>
  <w:style w:type="character" w:customStyle="1" w:styleId="TitleChar">
    <w:name w:val="Title Char"/>
    <w:link w:val="Title"/>
    <w:uiPriority w:val="10"/>
    <w:rsid w:val="006526A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  <w:iCs/>
    </w:rPr>
  </w:style>
  <w:style w:type="paragraph" w:customStyle="1" w:styleId="Docoriginal">
    <w:name w:val="Doc_original"/>
    <w:basedOn w:val="Normal"/>
    <w:link w:val="DocoriginalChar"/>
    <w:uiPriority w:val="99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uiPriority w:val="99"/>
    <w:rsid w:val="00F37961"/>
    <w:pPr>
      <w:tabs>
        <w:tab w:val="left" w:pos="5387"/>
      </w:tabs>
      <w:ind w:left="4820"/>
    </w:pPr>
    <w:rPr>
      <w:i/>
      <w:iCs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F37961"/>
    <w:pPr>
      <w:spacing w:before="60"/>
      <w:ind w:left="567" w:hanging="567"/>
    </w:pPr>
    <w:rPr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1B0C1C"/>
    <w:rPr>
      <w:rFonts w:ascii="Arial" w:hAnsi="Arial" w:cs="Arial"/>
      <w:sz w:val="16"/>
      <w:szCs w:val="16"/>
      <w:lang w:val="en-US" w:eastAsia="en-US"/>
    </w:rPr>
  </w:style>
  <w:style w:type="character" w:styleId="FootnoteReference">
    <w:name w:val="footnote reference"/>
    <w:uiPriority w:val="99"/>
    <w:semiHidden/>
    <w:rsid w:val="00F37961"/>
    <w:rPr>
      <w:vertAlign w:val="superscript"/>
    </w:rPr>
  </w:style>
  <w:style w:type="paragraph" w:styleId="Closing">
    <w:name w:val="Closing"/>
    <w:basedOn w:val="Normal"/>
    <w:link w:val="ClosingChar"/>
    <w:uiPriority w:val="99"/>
    <w:rsid w:val="00F37961"/>
    <w:pPr>
      <w:ind w:left="4536"/>
      <w:jc w:val="center"/>
    </w:pPr>
  </w:style>
  <w:style w:type="character" w:customStyle="1" w:styleId="ClosingChar">
    <w:name w:val="Closing Char"/>
    <w:link w:val="Closing"/>
    <w:uiPriority w:val="99"/>
    <w:semiHidden/>
    <w:rsid w:val="006526A2"/>
    <w:rPr>
      <w:rFonts w:ascii="Arial" w:hAnsi="Arial" w:cs="Arial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F37961"/>
    <w:pPr>
      <w:tabs>
        <w:tab w:val="right" w:leader="dot" w:pos="9071"/>
      </w:tabs>
      <w:ind w:left="284" w:hanging="284"/>
    </w:pPr>
    <w:rPr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rsid w:val="00F37961"/>
    <w:pPr>
      <w:tabs>
        <w:tab w:val="right" w:leader="dot" w:pos="9071"/>
      </w:tabs>
      <w:ind w:left="568" w:hanging="284"/>
    </w:pPr>
    <w:rPr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semiHidden/>
    <w:rsid w:val="00F37961"/>
    <w:pPr>
      <w:tabs>
        <w:tab w:val="right" w:leader="dot" w:pos="9071"/>
      </w:tabs>
      <w:ind w:left="851" w:hanging="284"/>
    </w:pPr>
    <w:rPr>
      <w:sz w:val="24"/>
      <w:szCs w:val="24"/>
    </w:rPr>
  </w:style>
  <w:style w:type="paragraph" w:styleId="MacroText">
    <w:name w:val="macro"/>
    <w:link w:val="MacroTextChar"/>
    <w:uiPriority w:val="99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6"/>
      <w:szCs w:val="16"/>
    </w:rPr>
  </w:style>
  <w:style w:type="character" w:customStyle="1" w:styleId="MacroTextChar">
    <w:name w:val="Macro Text Char"/>
    <w:link w:val="MacroText"/>
    <w:uiPriority w:val="99"/>
    <w:semiHidden/>
    <w:rsid w:val="006526A2"/>
    <w:rPr>
      <w:rFonts w:ascii="Courier New" w:hAnsi="Courier New" w:cs="Courier New"/>
      <w:sz w:val="20"/>
      <w:szCs w:val="20"/>
    </w:rPr>
  </w:style>
  <w:style w:type="paragraph" w:styleId="Signature">
    <w:name w:val="Signature"/>
    <w:basedOn w:val="Normal"/>
    <w:link w:val="SignatureChar"/>
    <w:uiPriority w:val="99"/>
    <w:rsid w:val="00F37961"/>
    <w:pPr>
      <w:ind w:left="4536"/>
      <w:jc w:val="center"/>
    </w:pPr>
  </w:style>
  <w:style w:type="character" w:customStyle="1" w:styleId="SignatureChar">
    <w:name w:val="Signature Char"/>
    <w:link w:val="Signature"/>
    <w:uiPriority w:val="99"/>
    <w:semiHidden/>
    <w:rsid w:val="006526A2"/>
    <w:rPr>
      <w:rFonts w:ascii="Arial" w:hAnsi="Arial" w:cs="Arial"/>
      <w:sz w:val="20"/>
      <w:szCs w:val="20"/>
    </w:rPr>
  </w:style>
  <w:style w:type="character" w:customStyle="1" w:styleId="Doclang">
    <w:name w:val="Doc_lang"/>
    <w:uiPriority w:val="99"/>
    <w:rsid w:val="00F37961"/>
    <w:rPr>
      <w:rFonts w:ascii="Arial" w:hAnsi="Arial" w:cs="Arial"/>
      <w:sz w:val="20"/>
      <w:szCs w:val="20"/>
      <w:lang w:val="en-US"/>
    </w:rPr>
  </w:style>
  <w:style w:type="paragraph" w:customStyle="1" w:styleId="Session">
    <w:name w:val="Session"/>
    <w:basedOn w:val="Normal"/>
    <w:uiPriority w:val="99"/>
    <w:semiHidden/>
    <w:rsid w:val="00F37961"/>
    <w:pPr>
      <w:spacing w:before="60"/>
      <w:jc w:val="center"/>
    </w:pPr>
    <w:rPr>
      <w:b/>
      <w:bCs/>
    </w:rPr>
  </w:style>
  <w:style w:type="paragraph" w:customStyle="1" w:styleId="Organizer">
    <w:name w:val="Organizer"/>
    <w:basedOn w:val="Normal"/>
    <w:uiPriority w:val="99"/>
    <w:semiHidden/>
    <w:rsid w:val="00F37961"/>
    <w:pPr>
      <w:spacing w:after="600"/>
      <w:ind w:left="-993" w:right="-994"/>
      <w:jc w:val="center"/>
    </w:pPr>
    <w:rPr>
      <w:b/>
      <w:bCs/>
      <w:caps/>
      <w:kern w:val="26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F37961"/>
  </w:style>
  <w:style w:type="character" w:customStyle="1" w:styleId="BodyTextChar">
    <w:name w:val="Body Text Char"/>
    <w:link w:val="BodyText"/>
    <w:uiPriority w:val="99"/>
    <w:semiHidden/>
    <w:rsid w:val="006526A2"/>
    <w:rPr>
      <w:rFonts w:ascii="Arial" w:hAnsi="Arial" w:cs="Arial"/>
      <w:sz w:val="20"/>
      <w:szCs w:val="2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F37961"/>
    <w:pPr>
      <w:ind w:left="1589"/>
      <w:jc w:val="left"/>
    </w:pPr>
  </w:style>
  <w:style w:type="paragraph" w:customStyle="1" w:styleId="upove">
    <w:name w:val="upov_e"/>
    <w:basedOn w:val="Normal"/>
    <w:uiPriority w:val="99"/>
    <w:rsid w:val="00F37961"/>
    <w:pPr>
      <w:spacing w:before="60"/>
      <w:jc w:val="center"/>
    </w:pPr>
    <w:rPr>
      <w:b/>
      <w:bCs/>
      <w:spacing w:val="8"/>
      <w:sz w:val="24"/>
      <w:szCs w:val="24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  <w:iCs/>
    </w:rPr>
  </w:style>
  <w:style w:type="paragraph" w:customStyle="1" w:styleId="PlaceAndDate">
    <w:name w:val="PlaceAndDate"/>
    <w:basedOn w:val="Session"/>
    <w:uiPriority w:val="99"/>
    <w:semiHidden/>
    <w:rsid w:val="00F37961"/>
  </w:style>
  <w:style w:type="paragraph" w:styleId="EndnoteText">
    <w:name w:val="endnote text"/>
    <w:basedOn w:val="Normal"/>
    <w:link w:val="EndnoteTextChar"/>
    <w:uiPriority w:val="99"/>
    <w:semiHidden/>
    <w:rsid w:val="00F37961"/>
  </w:style>
  <w:style w:type="character" w:customStyle="1" w:styleId="EndnoteTextChar">
    <w:name w:val="Endnote Text Char"/>
    <w:link w:val="EndnoteText"/>
    <w:uiPriority w:val="99"/>
    <w:semiHidden/>
    <w:rsid w:val="006526A2"/>
    <w:rPr>
      <w:rFonts w:ascii="Arial" w:hAnsi="Arial" w:cs="Arial"/>
      <w:sz w:val="20"/>
      <w:szCs w:val="20"/>
    </w:rPr>
  </w:style>
  <w:style w:type="character" w:styleId="EndnoteReference">
    <w:name w:val="endnote reference"/>
    <w:uiPriority w:val="99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F37961"/>
    <w:pPr>
      <w:spacing w:before="480"/>
      <w:jc w:val="center"/>
    </w:pPr>
    <w:rPr>
      <w:b/>
      <w:bCs/>
      <w:kern w:val="28"/>
      <w:sz w:val="24"/>
      <w:szCs w:val="24"/>
    </w:rPr>
  </w:style>
  <w:style w:type="paragraph" w:customStyle="1" w:styleId="Original">
    <w:name w:val="Original"/>
    <w:basedOn w:val="Normal"/>
    <w:uiPriority w:val="99"/>
    <w:semiHidden/>
    <w:rsid w:val="00F37961"/>
    <w:pPr>
      <w:spacing w:before="60"/>
      <w:ind w:left="1276"/>
    </w:pPr>
    <w:rPr>
      <w:b/>
      <w:bCs/>
      <w:sz w:val="22"/>
      <w:szCs w:val="22"/>
    </w:rPr>
  </w:style>
  <w:style w:type="paragraph" w:styleId="Date">
    <w:name w:val="Date"/>
    <w:basedOn w:val="Normal"/>
    <w:link w:val="DateChar"/>
    <w:uiPriority w:val="99"/>
    <w:semiHidden/>
    <w:rsid w:val="00F37961"/>
    <w:pPr>
      <w:spacing w:line="340" w:lineRule="exact"/>
      <w:ind w:left="1276"/>
    </w:pPr>
    <w:rPr>
      <w:b/>
      <w:bCs/>
      <w:sz w:val="22"/>
      <w:szCs w:val="22"/>
    </w:rPr>
  </w:style>
  <w:style w:type="character" w:customStyle="1" w:styleId="DateChar">
    <w:name w:val="Date Char"/>
    <w:link w:val="Date"/>
    <w:uiPriority w:val="99"/>
    <w:semiHidden/>
    <w:rsid w:val="006526A2"/>
    <w:rPr>
      <w:rFonts w:ascii="Arial" w:hAnsi="Arial" w:cs="Arial"/>
      <w:sz w:val="20"/>
      <w:szCs w:val="20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F37961"/>
    <w:pPr>
      <w:spacing w:after="120" w:line="340" w:lineRule="atLeast"/>
      <w:jc w:val="right"/>
    </w:pPr>
    <w:rPr>
      <w:b/>
      <w:bCs/>
      <w:sz w:val="56"/>
      <w:szCs w:val="56"/>
    </w:rPr>
  </w:style>
  <w:style w:type="paragraph" w:customStyle="1" w:styleId="LogoUPOV">
    <w:name w:val="LogoUPOV"/>
    <w:basedOn w:val="Normal"/>
    <w:uiPriority w:val="99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F37961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bCs/>
      <w:sz w:val="24"/>
      <w:szCs w:val="24"/>
    </w:rPr>
  </w:style>
  <w:style w:type="paragraph" w:customStyle="1" w:styleId="StyleSessionAllcaps">
    <w:name w:val="Style Session + All caps"/>
    <w:basedOn w:val="Session"/>
    <w:uiPriority w:val="99"/>
    <w:semiHidden/>
    <w:rsid w:val="00F37961"/>
    <w:pPr>
      <w:spacing w:before="480"/>
    </w:pPr>
    <w:rPr>
      <w:caps/>
      <w:kern w:val="28"/>
      <w:sz w:val="24"/>
      <w:szCs w:val="24"/>
    </w:rPr>
  </w:style>
  <w:style w:type="paragraph" w:customStyle="1" w:styleId="plcountry">
    <w:name w:val="plcountry"/>
    <w:basedOn w:val="Normal"/>
    <w:uiPriority w:val="99"/>
    <w:rsid w:val="00F37961"/>
    <w:pPr>
      <w:keepNext/>
      <w:keepLines/>
      <w:spacing w:before="180" w:after="120"/>
      <w:jc w:val="left"/>
    </w:pPr>
    <w:rPr>
      <w:caps/>
      <w:noProof/>
      <w:u w:val="single"/>
    </w:rPr>
  </w:style>
  <w:style w:type="paragraph" w:customStyle="1" w:styleId="pldetails">
    <w:name w:val="pldetails"/>
    <w:basedOn w:val="Normal"/>
    <w:uiPriority w:val="99"/>
    <w:rsid w:val="00F37961"/>
    <w:pPr>
      <w:keepLines/>
      <w:spacing w:before="60" w:after="60"/>
      <w:jc w:val="left"/>
    </w:pPr>
    <w:rPr>
      <w:noProof/>
    </w:rPr>
  </w:style>
  <w:style w:type="paragraph" w:customStyle="1" w:styleId="plheading">
    <w:name w:val="plheading"/>
    <w:basedOn w:val="Normal"/>
    <w:uiPriority w:val="99"/>
    <w:rsid w:val="00F37961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uiPriority w:val="99"/>
    <w:rsid w:val="00F37961"/>
    <w:pPr>
      <w:spacing w:before="240"/>
    </w:pPr>
  </w:style>
  <w:style w:type="paragraph" w:customStyle="1" w:styleId="Titleofdoc0">
    <w:name w:val="Title_of_doc"/>
    <w:basedOn w:val="Normal"/>
    <w:uiPriority w:val="99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uiPriority w:val="99"/>
    <w:semiHidden/>
    <w:rsid w:val="00F37961"/>
    <w:pPr>
      <w:spacing w:before="240" w:after="600"/>
      <w:jc w:val="center"/>
    </w:pPr>
    <w:rPr>
      <w:i/>
      <w:iCs/>
    </w:rPr>
  </w:style>
  <w:style w:type="character" w:customStyle="1" w:styleId="CodeChar">
    <w:name w:val="Code Char"/>
    <w:link w:val="Code"/>
    <w:uiPriority w:val="99"/>
    <w:rsid w:val="00D3708D"/>
    <w:rPr>
      <w:rFonts w:ascii="Arial" w:hAnsi="Arial" w:cs="Arial"/>
      <w:b/>
      <w:bCs/>
      <w:spacing w:val="10"/>
      <w:lang w:val="fr-FR" w:eastAsia="en-US"/>
    </w:rPr>
  </w:style>
  <w:style w:type="paragraph" w:customStyle="1" w:styleId="endofdoc">
    <w:name w:val="end_of_doc"/>
    <w:autoRedefine/>
    <w:uiPriority w:val="99"/>
    <w:rsid w:val="00F37961"/>
    <w:pPr>
      <w:spacing w:before="480"/>
      <w:ind w:left="567" w:hanging="567"/>
      <w:jc w:val="right"/>
    </w:pPr>
    <w:rPr>
      <w:rFonts w:ascii="Arial" w:hAnsi="Arial" w:cs="Arial"/>
    </w:rPr>
  </w:style>
  <w:style w:type="character" w:customStyle="1" w:styleId="DocoriginalChar">
    <w:name w:val="Doc_original Char"/>
    <w:link w:val="Docoriginal"/>
    <w:uiPriority w:val="99"/>
    <w:rsid w:val="00F37961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rsid w:val="00F37961"/>
    <w:rPr>
      <w:rFonts w:ascii="Arial" w:hAnsi="Arial" w:cs="Arial"/>
      <w:b/>
      <w:bCs/>
      <w:spacing w:val="10"/>
      <w:lang w:val="en-US" w:eastAsia="en-US"/>
    </w:rPr>
  </w:style>
  <w:style w:type="paragraph" w:customStyle="1" w:styleId="StyleDocnumber">
    <w:name w:val="Style Doc_number"/>
    <w:basedOn w:val="Docoriginal"/>
    <w:uiPriority w:val="99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F37961"/>
  </w:style>
  <w:style w:type="character" w:customStyle="1" w:styleId="StyleDocoriginalChar">
    <w:name w:val="Style Doc_original Char"/>
    <w:basedOn w:val="DocoriginalChar"/>
    <w:link w:val="StyleDocoriginal"/>
    <w:uiPriority w:val="99"/>
    <w:rsid w:val="00F37961"/>
    <w:rPr>
      <w:rFonts w:ascii="Arial" w:hAnsi="Arial" w:cs="Arial"/>
      <w:b/>
      <w:bCs/>
      <w:spacing w:val="10"/>
      <w:lang w:val="en-US" w:eastAsia="en-US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rsid w:val="00281060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1">
    <w:name w:val="Style Doc_original + Not Bold1"/>
    <w:uiPriority w:val="99"/>
    <w:rsid w:val="00F37961"/>
    <w:rPr>
      <w:rFonts w:ascii="Arial" w:hAnsi="Arial" w:cs="Arial"/>
      <w:b/>
      <w:bCs/>
      <w:spacing w:val="10"/>
      <w:lang w:val="en-US" w:eastAsia="en-US"/>
    </w:rPr>
  </w:style>
  <w:style w:type="character" w:customStyle="1" w:styleId="StyleDoclangBold">
    <w:name w:val="Style Doc_lang + Bold"/>
    <w:uiPriority w:val="99"/>
    <w:rsid w:val="00F37961"/>
    <w:rPr>
      <w:rFonts w:ascii="Arial" w:hAnsi="Arial" w:cs="Arial"/>
      <w:b/>
      <w:bCs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99"/>
    <w:semiHidden/>
    <w:rsid w:val="00F37961"/>
    <w:pPr>
      <w:tabs>
        <w:tab w:val="right" w:leader="dot" w:pos="9639"/>
      </w:tabs>
      <w:spacing w:before="120"/>
      <w:ind w:left="851" w:right="851" w:hanging="567"/>
      <w:jc w:val="left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rsid w:val="00F37961"/>
    <w:pPr>
      <w:tabs>
        <w:tab w:val="right" w:leader="dot" w:pos="9639"/>
      </w:tabs>
      <w:spacing w:before="120"/>
      <w:ind w:left="851" w:right="851" w:hanging="567"/>
      <w:jc w:val="left"/>
    </w:pPr>
    <w:rPr>
      <w:i/>
      <w:iCs/>
      <w:noProof/>
      <w:lang w:val="fr-FR"/>
    </w:rPr>
  </w:style>
  <w:style w:type="character" w:styleId="Hyperlink">
    <w:name w:val="Hyperlink"/>
    <w:uiPriority w:val="99"/>
    <w:rsid w:val="00F37961"/>
    <w:rPr>
      <w:rFonts w:ascii="Arial" w:hAnsi="Arial" w:cs="Arial"/>
      <w:color w:val="0000FF"/>
      <w:u w:val="single"/>
    </w:rPr>
  </w:style>
  <w:style w:type="paragraph" w:styleId="TOC4">
    <w:name w:val="toc 4"/>
    <w:basedOn w:val="Normal"/>
    <w:next w:val="Normal"/>
    <w:autoRedefine/>
    <w:uiPriority w:val="99"/>
    <w:semiHidden/>
    <w:rsid w:val="00F37961"/>
    <w:pPr>
      <w:tabs>
        <w:tab w:val="right" w:leader="dot" w:pos="9639"/>
      </w:tabs>
      <w:spacing w:before="120"/>
      <w:ind w:left="851" w:right="851" w:hanging="284"/>
      <w:jc w:val="left"/>
    </w:pPr>
    <w:rPr>
      <w:i/>
      <w:iCs/>
      <w:noProof/>
      <w:lang w:val="fr-FR"/>
    </w:rPr>
  </w:style>
  <w:style w:type="paragraph" w:styleId="TOC1">
    <w:name w:val="toc 1"/>
    <w:basedOn w:val="Normal"/>
    <w:next w:val="Normal"/>
    <w:autoRedefine/>
    <w:uiPriority w:val="39"/>
    <w:rsid w:val="00AA3174"/>
    <w:pPr>
      <w:tabs>
        <w:tab w:val="right" w:leader="dot" w:pos="9639"/>
      </w:tabs>
      <w:spacing w:before="120"/>
      <w:ind w:left="567" w:right="284" w:hanging="567"/>
      <w:jc w:val="left"/>
    </w:pPr>
    <w:rPr>
      <w:caps/>
      <w:noProof/>
    </w:rPr>
  </w:style>
  <w:style w:type="paragraph" w:styleId="TOC5">
    <w:name w:val="toc 5"/>
    <w:basedOn w:val="Normal"/>
    <w:next w:val="Normal"/>
    <w:autoRedefine/>
    <w:uiPriority w:val="99"/>
    <w:semiHidden/>
    <w:rsid w:val="00F37961"/>
    <w:pPr>
      <w:tabs>
        <w:tab w:val="right" w:leader="dot" w:pos="9639"/>
      </w:tabs>
      <w:spacing w:before="120"/>
      <w:ind w:left="851" w:right="851" w:hanging="283"/>
    </w:pPr>
    <w:rPr>
      <w:noProof/>
      <w:sz w:val="18"/>
      <w:szCs w:val="18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64515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link w:val="DecisionParagraphs"/>
    <w:uiPriority w:val="99"/>
    <w:rsid w:val="003C7D09"/>
    <w:rPr>
      <w:rFonts w:ascii="Arial" w:hAnsi="Arial" w:cs="Arial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semiHidden="0" w:qFormat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table of authorities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Default Paragraph Font" w:uiPriority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F37961"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F37961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F37961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F37961"/>
    <w:pPr>
      <w:keepNext/>
      <w:ind w:left="567"/>
      <w:outlineLvl w:val="3"/>
    </w:pPr>
    <w:rPr>
      <w:i/>
      <w:iCs/>
      <w:lang w:val="fr-FR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F37961"/>
    <w:pPr>
      <w:keepNext/>
      <w:ind w:left="1134" w:hanging="567"/>
      <w:outlineLvl w:val="4"/>
    </w:pPr>
    <w:rPr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37961"/>
    <w:pPr>
      <w:spacing w:before="240" w:after="60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70011F"/>
    <w:rPr>
      <w:rFonts w:ascii="Arial" w:hAnsi="Arial" w:cs="Arial"/>
      <w:caps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6526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6526A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6526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526A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link w:val="Heading9"/>
    <w:uiPriority w:val="9"/>
    <w:semiHidden/>
    <w:rsid w:val="006526A2"/>
    <w:rPr>
      <w:rFonts w:ascii="Cambria" w:eastAsia="Times New Roman" w:hAnsi="Cambria" w:cs="Times New Roman"/>
    </w:rPr>
  </w:style>
  <w:style w:type="paragraph" w:styleId="Header">
    <w:name w:val="header"/>
    <w:basedOn w:val="Normal"/>
    <w:link w:val="HeaderChar"/>
    <w:autoRedefine/>
    <w:uiPriority w:val="99"/>
    <w:rsid w:val="00F37961"/>
    <w:pPr>
      <w:tabs>
        <w:tab w:val="center" w:pos="4536"/>
        <w:tab w:val="right" w:pos="9072"/>
      </w:tabs>
      <w:jc w:val="center"/>
    </w:pPr>
    <w:rPr>
      <w:lang w:val="fr-FR"/>
    </w:rPr>
  </w:style>
  <w:style w:type="character" w:customStyle="1" w:styleId="HeaderChar">
    <w:name w:val="Header Char"/>
    <w:link w:val="Header"/>
    <w:uiPriority w:val="99"/>
    <w:semiHidden/>
    <w:rsid w:val="006526A2"/>
    <w:rPr>
      <w:rFonts w:ascii="Arial" w:hAnsi="Arial" w:cs="Arial"/>
      <w:sz w:val="20"/>
      <w:szCs w:val="20"/>
    </w:rPr>
  </w:style>
  <w:style w:type="paragraph" w:styleId="Footer">
    <w:name w:val="footer"/>
    <w:aliases w:val="doc_path_name"/>
    <w:basedOn w:val="Normal"/>
    <w:link w:val="FooterChar"/>
    <w:autoRedefine/>
    <w:uiPriority w:val="99"/>
    <w:rsid w:val="00F37961"/>
    <w:rPr>
      <w:sz w:val="14"/>
      <w:szCs w:val="14"/>
    </w:rPr>
  </w:style>
  <w:style w:type="character" w:customStyle="1" w:styleId="FooterChar">
    <w:name w:val="Footer Char"/>
    <w:aliases w:val="doc_path_name Char"/>
    <w:link w:val="Footer"/>
    <w:uiPriority w:val="99"/>
    <w:semiHidden/>
    <w:rsid w:val="006526A2"/>
    <w:rPr>
      <w:rFonts w:ascii="Arial" w:hAnsi="Arial" w:cs="Arial"/>
      <w:sz w:val="20"/>
      <w:szCs w:val="20"/>
    </w:rPr>
  </w:style>
  <w:style w:type="character" w:styleId="PageNumber">
    <w:name w:val="page number"/>
    <w:uiPriority w:val="99"/>
    <w:rsid w:val="00F37961"/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F37961"/>
    <w:pPr>
      <w:spacing w:after="300"/>
      <w:jc w:val="center"/>
    </w:pPr>
    <w:rPr>
      <w:b/>
      <w:bCs/>
      <w:caps/>
      <w:kern w:val="28"/>
      <w:sz w:val="30"/>
      <w:szCs w:val="30"/>
    </w:rPr>
  </w:style>
  <w:style w:type="character" w:customStyle="1" w:styleId="TitleChar">
    <w:name w:val="Title Char"/>
    <w:link w:val="Title"/>
    <w:uiPriority w:val="10"/>
    <w:rsid w:val="006526A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  <w:iCs/>
    </w:rPr>
  </w:style>
  <w:style w:type="paragraph" w:customStyle="1" w:styleId="Docoriginal">
    <w:name w:val="Doc_original"/>
    <w:basedOn w:val="Normal"/>
    <w:link w:val="DocoriginalChar"/>
    <w:uiPriority w:val="99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uiPriority w:val="99"/>
    <w:rsid w:val="00F37961"/>
    <w:pPr>
      <w:tabs>
        <w:tab w:val="left" w:pos="5387"/>
      </w:tabs>
      <w:ind w:left="4820"/>
    </w:pPr>
    <w:rPr>
      <w:i/>
      <w:iCs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F37961"/>
    <w:pPr>
      <w:spacing w:before="60"/>
      <w:ind w:left="567" w:hanging="567"/>
    </w:pPr>
    <w:rPr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1B0C1C"/>
    <w:rPr>
      <w:rFonts w:ascii="Arial" w:hAnsi="Arial" w:cs="Arial"/>
      <w:sz w:val="16"/>
      <w:szCs w:val="16"/>
      <w:lang w:val="en-US" w:eastAsia="en-US"/>
    </w:rPr>
  </w:style>
  <w:style w:type="character" w:styleId="FootnoteReference">
    <w:name w:val="footnote reference"/>
    <w:uiPriority w:val="99"/>
    <w:semiHidden/>
    <w:rsid w:val="00F37961"/>
    <w:rPr>
      <w:vertAlign w:val="superscript"/>
    </w:rPr>
  </w:style>
  <w:style w:type="paragraph" w:styleId="Closing">
    <w:name w:val="Closing"/>
    <w:basedOn w:val="Normal"/>
    <w:link w:val="ClosingChar"/>
    <w:uiPriority w:val="99"/>
    <w:rsid w:val="00F37961"/>
    <w:pPr>
      <w:ind w:left="4536"/>
      <w:jc w:val="center"/>
    </w:pPr>
  </w:style>
  <w:style w:type="character" w:customStyle="1" w:styleId="ClosingChar">
    <w:name w:val="Closing Char"/>
    <w:link w:val="Closing"/>
    <w:uiPriority w:val="99"/>
    <w:semiHidden/>
    <w:rsid w:val="006526A2"/>
    <w:rPr>
      <w:rFonts w:ascii="Arial" w:hAnsi="Arial" w:cs="Arial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F37961"/>
    <w:pPr>
      <w:tabs>
        <w:tab w:val="right" w:leader="dot" w:pos="9071"/>
      </w:tabs>
      <w:ind w:left="284" w:hanging="284"/>
    </w:pPr>
    <w:rPr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rsid w:val="00F37961"/>
    <w:pPr>
      <w:tabs>
        <w:tab w:val="right" w:leader="dot" w:pos="9071"/>
      </w:tabs>
      <w:ind w:left="568" w:hanging="284"/>
    </w:pPr>
    <w:rPr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semiHidden/>
    <w:rsid w:val="00F37961"/>
    <w:pPr>
      <w:tabs>
        <w:tab w:val="right" w:leader="dot" w:pos="9071"/>
      </w:tabs>
      <w:ind w:left="851" w:hanging="284"/>
    </w:pPr>
    <w:rPr>
      <w:sz w:val="24"/>
      <w:szCs w:val="24"/>
    </w:rPr>
  </w:style>
  <w:style w:type="paragraph" w:styleId="MacroText">
    <w:name w:val="macro"/>
    <w:link w:val="MacroTextChar"/>
    <w:uiPriority w:val="99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6"/>
      <w:szCs w:val="16"/>
    </w:rPr>
  </w:style>
  <w:style w:type="character" w:customStyle="1" w:styleId="MacroTextChar">
    <w:name w:val="Macro Text Char"/>
    <w:link w:val="MacroText"/>
    <w:uiPriority w:val="99"/>
    <w:semiHidden/>
    <w:rsid w:val="006526A2"/>
    <w:rPr>
      <w:rFonts w:ascii="Courier New" w:hAnsi="Courier New" w:cs="Courier New"/>
      <w:sz w:val="20"/>
      <w:szCs w:val="20"/>
    </w:rPr>
  </w:style>
  <w:style w:type="paragraph" w:styleId="Signature">
    <w:name w:val="Signature"/>
    <w:basedOn w:val="Normal"/>
    <w:link w:val="SignatureChar"/>
    <w:uiPriority w:val="99"/>
    <w:rsid w:val="00F37961"/>
    <w:pPr>
      <w:ind w:left="4536"/>
      <w:jc w:val="center"/>
    </w:pPr>
  </w:style>
  <w:style w:type="character" w:customStyle="1" w:styleId="SignatureChar">
    <w:name w:val="Signature Char"/>
    <w:link w:val="Signature"/>
    <w:uiPriority w:val="99"/>
    <w:semiHidden/>
    <w:rsid w:val="006526A2"/>
    <w:rPr>
      <w:rFonts w:ascii="Arial" w:hAnsi="Arial" w:cs="Arial"/>
      <w:sz w:val="20"/>
      <w:szCs w:val="20"/>
    </w:rPr>
  </w:style>
  <w:style w:type="character" w:customStyle="1" w:styleId="Doclang">
    <w:name w:val="Doc_lang"/>
    <w:uiPriority w:val="99"/>
    <w:rsid w:val="00F37961"/>
    <w:rPr>
      <w:rFonts w:ascii="Arial" w:hAnsi="Arial" w:cs="Arial"/>
      <w:sz w:val="20"/>
      <w:szCs w:val="20"/>
      <w:lang w:val="en-US"/>
    </w:rPr>
  </w:style>
  <w:style w:type="paragraph" w:customStyle="1" w:styleId="Session">
    <w:name w:val="Session"/>
    <w:basedOn w:val="Normal"/>
    <w:uiPriority w:val="99"/>
    <w:semiHidden/>
    <w:rsid w:val="00F37961"/>
    <w:pPr>
      <w:spacing w:before="60"/>
      <w:jc w:val="center"/>
    </w:pPr>
    <w:rPr>
      <w:b/>
      <w:bCs/>
    </w:rPr>
  </w:style>
  <w:style w:type="paragraph" w:customStyle="1" w:styleId="Organizer">
    <w:name w:val="Organizer"/>
    <w:basedOn w:val="Normal"/>
    <w:uiPriority w:val="99"/>
    <w:semiHidden/>
    <w:rsid w:val="00F37961"/>
    <w:pPr>
      <w:spacing w:after="600"/>
      <w:ind w:left="-993" w:right="-994"/>
      <w:jc w:val="center"/>
    </w:pPr>
    <w:rPr>
      <w:b/>
      <w:bCs/>
      <w:caps/>
      <w:kern w:val="26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F37961"/>
  </w:style>
  <w:style w:type="character" w:customStyle="1" w:styleId="BodyTextChar">
    <w:name w:val="Body Text Char"/>
    <w:link w:val="BodyText"/>
    <w:uiPriority w:val="99"/>
    <w:semiHidden/>
    <w:rsid w:val="006526A2"/>
    <w:rPr>
      <w:rFonts w:ascii="Arial" w:hAnsi="Arial" w:cs="Arial"/>
      <w:sz w:val="20"/>
      <w:szCs w:val="2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F37961"/>
    <w:pPr>
      <w:ind w:left="1589"/>
      <w:jc w:val="left"/>
    </w:pPr>
  </w:style>
  <w:style w:type="paragraph" w:customStyle="1" w:styleId="upove">
    <w:name w:val="upov_e"/>
    <w:basedOn w:val="Normal"/>
    <w:uiPriority w:val="99"/>
    <w:rsid w:val="00F37961"/>
    <w:pPr>
      <w:spacing w:before="60"/>
      <w:jc w:val="center"/>
    </w:pPr>
    <w:rPr>
      <w:b/>
      <w:bCs/>
      <w:spacing w:val="8"/>
      <w:sz w:val="24"/>
      <w:szCs w:val="24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  <w:iCs/>
    </w:rPr>
  </w:style>
  <w:style w:type="paragraph" w:customStyle="1" w:styleId="PlaceAndDate">
    <w:name w:val="PlaceAndDate"/>
    <w:basedOn w:val="Session"/>
    <w:uiPriority w:val="99"/>
    <w:semiHidden/>
    <w:rsid w:val="00F37961"/>
  </w:style>
  <w:style w:type="paragraph" w:styleId="EndnoteText">
    <w:name w:val="endnote text"/>
    <w:basedOn w:val="Normal"/>
    <w:link w:val="EndnoteTextChar"/>
    <w:uiPriority w:val="99"/>
    <w:semiHidden/>
    <w:rsid w:val="00F37961"/>
  </w:style>
  <w:style w:type="character" w:customStyle="1" w:styleId="EndnoteTextChar">
    <w:name w:val="Endnote Text Char"/>
    <w:link w:val="EndnoteText"/>
    <w:uiPriority w:val="99"/>
    <w:semiHidden/>
    <w:rsid w:val="006526A2"/>
    <w:rPr>
      <w:rFonts w:ascii="Arial" w:hAnsi="Arial" w:cs="Arial"/>
      <w:sz w:val="20"/>
      <w:szCs w:val="20"/>
    </w:rPr>
  </w:style>
  <w:style w:type="character" w:styleId="EndnoteReference">
    <w:name w:val="endnote reference"/>
    <w:uiPriority w:val="99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F37961"/>
    <w:pPr>
      <w:spacing w:before="480"/>
      <w:jc w:val="center"/>
    </w:pPr>
    <w:rPr>
      <w:b/>
      <w:bCs/>
      <w:kern w:val="28"/>
      <w:sz w:val="24"/>
      <w:szCs w:val="24"/>
    </w:rPr>
  </w:style>
  <w:style w:type="paragraph" w:customStyle="1" w:styleId="Original">
    <w:name w:val="Original"/>
    <w:basedOn w:val="Normal"/>
    <w:uiPriority w:val="99"/>
    <w:semiHidden/>
    <w:rsid w:val="00F37961"/>
    <w:pPr>
      <w:spacing w:before="60"/>
      <w:ind w:left="1276"/>
    </w:pPr>
    <w:rPr>
      <w:b/>
      <w:bCs/>
      <w:sz w:val="22"/>
      <w:szCs w:val="22"/>
    </w:rPr>
  </w:style>
  <w:style w:type="paragraph" w:styleId="Date">
    <w:name w:val="Date"/>
    <w:basedOn w:val="Normal"/>
    <w:link w:val="DateChar"/>
    <w:uiPriority w:val="99"/>
    <w:semiHidden/>
    <w:rsid w:val="00F37961"/>
    <w:pPr>
      <w:spacing w:line="340" w:lineRule="exact"/>
      <w:ind w:left="1276"/>
    </w:pPr>
    <w:rPr>
      <w:b/>
      <w:bCs/>
      <w:sz w:val="22"/>
      <w:szCs w:val="22"/>
    </w:rPr>
  </w:style>
  <w:style w:type="character" w:customStyle="1" w:styleId="DateChar">
    <w:name w:val="Date Char"/>
    <w:link w:val="Date"/>
    <w:uiPriority w:val="99"/>
    <w:semiHidden/>
    <w:rsid w:val="006526A2"/>
    <w:rPr>
      <w:rFonts w:ascii="Arial" w:hAnsi="Arial" w:cs="Arial"/>
      <w:sz w:val="20"/>
      <w:szCs w:val="20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F37961"/>
    <w:pPr>
      <w:spacing w:after="120" w:line="340" w:lineRule="atLeast"/>
      <w:jc w:val="right"/>
    </w:pPr>
    <w:rPr>
      <w:b/>
      <w:bCs/>
      <w:sz w:val="56"/>
      <w:szCs w:val="56"/>
    </w:rPr>
  </w:style>
  <w:style w:type="paragraph" w:customStyle="1" w:styleId="LogoUPOV">
    <w:name w:val="LogoUPOV"/>
    <w:basedOn w:val="Normal"/>
    <w:uiPriority w:val="99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F37961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bCs/>
      <w:sz w:val="24"/>
      <w:szCs w:val="24"/>
    </w:rPr>
  </w:style>
  <w:style w:type="paragraph" w:customStyle="1" w:styleId="StyleSessionAllcaps">
    <w:name w:val="Style Session + All caps"/>
    <w:basedOn w:val="Session"/>
    <w:uiPriority w:val="99"/>
    <w:semiHidden/>
    <w:rsid w:val="00F37961"/>
    <w:pPr>
      <w:spacing w:before="480"/>
    </w:pPr>
    <w:rPr>
      <w:caps/>
      <w:kern w:val="28"/>
      <w:sz w:val="24"/>
      <w:szCs w:val="24"/>
    </w:rPr>
  </w:style>
  <w:style w:type="paragraph" w:customStyle="1" w:styleId="plcountry">
    <w:name w:val="plcountry"/>
    <w:basedOn w:val="Normal"/>
    <w:uiPriority w:val="99"/>
    <w:rsid w:val="00F37961"/>
    <w:pPr>
      <w:keepNext/>
      <w:keepLines/>
      <w:spacing w:before="180" w:after="120"/>
      <w:jc w:val="left"/>
    </w:pPr>
    <w:rPr>
      <w:caps/>
      <w:noProof/>
      <w:u w:val="single"/>
    </w:rPr>
  </w:style>
  <w:style w:type="paragraph" w:customStyle="1" w:styleId="pldetails">
    <w:name w:val="pldetails"/>
    <w:basedOn w:val="Normal"/>
    <w:uiPriority w:val="99"/>
    <w:rsid w:val="00F37961"/>
    <w:pPr>
      <w:keepLines/>
      <w:spacing w:before="60" w:after="60"/>
      <w:jc w:val="left"/>
    </w:pPr>
    <w:rPr>
      <w:noProof/>
    </w:rPr>
  </w:style>
  <w:style w:type="paragraph" w:customStyle="1" w:styleId="plheading">
    <w:name w:val="plheading"/>
    <w:basedOn w:val="Normal"/>
    <w:uiPriority w:val="99"/>
    <w:rsid w:val="00F37961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uiPriority w:val="99"/>
    <w:rsid w:val="00F37961"/>
    <w:pPr>
      <w:spacing w:before="240"/>
    </w:pPr>
  </w:style>
  <w:style w:type="paragraph" w:customStyle="1" w:styleId="Titleofdoc0">
    <w:name w:val="Title_of_doc"/>
    <w:basedOn w:val="Normal"/>
    <w:uiPriority w:val="99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uiPriority w:val="99"/>
    <w:semiHidden/>
    <w:rsid w:val="00F37961"/>
    <w:pPr>
      <w:spacing w:before="240" w:after="600"/>
      <w:jc w:val="center"/>
    </w:pPr>
    <w:rPr>
      <w:i/>
      <w:iCs/>
    </w:rPr>
  </w:style>
  <w:style w:type="character" w:customStyle="1" w:styleId="CodeChar">
    <w:name w:val="Code Char"/>
    <w:link w:val="Code"/>
    <w:uiPriority w:val="99"/>
    <w:rsid w:val="00D3708D"/>
    <w:rPr>
      <w:rFonts w:ascii="Arial" w:hAnsi="Arial" w:cs="Arial"/>
      <w:b/>
      <w:bCs/>
      <w:spacing w:val="10"/>
      <w:lang w:val="fr-FR" w:eastAsia="en-US"/>
    </w:rPr>
  </w:style>
  <w:style w:type="paragraph" w:customStyle="1" w:styleId="endofdoc">
    <w:name w:val="end_of_doc"/>
    <w:autoRedefine/>
    <w:uiPriority w:val="99"/>
    <w:rsid w:val="00F37961"/>
    <w:pPr>
      <w:spacing w:before="480"/>
      <w:ind w:left="567" w:hanging="567"/>
      <w:jc w:val="right"/>
    </w:pPr>
    <w:rPr>
      <w:rFonts w:ascii="Arial" w:hAnsi="Arial" w:cs="Arial"/>
    </w:rPr>
  </w:style>
  <w:style w:type="character" w:customStyle="1" w:styleId="DocoriginalChar">
    <w:name w:val="Doc_original Char"/>
    <w:link w:val="Docoriginal"/>
    <w:uiPriority w:val="99"/>
    <w:rsid w:val="00F37961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rsid w:val="00F37961"/>
    <w:rPr>
      <w:rFonts w:ascii="Arial" w:hAnsi="Arial" w:cs="Arial"/>
      <w:b/>
      <w:bCs/>
      <w:spacing w:val="10"/>
      <w:lang w:val="en-US" w:eastAsia="en-US"/>
    </w:rPr>
  </w:style>
  <w:style w:type="paragraph" w:customStyle="1" w:styleId="StyleDocnumber">
    <w:name w:val="Style Doc_number"/>
    <w:basedOn w:val="Docoriginal"/>
    <w:uiPriority w:val="99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F37961"/>
  </w:style>
  <w:style w:type="character" w:customStyle="1" w:styleId="StyleDocoriginalChar">
    <w:name w:val="Style Doc_original Char"/>
    <w:basedOn w:val="DocoriginalChar"/>
    <w:link w:val="StyleDocoriginal"/>
    <w:uiPriority w:val="99"/>
    <w:rsid w:val="00F37961"/>
    <w:rPr>
      <w:rFonts w:ascii="Arial" w:hAnsi="Arial" w:cs="Arial"/>
      <w:b/>
      <w:bCs/>
      <w:spacing w:val="10"/>
      <w:lang w:val="en-US" w:eastAsia="en-US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rsid w:val="00281060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1">
    <w:name w:val="Style Doc_original + Not Bold1"/>
    <w:uiPriority w:val="99"/>
    <w:rsid w:val="00F37961"/>
    <w:rPr>
      <w:rFonts w:ascii="Arial" w:hAnsi="Arial" w:cs="Arial"/>
      <w:b/>
      <w:bCs/>
      <w:spacing w:val="10"/>
      <w:lang w:val="en-US" w:eastAsia="en-US"/>
    </w:rPr>
  </w:style>
  <w:style w:type="character" w:customStyle="1" w:styleId="StyleDoclangBold">
    <w:name w:val="Style Doc_lang + Bold"/>
    <w:uiPriority w:val="99"/>
    <w:rsid w:val="00F37961"/>
    <w:rPr>
      <w:rFonts w:ascii="Arial" w:hAnsi="Arial" w:cs="Arial"/>
      <w:b/>
      <w:bCs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99"/>
    <w:semiHidden/>
    <w:rsid w:val="00F37961"/>
    <w:pPr>
      <w:tabs>
        <w:tab w:val="right" w:leader="dot" w:pos="9639"/>
      </w:tabs>
      <w:spacing w:before="120"/>
      <w:ind w:left="851" w:right="851" w:hanging="567"/>
      <w:jc w:val="left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rsid w:val="00F37961"/>
    <w:pPr>
      <w:tabs>
        <w:tab w:val="right" w:leader="dot" w:pos="9639"/>
      </w:tabs>
      <w:spacing w:before="120"/>
      <w:ind w:left="851" w:right="851" w:hanging="567"/>
      <w:jc w:val="left"/>
    </w:pPr>
    <w:rPr>
      <w:i/>
      <w:iCs/>
      <w:noProof/>
      <w:lang w:val="fr-FR"/>
    </w:rPr>
  </w:style>
  <w:style w:type="character" w:styleId="Hyperlink">
    <w:name w:val="Hyperlink"/>
    <w:uiPriority w:val="99"/>
    <w:rsid w:val="00F37961"/>
    <w:rPr>
      <w:rFonts w:ascii="Arial" w:hAnsi="Arial" w:cs="Arial"/>
      <w:color w:val="0000FF"/>
      <w:u w:val="single"/>
    </w:rPr>
  </w:style>
  <w:style w:type="paragraph" w:styleId="TOC4">
    <w:name w:val="toc 4"/>
    <w:basedOn w:val="Normal"/>
    <w:next w:val="Normal"/>
    <w:autoRedefine/>
    <w:uiPriority w:val="99"/>
    <w:semiHidden/>
    <w:rsid w:val="00F37961"/>
    <w:pPr>
      <w:tabs>
        <w:tab w:val="right" w:leader="dot" w:pos="9639"/>
      </w:tabs>
      <w:spacing w:before="120"/>
      <w:ind w:left="851" w:right="851" w:hanging="284"/>
      <w:jc w:val="left"/>
    </w:pPr>
    <w:rPr>
      <w:i/>
      <w:iCs/>
      <w:noProof/>
      <w:lang w:val="fr-FR"/>
    </w:rPr>
  </w:style>
  <w:style w:type="paragraph" w:styleId="TOC1">
    <w:name w:val="toc 1"/>
    <w:basedOn w:val="Normal"/>
    <w:next w:val="Normal"/>
    <w:autoRedefine/>
    <w:uiPriority w:val="39"/>
    <w:rsid w:val="00AA3174"/>
    <w:pPr>
      <w:tabs>
        <w:tab w:val="right" w:leader="dot" w:pos="9639"/>
      </w:tabs>
      <w:spacing w:before="120"/>
      <w:ind w:left="567" w:right="284" w:hanging="567"/>
      <w:jc w:val="left"/>
    </w:pPr>
    <w:rPr>
      <w:caps/>
      <w:noProof/>
    </w:rPr>
  </w:style>
  <w:style w:type="paragraph" w:styleId="TOC5">
    <w:name w:val="toc 5"/>
    <w:basedOn w:val="Normal"/>
    <w:next w:val="Normal"/>
    <w:autoRedefine/>
    <w:uiPriority w:val="99"/>
    <w:semiHidden/>
    <w:rsid w:val="00F37961"/>
    <w:pPr>
      <w:tabs>
        <w:tab w:val="right" w:leader="dot" w:pos="9639"/>
      </w:tabs>
      <w:spacing w:before="120"/>
      <w:ind w:left="851" w:right="851" w:hanging="283"/>
    </w:pPr>
    <w:rPr>
      <w:noProof/>
      <w:sz w:val="18"/>
      <w:szCs w:val="18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64515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link w:val="DecisionParagraphs"/>
    <w:uiPriority w:val="99"/>
    <w:rsid w:val="003C7D09"/>
    <w:rPr>
      <w:rFonts w:ascii="Arial" w:hAnsi="Arial"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6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7753D-09FA-47E6-80D5-ADE5AB15A5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3E4681-A95A-4B53-803B-C1D4D0622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CAJ/67 ENGLISH</vt:lpstr>
    </vt:vector>
  </TitlesOfParts>
  <Company>UPOV</Company>
  <LinksUpToDate>false</LinksUpToDate>
  <CharactersWithSpaces>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CAJ/67 ENGLISH</dc:title>
  <dc:creator>BESSE Ariane</dc:creator>
  <cp:keywords>BP/mhf</cp:keywords>
  <cp:lastModifiedBy>BESSE Ariane</cp:lastModifiedBy>
  <cp:revision>2</cp:revision>
  <cp:lastPrinted>2013-10-09T14:39:00Z</cp:lastPrinted>
  <dcterms:created xsi:type="dcterms:W3CDTF">2013-10-09T17:31:00Z</dcterms:created>
  <dcterms:modified xsi:type="dcterms:W3CDTF">2013-10-09T17:31:00Z</dcterms:modified>
</cp:coreProperties>
</file>