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D7093" w:rsidRPr="00563EA2">
        <w:trPr>
          <w:trHeight w:val="1760"/>
        </w:trPr>
        <w:tc>
          <w:tcPr>
            <w:tcW w:w="4243" w:type="dxa"/>
          </w:tcPr>
          <w:p w:rsidR="007D7093" w:rsidRPr="00563EA2" w:rsidRDefault="007D7093" w:rsidP="007D0B9D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7D7093" w:rsidRPr="00563EA2" w:rsidRDefault="00136FFF" w:rsidP="00576BE4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71550" cy="488950"/>
                  <wp:effectExtent l="0" t="0" r="0" b="635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D7093" w:rsidRPr="00563EA2" w:rsidRDefault="007D7093" w:rsidP="00576BE4">
            <w:pPr>
              <w:pStyle w:val="Lettrine"/>
              <w:rPr>
                <w:lang w:val="fr-FR"/>
              </w:rPr>
            </w:pPr>
            <w:r w:rsidRPr="00563EA2">
              <w:rPr>
                <w:lang w:val="fr-FR"/>
              </w:rPr>
              <w:t>F</w:t>
            </w:r>
          </w:p>
          <w:p w:rsidR="007D7093" w:rsidRPr="00563EA2" w:rsidRDefault="007D7093" w:rsidP="00474DA4">
            <w:pPr>
              <w:pStyle w:val="Docoriginal"/>
              <w:jc w:val="left"/>
              <w:rPr>
                <w:lang w:val="fr-FR"/>
              </w:rPr>
            </w:pPr>
            <w:r w:rsidRPr="00563EA2">
              <w:rPr>
                <w:lang w:val="fr-FR"/>
              </w:rPr>
              <w:t>CAJ/68/2</w:t>
            </w:r>
            <w:bookmarkStart w:id="0" w:name="Code"/>
            <w:bookmarkEnd w:id="0"/>
          </w:p>
          <w:p w:rsidR="007D7093" w:rsidRPr="00563EA2" w:rsidRDefault="007D7093" w:rsidP="00474DA4">
            <w:pPr>
              <w:pStyle w:val="Docoriginal"/>
              <w:jc w:val="left"/>
              <w:rPr>
                <w:lang w:val="fr-FR"/>
              </w:rPr>
            </w:pPr>
            <w:r w:rsidRPr="00563EA2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ED6445" w:rsidRPr="00563EA2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563EA2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bookmarkStart w:id="1" w:name="Original"/>
            <w:bookmarkEnd w:id="1"/>
            <w:r w:rsidRPr="00563EA2">
              <w:rPr>
                <w:b w:val="0"/>
                <w:bCs w:val="0"/>
                <w:spacing w:val="0"/>
                <w:lang w:val="fr-FR"/>
              </w:rPr>
              <w:t xml:space="preserve"> anglais</w:t>
            </w:r>
          </w:p>
          <w:p w:rsidR="007D7093" w:rsidRPr="00563EA2" w:rsidRDefault="007D7093" w:rsidP="009A283D">
            <w:pPr>
              <w:pStyle w:val="Docoriginal"/>
              <w:jc w:val="left"/>
              <w:rPr>
                <w:b w:val="0"/>
                <w:bCs w:val="0"/>
                <w:spacing w:val="0"/>
                <w:highlight w:val="cyan"/>
                <w:lang w:val="fr-FR"/>
              </w:rPr>
            </w:pPr>
            <w:r w:rsidRPr="00563EA2">
              <w:rPr>
                <w:spacing w:val="0"/>
                <w:lang w:val="fr-FR"/>
              </w:rPr>
              <w:t>DATE</w:t>
            </w:r>
            <w:r w:rsidR="00ED6445" w:rsidRPr="00563EA2">
              <w:rPr>
                <w:spacing w:val="0"/>
                <w:lang w:val="fr-FR"/>
              </w:rPr>
              <w:t> </w:t>
            </w:r>
            <w:r w:rsidRPr="00563EA2">
              <w:rPr>
                <w:spacing w:val="0"/>
                <w:lang w:val="fr-FR"/>
              </w:rPr>
              <w:t>:</w:t>
            </w:r>
            <w:bookmarkStart w:id="2" w:name="Date"/>
            <w:bookmarkEnd w:id="2"/>
            <w:r w:rsidRPr="00563EA2">
              <w:rPr>
                <w:b w:val="0"/>
                <w:bCs w:val="0"/>
                <w:spacing w:val="0"/>
                <w:lang w:val="fr-FR"/>
              </w:rPr>
              <w:t xml:space="preserve"> </w:t>
            </w:r>
            <w:r w:rsidR="009A283D">
              <w:rPr>
                <w:b w:val="0"/>
                <w:bCs w:val="0"/>
                <w:spacing w:val="0"/>
                <w:lang w:val="fr-FR"/>
              </w:rPr>
              <w:t>2</w:t>
            </w:r>
            <w:r w:rsidR="00B963B8" w:rsidRPr="00563EA2">
              <w:rPr>
                <w:b w:val="0"/>
                <w:bCs w:val="0"/>
                <w:spacing w:val="0"/>
                <w:lang w:val="fr-FR"/>
              </w:rPr>
              <w:t> octobre 20</w:t>
            </w:r>
            <w:r w:rsidRPr="00563EA2">
              <w:rPr>
                <w:b w:val="0"/>
                <w:bCs w:val="0"/>
                <w:spacing w:val="0"/>
                <w:lang w:val="fr-FR"/>
              </w:rPr>
              <w:t>13</w:t>
            </w:r>
          </w:p>
        </w:tc>
      </w:tr>
      <w:tr w:rsidR="007D7093" w:rsidRPr="00563EA2">
        <w:tc>
          <w:tcPr>
            <w:tcW w:w="10131" w:type="dxa"/>
            <w:gridSpan w:val="3"/>
          </w:tcPr>
          <w:p w:rsidR="007D7093" w:rsidRPr="00563EA2" w:rsidRDefault="007D7093" w:rsidP="0080679D">
            <w:pPr>
              <w:pStyle w:val="upove"/>
              <w:rPr>
                <w:sz w:val="28"/>
                <w:szCs w:val="28"/>
                <w:lang w:val="fr-FR"/>
              </w:rPr>
            </w:pPr>
            <w:r w:rsidRPr="00563EA2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7D7093" w:rsidRPr="00563EA2">
        <w:tc>
          <w:tcPr>
            <w:tcW w:w="10131" w:type="dxa"/>
            <w:gridSpan w:val="3"/>
          </w:tcPr>
          <w:p w:rsidR="007D7093" w:rsidRPr="00563EA2" w:rsidRDefault="007D7093" w:rsidP="0080679D">
            <w:pPr>
              <w:pStyle w:val="Country"/>
              <w:rPr>
                <w:lang w:val="fr-FR"/>
              </w:rPr>
            </w:pPr>
            <w:r w:rsidRPr="00563EA2">
              <w:rPr>
                <w:lang w:val="fr-FR"/>
              </w:rPr>
              <w:t>Genève</w:t>
            </w:r>
          </w:p>
        </w:tc>
      </w:tr>
    </w:tbl>
    <w:p w:rsidR="007D7093" w:rsidRPr="00563EA2" w:rsidRDefault="007D7093" w:rsidP="0080679D">
      <w:pPr>
        <w:pStyle w:val="Sessiontc"/>
        <w:rPr>
          <w:lang w:val="fr-FR"/>
        </w:rPr>
      </w:pPr>
      <w:r w:rsidRPr="00563EA2">
        <w:rPr>
          <w:lang w:val="fr-FR"/>
        </w:rPr>
        <w:t>ComitÉ administratif et juridique</w:t>
      </w:r>
    </w:p>
    <w:p w:rsidR="007D7093" w:rsidRPr="00563EA2" w:rsidRDefault="007D7093" w:rsidP="0080679D">
      <w:pPr>
        <w:pStyle w:val="Sessiontcplacedate"/>
        <w:rPr>
          <w:lang w:val="fr-FR"/>
        </w:rPr>
      </w:pPr>
      <w:r w:rsidRPr="00563EA2">
        <w:rPr>
          <w:lang w:val="fr-FR"/>
        </w:rPr>
        <w:t>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huitième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</w:t>
      </w:r>
      <w:r w:rsidRPr="00563EA2">
        <w:rPr>
          <w:lang w:val="fr-FR"/>
        </w:rPr>
        <w:br/>
        <w:t>Genève, 2</w:t>
      </w:r>
      <w:r w:rsidR="00B963B8" w:rsidRPr="00563EA2">
        <w:rPr>
          <w:lang w:val="fr-FR"/>
        </w:rPr>
        <w:t>1 octobre 20</w:t>
      </w:r>
      <w:r w:rsidRPr="00563EA2">
        <w:rPr>
          <w:lang w:val="fr-FR"/>
        </w:rPr>
        <w:t>13</w:t>
      </w:r>
    </w:p>
    <w:p w:rsidR="00B963B8" w:rsidRPr="00563EA2" w:rsidRDefault="007D7093" w:rsidP="00074811">
      <w:pPr>
        <w:pStyle w:val="Titleofdoc0"/>
        <w:rPr>
          <w:kern w:val="28"/>
          <w:lang w:val="fr-FR"/>
        </w:rPr>
      </w:pPr>
      <w:bookmarkStart w:id="3" w:name="TitleOfDoc"/>
      <w:bookmarkEnd w:id="3"/>
      <w:r w:rsidRPr="00563EA2">
        <w:rPr>
          <w:kern w:val="28"/>
          <w:lang w:val="fr-FR"/>
        </w:rPr>
        <w:t>Élaboration de matÉriels d</w:t>
      </w:r>
      <w:r w:rsidR="00562636" w:rsidRPr="00563EA2">
        <w:rPr>
          <w:kern w:val="28"/>
          <w:lang w:val="fr-FR"/>
        </w:rPr>
        <w:t>’</w:t>
      </w:r>
      <w:r w:rsidRPr="00563EA2">
        <w:rPr>
          <w:kern w:val="28"/>
          <w:lang w:val="fr-FR"/>
        </w:rPr>
        <w:t xml:space="preserve">information concernant la </w:t>
      </w:r>
      <w:r w:rsidR="00562636" w:rsidRPr="00563EA2">
        <w:rPr>
          <w:kern w:val="28"/>
          <w:lang w:val="fr-FR"/>
        </w:rPr>
        <w:t>Convention UPOV</w:t>
      </w:r>
    </w:p>
    <w:p w:rsidR="00B963B8" w:rsidRPr="009A283D" w:rsidRDefault="007D7093" w:rsidP="0080679D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563EA2">
        <w:rPr>
          <w:lang w:val="fr-FR"/>
        </w:rPr>
        <w:t>Document établi par le Bureau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Union</w:t>
      </w:r>
      <w:r w:rsidRPr="00563EA2">
        <w:rPr>
          <w:lang w:val="fr-FR"/>
        </w:rPr>
        <w:br/>
      </w:r>
      <w:r w:rsidRPr="00563EA2">
        <w:rPr>
          <w:lang w:val="fr-FR"/>
        </w:rPr>
        <w:br/>
      </w:r>
      <w:r w:rsidRPr="009A283D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562636" w:rsidRPr="009A283D">
        <w:rPr>
          <w:color w:val="A6A6A6" w:themeColor="background1" w:themeShade="A6"/>
          <w:lang w:val="fr-FR"/>
        </w:rPr>
        <w:t>’</w:t>
      </w:r>
      <w:r w:rsidRPr="009A283D">
        <w:rPr>
          <w:color w:val="A6A6A6" w:themeColor="background1" w:themeShade="A6"/>
          <w:lang w:val="fr-FR"/>
        </w:rPr>
        <w:t>UPOV</w:t>
      </w:r>
    </w:p>
    <w:p w:rsidR="007D7093" w:rsidRPr="00563EA2" w:rsidRDefault="007D7093" w:rsidP="00205516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Le présent document a pour objet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apporter des informations de fond en vue de faciliter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examen par le</w:t>
      </w:r>
      <w:r w:rsidR="009A283D">
        <w:rPr>
          <w:lang w:val="fr-FR"/>
        </w:rPr>
        <w:t xml:space="preserve"> </w:t>
      </w:r>
      <w:r w:rsidRPr="00563EA2">
        <w:rPr>
          <w:lang w:val="fr-FR"/>
        </w:rPr>
        <w:t>Comité administratif et juridique (CAJ) de questions 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huitième session ainsi que de faire rapport sur les questions concernant la participation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observateurs au groupe consultatif</w:t>
      </w:r>
      <w:r w:rsidR="00B963B8" w:rsidRPr="00563EA2">
        <w:rPr>
          <w:lang w:val="fr-FR"/>
        </w:rPr>
        <w:t xml:space="preserve"> du CAJ</w:t>
      </w:r>
      <w:r w:rsidRPr="00563EA2">
        <w:rPr>
          <w:lang w:val="fr-FR"/>
        </w:rPr>
        <w:t xml:space="preserve"> (CAJ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AG) et celles que sera appelé à examiner</w:t>
      </w:r>
      <w:r w:rsidR="00B963B8" w:rsidRPr="00563EA2">
        <w:rPr>
          <w:lang w:val="fr-FR"/>
        </w:rPr>
        <w:t xml:space="preserve">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à sa huitième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session.</w:t>
      </w:r>
    </w:p>
    <w:p w:rsidR="007D7093" w:rsidRPr="00563EA2" w:rsidRDefault="007D7093" w:rsidP="00205516">
      <w:pPr>
        <w:rPr>
          <w:lang w:val="fr-FR"/>
        </w:rPr>
      </w:pPr>
    </w:p>
    <w:p w:rsidR="00645156" w:rsidRDefault="009A283D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rPr>
          <w:rFonts w:eastAsia="Arial Unicode MS"/>
          <w:b/>
          <w:bCs/>
          <w:caps w:val="0"/>
          <w:lang w:val="fr-FR"/>
        </w:rPr>
        <w:fldChar w:fldCharType="begin"/>
      </w:r>
      <w:r>
        <w:rPr>
          <w:rFonts w:eastAsia="Arial Unicode MS"/>
          <w:b/>
          <w:bCs/>
          <w:caps w:val="0"/>
          <w:lang w:val="fr-FR"/>
        </w:rPr>
        <w:instrText xml:space="preserve"> TOC \o "1-3" \h \z \u </w:instrText>
      </w:r>
      <w:r>
        <w:rPr>
          <w:rFonts w:eastAsia="Arial Unicode MS"/>
          <w:b/>
          <w:bCs/>
          <w:caps w:val="0"/>
          <w:lang w:val="fr-FR"/>
        </w:rPr>
        <w:fldChar w:fldCharType="separate"/>
      </w:r>
      <w:hyperlink w:anchor="_Toc369086249" w:history="1">
        <w:r w:rsidR="00645156" w:rsidRPr="000E43C1">
          <w:rPr>
            <w:rStyle w:val="Hyperlink"/>
            <w:lang w:val="fr-FR"/>
          </w:rPr>
          <w:t>i.</w:t>
        </w:r>
        <w:r w:rsidR="0064515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5156" w:rsidRPr="000E43C1">
          <w:rPr>
            <w:rStyle w:val="Hyperlink"/>
            <w:lang w:val="fr-FR"/>
          </w:rPr>
          <w:t>RAPPEL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_Toc369086249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1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69086250" w:history="1">
        <w:r w:rsidR="00645156" w:rsidRPr="000E43C1">
          <w:rPr>
            <w:rStyle w:val="Hyperlink"/>
            <w:lang w:val="fr-FR"/>
          </w:rPr>
          <w:t>II.</w:t>
        </w:r>
        <w:r w:rsidR="0064515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5156" w:rsidRPr="000E43C1">
          <w:rPr>
            <w:rStyle w:val="Hyperlink"/>
            <w:lang w:val="fr-FR"/>
          </w:rPr>
          <w:t>prÉsentation gÉnÉrale des matÉriels d’information ÉlaborÉs et en cours d’Élaboration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_Toc369086250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2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69086251" w:history="1">
        <w:r w:rsidR="00645156" w:rsidRPr="000E43C1">
          <w:rPr>
            <w:rStyle w:val="Hyperlink"/>
            <w:lang w:val="fr-FR"/>
          </w:rPr>
          <w:t>III.</w:t>
        </w:r>
        <w:r w:rsidR="0064515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5156" w:rsidRPr="000E43C1">
          <w:rPr>
            <w:rStyle w:val="Hyperlink"/>
            <w:lang w:val="fr-FR"/>
          </w:rPr>
          <w:t>QUESTIONS DEVANT ÊTRE EXAMINÉES PAR LE COMITÉ ADMINISTRATIF ET JURIDIQUE À sa soixante</w:t>
        </w:r>
        <w:r w:rsidR="00645156" w:rsidRPr="000E43C1">
          <w:rPr>
            <w:rStyle w:val="Hyperlink"/>
            <w:lang w:val="fr-FR"/>
          </w:rPr>
          <w:noBreakHyphen/>
          <w:t>HUITIème SESSION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_Toc369086251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2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69086252" w:history="1">
        <w:r w:rsidR="00645156" w:rsidRPr="000E43C1">
          <w:rPr>
            <w:rStyle w:val="Hyperlink"/>
            <w:lang w:val="fr-FR"/>
          </w:rPr>
          <w:t>a)</w:t>
        </w:r>
        <w:r w:rsidR="0064515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45156" w:rsidRPr="000E43C1">
          <w:rPr>
            <w:rStyle w:val="Hyperlink"/>
            <w:lang w:val="fr-FR"/>
          </w:rPr>
          <w:t>Notes explicatives sur les actes à l’égard du produit de la récolte selon l’Acte de 1991 de la Convention UPOV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_Toc369086252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2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hyperlink w:anchor="_Toc369086253" w:history="1">
        <w:r w:rsidR="00645156" w:rsidRPr="000E43C1">
          <w:rPr>
            <w:rStyle w:val="Hyperlink"/>
          </w:rPr>
          <w:t>Notes explicatives sur les actes à l’égard du produit de la récolte selon l’Acte de 1991 de la Convention UPOV (document UPOV/EXN/HRV Draft 10)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_Toc369086253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2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hyperlink w:anchor="_Toc369086254" w:history="1">
        <w:r w:rsidR="00645156" w:rsidRPr="000E43C1">
          <w:rPr>
            <w:rStyle w:val="Hyperlink"/>
          </w:rPr>
          <w:t>Travaux futurs concernant les Notes explicatives sur les actes à l’égard du produit de la récolte selon l’Acte de 1991 de la Convention UPOV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_Toc369086254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3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369086255" w:history="1">
        <w:r w:rsidR="00645156" w:rsidRPr="000E43C1">
          <w:rPr>
            <w:rStyle w:val="Hyperlink"/>
            <w:lang w:val="fr-FR"/>
          </w:rPr>
          <w:t>b)</w:t>
        </w:r>
        <w:r w:rsidR="0064515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45156" w:rsidRPr="000E43C1">
          <w:rPr>
            <w:rStyle w:val="Hyperlink"/>
            <w:lang w:val="fr-FR"/>
          </w:rPr>
          <w:t>Séminaire sur les variétés essentiellement dérivées et les notes explicatives sur les variétés essentiellement dérivées selon l’Acte de 1991 de la Convention UPOV (révision)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_Toc369086255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3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69086256" w:history="1">
        <w:r w:rsidR="00645156" w:rsidRPr="000E43C1">
          <w:rPr>
            <w:rStyle w:val="Hyperlink"/>
            <w:lang w:val="fr-FR"/>
          </w:rPr>
          <w:t>IV.</w:t>
        </w:r>
        <w:r w:rsidR="0064515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5156" w:rsidRPr="000E43C1">
          <w:rPr>
            <w:rStyle w:val="Hyperlink"/>
            <w:lang w:val="fr-FR"/>
          </w:rPr>
          <w:t>PARTICIPATION d’OBSERVateurs au CAJ</w:t>
        </w:r>
        <w:r w:rsidR="00645156" w:rsidRPr="000E43C1">
          <w:rPr>
            <w:rStyle w:val="Hyperlink"/>
            <w:lang w:val="fr-FR"/>
          </w:rPr>
          <w:noBreakHyphen/>
          <w:t>AG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_Toc369086256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4</w:t>
        </w:r>
        <w:r w:rsidR="00645156">
          <w:rPr>
            <w:webHidden/>
          </w:rPr>
          <w:fldChar w:fldCharType="end"/>
        </w:r>
      </w:hyperlink>
    </w:p>
    <w:p w:rsidR="00645156" w:rsidRDefault="006362D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69086257" w:history="1">
        <w:r w:rsidR="00645156" w:rsidRPr="000E43C1">
          <w:rPr>
            <w:rStyle w:val="Hyperlink"/>
            <w:lang w:val="fr-FR"/>
          </w:rPr>
          <w:t>V.</w:t>
        </w:r>
        <w:r w:rsidR="0064515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45156" w:rsidRPr="000E43C1">
          <w:rPr>
            <w:rStyle w:val="Hyperlink"/>
            <w:lang w:val="fr-FR"/>
          </w:rPr>
          <w:t>questions À examiner par le CAJ</w:t>
        </w:r>
        <w:r w:rsidR="00645156" w:rsidRPr="000E43C1">
          <w:rPr>
            <w:rStyle w:val="Hyperlink"/>
            <w:lang w:val="fr-FR"/>
          </w:rPr>
          <w:noBreakHyphen/>
          <w:t>AG À sa huitiÈme session</w:t>
        </w:r>
        <w:r w:rsidR="00645156">
          <w:rPr>
            <w:webHidden/>
          </w:rPr>
          <w:tab/>
        </w:r>
        <w:r w:rsidR="00645156">
          <w:rPr>
            <w:webHidden/>
          </w:rPr>
          <w:fldChar w:fldCharType="begin"/>
        </w:r>
        <w:r w:rsidR="00645156">
          <w:rPr>
            <w:webHidden/>
          </w:rPr>
          <w:instrText xml:space="preserve"> PAGEREF _Toc369086257 \h </w:instrText>
        </w:r>
        <w:r w:rsidR="00645156">
          <w:rPr>
            <w:webHidden/>
          </w:rPr>
        </w:r>
        <w:r w:rsidR="00645156">
          <w:rPr>
            <w:webHidden/>
          </w:rPr>
          <w:fldChar w:fldCharType="separate"/>
        </w:r>
        <w:r w:rsidR="00163C86">
          <w:rPr>
            <w:webHidden/>
          </w:rPr>
          <w:t>5</w:t>
        </w:r>
        <w:r w:rsidR="00645156">
          <w:rPr>
            <w:webHidden/>
          </w:rPr>
          <w:fldChar w:fldCharType="end"/>
        </w:r>
      </w:hyperlink>
    </w:p>
    <w:p w:rsidR="007D7093" w:rsidRPr="00563EA2" w:rsidRDefault="009A283D" w:rsidP="00205516">
      <w:pPr>
        <w:tabs>
          <w:tab w:val="left" w:pos="567"/>
        </w:tabs>
        <w:rPr>
          <w:rFonts w:eastAsia="Arial Unicode MS"/>
          <w:b/>
          <w:bCs/>
          <w:caps/>
          <w:lang w:val="fr-FR"/>
        </w:rPr>
      </w:pPr>
      <w:r>
        <w:rPr>
          <w:rFonts w:eastAsia="Arial Unicode MS"/>
          <w:b/>
          <w:bCs/>
          <w:caps/>
          <w:noProof/>
          <w:lang w:val="fr-FR"/>
        </w:rPr>
        <w:fldChar w:fldCharType="end"/>
      </w:r>
    </w:p>
    <w:p w:rsidR="007D7093" w:rsidRPr="00563EA2" w:rsidRDefault="007D7093" w:rsidP="00205516">
      <w:pPr>
        <w:tabs>
          <w:tab w:val="left" w:pos="567"/>
        </w:tabs>
        <w:rPr>
          <w:rFonts w:eastAsia="Arial Unicode MS"/>
          <w:b/>
          <w:bCs/>
          <w:caps/>
          <w:lang w:val="fr-FR"/>
        </w:rPr>
      </w:pPr>
    </w:p>
    <w:p w:rsidR="007D7093" w:rsidRPr="00563EA2" w:rsidRDefault="007D7093" w:rsidP="00205516">
      <w:pPr>
        <w:tabs>
          <w:tab w:val="left" w:pos="567"/>
        </w:tabs>
        <w:rPr>
          <w:rFonts w:eastAsia="Arial Unicode MS"/>
          <w:b/>
          <w:bCs/>
          <w:caps/>
          <w:lang w:val="fr-FR"/>
        </w:rPr>
      </w:pPr>
    </w:p>
    <w:p w:rsidR="007D7093" w:rsidRPr="00563EA2" w:rsidRDefault="007D7093" w:rsidP="00205516">
      <w:pPr>
        <w:pStyle w:val="Heading1"/>
        <w:rPr>
          <w:lang w:val="fr-FR"/>
        </w:rPr>
      </w:pPr>
      <w:bookmarkStart w:id="5" w:name="_Toc369086249"/>
      <w:r w:rsidRPr="00563EA2">
        <w:rPr>
          <w:lang w:val="fr-FR"/>
        </w:rPr>
        <w:t>i.</w:t>
      </w:r>
      <w:r w:rsidRPr="00563EA2">
        <w:rPr>
          <w:lang w:val="fr-FR"/>
        </w:rPr>
        <w:tab/>
        <w:t>RAPPEL</w:t>
      </w:r>
      <w:bookmarkEnd w:id="5"/>
    </w:p>
    <w:p w:rsidR="007D7093" w:rsidRPr="00563EA2" w:rsidRDefault="007D7093" w:rsidP="00205516">
      <w:pPr>
        <w:keepNext/>
        <w:rPr>
          <w:lang w:val="fr-FR"/>
        </w:rPr>
      </w:pPr>
    </w:p>
    <w:p w:rsidR="007D7093" w:rsidRPr="00563EA2" w:rsidRDefault="007D7093" w:rsidP="00BC64E8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cinquante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deuxième session tenue à Genève le 24 octobre 2005, le Comité administratif et juridique (CAJ) a accepté une méthode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élaboration de matériels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information concernant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 xml:space="preserve">, expliquée dans les paragraphes 8 à 10 du document CAJ/52/4. </w:t>
      </w:r>
      <w:r w:rsidR="00ED6445" w:rsidRPr="00563EA2">
        <w:rPr>
          <w:lang w:val="fr-FR"/>
        </w:rPr>
        <w:t xml:space="preserve"> </w:t>
      </w:r>
      <w:r w:rsidRPr="00563EA2">
        <w:rPr>
          <w:lang w:val="fr-FR"/>
        </w:rPr>
        <w:t>Le CAJ est également convenu de la création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un groupe consultatif, le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Groupe consultatif du Comité administratif et juridique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(ci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 xml:space="preserve">après dénommé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), chargé de contribuer à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élaboration des documents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information, selon la proposition énoncée dans les paragraphes 11 à 14 du document CAJ/52/4, (voir le paragraphe 67 du document CAJ/52/5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BC64E8">
      <w:pPr>
        <w:rPr>
          <w:lang w:val="fr-FR"/>
        </w:rPr>
      </w:pPr>
      <w:r w:rsidRPr="00563EA2">
        <w:rPr>
          <w:lang w:val="fr-FR"/>
        </w:rPr>
        <w:lastRenderedPageBreak/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La méthode convenue est résumée comme suit : le Bureau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Union élaborera certains projets de matériels traitant de questions 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il estimerait simples et il les diffusera au sein du CAJ pour que soient formulées des observations dans un délai imparti.  Dans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autres cas, lorsqu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il sera estimé que les questions sont plutôt délicates et que les délibérations à une session du CAJ revêtent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importance pour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élaboration de matériels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information appropriés, mais également dans les cas où un projet de texte traitant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une question apparemment simple aura soulevé des difficultés inattendues lors de sa diffusion pour observations, il sera fait appel au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avant que le CAJ soit invité à en délibérer à sa session.</w:t>
      </w:r>
    </w:p>
    <w:p w:rsidR="007D7093" w:rsidRDefault="007D7093" w:rsidP="00205516">
      <w:pPr>
        <w:rPr>
          <w:lang w:val="fr-FR"/>
        </w:rPr>
      </w:pPr>
    </w:p>
    <w:p w:rsidR="009A283D" w:rsidRPr="00563EA2" w:rsidRDefault="009A283D" w:rsidP="00205516">
      <w:pPr>
        <w:rPr>
          <w:lang w:val="fr-FR"/>
        </w:rPr>
      </w:pPr>
    </w:p>
    <w:p w:rsidR="007D7093" w:rsidRPr="00563EA2" w:rsidRDefault="007D7093" w:rsidP="00205516">
      <w:pPr>
        <w:rPr>
          <w:lang w:val="fr-FR"/>
        </w:rPr>
      </w:pPr>
    </w:p>
    <w:p w:rsidR="007D7093" w:rsidRPr="00563EA2" w:rsidRDefault="007D7093" w:rsidP="00076D60">
      <w:pPr>
        <w:pStyle w:val="Heading1"/>
        <w:ind w:left="567" w:hanging="567"/>
        <w:rPr>
          <w:lang w:val="fr-FR"/>
        </w:rPr>
      </w:pPr>
      <w:bookmarkStart w:id="6" w:name="_Toc369086250"/>
      <w:r w:rsidRPr="00563EA2">
        <w:rPr>
          <w:lang w:val="fr-FR"/>
        </w:rPr>
        <w:t>II.</w:t>
      </w:r>
      <w:r w:rsidRPr="00563EA2">
        <w:rPr>
          <w:lang w:val="fr-FR"/>
        </w:rPr>
        <w:tab/>
        <w:t>prÉsentation gÉnÉrale des matÉriels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information ÉlaborÉs et en cours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Élaboration</w:t>
      </w:r>
      <w:bookmarkEnd w:id="6"/>
    </w:p>
    <w:p w:rsidR="007D7093" w:rsidRPr="00563EA2" w:rsidRDefault="007D7093" w:rsidP="00205516">
      <w:pPr>
        <w:keepNext/>
        <w:rPr>
          <w:lang w:val="fr-FR"/>
        </w:rPr>
      </w:pPr>
    </w:p>
    <w:p w:rsidR="00B963B8" w:rsidRPr="00563EA2" w:rsidRDefault="007D7093" w:rsidP="00205516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annexe du présent document contient une présentation générale des matériels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information élaborés et en cours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élaboration.</w:t>
      </w:r>
    </w:p>
    <w:p w:rsidR="007D7093" w:rsidRPr="00563EA2" w:rsidRDefault="007D7093" w:rsidP="00205516">
      <w:pPr>
        <w:rPr>
          <w:lang w:val="fr-FR"/>
        </w:rPr>
      </w:pPr>
    </w:p>
    <w:p w:rsidR="007D7093" w:rsidRDefault="007D7093" w:rsidP="00205516">
      <w:pPr>
        <w:rPr>
          <w:lang w:val="fr-FR"/>
        </w:rPr>
      </w:pPr>
    </w:p>
    <w:p w:rsidR="009A283D" w:rsidRPr="00563EA2" w:rsidRDefault="009A283D" w:rsidP="00205516">
      <w:pPr>
        <w:rPr>
          <w:lang w:val="fr-FR"/>
        </w:rPr>
      </w:pPr>
    </w:p>
    <w:p w:rsidR="007D7093" w:rsidRPr="00563EA2" w:rsidRDefault="007D7093" w:rsidP="000816F2">
      <w:pPr>
        <w:pStyle w:val="Heading1"/>
        <w:ind w:left="567" w:hanging="567"/>
        <w:rPr>
          <w:color w:val="000000"/>
          <w:lang w:val="fr-FR"/>
        </w:rPr>
      </w:pPr>
      <w:bookmarkStart w:id="7" w:name="_Toc369086251"/>
      <w:r w:rsidRPr="00563EA2">
        <w:rPr>
          <w:lang w:val="fr-FR"/>
        </w:rPr>
        <w:t>III.</w:t>
      </w:r>
      <w:r w:rsidRPr="00563EA2">
        <w:rPr>
          <w:lang w:val="fr-FR"/>
        </w:rPr>
        <w:tab/>
        <w:t>QUESTIONS DEVANT ÊTRE EXAMINÉES PAR LE COMITÉ ADMINISTRATIF ET JURIDIQUE À sa</w:t>
      </w:r>
      <w:r w:rsidR="009A283D">
        <w:rPr>
          <w:lang w:val="fr-FR"/>
        </w:rPr>
        <w:t xml:space="preserve"> </w:t>
      </w:r>
      <w:r w:rsidRPr="00563EA2">
        <w:rPr>
          <w:lang w:val="fr-FR"/>
        </w:rPr>
        <w:t>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H</w:t>
      </w:r>
      <w:r w:rsidR="006543C8" w:rsidRPr="00563EA2">
        <w:rPr>
          <w:lang w:val="fr-FR"/>
        </w:rPr>
        <w:t>UITIè</w:t>
      </w:r>
      <w:r w:rsidRPr="00563EA2">
        <w:rPr>
          <w:lang w:val="fr-FR"/>
        </w:rPr>
        <w:t>me SESSION</w:t>
      </w:r>
      <w:bookmarkEnd w:id="7"/>
    </w:p>
    <w:p w:rsidR="007D7093" w:rsidRPr="00563EA2" w:rsidRDefault="007D7093" w:rsidP="00205516">
      <w:pPr>
        <w:rPr>
          <w:lang w:val="fr-FR"/>
        </w:rPr>
      </w:pPr>
    </w:p>
    <w:p w:rsidR="00B963B8" w:rsidRPr="00563EA2" w:rsidRDefault="007D7093" w:rsidP="00076D60">
      <w:pPr>
        <w:pStyle w:val="Heading2"/>
        <w:rPr>
          <w:lang w:val="fr-FR"/>
        </w:rPr>
      </w:pPr>
      <w:bookmarkStart w:id="8" w:name="_Toc369086252"/>
      <w:r w:rsidRPr="00563EA2">
        <w:rPr>
          <w:u w:val="none"/>
          <w:lang w:val="fr-FR"/>
        </w:rPr>
        <w:t>a)</w:t>
      </w:r>
      <w:r w:rsidRPr="00563EA2">
        <w:rPr>
          <w:u w:val="none"/>
          <w:lang w:val="fr-FR"/>
        </w:rPr>
        <w:tab/>
      </w:r>
      <w:r w:rsidRPr="00563EA2">
        <w:rPr>
          <w:lang w:val="fr-FR"/>
        </w:rPr>
        <w:t>Notes explicatives sur les actes à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</w:t>
      </w:r>
      <w:bookmarkEnd w:id="8"/>
    </w:p>
    <w:p w:rsidR="007D7093" w:rsidRPr="00563EA2" w:rsidRDefault="007D7093" w:rsidP="00E45A36">
      <w:pPr>
        <w:rPr>
          <w:lang w:val="fr-FR"/>
        </w:rPr>
      </w:pPr>
    </w:p>
    <w:p w:rsidR="007D7093" w:rsidRPr="00563EA2" w:rsidRDefault="007D7093" w:rsidP="000816F2">
      <w:pPr>
        <w:pStyle w:val="Heading3"/>
        <w:rPr>
          <w:lang w:val="fr-FR"/>
        </w:rPr>
      </w:pPr>
      <w:bookmarkStart w:id="9" w:name="_Toc369086253"/>
      <w:r w:rsidRPr="00563EA2">
        <w:rPr>
          <w:lang w:val="fr-FR"/>
        </w:rPr>
        <w:t>Notes explicatives sur les actes à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 xml:space="preserve"> (document UPOV/EXN/HRV Draft 10)</w:t>
      </w:r>
      <w:bookmarkEnd w:id="9"/>
    </w:p>
    <w:p w:rsidR="007D7093" w:rsidRPr="00563EA2" w:rsidRDefault="007D7093" w:rsidP="008D684C">
      <w:pPr>
        <w:rPr>
          <w:lang w:val="fr-FR"/>
        </w:rPr>
      </w:pPr>
    </w:p>
    <w:p w:rsidR="007D7093" w:rsidRPr="00563EA2" w:rsidRDefault="007D7093" w:rsidP="008D684C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la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</w:t>
      </w:r>
      <w:r w:rsidR="00B963B8" w:rsidRPr="00563EA2">
        <w:rPr>
          <w:lang w:val="fr-FR"/>
        </w:rPr>
        <w:t xml:space="preserve"> du CAJ</w:t>
      </w:r>
      <w:r w:rsidRPr="00563EA2">
        <w:rPr>
          <w:lang w:val="fr-FR"/>
        </w:rPr>
        <w:t>, tenue à Genève le 2</w:t>
      </w:r>
      <w:r w:rsidR="00B963B8" w:rsidRPr="00563EA2">
        <w:rPr>
          <w:lang w:val="fr-FR"/>
        </w:rPr>
        <w:t>1 mars 20</w:t>
      </w:r>
      <w:r w:rsidRPr="00563EA2">
        <w:rPr>
          <w:lang w:val="fr-FR"/>
        </w:rPr>
        <w:t>13, la délégation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Argentine a constaté des divergences entre les textes</w:t>
      </w:r>
      <w:r w:rsidR="00076D60">
        <w:rPr>
          <w:lang w:val="fr-FR"/>
        </w:rPr>
        <w:t xml:space="preserve"> du document UPOV/EXN/HRV Draft </w:t>
      </w:r>
      <w:r w:rsidRPr="00563EA2">
        <w:rPr>
          <w:lang w:val="fr-FR"/>
        </w:rPr>
        <w:t>9 en anglais et en espagnol.  Elle a expliqué par exemple que, au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3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can potentially be used for propagating purposes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il faudrait lire en espagnol </w:t>
      </w:r>
      <w:r w:rsidR="00562636" w:rsidRPr="00563EA2">
        <w:rPr>
          <w:lang w:val="fr-FR"/>
        </w:rPr>
        <w:t>“</w:t>
      </w:r>
      <w:r w:rsidRPr="00563EA2">
        <w:rPr>
          <w:i/>
          <w:iCs/>
          <w:u w:val="single"/>
          <w:lang w:val="fr-FR"/>
        </w:rPr>
        <w:t xml:space="preserve">potencialmente </w:t>
      </w:r>
      <w:r w:rsidRPr="00563EA2">
        <w:rPr>
          <w:i/>
          <w:iCs/>
          <w:strike/>
          <w:lang w:val="fr-FR"/>
        </w:rPr>
        <w:t>puede</w:t>
      </w:r>
      <w:r w:rsidRPr="00563EA2">
        <w:rPr>
          <w:i/>
          <w:iCs/>
          <w:u w:val="single"/>
          <w:lang w:val="fr-FR"/>
        </w:rPr>
        <w:t>pueda</w:t>
      </w:r>
      <w:r w:rsidRPr="00563EA2">
        <w:rPr>
          <w:i/>
          <w:iCs/>
          <w:lang w:val="fr-FR"/>
        </w:rPr>
        <w:t xml:space="preserve"> utilizarse a los fines de reproducción o de multiplicación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.  Elle a constaté une autre divergence dans la section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(a) Relevant article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et le paragraphe</w:t>
      </w:r>
      <w:r w:rsidR="00ED6445" w:rsidRPr="00563EA2">
        <w:rPr>
          <w:lang w:val="fr-FR"/>
        </w:rPr>
        <w:t> </w:t>
      </w:r>
      <w:r w:rsidR="00076D60">
        <w:rPr>
          <w:lang w:val="fr-FR"/>
        </w:rPr>
        <w:t>5 du document UPOV/EXN/HRV </w:t>
      </w:r>
      <w:r w:rsidRPr="00563EA2">
        <w:rPr>
          <w:lang w:val="fr-FR"/>
        </w:rPr>
        <w:t>Draft</w:t>
      </w:r>
      <w:r w:rsidR="00076D60">
        <w:rPr>
          <w:lang w:val="fr-FR"/>
        </w:rPr>
        <w:t> </w:t>
      </w:r>
      <w:r w:rsidRPr="00563EA2">
        <w:rPr>
          <w:lang w:val="fr-FR"/>
        </w:rPr>
        <w:t xml:space="preserve">9, </w:t>
      </w:r>
      <w:r w:rsidR="00ED6445" w:rsidRPr="00563EA2">
        <w:rPr>
          <w:lang w:val="fr-FR"/>
        </w:rPr>
        <w:t>article </w:t>
      </w:r>
      <w:r w:rsidRPr="00563EA2">
        <w:rPr>
          <w:lang w:val="fr-FR"/>
        </w:rPr>
        <w:t>14.1)a)vii)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1991 qui lit en anglais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(vii) stocking for any of the purposes mentioned in (i) to (vi), above.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et en espagnol </w:t>
      </w:r>
      <w:r w:rsidR="00562636" w:rsidRPr="00563EA2">
        <w:rPr>
          <w:lang w:val="fr-FR"/>
        </w:rPr>
        <w:t>“</w:t>
      </w:r>
      <w:r w:rsidRPr="00563EA2">
        <w:rPr>
          <w:i/>
          <w:iCs/>
          <w:lang w:val="fr-FR"/>
        </w:rPr>
        <w:t>vii) la posesión para cualquiera de los fines mencionados en los puntos i) a vi), supra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.</w:t>
      </w:r>
    </w:p>
    <w:p w:rsidR="007D7093" w:rsidRPr="00563EA2" w:rsidRDefault="007D7093" w:rsidP="008D684C">
      <w:pPr>
        <w:rPr>
          <w:lang w:val="fr-FR"/>
        </w:rPr>
      </w:pPr>
    </w:p>
    <w:p w:rsidR="007D7093" w:rsidRPr="00563EA2" w:rsidRDefault="007D7093" w:rsidP="008D684C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Le Bureau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Union est </w:t>
      </w:r>
      <w:r w:rsidR="006543C8" w:rsidRPr="00563EA2">
        <w:rPr>
          <w:lang w:val="fr-FR"/>
        </w:rPr>
        <w:t>convenu</w:t>
      </w:r>
      <w:r w:rsidRPr="00563EA2">
        <w:rPr>
          <w:lang w:val="fr-FR"/>
        </w:rPr>
        <w:t xml:space="preserve"> de vérifier les traductions du document mais</w:t>
      </w:r>
      <w:r w:rsidR="006362D6">
        <w:rPr>
          <w:lang w:val="fr-FR"/>
        </w:rPr>
        <w:t xml:space="preserve"> a</w:t>
      </w:r>
      <w:bookmarkStart w:id="10" w:name="_GoBack"/>
      <w:bookmarkEnd w:id="10"/>
      <w:r w:rsidRPr="00563EA2">
        <w:rPr>
          <w:lang w:val="fr-FR"/>
        </w:rPr>
        <w:t xml:space="preserve"> noté 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il devrait utiliser le texte de la Convention lorsque cela s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avérait applicable.  S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il était considéré 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il y avait des divergences dans les textes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>, les dispositions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article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41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1991 intitulé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Original et textes officiels de la Convention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devraient être prises en considération.</w:t>
      </w:r>
    </w:p>
    <w:p w:rsidR="007D7093" w:rsidRPr="00563EA2" w:rsidRDefault="007D7093" w:rsidP="00E45A36">
      <w:pPr>
        <w:pStyle w:val="Heading3"/>
        <w:rPr>
          <w:lang w:val="fr-FR"/>
        </w:rPr>
      </w:pPr>
    </w:p>
    <w:p w:rsidR="00B963B8" w:rsidRPr="00563EA2" w:rsidRDefault="007D7093" w:rsidP="00E45A36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a décidé de différer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approbation des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Notes explicatives sur les 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 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UPOV”</w:t>
      </w:r>
      <w:r w:rsidRPr="00563EA2">
        <w:rPr>
          <w:lang w:val="fr-FR"/>
        </w:rPr>
        <w:t xml:space="preserve"> jusqu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huitième session, qui se tiendra à Genève le 21 octobre 2013, afin de pouvoir vérifier les traductions du document et examiner les propositions ci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après :</w:t>
      </w:r>
    </w:p>
    <w:p w:rsidR="007D7093" w:rsidRPr="00563EA2" w:rsidRDefault="007D7093" w:rsidP="00E45A36">
      <w:pPr>
        <w:rPr>
          <w:lang w:val="fr-FR"/>
        </w:rPr>
      </w:pPr>
    </w:p>
    <w:tbl>
      <w:tblPr>
        <w:tblW w:w="9180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563"/>
      </w:tblGrid>
      <w:tr w:rsidR="007D7093" w:rsidRPr="00563EA2" w:rsidTr="009A283D">
        <w:trPr>
          <w:cantSplit/>
          <w:jc w:val="center"/>
        </w:trPr>
        <w:tc>
          <w:tcPr>
            <w:tcW w:w="1617" w:type="dxa"/>
          </w:tcPr>
          <w:p w:rsidR="007D7093" w:rsidRPr="00563EA2" w:rsidRDefault="007D7093" w:rsidP="00E45A36">
            <w:pPr>
              <w:rPr>
                <w:lang w:val="fr-FR"/>
              </w:rPr>
            </w:pPr>
            <w:r w:rsidRPr="00563EA2">
              <w:rPr>
                <w:lang w:val="fr-FR"/>
              </w:rPr>
              <w:t>Paragraphe</w:t>
            </w:r>
            <w:r w:rsidR="00ED6445" w:rsidRPr="00563EA2">
              <w:rPr>
                <w:lang w:val="fr-FR"/>
              </w:rPr>
              <w:t> </w:t>
            </w:r>
            <w:r w:rsidRPr="00563EA2">
              <w:rPr>
                <w:lang w:val="fr-FR"/>
              </w:rPr>
              <w:t>11</w:t>
            </w:r>
          </w:p>
        </w:tc>
        <w:tc>
          <w:tcPr>
            <w:tcW w:w="7563" w:type="dxa"/>
          </w:tcPr>
          <w:p w:rsidR="00B963B8" w:rsidRPr="00563EA2" w:rsidRDefault="007D7093" w:rsidP="00E45A36">
            <w:pPr>
              <w:rPr>
                <w:lang w:val="fr-FR"/>
              </w:rPr>
            </w:pPr>
            <w:r w:rsidRPr="00563EA2">
              <w:rPr>
                <w:lang w:val="fr-FR"/>
              </w:rPr>
              <w:t>Libeller comme suit</w:t>
            </w:r>
            <w:r w:rsidR="00ED6445" w:rsidRPr="00563EA2">
              <w:rPr>
                <w:lang w:val="fr-FR"/>
              </w:rPr>
              <w:t> </w:t>
            </w:r>
            <w:r w:rsidRPr="00563EA2">
              <w:rPr>
                <w:lang w:val="fr-FR"/>
              </w:rPr>
              <w:t>:</w:t>
            </w:r>
          </w:p>
          <w:p w:rsidR="007D7093" w:rsidRPr="00563EA2" w:rsidRDefault="007D7093" w:rsidP="00E45A36">
            <w:pPr>
              <w:rPr>
                <w:lang w:val="fr-FR"/>
              </w:rPr>
            </w:pPr>
          </w:p>
          <w:p w:rsidR="007D7093" w:rsidRPr="00563EA2" w:rsidRDefault="00562636" w:rsidP="009A283D">
            <w:pPr>
              <w:spacing w:after="40"/>
              <w:rPr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“</w:t>
            </w:r>
            <w:r w:rsidR="007D7093" w:rsidRPr="00563EA2">
              <w:rPr>
                <w:sz w:val="18"/>
                <w:szCs w:val="18"/>
                <w:lang w:val="fr-FR"/>
              </w:rPr>
              <w:t>Lorsqu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>un membre de l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>Union décide d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intégrer cette exception facultative dans sa législation, le terme </w:t>
            </w:r>
            <w:r w:rsidRPr="00563EA2">
              <w:rPr>
                <w:sz w:val="18"/>
                <w:szCs w:val="18"/>
                <w:lang w:val="fr-FR"/>
              </w:rPr>
              <w:t>‘</w:t>
            </w:r>
            <w:r w:rsidR="007D7093" w:rsidRPr="00563EA2">
              <w:rPr>
                <w:sz w:val="18"/>
                <w:szCs w:val="18"/>
                <w:lang w:val="fr-FR"/>
              </w:rPr>
              <w:t>utilisation non autorisée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ne s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>appliquerait pas à des actes couverts par l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>exception facultative.</w:t>
            </w:r>
            <w:r w:rsidR="00ED6445" w:rsidRPr="00563EA2">
              <w:rPr>
                <w:sz w:val="18"/>
                <w:szCs w:val="18"/>
                <w:lang w:val="fr-FR"/>
              </w:rPr>
              <w:t xml:space="preserve"> 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Toutefois, sous réserve des articles 15.1) et 16, l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>utilisation non autorisée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s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appliquerait à des actes </w:t>
            </w:r>
            <w:r w:rsidR="007D7093" w:rsidRPr="00563EA2">
              <w:rPr>
                <w:sz w:val="18"/>
                <w:szCs w:val="18"/>
                <w:u w:val="single"/>
                <w:lang w:val="fr-FR"/>
              </w:rPr>
              <w:t>qui sont couverts par le droit d</w:t>
            </w:r>
            <w:r w:rsidRPr="00563EA2">
              <w:rPr>
                <w:sz w:val="18"/>
                <w:szCs w:val="18"/>
                <w:u w:val="single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u w:val="single"/>
                <w:lang w:val="fr-FR"/>
              </w:rPr>
              <w:t>obtenteur et ne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sont pas couverts par l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>exception facultative dans la législation du membre de l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Union concerné. </w:t>
            </w:r>
            <w:r w:rsidR="00ED6445" w:rsidRPr="00563EA2">
              <w:rPr>
                <w:sz w:val="18"/>
                <w:szCs w:val="18"/>
                <w:lang w:val="fr-FR"/>
              </w:rPr>
              <w:t xml:space="preserve"> 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En particulier, le terme </w:t>
            </w:r>
            <w:r w:rsidRPr="00563EA2">
              <w:rPr>
                <w:sz w:val="18"/>
                <w:szCs w:val="18"/>
                <w:lang w:val="fr-FR"/>
              </w:rPr>
              <w:t>‘</w:t>
            </w:r>
            <w:r w:rsidR="007D7093" w:rsidRPr="00563EA2">
              <w:rPr>
                <w:sz w:val="18"/>
                <w:szCs w:val="18"/>
                <w:lang w:val="fr-FR"/>
              </w:rPr>
              <w:t>utilisation non autorisée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s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appliquerait à des actes qui ne sont pas conformes aux </w:t>
            </w:r>
            <w:r w:rsidR="007D7093" w:rsidRPr="00563EA2">
              <w:rPr>
                <w:strike/>
                <w:sz w:val="18"/>
                <w:szCs w:val="18"/>
                <w:lang w:val="fr-FR"/>
              </w:rPr>
              <w:t>conditions de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</w:t>
            </w:r>
            <w:r w:rsidR="007D7093" w:rsidRPr="00563EA2">
              <w:rPr>
                <w:sz w:val="18"/>
                <w:szCs w:val="18"/>
                <w:u w:val="single"/>
                <w:lang w:val="fr-FR"/>
              </w:rPr>
              <w:t>limites raisonnables et à la sauvegarde des intérêts légitimes de l</w:t>
            </w:r>
            <w:r w:rsidRPr="00563EA2">
              <w:rPr>
                <w:sz w:val="18"/>
                <w:szCs w:val="18"/>
                <w:u w:val="single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u w:val="single"/>
                <w:lang w:val="fr-FR"/>
              </w:rPr>
              <w:t>obtenteur prévus dans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l</w:t>
            </w:r>
            <w:r w:rsidRPr="00563EA2">
              <w:rPr>
                <w:sz w:val="18"/>
                <w:szCs w:val="18"/>
                <w:lang w:val="fr-FR"/>
              </w:rPr>
              <w:t>’</w:t>
            </w:r>
            <w:r w:rsidR="007D7093" w:rsidRPr="00563EA2">
              <w:rPr>
                <w:sz w:val="18"/>
                <w:szCs w:val="18"/>
                <w:lang w:val="fr-FR"/>
              </w:rPr>
              <w:t>exception facultative</w:t>
            </w:r>
            <w:r w:rsidRPr="00563EA2">
              <w:rPr>
                <w:sz w:val="18"/>
                <w:szCs w:val="18"/>
                <w:lang w:val="fr-FR"/>
              </w:rPr>
              <w:t>”</w:t>
            </w:r>
            <w:r w:rsidR="007D7093" w:rsidRPr="00563EA2">
              <w:rPr>
                <w:sz w:val="18"/>
                <w:szCs w:val="18"/>
                <w:lang w:val="fr-FR"/>
              </w:rPr>
              <w:t>.</w:t>
            </w:r>
          </w:p>
        </w:tc>
      </w:tr>
      <w:tr w:rsidR="007D7093" w:rsidRPr="00563EA2" w:rsidTr="009A283D">
        <w:trPr>
          <w:cantSplit/>
          <w:jc w:val="center"/>
        </w:trPr>
        <w:tc>
          <w:tcPr>
            <w:tcW w:w="1617" w:type="dxa"/>
          </w:tcPr>
          <w:p w:rsidR="00B963B8" w:rsidRPr="00563EA2" w:rsidRDefault="007D7093" w:rsidP="00E45A36">
            <w:pPr>
              <w:rPr>
                <w:lang w:val="fr-FR"/>
              </w:rPr>
            </w:pPr>
            <w:r w:rsidRPr="00563EA2">
              <w:rPr>
                <w:lang w:val="fr-FR"/>
              </w:rPr>
              <w:t>Titre</w:t>
            </w:r>
          </w:p>
          <w:p w:rsidR="007D7093" w:rsidRPr="00563EA2" w:rsidRDefault="00ED6445" w:rsidP="00E45A36">
            <w:pPr>
              <w:rPr>
                <w:lang w:val="fr-FR"/>
              </w:rPr>
            </w:pPr>
            <w:r w:rsidRPr="00563EA2">
              <w:rPr>
                <w:lang w:val="fr-FR"/>
              </w:rPr>
              <w:t>Section</w:t>
            </w:r>
            <w:r w:rsidR="009A283D">
              <w:rPr>
                <w:lang w:val="fr-FR"/>
              </w:rPr>
              <w:t xml:space="preserve"> d)</w:t>
            </w:r>
          </w:p>
          <w:p w:rsidR="007D7093" w:rsidRPr="00563EA2" w:rsidRDefault="007D7093" w:rsidP="00E45A36">
            <w:pPr>
              <w:rPr>
                <w:lang w:val="fr-FR"/>
              </w:rPr>
            </w:pPr>
          </w:p>
        </w:tc>
        <w:tc>
          <w:tcPr>
            <w:tcW w:w="7563" w:type="dxa"/>
          </w:tcPr>
          <w:p w:rsidR="007D7093" w:rsidRPr="00563EA2" w:rsidRDefault="007D7093" w:rsidP="00E45A36">
            <w:pPr>
              <w:rPr>
                <w:lang w:val="fr-FR"/>
              </w:rPr>
            </w:pPr>
            <w:r w:rsidRPr="00563EA2">
              <w:rPr>
                <w:lang w:val="fr-FR"/>
              </w:rPr>
              <w:t>Libeller comme suit</w:t>
            </w:r>
            <w:r w:rsidR="00ED6445" w:rsidRPr="00563EA2">
              <w:rPr>
                <w:lang w:val="fr-FR"/>
              </w:rPr>
              <w:t> </w:t>
            </w:r>
            <w:r w:rsidRPr="00563EA2">
              <w:rPr>
                <w:lang w:val="fr-FR"/>
              </w:rPr>
              <w:t>:</w:t>
            </w:r>
          </w:p>
          <w:p w:rsidR="007D7093" w:rsidRPr="00563EA2" w:rsidRDefault="007D7093" w:rsidP="00E45A36">
            <w:pPr>
              <w:rPr>
                <w:lang w:val="fr-FR"/>
              </w:rPr>
            </w:pPr>
          </w:p>
          <w:p w:rsidR="007D7093" w:rsidRPr="00563EA2" w:rsidRDefault="00562636" w:rsidP="00E45A36">
            <w:pPr>
              <w:rPr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“</w:t>
            </w:r>
            <w:r w:rsidR="007D7093" w:rsidRPr="00563EA2">
              <w:rPr>
                <w:sz w:val="18"/>
                <w:szCs w:val="18"/>
                <w:u w:val="single"/>
                <w:lang w:val="fr-FR"/>
              </w:rPr>
              <w:t>Pouvoir</w:t>
            </w:r>
            <w:r w:rsidR="007D7093" w:rsidRPr="00563EA2">
              <w:rPr>
                <w:sz w:val="18"/>
                <w:szCs w:val="18"/>
                <w:lang w:val="fr-FR"/>
              </w:rPr>
              <w:t xml:space="preserve"> exercer </w:t>
            </w:r>
            <w:r w:rsidR="007D7093" w:rsidRPr="00563EA2">
              <w:rPr>
                <w:sz w:val="18"/>
                <w:szCs w:val="18"/>
                <w:u w:val="single"/>
                <w:lang w:val="fr-FR"/>
              </w:rPr>
              <w:t xml:space="preserve">raisonnablement </w:t>
            </w:r>
            <w:r w:rsidR="007D7093" w:rsidRPr="00563EA2">
              <w:rPr>
                <w:sz w:val="18"/>
                <w:szCs w:val="18"/>
                <w:lang w:val="fr-FR"/>
              </w:rPr>
              <w:t>son droit</w:t>
            </w:r>
            <w:r w:rsidRPr="00563EA2">
              <w:rPr>
                <w:sz w:val="18"/>
                <w:szCs w:val="18"/>
                <w:lang w:val="fr-FR"/>
              </w:rPr>
              <w:t>”</w:t>
            </w:r>
          </w:p>
        </w:tc>
      </w:tr>
    </w:tbl>
    <w:p w:rsidR="007D7093" w:rsidRPr="00563EA2" w:rsidRDefault="007D7093" w:rsidP="00E45A36">
      <w:pPr>
        <w:rPr>
          <w:lang w:val="fr-FR"/>
        </w:rPr>
      </w:pPr>
    </w:p>
    <w:p w:rsidR="007D7093" w:rsidRPr="00563EA2" w:rsidRDefault="007D7093" w:rsidP="00470047">
      <w:pPr>
        <w:rPr>
          <w:lang w:val="fr-FR"/>
        </w:rPr>
      </w:pPr>
      <w:r w:rsidRPr="00563EA2">
        <w:rPr>
          <w:lang w:val="fr-FR"/>
        </w:rPr>
        <w:t>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12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="009A283D">
        <w:rPr>
          <w:lang w:val="fr-FR"/>
        </w:rPr>
        <w:t>)</w:t>
      </w:r>
    </w:p>
    <w:p w:rsidR="007D7093" w:rsidRPr="00563EA2" w:rsidRDefault="007D7093" w:rsidP="00E45A36">
      <w:pPr>
        <w:rPr>
          <w:lang w:val="fr-FR"/>
        </w:rPr>
      </w:pPr>
    </w:p>
    <w:p w:rsidR="007D7093" w:rsidRPr="00563EA2" w:rsidRDefault="007D7093" w:rsidP="009A283D">
      <w:pPr>
        <w:pStyle w:val="DecisionParagraphs"/>
        <w:keepLines/>
        <w:rPr>
          <w:lang w:val="fr-FR"/>
        </w:rPr>
      </w:pPr>
      <w:r w:rsidRPr="00563EA2">
        <w:rPr>
          <w:lang w:val="fr-FR"/>
        </w:rPr>
        <w:lastRenderedPageBreak/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Le CAJ est invité à examiner le document UPOV/EXN/HRV Draft 10 comme base pour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adoption des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Notes explicatives sur les 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 1991 de la </w:t>
      </w:r>
      <w:r w:rsidR="00562636" w:rsidRPr="00563EA2">
        <w:rPr>
          <w:lang w:val="fr-FR"/>
        </w:rPr>
        <w:t>Convention UPOV”</w:t>
      </w:r>
      <w:r w:rsidRPr="00563EA2">
        <w:rPr>
          <w:lang w:val="fr-FR"/>
        </w:rPr>
        <w:t xml:space="preserve"> par le Conseil à sa quarante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 session ordinaire, qui se tiendra à Genève le 24 octobre 2013.</w:t>
      </w:r>
    </w:p>
    <w:p w:rsidR="007D7093" w:rsidRPr="00563EA2" w:rsidRDefault="007D7093" w:rsidP="000816F2">
      <w:pPr>
        <w:spacing w:line="360" w:lineRule="auto"/>
        <w:rPr>
          <w:lang w:val="fr-FR"/>
        </w:rPr>
      </w:pPr>
    </w:p>
    <w:p w:rsidR="007D7093" w:rsidRPr="00563EA2" w:rsidRDefault="007D7093" w:rsidP="000816F2">
      <w:pPr>
        <w:pStyle w:val="Heading3"/>
        <w:rPr>
          <w:lang w:val="fr-FR"/>
        </w:rPr>
      </w:pPr>
      <w:bookmarkStart w:id="11" w:name="_Toc369086254"/>
      <w:r w:rsidRPr="00563EA2">
        <w:rPr>
          <w:lang w:val="fr-FR"/>
        </w:rPr>
        <w:t>Travaux futurs concernant les Notes explicatives sur les 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 1991 de la </w:t>
      </w:r>
      <w:r w:rsidR="00562636" w:rsidRPr="00563EA2">
        <w:rPr>
          <w:lang w:val="fr-FR"/>
        </w:rPr>
        <w:t>Convention UPOV</w:t>
      </w:r>
      <w:bookmarkEnd w:id="11"/>
    </w:p>
    <w:p w:rsidR="007D7093" w:rsidRPr="00563EA2" w:rsidRDefault="007D7093" w:rsidP="000816F2">
      <w:pPr>
        <w:keepNext/>
        <w:rPr>
          <w:lang w:val="fr-FR"/>
        </w:rPr>
      </w:pPr>
    </w:p>
    <w:p w:rsidR="007D7093" w:rsidRPr="00563EA2" w:rsidRDefault="007D7093" w:rsidP="00470047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est convenu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inviter</w:t>
      </w:r>
      <w:r w:rsidR="00B963B8" w:rsidRPr="00563EA2">
        <w:rPr>
          <w:lang w:val="fr-FR"/>
        </w:rPr>
        <w:t xml:space="preserve">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 xml:space="preserve">AG à commencer immédiatement ses travaux sur une possible future révision des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Notes explicatives sur les 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 1991 de la </w:t>
      </w:r>
      <w:r w:rsidR="00562636" w:rsidRPr="00563EA2">
        <w:rPr>
          <w:lang w:val="fr-FR"/>
        </w:rPr>
        <w:t>Convention UPOV”</w:t>
      </w:r>
      <w:r w:rsidRPr="00563EA2">
        <w:rPr>
          <w:lang w:val="fr-FR"/>
        </w:rPr>
        <w:t xml:space="preserve"> afin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inclure des exemples de situations dans lesquelles les obtenteurs pourraient être considérés comme étant capables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exercer leurs droits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13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E45A36">
      <w:pPr>
        <w:rPr>
          <w:lang w:val="fr-FR"/>
        </w:rPr>
      </w:pPr>
    </w:p>
    <w:p w:rsidR="007D7093" w:rsidRPr="00563EA2" w:rsidRDefault="007D7093" w:rsidP="00470047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Le CAJ est convenu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inviter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à envisager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élaboration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 document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orientation sur la notion couverte par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expression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pouvoir exercer raisonnablement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son droit dans le cadre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une possible révision des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Notes explicatives sur les 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 1991 de la </w:t>
      </w:r>
      <w:r w:rsidR="00562636" w:rsidRPr="00563EA2">
        <w:rPr>
          <w:lang w:val="fr-FR"/>
        </w:rPr>
        <w:t>Convention UPOV”</w:t>
      </w:r>
      <w:r w:rsidRPr="00563EA2">
        <w:rPr>
          <w:lang w:val="fr-FR"/>
        </w:rPr>
        <w:t xml:space="preserve">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14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470047">
      <w:pPr>
        <w:rPr>
          <w:lang w:val="fr-FR"/>
        </w:rPr>
      </w:pPr>
    </w:p>
    <w:p w:rsidR="007D7093" w:rsidRPr="00563EA2" w:rsidRDefault="007D7093" w:rsidP="00470047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 xml:space="preserve">À la lumière de ce qui précède, le document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Notes explicatives sur les 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 1991 de la </w:t>
      </w:r>
      <w:r w:rsidR="00562636" w:rsidRPr="00563EA2">
        <w:rPr>
          <w:lang w:val="fr-FR"/>
        </w:rPr>
        <w:t>Convention UPOV”</w:t>
      </w:r>
      <w:r w:rsidRPr="00563EA2">
        <w:rPr>
          <w:lang w:val="fr-FR"/>
        </w:rPr>
        <w:t xml:space="preserve">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AG/13/8/3) sera examiné par</w:t>
      </w:r>
      <w:r w:rsidR="00B963B8" w:rsidRPr="00563EA2">
        <w:rPr>
          <w:lang w:val="fr-FR"/>
        </w:rPr>
        <w:t xml:space="preserve">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AG, à sa huitième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 qui se tiendra à Genève le 2</w:t>
      </w:r>
      <w:r w:rsidR="00B963B8" w:rsidRPr="00563EA2">
        <w:rPr>
          <w:lang w:val="fr-FR"/>
        </w:rPr>
        <w:t>5 octobre 20</w:t>
      </w:r>
      <w:r w:rsidRPr="00563EA2">
        <w:rPr>
          <w:lang w:val="fr-FR"/>
        </w:rPr>
        <w:t>13.</w:t>
      </w:r>
    </w:p>
    <w:p w:rsidR="007D7093" w:rsidRPr="00563EA2" w:rsidRDefault="007D7093" w:rsidP="00E45A36">
      <w:pPr>
        <w:rPr>
          <w:lang w:val="fr-FR"/>
        </w:rPr>
      </w:pPr>
    </w:p>
    <w:p w:rsidR="007D7093" w:rsidRPr="00563EA2" w:rsidRDefault="007D7093" w:rsidP="00C87A6B">
      <w:pPr>
        <w:pStyle w:val="DecisionParagraphs"/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Le CAJ est invité à prendre note des faits nouveaux concernent les travaux futurs sur les Notes explicatives sur les 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récolte.</w:t>
      </w:r>
    </w:p>
    <w:p w:rsidR="007D7093" w:rsidRPr="00563EA2" w:rsidRDefault="007D7093" w:rsidP="00E45A36">
      <w:pPr>
        <w:rPr>
          <w:lang w:val="fr-FR"/>
        </w:rPr>
      </w:pPr>
    </w:p>
    <w:p w:rsidR="007D7093" w:rsidRPr="00563EA2" w:rsidRDefault="007D7093" w:rsidP="00205516">
      <w:pPr>
        <w:rPr>
          <w:lang w:val="fr-FR"/>
        </w:rPr>
      </w:pPr>
    </w:p>
    <w:p w:rsidR="007D7093" w:rsidRPr="00563EA2" w:rsidRDefault="007D7093" w:rsidP="00076D60">
      <w:pPr>
        <w:pStyle w:val="Heading2"/>
        <w:rPr>
          <w:lang w:val="fr-FR"/>
        </w:rPr>
      </w:pPr>
      <w:bookmarkStart w:id="12" w:name="_Toc369086255"/>
      <w:r w:rsidRPr="00563EA2">
        <w:rPr>
          <w:u w:val="none"/>
          <w:lang w:val="fr-FR"/>
        </w:rPr>
        <w:t>b)</w:t>
      </w:r>
      <w:r w:rsidRPr="00563EA2">
        <w:rPr>
          <w:u w:val="none"/>
          <w:lang w:val="fr-FR"/>
        </w:rPr>
        <w:tab/>
      </w:r>
      <w:r w:rsidRPr="00563EA2">
        <w:rPr>
          <w:lang w:val="fr-FR"/>
        </w:rPr>
        <w:t>Séminaire sur les variétés e</w:t>
      </w:r>
      <w:r w:rsidR="00076D60">
        <w:rPr>
          <w:lang w:val="fr-FR"/>
        </w:rPr>
        <w:t>ssentiellement dérivées et les n</w:t>
      </w:r>
      <w:r w:rsidRPr="00563EA2">
        <w:rPr>
          <w:lang w:val="fr-FR"/>
        </w:rPr>
        <w:t>otes explicatives sur les variétés essentiellement dérivées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 xml:space="preserve"> (révision)</w:t>
      </w:r>
      <w:bookmarkEnd w:id="12"/>
    </w:p>
    <w:p w:rsidR="007D7093" w:rsidRPr="00563EA2" w:rsidRDefault="007D7093" w:rsidP="00C60046">
      <w:pPr>
        <w:rPr>
          <w:lang w:val="fr-FR"/>
        </w:rPr>
      </w:pPr>
    </w:p>
    <w:p w:rsidR="007D7093" w:rsidRPr="00563EA2" w:rsidRDefault="007D7093" w:rsidP="00165CD8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est convenu que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examen du document UPOV/EXN/EDV/2 Draft 3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Notes explicatives sur les variétés essentiellement dérivées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UPOV”</w:t>
      </w:r>
      <w:r w:rsidRPr="00563EA2">
        <w:rPr>
          <w:lang w:val="fr-FR"/>
        </w:rPr>
        <w:t xml:space="preserve"> devrait être différé jusqu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à la fin du séminaire sur les variétés essentiellement dérivées qui sera organisé le 22 octobre 2013, et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examen de ce séminaire par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à sa huitième session, qui se tiendra le 25 octobre 2013.  Le CAJ est également convenu 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il serait utile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envisager de placer le paragraphe 8 du document UPOV/EXN/EDV/2 Draft 3 après le paragraphe 4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15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210F9B">
      <w:pPr>
        <w:rPr>
          <w:lang w:val="fr-FR"/>
        </w:rPr>
      </w:pPr>
    </w:p>
    <w:p w:rsidR="00B963B8" w:rsidRPr="00563EA2" w:rsidRDefault="007D7093" w:rsidP="00C60046">
      <w:pPr>
        <w:rPr>
          <w:snapToGrid w:val="0"/>
          <w:lang w:val="fr-FR"/>
        </w:rPr>
      </w:pPr>
      <w:r w:rsidRPr="00563EA2">
        <w:rPr>
          <w:snapToGrid w:val="0"/>
          <w:lang w:val="fr-FR"/>
        </w:rPr>
        <w:fldChar w:fldCharType="begin"/>
      </w:r>
      <w:r w:rsidRPr="00563EA2">
        <w:rPr>
          <w:snapToGrid w:val="0"/>
          <w:lang w:val="fr-FR"/>
        </w:rPr>
        <w:instrText xml:space="preserve"> AUTONUM  </w:instrText>
      </w:r>
      <w:r w:rsidRPr="00563EA2">
        <w:rPr>
          <w:snapToGrid w:val="0"/>
          <w:lang w:val="fr-FR"/>
        </w:rPr>
        <w:fldChar w:fldCharType="end"/>
      </w:r>
      <w:r w:rsidRPr="00563EA2">
        <w:rPr>
          <w:snapToGrid w:val="0"/>
          <w:lang w:val="fr-FR"/>
        </w:rPr>
        <w:tab/>
      </w:r>
      <w:r w:rsidRPr="00563EA2">
        <w:rPr>
          <w:lang w:val="fr-FR"/>
        </w:rPr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a noté que le Bureau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Union élaborerait un texte sur la possibilité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utiliser des données des marqueurs moléculaires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une variété initiale pour obtenir des variétés essentiellement dérivées, pour examen par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à sa huitième session, qui se tiendra le 25 octobre 2013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20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</w:t>
      </w:r>
      <w:r w:rsidRPr="00563EA2">
        <w:rPr>
          <w:snapToGrid w:val="0"/>
          <w:lang w:val="fr-FR"/>
        </w:rPr>
        <w:t>.</w:t>
      </w:r>
    </w:p>
    <w:p w:rsidR="007D7093" w:rsidRPr="00563EA2" w:rsidRDefault="007D7093" w:rsidP="00C60046">
      <w:pPr>
        <w:rPr>
          <w:snapToGrid w:val="0"/>
          <w:lang w:val="fr-FR"/>
        </w:rPr>
      </w:pPr>
    </w:p>
    <w:p w:rsidR="007D7093" w:rsidRPr="00563EA2" w:rsidRDefault="007D7093" w:rsidP="00DD3646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a noté que, lors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une future réunion du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AG, les délégations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Australie, du Brésil et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Union européenne et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autres membres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Union seraient invitées à présenter des exposés sur leurs systèmes concernant les variétés essentiellement dérivées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17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C60046">
      <w:pPr>
        <w:rPr>
          <w:snapToGrid w:val="0"/>
          <w:lang w:val="fr-FR"/>
        </w:rPr>
      </w:pPr>
    </w:p>
    <w:p w:rsidR="007D7093" w:rsidRPr="00563EA2" w:rsidRDefault="007D7093" w:rsidP="003A44BC">
      <w:pPr>
        <w:rPr>
          <w:lang w:val="fr-FR"/>
        </w:rPr>
      </w:pPr>
      <w:r w:rsidRPr="00563EA2">
        <w:rPr>
          <w:snapToGrid w:val="0"/>
          <w:lang w:val="fr-FR"/>
        </w:rPr>
        <w:fldChar w:fldCharType="begin"/>
      </w:r>
      <w:r w:rsidRPr="00563EA2">
        <w:rPr>
          <w:snapToGrid w:val="0"/>
          <w:lang w:val="fr-FR"/>
        </w:rPr>
        <w:instrText xml:space="preserve"> AUTONUM  </w:instrText>
      </w:r>
      <w:r w:rsidRPr="00563EA2">
        <w:rPr>
          <w:snapToGrid w:val="0"/>
          <w:lang w:val="fr-FR"/>
        </w:rPr>
        <w:fldChar w:fldCharType="end"/>
      </w:r>
      <w:r w:rsidRPr="00563EA2">
        <w:rPr>
          <w:snapToGrid w:val="0"/>
          <w:lang w:val="fr-FR"/>
        </w:rPr>
        <w:tab/>
      </w:r>
      <w:r w:rsidRPr="00563EA2">
        <w:rPr>
          <w:lang w:val="fr-FR"/>
        </w:rPr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a noté que le Bureau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Union élaborerait un projet de document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orientation sur le rapport entre les points i) et iii) 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article 14.5)b)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>, sur la base de la note explicative 6.ii) sur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article 5 intitulé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Effets du droit octroyé à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obtenteur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présenté dans le document IOM/IV/2, pour examen par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à sa huitième session, qui se tiendra le 25 octobre 2013.  Afin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aider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à élaborer un projet de document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orientation, le CAJ est convenu de proposer au Conseil 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un séminaire sur les variétés essentiellement dérivées soit organisé le 22 octobre 2013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17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C60046">
      <w:pPr>
        <w:rPr>
          <w:snapToGrid w:val="0"/>
          <w:lang w:val="fr-FR"/>
        </w:rPr>
      </w:pPr>
    </w:p>
    <w:p w:rsidR="00B963B8" w:rsidRDefault="007D7093" w:rsidP="00ED0D33">
      <w:pPr>
        <w:rPr>
          <w:snapToGrid w:val="0"/>
          <w:lang w:val="fr-FR"/>
        </w:rPr>
      </w:pPr>
      <w:r w:rsidRPr="00563EA2">
        <w:rPr>
          <w:lang w:val="fr-FR"/>
        </w:rPr>
        <w:lastRenderedPageBreak/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trentième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session </w:t>
      </w:r>
      <w:r w:rsidRPr="00563EA2">
        <w:rPr>
          <w:lang w:val="fr-FR" w:eastAsia="fr-FR"/>
        </w:rPr>
        <w:t>extraordinaire tenue à Genève le 2</w:t>
      </w:r>
      <w:r w:rsidR="00B963B8" w:rsidRPr="00563EA2">
        <w:rPr>
          <w:lang w:val="fr-FR" w:eastAsia="fr-FR"/>
        </w:rPr>
        <w:t>2 mars 20</w:t>
      </w:r>
      <w:r w:rsidRPr="00563EA2">
        <w:rPr>
          <w:lang w:val="fr-FR" w:eastAsia="fr-FR"/>
        </w:rPr>
        <w:t>13, le Conseil a approuvé l</w:t>
      </w:r>
      <w:r w:rsidR="00562636" w:rsidRPr="00563EA2">
        <w:rPr>
          <w:lang w:val="fr-FR" w:eastAsia="fr-FR"/>
        </w:rPr>
        <w:t>’</w:t>
      </w:r>
      <w:r w:rsidRPr="00563EA2">
        <w:rPr>
          <w:snapToGrid w:val="0"/>
          <w:lang w:val="fr-FR"/>
        </w:rPr>
        <w:t>organisation le 2</w:t>
      </w:r>
      <w:r w:rsidR="00B963B8" w:rsidRPr="00563EA2">
        <w:rPr>
          <w:snapToGrid w:val="0"/>
          <w:lang w:val="fr-FR"/>
        </w:rPr>
        <w:t>2 octobre 20</w:t>
      </w:r>
      <w:r w:rsidRPr="00563EA2">
        <w:rPr>
          <w:snapToGrid w:val="0"/>
          <w:lang w:val="fr-FR"/>
        </w:rPr>
        <w:t>13 d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 xml:space="preserve">un séminaire sur les </w:t>
      </w:r>
      <w:r w:rsidRPr="00563EA2">
        <w:rPr>
          <w:lang w:val="fr-FR"/>
        </w:rPr>
        <w:t>variétés essentiellement dérivées afin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examiner les points suivants</w:t>
      </w:r>
      <w:r w:rsidR="00ED6445" w:rsidRPr="00563EA2">
        <w:rPr>
          <w:lang w:val="fr-FR"/>
        </w:rPr>
        <w:t> </w:t>
      </w:r>
      <w:r w:rsidRPr="00563EA2">
        <w:rPr>
          <w:snapToGrid w:val="0"/>
          <w:lang w:val="fr-FR"/>
        </w:rPr>
        <w:t>:</w:t>
      </w:r>
    </w:p>
    <w:p w:rsidR="009A283D" w:rsidRPr="00563EA2" w:rsidRDefault="009A283D" w:rsidP="00ED0D33">
      <w:pPr>
        <w:rPr>
          <w:snapToGrid w:val="0"/>
          <w:lang w:val="fr-FR"/>
        </w:rPr>
      </w:pPr>
    </w:p>
    <w:p w:rsidR="007D7093" w:rsidRPr="00563EA2" w:rsidRDefault="007D7093" w:rsidP="00ED0D33">
      <w:pPr>
        <w:ind w:firstLine="567"/>
        <w:rPr>
          <w:lang w:val="fr-FR"/>
        </w:rPr>
      </w:pPr>
      <w:r w:rsidRPr="00563EA2">
        <w:rPr>
          <w:lang w:val="fr-FR"/>
        </w:rPr>
        <w:t>a)</w:t>
      </w:r>
      <w:r w:rsidRPr="00563EA2">
        <w:rPr>
          <w:lang w:val="fr-FR"/>
        </w:rPr>
        <w:tab/>
        <w:t xml:space="preserve">les avis techniques et juridiques sur les termes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principalement dérivée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,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caractères essentiels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et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différences résultant de la dérivation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 xml:space="preserve"> (voir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article 14.5)b)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>), le rapport entre les points i) et iii) 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article 14.5)b)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 xml:space="preserve"> et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incidence éventuelle sur la sélection végétale et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agriculture;</w:t>
      </w:r>
    </w:p>
    <w:p w:rsidR="007D7093" w:rsidRPr="00563EA2" w:rsidRDefault="007D7093" w:rsidP="00ED0D33">
      <w:pPr>
        <w:ind w:firstLine="567"/>
        <w:rPr>
          <w:lang w:val="fr-FR"/>
        </w:rPr>
      </w:pPr>
    </w:p>
    <w:p w:rsidR="00B963B8" w:rsidRPr="00563EA2" w:rsidRDefault="007D7093" w:rsidP="00ED0D33">
      <w:pPr>
        <w:ind w:firstLine="567"/>
        <w:rPr>
          <w:lang w:val="fr-FR"/>
        </w:rPr>
      </w:pPr>
      <w:r w:rsidRPr="00563EA2">
        <w:rPr>
          <w:lang w:val="fr-FR"/>
        </w:rPr>
        <w:t>b)</w:t>
      </w:r>
      <w:r w:rsidRPr="00563EA2">
        <w:rPr>
          <w:lang w:val="fr-FR"/>
        </w:rPr>
        <w:tab/>
        <w:t>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expérience actuelle en ce qui concerne les variétés essentiellement dérivées; </w:t>
      </w:r>
      <w:r w:rsidR="00ED6445" w:rsidRPr="00563EA2">
        <w:rPr>
          <w:lang w:val="fr-FR"/>
        </w:rPr>
        <w:t xml:space="preserve"> </w:t>
      </w:r>
      <w:r w:rsidRPr="00563EA2">
        <w:rPr>
          <w:lang w:val="fr-FR"/>
        </w:rPr>
        <w:t>et</w:t>
      </w:r>
    </w:p>
    <w:p w:rsidR="007D7093" w:rsidRPr="00563EA2" w:rsidRDefault="007D7093" w:rsidP="00ED0D33">
      <w:pPr>
        <w:ind w:firstLine="567"/>
        <w:rPr>
          <w:lang w:val="fr-FR"/>
        </w:rPr>
      </w:pPr>
    </w:p>
    <w:p w:rsidR="00B963B8" w:rsidRPr="00563EA2" w:rsidRDefault="007D7093" w:rsidP="007D2B2B">
      <w:pPr>
        <w:keepNext/>
        <w:ind w:firstLine="567"/>
        <w:rPr>
          <w:lang w:val="fr-FR"/>
        </w:rPr>
      </w:pPr>
      <w:r w:rsidRPr="00563EA2">
        <w:rPr>
          <w:lang w:val="fr-FR"/>
        </w:rPr>
        <w:t>c)</w:t>
      </w:r>
      <w:r w:rsidRPr="00563EA2">
        <w:rPr>
          <w:lang w:val="fr-FR"/>
        </w:rPr>
        <w:tab/>
        <w:t>le rôle éventuel des futures orientations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UPOV sur les variétés essentiellement dérivées dans les litiges devant les tribunaux.</w:t>
      </w:r>
    </w:p>
    <w:p w:rsidR="007D7093" w:rsidRPr="00563EA2" w:rsidRDefault="007D7093" w:rsidP="007D2B2B">
      <w:pPr>
        <w:keepNext/>
        <w:rPr>
          <w:lang w:val="fr-FR"/>
        </w:rPr>
      </w:pPr>
    </w:p>
    <w:p w:rsidR="007D7093" w:rsidRPr="00563EA2" w:rsidRDefault="007D7093" w:rsidP="00ED0D33">
      <w:pPr>
        <w:rPr>
          <w:lang w:val="fr-FR"/>
        </w:rPr>
      </w:pPr>
      <w:r w:rsidRPr="00563EA2">
        <w:rPr>
          <w:lang w:val="fr-FR"/>
        </w:rPr>
        <w:t>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19 du document C(Extr.)/30/7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décisions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</w:t>
      </w:r>
    </w:p>
    <w:p w:rsidR="007D7093" w:rsidRPr="00563EA2" w:rsidRDefault="007D7093" w:rsidP="00ED0D33">
      <w:pPr>
        <w:rPr>
          <w:snapToGrid w:val="0"/>
          <w:lang w:val="fr-FR"/>
        </w:rPr>
      </w:pPr>
    </w:p>
    <w:p w:rsidR="007D7093" w:rsidRPr="00563EA2" w:rsidRDefault="007D7093" w:rsidP="00565FA8">
      <w:pPr>
        <w:rPr>
          <w:lang w:val="fr-FR"/>
        </w:rPr>
      </w:pPr>
      <w:r w:rsidRPr="00563EA2">
        <w:rPr>
          <w:snapToGrid w:val="0"/>
          <w:lang w:val="fr-FR"/>
        </w:rPr>
        <w:fldChar w:fldCharType="begin"/>
      </w:r>
      <w:r w:rsidRPr="00563EA2">
        <w:rPr>
          <w:snapToGrid w:val="0"/>
          <w:lang w:val="fr-FR"/>
        </w:rPr>
        <w:instrText xml:space="preserve"> AUTONUM  </w:instrText>
      </w:r>
      <w:r w:rsidRPr="00563EA2">
        <w:rPr>
          <w:snapToGrid w:val="0"/>
          <w:lang w:val="fr-FR"/>
        </w:rPr>
        <w:fldChar w:fldCharType="end"/>
      </w:r>
      <w:r w:rsidRPr="00563EA2">
        <w:rPr>
          <w:snapToGrid w:val="0"/>
          <w:lang w:val="fr-FR"/>
        </w:rPr>
        <w:tab/>
        <w:t>En ce qui concerne l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incidence éventuelle sur la sélection végétale et l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agriculture, le Conseil a, à sa trentième</w:t>
      </w:r>
      <w:r w:rsidR="00ED6445" w:rsidRPr="00563EA2">
        <w:rPr>
          <w:snapToGrid w:val="0"/>
          <w:lang w:val="fr-FR"/>
        </w:rPr>
        <w:t> </w:t>
      </w:r>
      <w:r w:rsidRPr="00563EA2">
        <w:rPr>
          <w:snapToGrid w:val="0"/>
          <w:lang w:val="fr-FR"/>
        </w:rPr>
        <w:t>session extraordinaire, estimé que, dans le cadre de ce séminaire, il convenait de se pencher sur le point de vue des agriculteurs</w:t>
      </w:r>
      <w:r w:rsidR="006543C8" w:rsidRPr="00563EA2">
        <w:rPr>
          <w:snapToGrid w:val="0"/>
          <w:lang w:val="fr-FR"/>
        </w:rPr>
        <w:noBreakHyphen/>
      </w:r>
      <w:r w:rsidRPr="00563EA2">
        <w:rPr>
          <w:snapToGrid w:val="0"/>
          <w:lang w:val="fr-FR"/>
        </w:rPr>
        <w:t xml:space="preserve">obtenteurs. </w:t>
      </w:r>
      <w:r w:rsidR="00ED6445" w:rsidRPr="00563EA2">
        <w:rPr>
          <w:snapToGrid w:val="0"/>
          <w:lang w:val="fr-FR"/>
        </w:rPr>
        <w:t xml:space="preserve"> </w:t>
      </w:r>
      <w:r w:rsidRPr="00563EA2">
        <w:rPr>
          <w:snapToGrid w:val="0"/>
          <w:lang w:val="fr-FR"/>
        </w:rPr>
        <w:t>Il était également d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avis que le programme du séminaire devait être établi et les conférenciers sélectionnés après concertation entre le Bureau de l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Union, le président et le vice</w:t>
      </w:r>
      <w:r w:rsidR="006543C8" w:rsidRPr="00563EA2">
        <w:rPr>
          <w:snapToGrid w:val="0"/>
          <w:lang w:val="fr-FR"/>
        </w:rPr>
        <w:noBreakHyphen/>
      </w:r>
      <w:r w:rsidRPr="00563EA2">
        <w:rPr>
          <w:snapToGrid w:val="0"/>
          <w:lang w:val="fr-FR"/>
        </w:rPr>
        <w:t xml:space="preserve">président du CAJ, et la présidente du Conseil. </w:t>
      </w:r>
      <w:r w:rsidR="00ED6445" w:rsidRPr="00563EA2">
        <w:rPr>
          <w:snapToGrid w:val="0"/>
          <w:lang w:val="fr-FR"/>
        </w:rPr>
        <w:t xml:space="preserve"> </w:t>
      </w:r>
      <w:r w:rsidRPr="00563EA2">
        <w:rPr>
          <w:snapToGrid w:val="0"/>
          <w:lang w:val="fr-FR"/>
        </w:rPr>
        <w:t>Le Conseil est convenu que la participation au séminaire doit être ouverte au public, sous réserve d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un nombre suffisant de places pour les membres et les observateurs, et que les exposés et débats dans le cadre du séminaire devaient être mis à disposition sur le site</w:t>
      </w:r>
      <w:r w:rsidR="00ED6445" w:rsidRPr="00563EA2">
        <w:rPr>
          <w:snapToGrid w:val="0"/>
          <w:lang w:val="fr-FR"/>
        </w:rPr>
        <w:t> </w:t>
      </w:r>
      <w:r w:rsidRPr="00563EA2">
        <w:rPr>
          <w:snapToGrid w:val="0"/>
          <w:lang w:val="fr-FR"/>
        </w:rPr>
        <w:t>Web de l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 xml:space="preserve">UPOV après un délai de diffusion approprié </w:t>
      </w:r>
      <w:r w:rsidRPr="00563EA2">
        <w:rPr>
          <w:lang w:val="fr-FR"/>
        </w:rPr>
        <w:t>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20 du document C(Extr.)/30/7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décisions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ED0D33">
      <w:pPr>
        <w:rPr>
          <w:snapToGrid w:val="0"/>
          <w:lang w:val="fr-FR"/>
        </w:rPr>
      </w:pPr>
    </w:p>
    <w:p w:rsidR="007D7093" w:rsidRPr="00563EA2" w:rsidRDefault="007D7093" w:rsidP="00ED0D33">
      <w:pPr>
        <w:rPr>
          <w:snapToGrid w:val="0"/>
          <w:lang w:val="fr-FR"/>
        </w:rPr>
      </w:pPr>
      <w:r w:rsidRPr="00563EA2">
        <w:rPr>
          <w:snapToGrid w:val="0"/>
          <w:lang w:val="fr-FR"/>
        </w:rPr>
        <w:fldChar w:fldCharType="begin"/>
      </w:r>
      <w:r w:rsidRPr="00563EA2">
        <w:rPr>
          <w:snapToGrid w:val="0"/>
          <w:lang w:val="fr-FR"/>
        </w:rPr>
        <w:instrText xml:space="preserve"> AUTONUM  </w:instrText>
      </w:r>
      <w:r w:rsidRPr="00563EA2">
        <w:rPr>
          <w:snapToGrid w:val="0"/>
          <w:lang w:val="fr-FR"/>
        </w:rPr>
        <w:fldChar w:fldCharType="end"/>
      </w:r>
      <w:r w:rsidRPr="00563EA2">
        <w:rPr>
          <w:snapToGrid w:val="0"/>
          <w:lang w:val="fr-FR"/>
        </w:rPr>
        <w:tab/>
        <w:t>Le projet de programme du séminaire sur les variétés essentiellement dérivées (document UPOV/SEM/GE/13/1) et les biographies des conférenciers sont disponibles sur le site</w:t>
      </w:r>
      <w:r w:rsidR="00ED6445" w:rsidRPr="00563EA2">
        <w:rPr>
          <w:snapToGrid w:val="0"/>
          <w:lang w:val="fr-FR"/>
        </w:rPr>
        <w:t> </w:t>
      </w:r>
      <w:r w:rsidRPr="00563EA2">
        <w:rPr>
          <w:snapToGrid w:val="0"/>
          <w:lang w:val="fr-FR"/>
        </w:rPr>
        <w:t>Web de l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UPOV à l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 xml:space="preserve">adresse suivante : </w:t>
      </w:r>
      <w:hyperlink r:id="rId9" w:history="1">
        <w:r w:rsidR="009A283D" w:rsidRPr="006A7CDE">
          <w:rPr>
            <w:rStyle w:val="Hyperlink"/>
            <w:snapToGrid w:val="0"/>
            <w:lang w:val="fr-FR"/>
          </w:rPr>
          <w:t>http://www.upov.int/meetings/fr/topic.jsp?group_id=73</w:t>
        </w:r>
      </w:hyperlink>
    </w:p>
    <w:p w:rsidR="007D7093" w:rsidRPr="00563EA2" w:rsidRDefault="007D7093" w:rsidP="00ED0D33">
      <w:pPr>
        <w:rPr>
          <w:snapToGrid w:val="0"/>
          <w:lang w:val="fr-FR"/>
        </w:rPr>
      </w:pPr>
    </w:p>
    <w:p w:rsidR="007D7093" w:rsidRPr="00563EA2" w:rsidRDefault="007D7093" w:rsidP="00ED0D33">
      <w:pPr>
        <w:rPr>
          <w:snapToGrid w:val="0"/>
          <w:lang w:val="fr-FR"/>
        </w:rPr>
      </w:pPr>
      <w:r w:rsidRPr="00563EA2">
        <w:rPr>
          <w:snapToGrid w:val="0"/>
          <w:lang w:val="fr-FR"/>
        </w:rPr>
        <w:fldChar w:fldCharType="begin"/>
      </w:r>
      <w:r w:rsidRPr="00563EA2">
        <w:rPr>
          <w:snapToGrid w:val="0"/>
          <w:lang w:val="fr-FR"/>
        </w:rPr>
        <w:instrText xml:space="preserve"> AUTONUM  </w:instrText>
      </w:r>
      <w:r w:rsidRPr="00563EA2">
        <w:rPr>
          <w:snapToGrid w:val="0"/>
          <w:lang w:val="fr-FR"/>
        </w:rPr>
        <w:fldChar w:fldCharType="end"/>
      </w:r>
      <w:r w:rsidRPr="00563EA2">
        <w:rPr>
          <w:snapToGrid w:val="0"/>
          <w:lang w:val="fr-FR"/>
        </w:rPr>
        <w:tab/>
        <w:t>Le CAJ est invité à demander</w:t>
      </w:r>
      <w:r w:rsidR="00B963B8" w:rsidRPr="00563EA2">
        <w:rPr>
          <w:snapToGrid w:val="0"/>
          <w:lang w:val="fr-FR"/>
        </w:rPr>
        <w:t xml:space="preserve"> au CAJ</w:t>
      </w:r>
      <w:r w:rsidR="006543C8" w:rsidRPr="00563EA2">
        <w:rPr>
          <w:snapToGrid w:val="0"/>
          <w:lang w:val="fr-FR"/>
        </w:rPr>
        <w:noBreakHyphen/>
      </w:r>
      <w:r w:rsidRPr="00563EA2">
        <w:rPr>
          <w:snapToGrid w:val="0"/>
          <w:lang w:val="fr-FR"/>
        </w:rPr>
        <w:t>AG d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examiner les conclusions du séminaire sur les variétés essentiellement dérivées dans le cadre de ses travaux sur les orientations futures concernant ces variétés.</w:t>
      </w:r>
    </w:p>
    <w:p w:rsidR="007D7093" w:rsidRPr="00563EA2" w:rsidRDefault="007D7093" w:rsidP="00C60046">
      <w:pPr>
        <w:rPr>
          <w:highlight w:val="yellow"/>
          <w:lang w:val="fr-FR"/>
        </w:rPr>
      </w:pPr>
    </w:p>
    <w:p w:rsidR="007D7093" w:rsidRPr="00563EA2" w:rsidRDefault="007D7093" w:rsidP="007D2B2B">
      <w:pPr>
        <w:tabs>
          <w:tab w:val="left" w:pos="5387"/>
        </w:tabs>
        <w:ind w:left="4820"/>
        <w:rPr>
          <w:i/>
          <w:iCs/>
          <w:lang w:val="fr-FR"/>
        </w:rPr>
      </w:pPr>
      <w:r w:rsidRPr="00563EA2">
        <w:rPr>
          <w:i/>
          <w:iCs/>
          <w:lang w:val="fr-FR"/>
        </w:rPr>
        <w:fldChar w:fldCharType="begin"/>
      </w:r>
      <w:r w:rsidRPr="00563EA2">
        <w:rPr>
          <w:i/>
          <w:iCs/>
          <w:lang w:val="fr-FR"/>
        </w:rPr>
        <w:instrText xml:space="preserve"> AUTONUM  </w:instrText>
      </w:r>
      <w:r w:rsidRPr="00563EA2">
        <w:rPr>
          <w:i/>
          <w:iCs/>
          <w:lang w:val="fr-FR"/>
        </w:rPr>
        <w:fldChar w:fldCharType="end"/>
      </w:r>
      <w:r w:rsidRPr="00563EA2">
        <w:rPr>
          <w:i/>
          <w:iCs/>
          <w:lang w:val="fr-FR"/>
        </w:rPr>
        <w:tab/>
        <w:t xml:space="preserve">Le CAJ </w:t>
      </w:r>
      <w:r w:rsidRPr="00563EA2">
        <w:rPr>
          <w:i/>
          <w:iCs/>
          <w:snapToGrid w:val="0"/>
          <w:lang w:val="fr-FR"/>
        </w:rPr>
        <w:t>est invité à demander</w:t>
      </w:r>
      <w:r w:rsidR="00B963B8" w:rsidRPr="00563EA2">
        <w:rPr>
          <w:i/>
          <w:iCs/>
          <w:snapToGrid w:val="0"/>
          <w:lang w:val="fr-FR"/>
        </w:rPr>
        <w:t xml:space="preserve"> au CAJ</w:t>
      </w:r>
      <w:r w:rsidR="006543C8" w:rsidRPr="00563EA2">
        <w:rPr>
          <w:i/>
          <w:iCs/>
          <w:snapToGrid w:val="0"/>
          <w:lang w:val="fr-FR"/>
        </w:rPr>
        <w:noBreakHyphen/>
      </w:r>
      <w:r w:rsidRPr="00563EA2">
        <w:rPr>
          <w:i/>
          <w:iCs/>
          <w:snapToGrid w:val="0"/>
          <w:lang w:val="fr-FR"/>
        </w:rPr>
        <w:t>AG d</w:t>
      </w:r>
      <w:r w:rsidR="00562636" w:rsidRPr="00563EA2">
        <w:rPr>
          <w:i/>
          <w:iCs/>
          <w:snapToGrid w:val="0"/>
          <w:lang w:val="fr-FR"/>
        </w:rPr>
        <w:t>’</w:t>
      </w:r>
      <w:r w:rsidRPr="00563EA2">
        <w:rPr>
          <w:i/>
          <w:iCs/>
          <w:snapToGrid w:val="0"/>
          <w:lang w:val="fr-FR"/>
        </w:rPr>
        <w:t>examiner les conclusions du séminaire sur les variétés essentiellement dérivées dans le cadre de ses travaux sur les orientations futures concernant ces variétés</w:t>
      </w:r>
      <w:r w:rsidRPr="00563EA2">
        <w:rPr>
          <w:i/>
          <w:iCs/>
          <w:lang w:val="fr-FR"/>
        </w:rPr>
        <w:t>, comme indiqué dans les paragraphes</w:t>
      </w:r>
      <w:r w:rsidR="00ED6445" w:rsidRPr="00563EA2">
        <w:rPr>
          <w:i/>
          <w:iCs/>
          <w:lang w:val="fr-FR"/>
        </w:rPr>
        <w:t> </w:t>
      </w:r>
      <w:r w:rsidRPr="00563EA2">
        <w:rPr>
          <w:i/>
          <w:iCs/>
          <w:lang w:val="fr-FR"/>
        </w:rPr>
        <w:t>13 à 16 ci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dessus.</w:t>
      </w:r>
    </w:p>
    <w:p w:rsidR="007D7093" w:rsidRDefault="007D7093" w:rsidP="00205516">
      <w:pPr>
        <w:ind w:right="566"/>
        <w:rPr>
          <w:lang w:val="fr-FR"/>
        </w:rPr>
      </w:pPr>
    </w:p>
    <w:p w:rsidR="009A283D" w:rsidRPr="00563EA2" w:rsidRDefault="009A283D" w:rsidP="00205516">
      <w:pPr>
        <w:ind w:right="566"/>
        <w:rPr>
          <w:lang w:val="fr-FR"/>
        </w:rPr>
      </w:pPr>
    </w:p>
    <w:p w:rsidR="007D7093" w:rsidRPr="00563EA2" w:rsidRDefault="007D7093" w:rsidP="00205516">
      <w:pPr>
        <w:ind w:right="566"/>
        <w:rPr>
          <w:lang w:val="fr-FR"/>
        </w:rPr>
      </w:pPr>
    </w:p>
    <w:p w:rsidR="007D7093" w:rsidRPr="00563EA2" w:rsidRDefault="007D7093" w:rsidP="000816F2">
      <w:pPr>
        <w:pStyle w:val="Heading1"/>
        <w:rPr>
          <w:lang w:val="fr-FR"/>
        </w:rPr>
      </w:pPr>
      <w:bookmarkStart w:id="13" w:name="_Toc369086256"/>
      <w:r w:rsidRPr="00563EA2">
        <w:rPr>
          <w:lang w:val="fr-FR"/>
        </w:rPr>
        <w:t>IV.</w:t>
      </w:r>
      <w:r w:rsidRPr="00563EA2">
        <w:rPr>
          <w:lang w:val="fr-FR"/>
        </w:rPr>
        <w:tab/>
        <w:t>PARTICIPATION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OBSERVateurs</w:t>
      </w:r>
      <w:r w:rsidR="00B963B8" w:rsidRPr="00563EA2">
        <w:rPr>
          <w:lang w:val="fr-FR"/>
        </w:rPr>
        <w:t xml:space="preserve"> au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</w:t>
      </w:r>
      <w:bookmarkEnd w:id="13"/>
    </w:p>
    <w:p w:rsidR="007D7093" w:rsidRPr="00563EA2" w:rsidRDefault="007D7093" w:rsidP="009B1109">
      <w:pPr>
        <w:rPr>
          <w:lang w:val="fr-FR"/>
        </w:rPr>
      </w:pPr>
    </w:p>
    <w:p w:rsidR="007D7093" w:rsidRPr="00563EA2" w:rsidRDefault="007D7093" w:rsidP="00C21865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est convenu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inviter le Comité consultatif et le Conseil à fournir des indications sur les propositions relatives à la participation des observateurs au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AG, comme indiqué aux paragraphes 25 à 27 du document CAJ/67/2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22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C21865">
      <w:pPr>
        <w:rPr>
          <w:lang w:val="fr-FR"/>
        </w:rPr>
      </w:pPr>
    </w:p>
    <w:p w:rsidR="007D7093" w:rsidRPr="00563EA2" w:rsidRDefault="007D7093" w:rsidP="00C21865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septième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a noté que la proposition formulée par le représentant de l</w:t>
      </w:r>
      <w:r w:rsidR="00562636" w:rsidRPr="00563EA2">
        <w:rPr>
          <w:lang w:val="fr-FR"/>
        </w:rPr>
        <w:t>’</w:t>
      </w:r>
      <w:r w:rsidRPr="009A283D">
        <w:rPr>
          <w:i/>
          <w:lang w:val="fr-FR"/>
        </w:rPr>
        <w:t>Association for Plant Breeding for the Benefit of Society</w:t>
      </w:r>
      <w:r w:rsidRPr="00563EA2">
        <w:rPr>
          <w:lang w:val="fr-FR"/>
        </w:rPr>
        <w:t xml:space="preserve"> (APBREBES) de participer aux discussions sur des questions concernant les observateurs serait communiquée au Comité consultatif et au Conseil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23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</w:t>
      </w:r>
    </w:p>
    <w:p w:rsidR="007D7093" w:rsidRPr="00563EA2" w:rsidRDefault="007D7093" w:rsidP="00C21865">
      <w:pPr>
        <w:rPr>
          <w:lang w:val="fr-FR"/>
        </w:rPr>
      </w:pPr>
    </w:p>
    <w:p w:rsidR="007D7093" w:rsidRPr="00563EA2" w:rsidRDefault="007D7093" w:rsidP="00C21865">
      <w:pPr>
        <w:rPr>
          <w:rFonts w:eastAsia="MS Mincho"/>
          <w:color w:val="000000"/>
          <w:lang w:val="fr-FR" w:eastAsia="ja-JP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quatre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vingt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cinquième session tenue à Genève le 22 mars 2013, le Comité consultatif est convenu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inviter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APBREBES à être présente lors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examen de la partie pertinente du point du programme de la quatre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vingt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sixième session du Groupe consultatif du Comité administratif et juridique (CAJ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AG) relatif aux observateurs, afin 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elle puisse présenter son point de vue sur les questions intéressant les observateurs auprès</w:t>
      </w:r>
      <w:r w:rsidR="00B963B8" w:rsidRPr="00563EA2">
        <w:rPr>
          <w:lang w:val="fr-FR"/>
        </w:rPr>
        <w:t xml:space="preserve"> du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AG.</w:t>
      </w:r>
    </w:p>
    <w:p w:rsidR="007D7093" w:rsidRPr="00563EA2" w:rsidRDefault="007D7093" w:rsidP="00C21865">
      <w:pPr>
        <w:rPr>
          <w:lang w:val="fr-FR"/>
        </w:rPr>
      </w:pPr>
    </w:p>
    <w:p w:rsidR="007D7093" w:rsidRPr="00563EA2" w:rsidRDefault="007D7093" w:rsidP="009A283D">
      <w:pPr>
        <w:spacing w:after="240"/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À sa quatre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vingt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sixième session tenue à Genève le 2</w:t>
      </w:r>
      <w:r w:rsidR="00B963B8" w:rsidRPr="00563EA2">
        <w:rPr>
          <w:lang w:val="fr-FR"/>
        </w:rPr>
        <w:t>3 octobre</w:t>
      </w:r>
      <w:r w:rsidRPr="00563EA2">
        <w:rPr>
          <w:lang w:val="fr-FR"/>
        </w:rPr>
        <w:t> 2013, le Comité consultatif examinera les questions pertinentes concernant la participation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observateurs</w:t>
      </w:r>
      <w:r w:rsidR="00B963B8" w:rsidRPr="00563EA2">
        <w:rPr>
          <w:lang w:val="fr-FR"/>
        </w:rPr>
        <w:t xml:space="preserve"> au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AG.  Ses conclusions seront communiquées</w:t>
      </w:r>
      <w:r w:rsidR="00B963B8" w:rsidRPr="00563EA2">
        <w:rPr>
          <w:lang w:val="fr-FR"/>
        </w:rPr>
        <w:t xml:space="preserve"> au CAJ</w:t>
      </w:r>
      <w:r w:rsidRPr="00563EA2">
        <w:rPr>
          <w:lang w:val="fr-FR"/>
        </w:rPr>
        <w:t>.</w:t>
      </w:r>
    </w:p>
    <w:p w:rsidR="007D7093" w:rsidRPr="00563EA2" w:rsidRDefault="007D7093" w:rsidP="00664646">
      <w:pPr>
        <w:rPr>
          <w:lang w:val="fr-FR"/>
        </w:rPr>
      </w:pPr>
      <w:r w:rsidRPr="00563EA2">
        <w:rPr>
          <w:lang w:val="fr-FR"/>
        </w:rPr>
        <w:lastRenderedPageBreak/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Pr="00563EA2">
        <w:rPr>
          <w:lang w:val="fr-FR"/>
        </w:rPr>
        <w:tab/>
        <w:t>En attendant le résultat des examens au Comité consultatif et au Conseil,</w:t>
      </w:r>
      <w:r w:rsidR="00B963B8" w:rsidRPr="00563EA2">
        <w:rPr>
          <w:lang w:val="fr-FR"/>
        </w:rPr>
        <w:t xml:space="preserve"> le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est convenu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envoyer par courrier des invitations </w:t>
      </w:r>
      <w:r w:rsidRPr="00076D60">
        <w:rPr>
          <w:iCs/>
          <w:lang w:val="fr-FR"/>
        </w:rPr>
        <w:t>ad</w:t>
      </w:r>
      <w:r w:rsidR="00ED6445" w:rsidRPr="00076D60">
        <w:rPr>
          <w:iCs/>
          <w:lang w:val="fr-FR"/>
        </w:rPr>
        <w:t> </w:t>
      </w:r>
      <w:r w:rsidRPr="00076D60">
        <w:rPr>
          <w:iCs/>
          <w:lang w:val="fr-FR"/>
        </w:rPr>
        <w:t>hoc</w:t>
      </w:r>
      <w:r w:rsidRPr="00563EA2">
        <w:rPr>
          <w:lang w:val="fr-FR"/>
        </w:rPr>
        <w:t xml:space="preserve"> aux organisations qu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il avait décidé précédemment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inviter pour leur permettre de continuer à faire part de leurs opinions sur des questions pertinentes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2 du </w:t>
      </w:r>
      <w:r w:rsidR="00B963B8" w:rsidRPr="00563EA2">
        <w:rPr>
          <w:lang w:val="fr-FR"/>
        </w:rPr>
        <w:t>document CA</w:t>
      </w:r>
      <w:r w:rsidRPr="00563EA2">
        <w:rPr>
          <w:lang w:val="fr-FR"/>
        </w:rPr>
        <w:t>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 xml:space="preserve">AG/12/7/7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.  C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est dans ces conditions que les organisations suivantes ont été invitées à participer à la partie concernée de la huitième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</w:t>
      </w:r>
      <w:r w:rsidR="00B963B8" w:rsidRPr="00563EA2">
        <w:rPr>
          <w:lang w:val="fr-FR"/>
        </w:rPr>
        <w:t xml:space="preserve"> du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</w:t>
      </w:r>
      <w:r w:rsidR="00ED6445" w:rsidRPr="00563EA2">
        <w:rPr>
          <w:lang w:val="fr-FR"/>
        </w:rPr>
        <w:t> :</w:t>
      </w:r>
      <w:r w:rsidRPr="00563EA2">
        <w:rPr>
          <w:lang w:val="fr-FR"/>
        </w:rPr>
        <w:t xml:space="preserve"> APBREBES, Coordination européenne Via Campesina (ECVC), Communauté internationale des obtenteurs de plantes ornementales et fruitières de reproduction asexuée (CIOPORA) et </w:t>
      </w:r>
      <w:r w:rsidRPr="009A283D">
        <w:rPr>
          <w:i/>
          <w:lang w:val="fr-FR"/>
        </w:rPr>
        <w:t>International Seed Federation</w:t>
      </w:r>
      <w:r w:rsidRPr="00563EA2">
        <w:rPr>
          <w:lang w:val="fr-FR"/>
        </w:rPr>
        <w:t xml:space="preserve"> (ISF).</w:t>
      </w:r>
    </w:p>
    <w:p w:rsidR="007D7093" w:rsidRPr="00563EA2" w:rsidRDefault="007D7093" w:rsidP="00205516">
      <w:pPr>
        <w:rPr>
          <w:highlight w:val="yellow"/>
          <w:lang w:val="fr-FR"/>
        </w:rPr>
      </w:pPr>
    </w:p>
    <w:p w:rsidR="007D7093" w:rsidRPr="00563EA2" w:rsidRDefault="007D7093" w:rsidP="00526292">
      <w:pPr>
        <w:keepNext/>
        <w:tabs>
          <w:tab w:val="left" w:pos="5387"/>
        </w:tabs>
        <w:ind w:left="4820"/>
        <w:rPr>
          <w:i/>
          <w:iCs/>
          <w:lang w:val="fr-FR"/>
        </w:rPr>
      </w:pPr>
      <w:r w:rsidRPr="00563EA2">
        <w:rPr>
          <w:i/>
          <w:iCs/>
          <w:lang w:val="fr-FR"/>
        </w:rPr>
        <w:fldChar w:fldCharType="begin"/>
      </w:r>
      <w:r w:rsidRPr="00563EA2">
        <w:rPr>
          <w:i/>
          <w:iCs/>
          <w:lang w:val="fr-FR"/>
        </w:rPr>
        <w:instrText xml:space="preserve"> AUTONUM  </w:instrText>
      </w:r>
      <w:r w:rsidRPr="00563EA2">
        <w:rPr>
          <w:i/>
          <w:iCs/>
          <w:lang w:val="fr-FR"/>
        </w:rPr>
        <w:fldChar w:fldCharType="end"/>
      </w:r>
      <w:r w:rsidRPr="00563EA2">
        <w:rPr>
          <w:i/>
          <w:iCs/>
          <w:lang w:val="fr-FR"/>
        </w:rPr>
        <w:tab/>
        <w:t>Le CAJ est invité à prendre note que</w:t>
      </w:r>
      <w:r w:rsidR="00ED6445" w:rsidRPr="00563EA2">
        <w:rPr>
          <w:i/>
          <w:iCs/>
          <w:lang w:val="fr-FR"/>
        </w:rPr>
        <w:t> </w:t>
      </w:r>
      <w:r w:rsidRPr="00563EA2">
        <w:rPr>
          <w:i/>
          <w:iCs/>
          <w:lang w:val="fr-FR"/>
        </w:rPr>
        <w:t>:</w:t>
      </w:r>
    </w:p>
    <w:p w:rsidR="007D7093" w:rsidRPr="00563EA2" w:rsidRDefault="007D7093" w:rsidP="00526292">
      <w:pPr>
        <w:keepNext/>
        <w:ind w:left="4820"/>
        <w:rPr>
          <w:i/>
          <w:iCs/>
          <w:lang w:val="fr-FR"/>
        </w:rPr>
      </w:pPr>
    </w:p>
    <w:p w:rsidR="007D7093" w:rsidRPr="00563EA2" w:rsidRDefault="007D7093" w:rsidP="000816F2">
      <w:pPr>
        <w:tabs>
          <w:tab w:val="left" w:pos="5387"/>
          <w:tab w:val="left" w:pos="5954"/>
        </w:tabs>
        <w:ind w:left="4820"/>
        <w:rPr>
          <w:i/>
          <w:iCs/>
          <w:lang w:val="fr-FR"/>
        </w:rPr>
      </w:pPr>
      <w:r w:rsidRPr="00563EA2">
        <w:rPr>
          <w:i/>
          <w:iCs/>
          <w:lang w:val="fr-FR"/>
        </w:rPr>
        <w:tab/>
        <w:t>a)</w:t>
      </w:r>
      <w:r w:rsidRPr="00563EA2">
        <w:rPr>
          <w:i/>
          <w:iCs/>
          <w:lang w:val="fr-FR"/>
        </w:rPr>
        <w:tab/>
        <w:t>les conclusions du Comité consultatif, à sa quatre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vingt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sixième</w:t>
      </w:r>
      <w:r w:rsidR="00ED6445" w:rsidRPr="00563EA2">
        <w:rPr>
          <w:i/>
          <w:iCs/>
          <w:lang w:val="fr-FR"/>
        </w:rPr>
        <w:t> </w:t>
      </w:r>
      <w:r w:rsidRPr="00563EA2">
        <w:rPr>
          <w:i/>
          <w:iCs/>
          <w:lang w:val="fr-FR"/>
        </w:rPr>
        <w:t>session qui se tiendra à Genève le 2</w:t>
      </w:r>
      <w:r w:rsidR="00B963B8" w:rsidRPr="00563EA2">
        <w:rPr>
          <w:i/>
          <w:iCs/>
          <w:lang w:val="fr-FR"/>
        </w:rPr>
        <w:t>3 octobre 20</w:t>
      </w:r>
      <w:r w:rsidRPr="00563EA2">
        <w:rPr>
          <w:i/>
          <w:iCs/>
          <w:lang w:val="fr-FR"/>
        </w:rPr>
        <w:t>13, concernant la participation d</w:t>
      </w:r>
      <w:r w:rsidR="00562636" w:rsidRPr="00563EA2">
        <w:rPr>
          <w:i/>
          <w:iCs/>
          <w:lang w:val="fr-FR"/>
        </w:rPr>
        <w:t>’</w:t>
      </w:r>
      <w:r w:rsidRPr="00563EA2">
        <w:rPr>
          <w:i/>
          <w:iCs/>
          <w:lang w:val="fr-FR"/>
        </w:rPr>
        <w:t>observateurs</w:t>
      </w:r>
      <w:r w:rsidR="00B963B8" w:rsidRPr="00563EA2">
        <w:rPr>
          <w:i/>
          <w:iCs/>
          <w:lang w:val="fr-FR"/>
        </w:rPr>
        <w:t xml:space="preserve"> au CAJ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AG seront communiquées</w:t>
      </w:r>
      <w:r w:rsidR="00B963B8" w:rsidRPr="00563EA2">
        <w:rPr>
          <w:i/>
          <w:iCs/>
          <w:lang w:val="fr-FR"/>
        </w:rPr>
        <w:t xml:space="preserve"> au CAJ</w:t>
      </w:r>
      <w:r w:rsidRPr="00563EA2">
        <w:rPr>
          <w:i/>
          <w:iCs/>
          <w:lang w:val="fr-FR"/>
        </w:rPr>
        <w:t>;</w:t>
      </w:r>
      <w:r w:rsidR="004748A3">
        <w:rPr>
          <w:i/>
          <w:iCs/>
          <w:lang w:val="fr-FR"/>
        </w:rPr>
        <w:t xml:space="preserve">  et</w:t>
      </w:r>
    </w:p>
    <w:p w:rsidR="007D7093" w:rsidRPr="00563EA2" w:rsidRDefault="007D7093" w:rsidP="000816F2">
      <w:pPr>
        <w:tabs>
          <w:tab w:val="left" w:pos="5387"/>
          <w:tab w:val="left" w:pos="5954"/>
        </w:tabs>
        <w:ind w:left="4820"/>
        <w:rPr>
          <w:i/>
          <w:iCs/>
          <w:lang w:val="fr-FR"/>
        </w:rPr>
      </w:pPr>
    </w:p>
    <w:p w:rsidR="007D7093" w:rsidRPr="00563EA2" w:rsidRDefault="007D7093" w:rsidP="000816F2">
      <w:pPr>
        <w:tabs>
          <w:tab w:val="left" w:pos="5387"/>
          <w:tab w:val="left" w:pos="5954"/>
        </w:tabs>
        <w:ind w:left="4820"/>
        <w:rPr>
          <w:i/>
          <w:iCs/>
          <w:lang w:val="fr-FR"/>
        </w:rPr>
      </w:pPr>
      <w:r w:rsidRPr="00563EA2">
        <w:rPr>
          <w:i/>
          <w:iCs/>
          <w:lang w:val="fr-FR"/>
        </w:rPr>
        <w:tab/>
        <w:t>b)</w:t>
      </w:r>
      <w:r w:rsidRPr="00563EA2">
        <w:rPr>
          <w:i/>
          <w:iCs/>
          <w:lang w:val="fr-FR"/>
        </w:rPr>
        <w:tab/>
        <w:t>l</w:t>
      </w:r>
      <w:r w:rsidR="00562636" w:rsidRPr="00563EA2">
        <w:rPr>
          <w:i/>
          <w:iCs/>
          <w:lang w:val="fr-FR"/>
        </w:rPr>
        <w:t>’</w:t>
      </w:r>
      <w:r w:rsidRPr="009A283D">
        <w:rPr>
          <w:iCs/>
          <w:lang w:val="fr-FR"/>
        </w:rPr>
        <w:t>Association for Plant Breeding for the Benefit of Society</w:t>
      </w:r>
      <w:r w:rsidRPr="00563EA2">
        <w:rPr>
          <w:i/>
          <w:iCs/>
          <w:lang w:val="fr-FR"/>
        </w:rPr>
        <w:t xml:space="preserve"> (APBREBES), la Coordination européenne Via Campesina (ECVC), la Communauté internationale des obtenteurs de plantes ornementales et fruitières de reproduction asexuée (CIOPORA) et l</w:t>
      </w:r>
      <w:r w:rsidR="00562636" w:rsidRPr="00563EA2">
        <w:rPr>
          <w:i/>
          <w:iCs/>
          <w:lang w:val="fr-FR"/>
        </w:rPr>
        <w:t>’</w:t>
      </w:r>
      <w:r w:rsidRPr="009A283D">
        <w:rPr>
          <w:iCs/>
          <w:lang w:val="fr-FR"/>
        </w:rPr>
        <w:t>International Seed Federation</w:t>
      </w:r>
      <w:r w:rsidRPr="00563EA2">
        <w:rPr>
          <w:i/>
          <w:iCs/>
          <w:lang w:val="fr-FR"/>
        </w:rPr>
        <w:t xml:space="preserve"> (ISF) ont été invitées à participer à la partie pertinente de la huitième</w:t>
      </w:r>
      <w:r w:rsidR="00ED6445" w:rsidRPr="00563EA2">
        <w:rPr>
          <w:i/>
          <w:iCs/>
          <w:lang w:val="fr-FR"/>
        </w:rPr>
        <w:t> </w:t>
      </w:r>
      <w:r w:rsidRPr="00563EA2">
        <w:rPr>
          <w:i/>
          <w:iCs/>
          <w:lang w:val="fr-FR"/>
        </w:rPr>
        <w:t>session</w:t>
      </w:r>
      <w:r w:rsidR="00B963B8" w:rsidRPr="00563EA2">
        <w:rPr>
          <w:i/>
          <w:iCs/>
          <w:lang w:val="fr-FR"/>
        </w:rPr>
        <w:t xml:space="preserve"> du CAJ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AG, comme indiqué dans le paragraphe</w:t>
      </w:r>
      <w:r w:rsidR="00ED6445" w:rsidRPr="00563EA2">
        <w:rPr>
          <w:i/>
          <w:iCs/>
          <w:lang w:val="fr-FR"/>
        </w:rPr>
        <w:t> </w:t>
      </w:r>
      <w:r w:rsidRPr="00563EA2">
        <w:rPr>
          <w:i/>
          <w:iCs/>
          <w:lang w:val="fr-FR"/>
        </w:rPr>
        <w:t>26 ci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dessus.</w:t>
      </w:r>
    </w:p>
    <w:p w:rsidR="007D7093" w:rsidRDefault="007D7093" w:rsidP="00205516">
      <w:pPr>
        <w:rPr>
          <w:lang w:val="fr-FR"/>
        </w:rPr>
      </w:pPr>
    </w:p>
    <w:p w:rsidR="009A283D" w:rsidRPr="00563EA2" w:rsidRDefault="009A283D" w:rsidP="00205516">
      <w:pPr>
        <w:rPr>
          <w:lang w:val="fr-FR"/>
        </w:rPr>
      </w:pPr>
    </w:p>
    <w:p w:rsidR="007D7093" w:rsidRPr="00563EA2" w:rsidRDefault="007D7093" w:rsidP="00205516">
      <w:pPr>
        <w:rPr>
          <w:lang w:val="fr-FR"/>
        </w:rPr>
      </w:pPr>
    </w:p>
    <w:p w:rsidR="007D7093" w:rsidRPr="00563EA2" w:rsidRDefault="007D7093" w:rsidP="00D8207A">
      <w:pPr>
        <w:pStyle w:val="Heading1"/>
        <w:rPr>
          <w:lang w:val="fr-FR"/>
        </w:rPr>
      </w:pPr>
      <w:bookmarkStart w:id="14" w:name="_Toc369086257"/>
      <w:r w:rsidRPr="00563EA2">
        <w:rPr>
          <w:lang w:val="fr-FR"/>
        </w:rPr>
        <w:t>V.</w:t>
      </w:r>
      <w:r w:rsidRPr="00563EA2">
        <w:rPr>
          <w:lang w:val="fr-FR"/>
        </w:rPr>
        <w:tab/>
        <w:t>questions À examiner par</w:t>
      </w:r>
      <w:r w:rsidR="00B963B8" w:rsidRPr="00563EA2">
        <w:rPr>
          <w:lang w:val="fr-FR"/>
        </w:rPr>
        <w:t xml:space="preserve"> le </w:t>
      </w:r>
      <w:bookmarkStart w:id="15" w:name="_Toc335929241"/>
      <w:r w:rsidR="00B963B8" w:rsidRPr="00563EA2">
        <w:rPr>
          <w:lang w:val="fr-FR"/>
        </w:rPr>
        <w:t>CAJ</w:t>
      </w:r>
      <w:r w:rsidR="006543C8" w:rsidRPr="00563EA2">
        <w:rPr>
          <w:lang w:val="fr-FR"/>
        </w:rPr>
        <w:noBreakHyphen/>
      </w:r>
      <w:r w:rsidR="00076D60">
        <w:rPr>
          <w:lang w:val="fr-FR"/>
        </w:rPr>
        <w:t>AG À sa huitiÈme </w:t>
      </w:r>
      <w:r w:rsidRPr="00563EA2">
        <w:rPr>
          <w:lang w:val="fr-FR"/>
        </w:rPr>
        <w:t>session</w:t>
      </w:r>
      <w:bookmarkEnd w:id="15"/>
      <w:bookmarkEnd w:id="14"/>
    </w:p>
    <w:p w:rsidR="007D7093" w:rsidRPr="00563EA2" w:rsidRDefault="007D7093" w:rsidP="00392D43">
      <w:pPr>
        <w:rPr>
          <w:lang w:val="fr-FR"/>
        </w:rPr>
      </w:pPr>
    </w:p>
    <w:p w:rsidR="007D7093" w:rsidRPr="00563EA2" w:rsidRDefault="007D7093" w:rsidP="00392D43">
      <w:pPr>
        <w:rPr>
          <w:lang w:val="fr-FR"/>
        </w:rPr>
      </w:pPr>
      <w:r w:rsidRPr="00563EA2">
        <w:rPr>
          <w:lang w:val="fr-FR"/>
        </w:rPr>
        <w:fldChar w:fldCharType="begin"/>
      </w:r>
      <w:r w:rsidRPr="00563EA2">
        <w:rPr>
          <w:lang w:val="fr-FR"/>
        </w:rPr>
        <w:instrText xml:space="preserve"> AUTONUM  </w:instrText>
      </w:r>
      <w:r w:rsidRPr="00563EA2">
        <w:rPr>
          <w:lang w:val="fr-FR"/>
        </w:rPr>
        <w:fldChar w:fldCharType="end"/>
      </w:r>
      <w:r w:rsidR="006543C8" w:rsidRPr="00563EA2">
        <w:rPr>
          <w:lang w:val="fr-FR"/>
        </w:rPr>
        <w:tab/>
        <w:t xml:space="preserve">À </w:t>
      </w:r>
      <w:r w:rsidRPr="00563EA2">
        <w:rPr>
          <w:lang w:val="fr-FR"/>
        </w:rPr>
        <w:t>sa soixante</w:t>
      </w:r>
      <w:r w:rsidR="006543C8" w:rsidRPr="00563EA2">
        <w:rPr>
          <w:lang w:val="fr-FR"/>
        </w:rPr>
        <w:noBreakHyphen/>
      </w:r>
      <w:r w:rsidR="009A283D">
        <w:rPr>
          <w:lang w:val="fr-FR"/>
        </w:rPr>
        <w:t xml:space="preserve">septième </w:t>
      </w:r>
      <w:r w:rsidRPr="00563EA2">
        <w:rPr>
          <w:lang w:val="fr-FR"/>
        </w:rPr>
        <w:t>session,</w:t>
      </w:r>
      <w:r w:rsidR="00B963B8" w:rsidRPr="00563EA2">
        <w:rPr>
          <w:lang w:val="fr-FR"/>
        </w:rPr>
        <w:t xml:space="preserve"> le CAJ</w:t>
      </w:r>
      <w:r w:rsidRPr="00563EA2">
        <w:rPr>
          <w:lang w:val="fr-FR"/>
        </w:rPr>
        <w:t xml:space="preserve"> a approuvé le programme de la huitième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</w:t>
      </w:r>
      <w:r w:rsidR="00B963B8" w:rsidRPr="00563EA2">
        <w:rPr>
          <w:lang w:val="fr-FR"/>
        </w:rPr>
        <w:t xml:space="preserve"> du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AG, qui se tiendra à Genève le 2</w:t>
      </w:r>
      <w:r w:rsidR="00B963B8" w:rsidRPr="00563EA2">
        <w:rPr>
          <w:lang w:val="fr-FR"/>
        </w:rPr>
        <w:t>5 octobre 20</w:t>
      </w:r>
      <w:r w:rsidRPr="00563EA2">
        <w:rPr>
          <w:lang w:val="fr-FR"/>
        </w:rPr>
        <w:t>13 (voir le paragraphe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28 du document CAJ/67/14 </w:t>
      </w:r>
      <w:r w:rsidR="00562636" w:rsidRPr="00563EA2">
        <w:rPr>
          <w:lang w:val="fr-FR"/>
        </w:rPr>
        <w:t>“</w:t>
      </w:r>
      <w:r w:rsidRPr="00563EA2">
        <w:rPr>
          <w:lang w:val="fr-FR"/>
        </w:rPr>
        <w:t>Compte rendu des conclusions</w:t>
      </w:r>
      <w:r w:rsidR="00562636" w:rsidRPr="00563EA2">
        <w:rPr>
          <w:lang w:val="fr-FR"/>
        </w:rPr>
        <w:t>”</w:t>
      </w:r>
      <w:r w:rsidRPr="00563EA2">
        <w:rPr>
          <w:lang w:val="fr-FR"/>
        </w:rPr>
        <w:t>).  Un compte rendu des travaux du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AG, à sa huitième session, sera présenté à la soixante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neuvième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session du CAJ, qui se tiendra en </w:t>
      </w:r>
      <w:r w:rsidR="00B963B8" w:rsidRPr="00563EA2">
        <w:rPr>
          <w:lang w:val="fr-FR"/>
        </w:rPr>
        <w:t>avril 20</w:t>
      </w:r>
      <w:r w:rsidRPr="00563EA2">
        <w:rPr>
          <w:lang w:val="fr-FR"/>
        </w:rPr>
        <w:t>14.  Le projet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ordre du jour de la huitième session du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(voir le 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AG/13/8/1) est reproduit ci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après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:</w:t>
      </w:r>
    </w:p>
    <w:p w:rsidR="007D7093" w:rsidRPr="00563EA2" w:rsidRDefault="007D7093" w:rsidP="00392D43">
      <w:pPr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1.</w:t>
      </w:r>
      <w:r w:rsidRPr="00563EA2">
        <w:rPr>
          <w:lang w:val="fr-FR"/>
        </w:rPr>
        <w:tab/>
        <w:t>Ouverture de la session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2.</w:t>
      </w:r>
      <w:r w:rsidRPr="00563EA2">
        <w:rPr>
          <w:lang w:val="fr-FR"/>
        </w:rPr>
        <w:tab/>
        <w:t>Adoption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ordre du jour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1134" w:hanging="567"/>
        <w:rPr>
          <w:lang w:val="fr-FR"/>
        </w:rPr>
      </w:pPr>
      <w:r w:rsidRPr="00563EA2">
        <w:rPr>
          <w:lang w:val="fr-FR"/>
        </w:rPr>
        <w:t>3.</w:t>
      </w:r>
      <w:r w:rsidRPr="00563EA2">
        <w:rPr>
          <w:lang w:val="fr-FR"/>
        </w:rPr>
        <w:tab/>
        <w:t>Notes explicatives sur les variétés essentiellement dérivées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 xml:space="preserve">1991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 xml:space="preserve"> (Révision)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AG/13/8/2)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1134" w:hanging="567"/>
        <w:rPr>
          <w:spacing w:val="-2"/>
          <w:lang w:val="fr-FR"/>
        </w:rPr>
      </w:pPr>
      <w:r w:rsidRPr="00563EA2">
        <w:rPr>
          <w:spacing w:val="-2"/>
          <w:lang w:val="fr-FR"/>
        </w:rPr>
        <w:t>4.</w:t>
      </w:r>
      <w:r w:rsidRPr="00563EA2">
        <w:rPr>
          <w:spacing w:val="-2"/>
          <w:lang w:val="fr-FR"/>
        </w:rPr>
        <w:tab/>
      </w:r>
      <w:r w:rsidRPr="00563EA2">
        <w:rPr>
          <w:lang w:val="fr-FR"/>
        </w:rPr>
        <w:t>Notes explicatives sur la reproduction ou la multiplication et sur le matériel de reproduction ou de multiplication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 xml:space="preserve">Acte de 1991 de la 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 xml:space="preserve"> (d</w:t>
      </w:r>
      <w:r w:rsidRPr="00563EA2">
        <w:rPr>
          <w:spacing w:val="-2"/>
          <w:lang w:val="fr-FR"/>
        </w:rPr>
        <w:t>ocument UPOV/EXN/PPM Draft 1)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D149A7">
      <w:pPr>
        <w:ind w:left="1134" w:hanging="567"/>
        <w:rPr>
          <w:lang w:val="fr-FR"/>
        </w:rPr>
      </w:pPr>
      <w:r w:rsidRPr="00563EA2">
        <w:rPr>
          <w:lang w:val="fr-FR"/>
        </w:rPr>
        <w:t>5.</w:t>
      </w:r>
      <w:r w:rsidRPr="00563EA2">
        <w:rPr>
          <w:lang w:val="fr-FR"/>
        </w:rPr>
        <w:tab/>
        <w:t>Notes explicatives sur les actes à 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égard du produit de la récolte selon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Acte de 1991 de la </w:t>
      </w:r>
      <w:r w:rsidR="00562636" w:rsidRPr="00563EA2">
        <w:rPr>
          <w:lang w:val="fr-FR"/>
        </w:rPr>
        <w:t>Convention UPOV</w:t>
      </w:r>
      <w:r w:rsidRPr="00563EA2">
        <w:rPr>
          <w:lang w:val="fr-FR"/>
        </w:rPr>
        <w:t xml:space="preserve">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AG/13/8/3)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6.</w:t>
      </w:r>
      <w:r w:rsidRPr="00563EA2">
        <w:rPr>
          <w:lang w:val="fr-FR"/>
        </w:rPr>
        <w:tab/>
        <w:t>Questions concernant la déchéance du droit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obtenteur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AG/13/8/4)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7.</w:t>
      </w:r>
      <w:r w:rsidRPr="00563EA2">
        <w:rPr>
          <w:lang w:val="fr-FR"/>
        </w:rPr>
        <w:tab/>
        <w:t>Questions concernant la nullité du droit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obtenteur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AG/13/8/5)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8.</w:t>
      </w:r>
      <w:r w:rsidRPr="00563EA2">
        <w:rPr>
          <w:lang w:val="fr-FR"/>
        </w:rPr>
        <w:tab/>
        <w:t>Questions concernant les dénominations variétales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AG/13/8/6)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9.</w:t>
      </w:r>
      <w:r w:rsidRPr="00563EA2">
        <w:rPr>
          <w:lang w:val="fr-FR"/>
        </w:rPr>
        <w:tab/>
        <w:t>Questions concernant les descriptions variétales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AG/13/8/7)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1134" w:hanging="567"/>
        <w:rPr>
          <w:lang w:val="fr-FR"/>
        </w:rPr>
      </w:pPr>
      <w:r w:rsidRPr="00563EA2">
        <w:rPr>
          <w:lang w:val="fr-FR"/>
        </w:rPr>
        <w:t>10.</w:t>
      </w:r>
      <w:r w:rsidRPr="00563EA2">
        <w:rPr>
          <w:lang w:val="fr-FR"/>
        </w:rPr>
        <w:tab/>
        <w:t>Questions se posant après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octroi du droit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obtenteur concernant la protection provisoire, le dépôt des demandes et la défense des droits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obtenteur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AG/13/8/8)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11.</w:t>
      </w:r>
      <w:r w:rsidRPr="00563EA2">
        <w:rPr>
          <w:lang w:val="fr-FR"/>
        </w:rPr>
        <w:tab/>
        <w:t>Questions concernant la participation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observateurs</w:t>
      </w:r>
      <w:r w:rsidR="00B963B8" w:rsidRPr="00563EA2">
        <w:rPr>
          <w:lang w:val="fr-FR"/>
        </w:rPr>
        <w:t xml:space="preserve"> au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(document 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AG/13/8/9)</w:t>
      </w:r>
    </w:p>
    <w:p w:rsidR="007D7093" w:rsidRPr="00563EA2" w:rsidRDefault="007D7093" w:rsidP="000816F2">
      <w:pPr>
        <w:ind w:left="567"/>
        <w:rPr>
          <w:lang w:val="fr-FR"/>
        </w:rPr>
      </w:pPr>
    </w:p>
    <w:p w:rsidR="00B963B8" w:rsidRPr="00563EA2" w:rsidRDefault="007D7093" w:rsidP="00D149A7">
      <w:pPr>
        <w:ind w:left="1134" w:hanging="567"/>
        <w:rPr>
          <w:lang w:val="fr-FR"/>
        </w:rPr>
      </w:pPr>
      <w:r w:rsidRPr="00563EA2">
        <w:rPr>
          <w:lang w:val="fr-FR"/>
        </w:rPr>
        <w:lastRenderedPageBreak/>
        <w:t>12.</w:t>
      </w:r>
      <w:r w:rsidRPr="00563EA2">
        <w:rPr>
          <w:lang w:val="fr-FR"/>
        </w:rPr>
        <w:tab/>
        <w:t>Questions soumises au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 par le CAJ pour examen depuis la septième session du CAJ</w:t>
      </w:r>
      <w:r w:rsidR="006543C8" w:rsidRPr="00563EA2">
        <w:rPr>
          <w:lang w:val="fr-FR"/>
        </w:rPr>
        <w:noBreakHyphen/>
      </w:r>
      <w:r w:rsidRPr="00563EA2">
        <w:rPr>
          <w:lang w:val="fr-FR"/>
        </w:rPr>
        <w:t>AG</w:t>
      </w:r>
    </w:p>
    <w:p w:rsidR="007D7093" w:rsidRPr="00563EA2" w:rsidRDefault="007D7093" w:rsidP="00D149A7">
      <w:pPr>
        <w:ind w:left="1134" w:hanging="567"/>
        <w:rPr>
          <w:lang w:val="fr-FR"/>
        </w:rPr>
      </w:pPr>
    </w:p>
    <w:p w:rsidR="007D7093" w:rsidRPr="00563EA2" w:rsidRDefault="007D7093" w:rsidP="000816F2">
      <w:pPr>
        <w:ind w:left="567"/>
        <w:rPr>
          <w:lang w:val="fr-FR"/>
        </w:rPr>
      </w:pPr>
      <w:r w:rsidRPr="00563EA2">
        <w:rPr>
          <w:lang w:val="fr-FR"/>
        </w:rPr>
        <w:t>13.</w:t>
      </w:r>
      <w:r w:rsidRPr="00563EA2">
        <w:rPr>
          <w:lang w:val="fr-FR"/>
        </w:rPr>
        <w:tab/>
        <w:t>Date et programme de la neuvième</w:t>
      </w:r>
      <w:r w:rsidR="00ED6445" w:rsidRPr="00563EA2">
        <w:rPr>
          <w:lang w:val="fr-FR"/>
        </w:rPr>
        <w:t> </w:t>
      </w:r>
      <w:r w:rsidRPr="00563EA2">
        <w:rPr>
          <w:lang w:val="fr-FR"/>
        </w:rPr>
        <w:t>session</w:t>
      </w:r>
    </w:p>
    <w:p w:rsidR="007D7093" w:rsidRPr="00563EA2" w:rsidRDefault="007D7093" w:rsidP="00392D43">
      <w:pPr>
        <w:rPr>
          <w:lang w:val="fr-FR"/>
        </w:rPr>
      </w:pPr>
    </w:p>
    <w:p w:rsidR="007D7093" w:rsidRPr="00563EA2" w:rsidRDefault="007D7093" w:rsidP="00835DF1">
      <w:pPr>
        <w:tabs>
          <w:tab w:val="left" w:pos="5387"/>
        </w:tabs>
        <w:ind w:left="4820"/>
        <w:rPr>
          <w:i/>
          <w:iCs/>
          <w:lang w:val="fr-FR"/>
        </w:rPr>
      </w:pPr>
      <w:r w:rsidRPr="00563EA2">
        <w:rPr>
          <w:i/>
          <w:iCs/>
          <w:lang w:val="fr-FR"/>
        </w:rPr>
        <w:fldChar w:fldCharType="begin"/>
      </w:r>
      <w:r w:rsidRPr="00563EA2">
        <w:rPr>
          <w:i/>
          <w:iCs/>
          <w:lang w:val="fr-FR"/>
        </w:rPr>
        <w:instrText xml:space="preserve"> AUTONUM  </w:instrText>
      </w:r>
      <w:r w:rsidRPr="00563EA2">
        <w:rPr>
          <w:i/>
          <w:iCs/>
          <w:lang w:val="fr-FR"/>
        </w:rPr>
        <w:fldChar w:fldCharType="end"/>
      </w:r>
      <w:r w:rsidRPr="00563EA2">
        <w:rPr>
          <w:i/>
          <w:iCs/>
          <w:lang w:val="fr-FR"/>
        </w:rPr>
        <w:tab/>
        <w:t>Le CAJ est invité à prendre note des informations concernant la huitième</w:t>
      </w:r>
      <w:r w:rsidR="00ED6445" w:rsidRPr="00563EA2">
        <w:rPr>
          <w:i/>
          <w:iCs/>
          <w:lang w:val="fr-FR"/>
        </w:rPr>
        <w:t> </w:t>
      </w:r>
      <w:r w:rsidRPr="00563EA2">
        <w:rPr>
          <w:i/>
          <w:iCs/>
          <w:lang w:val="fr-FR"/>
        </w:rPr>
        <w:t>session</w:t>
      </w:r>
      <w:r w:rsidR="00B963B8" w:rsidRPr="00563EA2">
        <w:rPr>
          <w:i/>
          <w:iCs/>
          <w:lang w:val="fr-FR"/>
        </w:rPr>
        <w:t xml:space="preserve"> du CAJ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AG, qui se tiendra à Genève le 2</w:t>
      </w:r>
      <w:r w:rsidR="00B963B8" w:rsidRPr="00563EA2">
        <w:rPr>
          <w:i/>
          <w:iCs/>
          <w:lang w:val="fr-FR"/>
        </w:rPr>
        <w:t>5 octobre 20</w:t>
      </w:r>
      <w:r w:rsidRPr="00563EA2">
        <w:rPr>
          <w:i/>
          <w:iCs/>
          <w:lang w:val="fr-FR"/>
        </w:rPr>
        <w:t>13, comme indiqué dans le paragraphe 28 ci</w:t>
      </w:r>
      <w:r w:rsidR="006543C8" w:rsidRPr="00563EA2">
        <w:rPr>
          <w:i/>
          <w:iCs/>
          <w:lang w:val="fr-FR"/>
        </w:rPr>
        <w:noBreakHyphen/>
      </w:r>
      <w:r w:rsidRPr="00563EA2">
        <w:rPr>
          <w:i/>
          <w:iCs/>
          <w:lang w:val="fr-FR"/>
        </w:rPr>
        <w:t>dessus.</w:t>
      </w:r>
    </w:p>
    <w:p w:rsidR="007D7093" w:rsidRPr="00563EA2" w:rsidRDefault="007D7093" w:rsidP="00835DF1">
      <w:pPr>
        <w:rPr>
          <w:snapToGrid w:val="0"/>
          <w:lang w:val="fr-FR"/>
        </w:rPr>
      </w:pPr>
    </w:p>
    <w:p w:rsidR="007D7093" w:rsidRPr="00563EA2" w:rsidRDefault="007D7093" w:rsidP="00835DF1">
      <w:pPr>
        <w:rPr>
          <w:snapToGrid w:val="0"/>
          <w:lang w:val="fr-FR"/>
        </w:rPr>
      </w:pPr>
    </w:p>
    <w:p w:rsidR="007D7093" w:rsidRPr="00563EA2" w:rsidRDefault="007D7093" w:rsidP="00835DF1">
      <w:pPr>
        <w:rPr>
          <w:snapToGrid w:val="0"/>
          <w:lang w:val="fr-FR"/>
        </w:rPr>
      </w:pPr>
    </w:p>
    <w:p w:rsidR="007D7093" w:rsidRPr="00563EA2" w:rsidRDefault="007D7093" w:rsidP="00205516">
      <w:pPr>
        <w:jc w:val="right"/>
        <w:rPr>
          <w:snapToGrid w:val="0"/>
          <w:lang w:val="fr-FR"/>
        </w:rPr>
        <w:sectPr w:rsidR="007D7093" w:rsidRPr="00563EA2" w:rsidSect="006543C8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  <w:r w:rsidRPr="00563EA2">
        <w:rPr>
          <w:snapToGrid w:val="0"/>
          <w:lang w:val="fr-FR"/>
        </w:rPr>
        <w:t>[L</w:t>
      </w:r>
      <w:r w:rsidR="00562636" w:rsidRPr="00563EA2">
        <w:rPr>
          <w:snapToGrid w:val="0"/>
          <w:lang w:val="fr-FR"/>
        </w:rPr>
        <w:t>’</w:t>
      </w:r>
      <w:r w:rsidRPr="00563EA2">
        <w:rPr>
          <w:snapToGrid w:val="0"/>
          <w:lang w:val="fr-FR"/>
        </w:rPr>
        <w:t>annexe suit]</w:t>
      </w:r>
    </w:p>
    <w:p w:rsidR="007D7093" w:rsidRPr="00563EA2" w:rsidRDefault="007D7093" w:rsidP="00205516">
      <w:pPr>
        <w:jc w:val="center"/>
        <w:rPr>
          <w:lang w:val="fr-FR"/>
        </w:rPr>
      </w:pPr>
      <w:r w:rsidRPr="00563EA2">
        <w:rPr>
          <w:lang w:val="fr-FR"/>
        </w:rPr>
        <w:lastRenderedPageBreak/>
        <w:t>CAJ/6</w:t>
      </w:r>
      <w:r w:rsidR="004748A3">
        <w:rPr>
          <w:lang w:val="fr-FR"/>
        </w:rPr>
        <w:t>8</w:t>
      </w:r>
      <w:r w:rsidRPr="00563EA2">
        <w:rPr>
          <w:lang w:val="fr-FR"/>
        </w:rPr>
        <w:t>/2</w:t>
      </w:r>
    </w:p>
    <w:p w:rsidR="007D7093" w:rsidRPr="00563EA2" w:rsidRDefault="007D7093" w:rsidP="00205516">
      <w:pPr>
        <w:jc w:val="center"/>
        <w:rPr>
          <w:lang w:val="fr-FR"/>
        </w:rPr>
      </w:pPr>
    </w:p>
    <w:p w:rsidR="007D7093" w:rsidRPr="00563EA2" w:rsidRDefault="007D7093" w:rsidP="00205516">
      <w:pPr>
        <w:jc w:val="center"/>
        <w:rPr>
          <w:lang w:val="fr-FR"/>
        </w:rPr>
      </w:pPr>
      <w:r w:rsidRPr="00563EA2">
        <w:rPr>
          <w:lang w:val="fr-FR"/>
        </w:rPr>
        <w:t>ANNEXE</w:t>
      </w:r>
    </w:p>
    <w:p w:rsidR="007D7093" w:rsidRPr="00563EA2" w:rsidRDefault="007D7093" w:rsidP="00205516">
      <w:pPr>
        <w:jc w:val="center"/>
        <w:rPr>
          <w:lang w:val="fr-FR"/>
        </w:rPr>
      </w:pPr>
    </w:p>
    <w:p w:rsidR="007D7093" w:rsidRPr="00563EA2" w:rsidRDefault="007D7093" w:rsidP="00205516">
      <w:pPr>
        <w:jc w:val="center"/>
        <w:rPr>
          <w:lang w:val="fr-FR"/>
        </w:rPr>
      </w:pPr>
    </w:p>
    <w:p w:rsidR="00B963B8" w:rsidRPr="00563EA2" w:rsidRDefault="007D7093" w:rsidP="00205516">
      <w:pPr>
        <w:jc w:val="center"/>
        <w:rPr>
          <w:lang w:val="fr-FR"/>
        </w:rPr>
      </w:pPr>
      <w:r w:rsidRPr="00563EA2">
        <w:rPr>
          <w:lang w:val="fr-FR"/>
        </w:rPr>
        <w:t>PRÉSENTATION GÉNÉRALE DES MATÉRIELS D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INFORMATION</w:t>
      </w:r>
    </w:p>
    <w:p w:rsidR="007D7093" w:rsidRPr="00563EA2" w:rsidRDefault="007D7093" w:rsidP="00205516">
      <w:pPr>
        <w:jc w:val="center"/>
        <w:rPr>
          <w:lang w:val="fr-FR"/>
        </w:rPr>
      </w:pPr>
    </w:p>
    <w:p w:rsidR="007D7093" w:rsidRPr="004748A3" w:rsidRDefault="007D7093" w:rsidP="00205516">
      <w:pPr>
        <w:jc w:val="left"/>
        <w:rPr>
          <w:sz w:val="18"/>
          <w:lang w:val="fr-FR"/>
        </w:rPr>
      </w:pPr>
      <w:r w:rsidRPr="004748A3">
        <w:rPr>
          <w:sz w:val="18"/>
          <w:lang w:val="fr-FR"/>
        </w:rPr>
        <w:t>NOTES EXPLICATIVES</w:t>
      </w:r>
    </w:p>
    <w:p w:rsidR="007D7093" w:rsidRPr="004748A3" w:rsidRDefault="007D7093" w:rsidP="00205516">
      <w:pPr>
        <w:jc w:val="left"/>
        <w:rPr>
          <w:sz w:val="18"/>
          <w:lang w:val="fr-FR"/>
        </w:rPr>
      </w:pPr>
    </w:p>
    <w:tbl>
      <w:tblPr>
        <w:tblW w:w="15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8515"/>
        <w:gridCol w:w="4961"/>
      </w:tblGrid>
      <w:tr w:rsidR="007D7093" w:rsidRPr="00563EA2">
        <w:trPr>
          <w:cantSplit/>
          <w:jc w:val="center"/>
        </w:trPr>
        <w:tc>
          <w:tcPr>
            <w:tcW w:w="1741" w:type="dxa"/>
            <w:shd w:val="clear" w:color="auto" w:fill="D9D9D9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Référence</w:t>
            </w:r>
          </w:p>
        </w:tc>
        <w:tc>
          <w:tcPr>
            <w:tcW w:w="8515" w:type="dxa"/>
            <w:shd w:val="clear" w:color="auto" w:fill="D9D9D9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Notes explicatives sur les questions suivantes</w:t>
            </w:r>
            <w:r w:rsidR="00ED6445" w:rsidRPr="00563EA2">
              <w:rPr>
                <w:sz w:val="18"/>
                <w:szCs w:val="18"/>
                <w:lang w:val="fr-FR"/>
              </w:rPr>
              <w:t> </w:t>
            </w:r>
            <w:r w:rsidRPr="00563EA2">
              <w:rPr>
                <w:sz w:val="18"/>
                <w:szCs w:val="18"/>
                <w:lang w:val="fr-FR"/>
              </w:rPr>
              <w:t>:</w:t>
            </w:r>
          </w:p>
        </w:tc>
        <w:tc>
          <w:tcPr>
            <w:tcW w:w="4961" w:type="dxa"/>
            <w:shd w:val="clear" w:color="auto" w:fill="D9D9D9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État d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UPOV/EXN/BRD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Définition de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>obtenteur selon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Acte de 1991 de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  <w:r w:rsidRPr="00563EA2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961" w:type="dxa"/>
          </w:tcPr>
          <w:p w:rsidR="007D7093" w:rsidRPr="00563EA2" w:rsidRDefault="007D7093" w:rsidP="00652008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(Adoption à envisager </w:t>
            </w:r>
            <w:r w:rsidR="006543C8" w:rsidRPr="00563EA2">
              <w:rPr>
                <w:sz w:val="18"/>
                <w:szCs w:val="18"/>
                <w:lang w:val="fr-FR"/>
              </w:rPr>
              <w:t>par</w:t>
            </w:r>
            <w:r w:rsidRPr="00563EA2">
              <w:rPr>
                <w:sz w:val="18"/>
                <w:szCs w:val="18"/>
                <w:lang w:val="fr-FR"/>
              </w:rPr>
              <w:t xml:space="preserve"> le Conseil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13</w:t>
            </w:r>
            <w:r w:rsidR="00ED6445" w:rsidRPr="00563EA2">
              <w:rPr>
                <w:sz w:val="18"/>
                <w:szCs w:val="18"/>
                <w:lang w:val="fr-FR"/>
              </w:rPr>
              <w:t> :</w:t>
            </w:r>
            <w:r w:rsidRPr="00563EA2">
              <w:rPr>
                <w:sz w:val="18"/>
                <w:szCs w:val="18"/>
                <w:lang w:val="fr-FR"/>
              </w:rPr>
              <w:t xml:space="preserve"> document UPOV/EXN/BRD Draft 7)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UPOV/EXN/CAL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Conditions et les limitations concernant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>autorisation de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>obtenteur à 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égard du matériel de reproduction ou de multiplication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UPOV/EXN/CAL/1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10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UPOV/EXN/CAN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Déchéance du droit d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obtenteur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UPOV/EXN/CAN/1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  <w:p w:rsidR="007D7093" w:rsidRPr="00563EA2" w:rsidRDefault="007D7093" w:rsidP="005F5A4E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(Révision éventuelle à envisager par</w:t>
            </w:r>
            <w:r w:rsidR="00B963B8" w:rsidRPr="00563EA2">
              <w:rPr>
                <w:sz w:val="18"/>
                <w:szCs w:val="18"/>
                <w:lang w:val="fr-FR"/>
              </w:rPr>
              <w:t xml:space="preserve"> le 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 xml:space="preserve">AG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13</w:t>
            </w:r>
            <w:r w:rsidR="00ED6445" w:rsidRPr="00563EA2">
              <w:rPr>
                <w:sz w:val="18"/>
                <w:szCs w:val="18"/>
                <w:lang w:val="fr-FR"/>
              </w:rPr>
              <w:t> :</w:t>
            </w:r>
            <w:r w:rsidRPr="00563EA2">
              <w:rPr>
                <w:sz w:val="18"/>
                <w:szCs w:val="18"/>
                <w:lang w:val="fr-FR"/>
              </w:rPr>
              <w:t xml:space="preserve"> document 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>AG/13/8/4)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UPOV/EXN/EDV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Variétés essentiellement dérivées selon l</w:t>
            </w:r>
            <w:r w:rsidR="00562636" w:rsidRPr="00563EA2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563EA2">
              <w:rPr>
                <w:color w:val="000000"/>
                <w:sz w:val="18"/>
                <w:szCs w:val="18"/>
                <w:lang w:val="fr-FR"/>
              </w:rPr>
              <w:t xml:space="preserve">Acte de 1991 de la </w:t>
            </w:r>
            <w:r w:rsidR="00562636" w:rsidRPr="00563EA2">
              <w:rPr>
                <w:color w:val="000000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 xml:space="preserve">UPOV/EXN/EDV/1 adopté en </w:t>
            </w:r>
            <w:r w:rsidR="00B963B8" w:rsidRPr="00563EA2">
              <w:rPr>
                <w:color w:val="000000"/>
                <w:sz w:val="18"/>
                <w:szCs w:val="18"/>
                <w:lang w:val="fr-FR"/>
              </w:rPr>
              <w:t>octobre </w:t>
            </w:r>
            <w:r w:rsidR="00B963B8" w:rsidRPr="00563EA2">
              <w:rPr>
                <w:sz w:val="18"/>
                <w:szCs w:val="18"/>
                <w:lang w:val="fr-FR"/>
              </w:rPr>
              <w:t>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  <w:p w:rsidR="007D7093" w:rsidRPr="00563EA2" w:rsidRDefault="007D7093" w:rsidP="00835DF1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(</w:t>
            </w:r>
            <w:r w:rsidRPr="00563EA2">
              <w:rPr>
                <w:sz w:val="18"/>
                <w:szCs w:val="18"/>
                <w:lang w:val="fr-FR"/>
              </w:rPr>
              <w:t>Révision éventuelle à envisager par</w:t>
            </w:r>
            <w:r w:rsidR="00B963B8" w:rsidRPr="00563EA2">
              <w:rPr>
                <w:sz w:val="18"/>
                <w:szCs w:val="18"/>
                <w:lang w:val="fr-FR"/>
              </w:rPr>
              <w:t xml:space="preserve"> le 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 xml:space="preserve">AG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13</w:t>
            </w:r>
            <w:r w:rsidR="00ED6445" w:rsidRPr="00563EA2">
              <w:rPr>
                <w:sz w:val="18"/>
                <w:szCs w:val="18"/>
                <w:lang w:val="fr-FR"/>
              </w:rPr>
              <w:t> :</w:t>
            </w:r>
            <w:r w:rsidRPr="00563EA2">
              <w:rPr>
                <w:sz w:val="18"/>
                <w:szCs w:val="18"/>
                <w:lang w:val="fr-FR"/>
              </w:rPr>
              <w:t xml:space="preserve"> document 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>AG/13/8/2)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UPOV/EXN/ENF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Défense des droits d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obtenteur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  <w:r w:rsidRPr="00563EA2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 xml:space="preserve">UPOV/EXN/ENF/1 adopté en </w:t>
            </w:r>
            <w:r w:rsidR="00B963B8" w:rsidRPr="00563EA2">
              <w:rPr>
                <w:color w:val="000000"/>
                <w:sz w:val="18"/>
                <w:szCs w:val="18"/>
                <w:lang w:val="fr-FR"/>
              </w:rPr>
              <w:t>octobre </w:t>
            </w:r>
            <w:r w:rsidR="00B963B8" w:rsidRPr="00563EA2">
              <w:rPr>
                <w:sz w:val="18"/>
                <w:szCs w:val="18"/>
                <w:lang w:val="fr-FR"/>
              </w:rPr>
              <w:t>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UPOV/EXN/EXC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Exceptions au droit d</w:t>
            </w:r>
            <w:r w:rsidR="00562636" w:rsidRPr="00563EA2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563EA2">
              <w:rPr>
                <w:color w:val="000000"/>
                <w:sz w:val="18"/>
                <w:szCs w:val="18"/>
                <w:lang w:val="fr-FR"/>
              </w:rPr>
              <w:t>obtenteur selon l</w:t>
            </w:r>
            <w:r w:rsidR="00562636" w:rsidRPr="00563EA2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563EA2">
              <w:rPr>
                <w:color w:val="000000"/>
                <w:sz w:val="18"/>
                <w:szCs w:val="18"/>
                <w:lang w:val="fr-FR"/>
              </w:rPr>
              <w:t xml:space="preserve">Acte de 1991 de la </w:t>
            </w:r>
            <w:r w:rsidR="00562636" w:rsidRPr="00563EA2">
              <w:rPr>
                <w:color w:val="000000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 xml:space="preserve">UPOV/EXN/EXC/1 adopté en </w:t>
            </w:r>
            <w:r w:rsidR="00B963B8" w:rsidRPr="00563EA2">
              <w:rPr>
                <w:color w:val="000000"/>
                <w:sz w:val="18"/>
                <w:szCs w:val="18"/>
                <w:lang w:val="fr-FR"/>
              </w:rPr>
              <w:t>octobre </w:t>
            </w:r>
            <w:r w:rsidR="00B963B8" w:rsidRPr="00563EA2">
              <w:rPr>
                <w:sz w:val="18"/>
                <w:szCs w:val="18"/>
                <w:lang w:val="fr-FR"/>
              </w:rPr>
              <w:t>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UPOV/EXN/GEN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Genres et espèces devant être protégés selon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Acte de 1991 de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UPOV/EXN/GEN/1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UPOV/EXN/HRV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Actes à 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>égard du produit de la récolte selon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Acte de 1991 de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835DF1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(Adoption à envisager par</w:t>
            </w:r>
            <w:r w:rsidR="00B963B8" w:rsidRPr="00563EA2">
              <w:rPr>
                <w:sz w:val="18"/>
                <w:szCs w:val="18"/>
                <w:lang w:val="fr-FR"/>
              </w:rPr>
              <w:t xml:space="preserve"> le CAJ</w:t>
            </w:r>
            <w:r w:rsidRPr="00563EA2">
              <w:rPr>
                <w:sz w:val="18"/>
                <w:szCs w:val="18"/>
                <w:lang w:val="fr-FR"/>
              </w:rPr>
              <w:t xml:space="preserve"> et le Conseil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13</w:t>
            </w:r>
            <w:r w:rsidR="00ED6445" w:rsidRPr="00563EA2">
              <w:rPr>
                <w:sz w:val="18"/>
                <w:szCs w:val="18"/>
                <w:lang w:val="fr-FR"/>
              </w:rPr>
              <w:t> </w:t>
            </w:r>
            <w:r w:rsidRPr="00563EA2">
              <w:rPr>
                <w:sz w:val="18"/>
                <w:szCs w:val="18"/>
                <w:lang w:val="fr-FR"/>
              </w:rPr>
              <w:t>: document UPOV/EXN/HRV Draft 10)</w:t>
            </w:r>
          </w:p>
          <w:p w:rsidR="007D7093" w:rsidRPr="00563EA2" w:rsidRDefault="007D7093" w:rsidP="00835DF1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(</w:t>
            </w:r>
            <w:r w:rsidRPr="00563EA2">
              <w:rPr>
                <w:sz w:val="18"/>
                <w:szCs w:val="18"/>
                <w:lang w:val="fr-FR"/>
              </w:rPr>
              <w:t>Révision éventuelle à envisager par</w:t>
            </w:r>
            <w:r w:rsidR="00B963B8" w:rsidRPr="00563EA2">
              <w:rPr>
                <w:sz w:val="18"/>
                <w:szCs w:val="18"/>
                <w:lang w:val="fr-FR"/>
              </w:rPr>
              <w:t xml:space="preserve"> le 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 xml:space="preserve">AG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13</w:t>
            </w:r>
            <w:r w:rsidR="00ED6445" w:rsidRPr="00563EA2">
              <w:rPr>
                <w:sz w:val="18"/>
                <w:szCs w:val="18"/>
                <w:lang w:val="fr-FR"/>
              </w:rPr>
              <w:t> </w:t>
            </w:r>
            <w:r w:rsidRPr="00563EA2">
              <w:rPr>
                <w:sz w:val="18"/>
                <w:szCs w:val="18"/>
                <w:lang w:val="fr-FR"/>
              </w:rPr>
              <w:t>: document 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>AG/13/8/3)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UPOV/EXN/NAT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Traitement national selon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Acte de 1991 de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UPOV/EXN/NAT/1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UPOV/EXN/NOV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Nouveauté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UPOV/EXN/NOV/1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UPOV/EXN/NUL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Nullité du droit d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obtenteur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 xml:space="preserve">UPOV/EXN/NUL/1 </w:t>
            </w:r>
            <w:r w:rsidRPr="00563EA2">
              <w:rPr>
                <w:sz w:val="18"/>
                <w:szCs w:val="18"/>
                <w:lang w:val="fr-FR"/>
              </w:rPr>
              <w:t xml:space="preserve">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(</w:t>
            </w:r>
            <w:r w:rsidRPr="00563EA2">
              <w:rPr>
                <w:sz w:val="18"/>
                <w:szCs w:val="18"/>
                <w:lang w:val="fr-FR"/>
              </w:rPr>
              <w:t>Révision éventuelle à envisager par</w:t>
            </w:r>
            <w:r w:rsidR="00B963B8" w:rsidRPr="00563EA2">
              <w:rPr>
                <w:sz w:val="18"/>
                <w:szCs w:val="18"/>
                <w:lang w:val="fr-FR"/>
              </w:rPr>
              <w:t xml:space="preserve"> le 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 xml:space="preserve">AG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13</w:t>
            </w:r>
            <w:r w:rsidR="00ED6445" w:rsidRPr="00563EA2">
              <w:rPr>
                <w:sz w:val="18"/>
                <w:szCs w:val="18"/>
                <w:lang w:val="fr-FR"/>
              </w:rPr>
              <w:t> </w:t>
            </w:r>
            <w:r w:rsidRPr="00563EA2">
              <w:rPr>
                <w:sz w:val="18"/>
                <w:szCs w:val="18"/>
                <w:lang w:val="fr-FR"/>
              </w:rPr>
              <w:t>: document 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>AG/13/8/5)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UPOV/EXN/PPM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Matériel de reproduction ou de multiplication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835DF1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color w:val="000000"/>
                <w:sz w:val="18"/>
                <w:szCs w:val="18"/>
                <w:lang w:val="fr-FR"/>
              </w:rPr>
              <w:t>Projet</w:t>
            </w:r>
            <w:r w:rsidR="00ED6445" w:rsidRPr="00563EA2">
              <w:rPr>
                <w:color w:val="000000"/>
                <w:sz w:val="18"/>
                <w:szCs w:val="18"/>
                <w:lang w:val="fr-FR"/>
              </w:rPr>
              <w:t> </w:t>
            </w:r>
            <w:r w:rsidRPr="00563EA2">
              <w:rPr>
                <w:color w:val="000000"/>
                <w:sz w:val="18"/>
                <w:szCs w:val="18"/>
                <w:lang w:val="fr-FR"/>
              </w:rPr>
              <w:t>: session</w:t>
            </w:r>
            <w:r w:rsidR="00B963B8" w:rsidRPr="00563EA2">
              <w:rPr>
                <w:color w:val="000000"/>
                <w:sz w:val="18"/>
                <w:szCs w:val="18"/>
                <w:lang w:val="fr-FR"/>
              </w:rPr>
              <w:t xml:space="preserve"> du </w:t>
            </w:r>
            <w:r w:rsidR="00B963B8" w:rsidRPr="00563EA2">
              <w:rPr>
                <w:sz w:val="18"/>
                <w:szCs w:val="18"/>
                <w:lang w:val="fr-FR"/>
              </w:rPr>
              <w:t>CAJ</w:t>
            </w:r>
            <w:r w:rsidR="006543C8" w:rsidRPr="00563EA2">
              <w:rPr>
                <w:sz w:val="18"/>
                <w:szCs w:val="18"/>
                <w:lang w:val="fr-FR"/>
              </w:rPr>
              <w:noBreakHyphen/>
            </w:r>
            <w:r w:rsidRPr="00563EA2">
              <w:rPr>
                <w:sz w:val="18"/>
                <w:szCs w:val="18"/>
                <w:lang w:val="fr-FR"/>
              </w:rPr>
              <w:t xml:space="preserve">AG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13</w:t>
            </w:r>
            <w:r w:rsidR="00ED6445" w:rsidRPr="00563EA2">
              <w:rPr>
                <w:sz w:val="18"/>
                <w:szCs w:val="18"/>
                <w:lang w:val="fr-FR"/>
              </w:rPr>
              <w:t> </w:t>
            </w:r>
            <w:r w:rsidRPr="00563EA2">
              <w:rPr>
                <w:sz w:val="18"/>
                <w:szCs w:val="18"/>
                <w:lang w:val="fr-FR"/>
              </w:rPr>
              <w:t xml:space="preserve">: document </w:t>
            </w:r>
            <w:r w:rsidRPr="00563EA2">
              <w:rPr>
                <w:spacing w:val="-2"/>
                <w:sz w:val="18"/>
                <w:szCs w:val="18"/>
                <w:lang w:val="fr-FR"/>
              </w:rPr>
              <w:t>UPOV/EXN/PPM Draft 1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UPOV/EXN/PRI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Droit de priorité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UPOV/EXN/PRI/1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UPOV/EXN/PRP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Protection provisoire selon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  <w:r w:rsidRPr="00563EA2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UPOV/EXN/PRP/1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09</w:t>
            </w:r>
          </w:p>
        </w:tc>
      </w:tr>
      <w:tr w:rsidR="007D7093" w:rsidRPr="00563EA2">
        <w:trPr>
          <w:cantSplit/>
          <w:jc w:val="center"/>
        </w:trPr>
        <w:tc>
          <w:tcPr>
            <w:tcW w:w="174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UPOV/EXN/VAR</w:t>
            </w:r>
          </w:p>
        </w:tc>
        <w:tc>
          <w:tcPr>
            <w:tcW w:w="8515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>Définition de la variété selon l</w:t>
            </w:r>
            <w:r w:rsidR="00562636" w:rsidRPr="00563EA2">
              <w:rPr>
                <w:sz w:val="18"/>
                <w:szCs w:val="18"/>
                <w:lang w:val="fr-FR"/>
              </w:rPr>
              <w:t>’</w:t>
            </w:r>
            <w:r w:rsidRPr="00563EA2">
              <w:rPr>
                <w:sz w:val="18"/>
                <w:szCs w:val="18"/>
                <w:lang w:val="fr-FR"/>
              </w:rPr>
              <w:t xml:space="preserve">Acte de 1991 de la </w:t>
            </w:r>
            <w:r w:rsidR="00562636" w:rsidRPr="00563EA2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563EA2" w:rsidRDefault="007D7093" w:rsidP="00D9528F">
            <w:pPr>
              <w:jc w:val="left"/>
              <w:rPr>
                <w:sz w:val="18"/>
                <w:szCs w:val="18"/>
                <w:lang w:val="fr-FR"/>
              </w:rPr>
            </w:pPr>
            <w:r w:rsidRPr="00563EA2">
              <w:rPr>
                <w:sz w:val="18"/>
                <w:szCs w:val="18"/>
                <w:lang w:val="fr-FR"/>
              </w:rPr>
              <w:t xml:space="preserve">UPOV/EXN/VAR/1 adopté en </w:t>
            </w:r>
            <w:r w:rsidR="00B963B8" w:rsidRPr="00563EA2">
              <w:rPr>
                <w:sz w:val="18"/>
                <w:szCs w:val="18"/>
                <w:lang w:val="fr-FR"/>
              </w:rPr>
              <w:t>octobre 20</w:t>
            </w:r>
            <w:r w:rsidRPr="00563EA2">
              <w:rPr>
                <w:sz w:val="18"/>
                <w:szCs w:val="18"/>
                <w:lang w:val="fr-FR"/>
              </w:rPr>
              <w:t>10</w:t>
            </w:r>
          </w:p>
        </w:tc>
      </w:tr>
    </w:tbl>
    <w:p w:rsidR="007D7093" w:rsidRPr="004748A3" w:rsidRDefault="007D7093" w:rsidP="00205516">
      <w:pPr>
        <w:rPr>
          <w:sz w:val="18"/>
          <w:lang w:val="fr-FR"/>
        </w:rPr>
      </w:pPr>
      <w:r w:rsidRPr="00563EA2">
        <w:rPr>
          <w:lang w:val="fr-FR"/>
        </w:rPr>
        <w:br w:type="page"/>
      </w:r>
      <w:r w:rsidRPr="004748A3">
        <w:rPr>
          <w:sz w:val="18"/>
          <w:lang w:val="fr-FR"/>
        </w:rPr>
        <w:lastRenderedPageBreak/>
        <w:t>DOCUMENTS D</w:t>
      </w:r>
      <w:r w:rsidR="00562636" w:rsidRPr="004748A3">
        <w:rPr>
          <w:sz w:val="18"/>
          <w:lang w:val="fr-FR"/>
        </w:rPr>
        <w:t>’</w:t>
      </w:r>
      <w:r w:rsidRPr="004748A3">
        <w:rPr>
          <w:sz w:val="18"/>
          <w:lang w:val="fr-FR"/>
        </w:rPr>
        <w:t>INFORMATION</w:t>
      </w:r>
    </w:p>
    <w:p w:rsidR="007D7093" w:rsidRPr="004748A3" w:rsidRDefault="007D7093" w:rsidP="00205516">
      <w:pPr>
        <w:rPr>
          <w:sz w:val="18"/>
          <w:lang w:val="fr-FR"/>
        </w:rPr>
      </w:pPr>
    </w:p>
    <w:tbl>
      <w:tblPr>
        <w:tblW w:w="15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9"/>
        <w:gridCol w:w="8657"/>
        <w:gridCol w:w="4961"/>
      </w:tblGrid>
      <w:tr w:rsidR="007D7093" w:rsidRPr="004748A3">
        <w:trPr>
          <w:cantSplit/>
          <w:jc w:val="center"/>
        </w:trPr>
        <w:tc>
          <w:tcPr>
            <w:tcW w:w="1599" w:type="dxa"/>
            <w:tcBorders>
              <w:top w:val="single" w:sz="4" w:space="0" w:color="auto"/>
            </w:tcBorders>
            <w:shd w:val="clear" w:color="auto" w:fill="D9D9D9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Dernière référence</w:t>
            </w:r>
          </w:p>
        </w:tc>
        <w:tc>
          <w:tcPr>
            <w:tcW w:w="8657" w:type="dxa"/>
            <w:tcBorders>
              <w:top w:val="single" w:sz="4" w:space="0" w:color="auto"/>
            </w:tcBorders>
            <w:shd w:val="clear" w:color="auto" w:fill="D9D9D9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Documents INF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D9D9D9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État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avancement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</w:t>
            </w:r>
            <w:r w:rsidR="006543C8" w:rsidRPr="004748A3">
              <w:rPr>
                <w:sz w:val="17"/>
                <w:szCs w:val="17"/>
                <w:lang w:val="fr-FR"/>
              </w:rPr>
              <w:noBreakHyphen/>
            </w:r>
            <w:r w:rsidRPr="004748A3">
              <w:rPr>
                <w:sz w:val="17"/>
                <w:szCs w:val="17"/>
                <w:lang w:val="fr-FR"/>
              </w:rPr>
              <w:t>EXN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Liste des documents UPOV/INF</w:t>
            </w:r>
            <w:r w:rsidR="006543C8" w:rsidRPr="004748A3">
              <w:rPr>
                <w:sz w:val="17"/>
                <w:szCs w:val="17"/>
                <w:lang w:val="fr-FR"/>
              </w:rPr>
              <w:noBreakHyphen/>
            </w:r>
            <w:r w:rsidRPr="004748A3">
              <w:rPr>
                <w:sz w:val="17"/>
                <w:szCs w:val="17"/>
                <w:lang w:val="fr-FR"/>
              </w:rPr>
              <w:t xml:space="preserve">EXN et date de la version la plus récente de ces documents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</w:t>
            </w:r>
            <w:r w:rsidR="006543C8" w:rsidRPr="004748A3">
              <w:rPr>
                <w:sz w:val="17"/>
                <w:szCs w:val="17"/>
                <w:lang w:val="fr-FR"/>
              </w:rPr>
              <w:noBreakHyphen/>
            </w:r>
            <w:r w:rsidRPr="004748A3">
              <w:rPr>
                <w:sz w:val="17"/>
                <w:szCs w:val="17"/>
                <w:lang w:val="fr-FR"/>
              </w:rPr>
              <w:t xml:space="preserve">EXN/4 adopté en </w:t>
            </w:r>
            <w:r w:rsidR="00B963B8" w:rsidRPr="004748A3">
              <w:rPr>
                <w:sz w:val="17"/>
                <w:szCs w:val="17"/>
                <w:lang w:val="fr-FR"/>
              </w:rPr>
              <w:t>mars 20</w:t>
            </w:r>
            <w:r w:rsidRPr="004748A3">
              <w:rPr>
                <w:sz w:val="17"/>
                <w:szCs w:val="17"/>
                <w:lang w:val="fr-FR"/>
              </w:rPr>
              <w:t>13</w:t>
            </w:r>
          </w:p>
          <w:p w:rsidR="007D7093" w:rsidRPr="004748A3" w:rsidRDefault="007D7093" w:rsidP="00C85237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(Révision à envisager pour adoption par le Conseil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13</w:t>
            </w:r>
            <w:r w:rsidR="00ED6445" w:rsidRPr="004748A3">
              <w:rPr>
                <w:sz w:val="17"/>
                <w:szCs w:val="17"/>
                <w:lang w:val="fr-FR"/>
              </w:rPr>
              <w:t> </w:t>
            </w:r>
            <w:r w:rsidRPr="004748A3">
              <w:rPr>
                <w:sz w:val="17"/>
                <w:szCs w:val="17"/>
                <w:lang w:val="fr-FR"/>
              </w:rPr>
              <w:t>: document UPOV/INF</w:t>
            </w:r>
            <w:r w:rsidR="006543C8" w:rsidRPr="004748A3">
              <w:rPr>
                <w:sz w:val="17"/>
                <w:szCs w:val="17"/>
                <w:lang w:val="fr-FR"/>
              </w:rPr>
              <w:noBreakHyphen/>
            </w:r>
            <w:r w:rsidRPr="004748A3">
              <w:rPr>
                <w:sz w:val="17"/>
                <w:szCs w:val="17"/>
                <w:lang w:val="fr-FR"/>
              </w:rPr>
              <w:t>EXN/5 Draft 1)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UPOV/INF/4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Règlement financier et règlement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exécution du Règlement financier de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UPOV </w:t>
            </w:r>
          </w:p>
        </w:tc>
        <w:tc>
          <w:tcPr>
            <w:tcW w:w="4961" w:type="dxa"/>
          </w:tcPr>
          <w:p w:rsidR="007D7093" w:rsidRPr="004748A3" w:rsidRDefault="007D7093" w:rsidP="004748A3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UPOV/INF/4/3 adopté en </w:t>
            </w:r>
            <w:r w:rsidR="00B963B8" w:rsidRPr="004748A3">
              <w:rPr>
                <w:sz w:val="17"/>
                <w:szCs w:val="17"/>
                <w:lang w:val="fr-FR"/>
              </w:rPr>
              <w:t>mars 20</w:t>
            </w:r>
            <w:r w:rsidRPr="004748A3">
              <w:rPr>
                <w:sz w:val="17"/>
                <w:szCs w:val="17"/>
                <w:lang w:val="fr-FR"/>
              </w:rPr>
              <w:t>13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UPOV/INF/5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Bulletin type de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UPOV de la protection des obtentions végétales </w:t>
            </w:r>
          </w:p>
        </w:tc>
        <w:tc>
          <w:tcPr>
            <w:tcW w:w="4961" w:type="dxa"/>
          </w:tcPr>
          <w:p w:rsidR="007D7093" w:rsidRPr="004748A3" w:rsidRDefault="007D7093" w:rsidP="00C85237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UPOV/INF/5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19</w:t>
            </w:r>
            <w:r w:rsidRPr="004748A3">
              <w:rPr>
                <w:sz w:val="17"/>
                <w:szCs w:val="17"/>
                <w:lang w:val="fr-FR"/>
              </w:rPr>
              <w:t>79</w:t>
            </w:r>
            <w:r w:rsidRPr="004748A3">
              <w:rPr>
                <w:sz w:val="17"/>
                <w:szCs w:val="17"/>
                <w:lang w:val="fr-FR"/>
              </w:rPr>
              <w:br/>
              <w:t>(Programme pour révision à envisager par</w:t>
            </w:r>
            <w:r w:rsidR="00B963B8" w:rsidRPr="004748A3">
              <w:rPr>
                <w:sz w:val="17"/>
                <w:szCs w:val="17"/>
                <w:lang w:val="fr-FR"/>
              </w:rPr>
              <w:t xml:space="preserve"> le CAJ</w:t>
            </w:r>
            <w:r w:rsidRPr="004748A3">
              <w:rPr>
                <w:sz w:val="17"/>
                <w:szCs w:val="17"/>
                <w:lang w:val="fr-FR"/>
              </w:rPr>
              <w:t xml:space="preserve"> en octobre 2013</w:t>
            </w:r>
            <w:r w:rsidR="00ED6445" w:rsidRPr="004748A3">
              <w:rPr>
                <w:sz w:val="17"/>
                <w:szCs w:val="17"/>
                <w:lang w:val="fr-FR"/>
              </w:rPr>
              <w:t> </w:t>
            </w:r>
            <w:r w:rsidRPr="004748A3">
              <w:rPr>
                <w:sz w:val="17"/>
                <w:szCs w:val="17"/>
                <w:lang w:val="fr-FR"/>
              </w:rPr>
              <w:t>: document CAJ/68/3)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UPOV/INF/6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Orientations en vue de la rédaction de lois fondées sur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Acte de 1991 de la </w:t>
            </w:r>
            <w:r w:rsidR="00562636" w:rsidRPr="004748A3">
              <w:rPr>
                <w:sz w:val="17"/>
                <w:szCs w:val="17"/>
                <w:lang w:val="fr-FR"/>
              </w:rPr>
              <w:t>Convention UPOV</w:t>
            </w:r>
          </w:p>
        </w:tc>
        <w:tc>
          <w:tcPr>
            <w:tcW w:w="4961" w:type="dxa"/>
          </w:tcPr>
          <w:p w:rsidR="007D7093" w:rsidRPr="004748A3" w:rsidRDefault="007D7093" w:rsidP="00652008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UPOV/INF/6/2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11</w:t>
            </w:r>
            <w:r w:rsidRPr="004748A3">
              <w:rPr>
                <w:sz w:val="17"/>
                <w:szCs w:val="17"/>
                <w:lang w:val="fr-FR"/>
              </w:rPr>
              <w:br/>
              <w:t xml:space="preserve">(Révision à envisager pour adoption par le Conseil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13</w:t>
            </w:r>
            <w:r w:rsidR="00ED6445" w:rsidRPr="004748A3">
              <w:rPr>
                <w:sz w:val="17"/>
                <w:szCs w:val="17"/>
                <w:lang w:val="fr-FR"/>
              </w:rPr>
              <w:t> </w:t>
            </w:r>
            <w:r w:rsidRPr="004748A3">
              <w:rPr>
                <w:sz w:val="17"/>
                <w:szCs w:val="17"/>
                <w:lang w:val="fr-FR"/>
              </w:rPr>
              <w:t>: document C/47/13, Annexe)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UPOV/INF/7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Règlement intérieur du Conseil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UPOV/INF/7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19</w:t>
            </w:r>
            <w:r w:rsidRPr="004748A3">
              <w:rPr>
                <w:sz w:val="17"/>
                <w:szCs w:val="17"/>
                <w:lang w:val="fr-FR"/>
              </w:rPr>
              <w:t>82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UPOV/INF/8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Accord entre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Organisation mondiale de la propriété intellectuelle et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Union internationale pour la protection des obtentions végétales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UPOV/INF/8 signé en </w:t>
            </w:r>
            <w:r w:rsidR="00B963B8" w:rsidRPr="004748A3">
              <w:rPr>
                <w:sz w:val="17"/>
                <w:szCs w:val="17"/>
                <w:lang w:val="fr-FR"/>
              </w:rPr>
              <w:t>novembre 19</w:t>
            </w:r>
            <w:r w:rsidRPr="004748A3">
              <w:rPr>
                <w:sz w:val="17"/>
                <w:szCs w:val="17"/>
                <w:lang w:val="fr-FR"/>
              </w:rPr>
              <w:t>82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UPOV/INF/9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Accord entre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Union internationale pour la protection des obtentions végétales et le Conseil fédéral suisse pour déterminer le statut juridique en Suisse de cette Union (Accord de siège)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UPOV/INF/9 signé en </w:t>
            </w:r>
            <w:r w:rsidR="00B963B8" w:rsidRPr="004748A3">
              <w:rPr>
                <w:sz w:val="17"/>
                <w:szCs w:val="17"/>
                <w:lang w:val="fr-FR"/>
              </w:rPr>
              <w:t>novembre 19</w:t>
            </w:r>
            <w:r w:rsidRPr="004748A3">
              <w:rPr>
                <w:sz w:val="17"/>
                <w:szCs w:val="17"/>
                <w:lang w:val="fr-FR"/>
              </w:rPr>
              <w:t>83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UPOV/INF/10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Audit interne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UPOV/INF/10/1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10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UPOV/INF/12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Notes explicatives concernant les dénominations variétales en vertu de la </w:t>
            </w:r>
            <w:r w:rsidR="00562636" w:rsidRPr="004748A3">
              <w:rPr>
                <w:sz w:val="17"/>
                <w:szCs w:val="17"/>
                <w:lang w:val="fr-FR"/>
              </w:rPr>
              <w:t>Convention UPOV</w:t>
            </w:r>
            <w:r w:rsidRPr="004748A3">
              <w:rPr>
                <w:sz w:val="17"/>
                <w:szCs w:val="17"/>
                <w:lang w:val="fr-FR"/>
              </w:rPr>
              <w:t xml:space="preserve">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UPOV/INF/12/4 adopté en </w:t>
            </w:r>
            <w:r w:rsidR="00B963B8" w:rsidRPr="004748A3">
              <w:rPr>
                <w:sz w:val="17"/>
                <w:szCs w:val="17"/>
                <w:lang w:val="fr-FR"/>
              </w:rPr>
              <w:t>novembre 20</w:t>
            </w:r>
            <w:r w:rsidRPr="004748A3">
              <w:rPr>
                <w:sz w:val="17"/>
                <w:szCs w:val="17"/>
                <w:lang w:val="fr-FR"/>
              </w:rPr>
              <w:t>12</w:t>
            </w:r>
          </w:p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color w:val="000000"/>
                <w:sz w:val="17"/>
                <w:szCs w:val="17"/>
                <w:lang w:val="fr-FR"/>
              </w:rPr>
              <w:t>(</w:t>
            </w:r>
            <w:r w:rsidRPr="004748A3">
              <w:rPr>
                <w:sz w:val="17"/>
                <w:szCs w:val="17"/>
                <w:lang w:val="fr-FR"/>
              </w:rPr>
              <w:t>Révision éventuelle à envisager par</w:t>
            </w:r>
            <w:r w:rsidR="00B963B8" w:rsidRPr="004748A3">
              <w:rPr>
                <w:sz w:val="17"/>
                <w:szCs w:val="17"/>
                <w:lang w:val="fr-FR"/>
              </w:rPr>
              <w:t xml:space="preserve"> le CAJ</w:t>
            </w:r>
            <w:r w:rsidR="006543C8" w:rsidRPr="004748A3">
              <w:rPr>
                <w:sz w:val="17"/>
                <w:szCs w:val="17"/>
                <w:lang w:val="fr-FR"/>
              </w:rPr>
              <w:noBreakHyphen/>
            </w:r>
            <w:r w:rsidRPr="004748A3">
              <w:rPr>
                <w:sz w:val="17"/>
                <w:szCs w:val="17"/>
                <w:lang w:val="fr-FR"/>
              </w:rPr>
              <w:t xml:space="preserve">AG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13</w:t>
            </w:r>
            <w:r w:rsidR="00ED6445" w:rsidRPr="004748A3">
              <w:rPr>
                <w:sz w:val="17"/>
                <w:szCs w:val="17"/>
                <w:lang w:val="fr-FR"/>
              </w:rPr>
              <w:t> </w:t>
            </w:r>
            <w:r w:rsidRPr="004748A3">
              <w:rPr>
                <w:sz w:val="17"/>
                <w:szCs w:val="17"/>
                <w:lang w:val="fr-FR"/>
              </w:rPr>
              <w:t>: document CAJ</w:t>
            </w:r>
            <w:r w:rsidR="006543C8" w:rsidRPr="004748A3">
              <w:rPr>
                <w:sz w:val="17"/>
                <w:szCs w:val="17"/>
                <w:lang w:val="fr-FR"/>
              </w:rPr>
              <w:noBreakHyphen/>
            </w:r>
            <w:r w:rsidRPr="004748A3">
              <w:rPr>
                <w:sz w:val="17"/>
                <w:szCs w:val="17"/>
                <w:lang w:val="fr-FR"/>
              </w:rPr>
              <w:t>AG/13/8/6)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UPOV/INF/13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Document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orientation concernant la procédure à suivre pour devenir membre de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UPOV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UPOV/INF/13/1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09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UPOV/INF/14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Document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orientation destiné aux membres de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UPOV concernant la procédure à suivre pour ratifier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Acte de 1991 de la </w:t>
            </w:r>
            <w:r w:rsidR="00562636" w:rsidRPr="004748A3">
              <w:rPr>
                <w:sz w:val="17"/>
                <w:szCs w:val="17"/>
                <w:lang w:val="fr-FR"/>
              </w:rPr>
              <w:t>Convention UPOV</w:t>
            </w:r>
            <w:r w:rsidR="000F5F56" w:rsidRPr="004748A3">
              <w:rPr>
                <w:sz w:val="17"/>
                <w:szCs w:val="17"/>
                <w:lang w:val="fr-FR"/>
              </w:rPr>
              <w:t xml:space="preserve"> ou y </w:t>
            </w:r>
            <w:r w:rsidRPr="004748A3">
              <w:rPr>
                <w:sz w:val="17"/>
                <w:szCs w:val="17"/>
                <w:lang w:val="fr-FR"/>
              </w:rPr>
              <w:t xml:space="preserve">adhérer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UPOV/INF/14/1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09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UPOV/INF/15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Document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orientation destiné aux membres de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UPOV concernant les obligations en cours et les notifications connexes</w:t>
            </w:r>
          </w:p>
        </w:tc>
        <w:tc>
          <w:tcPr>
            <w:tcW w:w="4961" w:type="dxa"/>
          </w:tcPr>
          <w:p w:rsidR="007D7093" w:rsidRPr="004748A3" w:rsidRDefault="007D7093" w:rsidP="004748A3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UPOV/INF/15/2 adopté en </w:t>
            </w:r>
            <w:r w:rsidR="00B963B8" w:rsidRPr="004748A3">
              <w:rPr>
                <w:sz w:val="17"/>
                <w:szCs w:val="17"/>
                <w:lang w:val="fr-FR"/>
              </w:rPr>
              <w:t>mars 20</w:t>
            </w:r>
            <w:r w:rsidRPr="004748A3">
              <w:rPr>
                <w:sz w:val="17"/>
                <w:szCs w:val="17"/>
                <w:lang w:val="fr-FR"/>
              </w:rPr>
              <w:t>13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UPOV/INF/16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Logiciels échangeables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UPOV/INF/16/2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11</w:t>
            </w:r>
          </w:p>
          <w:p w:rsidR="007D7093" w:rsidRPr="004748A3" w:rsidRDefault="007D7093" w:rsidP="00690BA2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(Révision à envisager par</w:t>
            </w:r>
            <w:r w:rsidR="00B963B8" w:rsidRPr="004748A3">
              <w:rPr>
                <w:sz w:val="17"/>
                <w:szCs w:val="17"/>
                <w:lang w:val="fr-FR"/>
              </w:rPr>
              <w:t xml:space="preserve"> le CAJ</w:t>
            </w:r>
            <w:r w:rsidRPr="004748A3">
              <w:rPr>
                <w:sz w:val="17"/>
                <w:szCs w:val="17"/>
                <w:lang w:val="fr-FR"/>
              </w:rPr>
              <w:t xml:space="preserve"> et le Conseil pour adoption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13</w:t>
            </w:r>
            <w:r w:rsidR="00ED6445" w:rsidRPr="004748A3">
              <w:rPr>
                <w:sz w:val="17"/>
                <w:szCs w:val="17"/>
                <w:lang w:val="fr-FR"/>
              </w:rPr>
              <w:t> :</w:t>
            </w:r>
            <w:r w:rsidRPr="004748A3">
              <w:rPr>
                <w:sz w:val="17"/>
                <w:szCs w:val="17"/>
                <w:lang w:val="fr-FR"/>
              </w:rPr>
              <w:t xml:space="preserve"> </w:t>
            </w:r>
            <w:r w:rsidR="00B963B8" w:rsidRPr="004748A3">
              <w:rPr>
                <w:sz w:val="17"/>
                <w:szCs w:val="17"/>
                <w:lang w:val="fr-FR"/>
              </w:rPr>
              <w:t>document UP</w:t>
            </w:r>
            <w:r w:rsidRPr="004748A3">
              <w:rPr>
                <w:sz w:val="17"/>
                <w:szCs w:val="17"/>
                <w:lang w:val="fr-FR"/>
              </w:rPr>
              <w:t>OV/INF/16/3 Draft 1)</w:t>
            </w:r>
          </w:p>
        </w:tc>
      </w:tr>
      <w:tr w:rsidR="007D7093" w:rsidRPr="004748A3">
        <w:trPr>
          <w:cantSplit/>
          <w:trHeight w:val="219"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UPOV/INF/17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Directives concernant les profils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ADN : choix des marqueurs moléculaires et construction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une base de données y relative (</w:t>
            </w:r>
            <w:r w:rsidR="00562636" w:rsidRPr="004748A3">
              <w:rPr>
                <w:sz w:val="17"/>
                <w:szCs w:val="17"/>
                <w:lang w:val="fr-FR"/>
              </w:rPr>
              <w:t>“</w:t>
            </w:r>
            <w:r w:rsidRPr="004748A3">
              <w:rPr>
                <w:sz w:val="17"/>
                <w:szCs w:val="17"/>
                <w:lang w:val="fr-FR"/>
              </w:rPr>
              <w:t>Directives BMT</w:t>
            </w:r>
            <w:r w:rsidR="00562636" w:rsidRPr="004748A3">
              <w:rPr>
                <w:sz w:val="17"/>
                <w:szCs w:val="17"/>
                <w:lang w:val="fr-FR"/>
              </w:rPr>
              <w:t>”</w:t>
            </w:r>
            <w:r w:rsidRPr="004748A3">
              <w:rPr>
                <w:sz w:val="17"/>
                <w:szCs w:val="17"/>
                <w:lang w:val="fr-FR"/>
              </w:rPr>
              <w:t xml:space="preserve">)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UPOV/INF/17/1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10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UPOV/INF/18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Utilisation possible des marqueurs moléculaires dans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examen de la distinction, de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homogénéité et de la stabilité (DHS)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UPOV/INF/18/1 adopté en </w:t>
            </w:r>
            <w:r w:rsidR="00B963B8" w:rsidRPr="004748A3">
              <w:rPr>
                <w:sz w:val="17"/>
                <w:szCs w:val="17"/>
                <w:lang w:val="fr-FR"/>
              </w:rPr>
              <w:t>octobre 20</w:t>
            </w:r>
            <w:r w:rsidRPr="004748A3">
              <w:rPr>
                <w:sz w:val="17"/>
                <w:szCs w:val="17"/>
                <w:lang w:val="fr-FR"/>
              </w:rPr>
              <w:t>11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250002">
            <w:pPr>
              <w:keepNext/>
              <w:keepLines/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UPOV/INF/19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Règles concernant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octroi à des États et à des organisations intergouvernementales ou des organisations internationales non gouvernementales du statut d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observateur auprès des organes de 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UPOV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UPOV/INF/19/1 adopté en </w:t>
            </w:r>
            <w:r w:rsidR="00B963B8" w:rsidRPr="004748A3">
              <w:rPr>
                <w:sz w:val="17"/>
                <w:szCs w:val="17"/>
                <w:lang w:val="fr-FR"/>
              </w:rPr>
              <w:t>novembre 20</w:t>
            </w:r>
            <w:r w:rsidRPr="004748A3">
              <w:rPr>
                <w:sz w:val="17"/>
                <w:szCs w:val="17"/>
                <w:lang w:val="fr-FR"/>
              </w:rPr>
              <w:t>12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250002">
            <w:pPr>
              <w:keepNext/>
              <w:keepLines/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UPOV/INF/20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Règles concernant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>accès aux documents de l</w:t>
            </w:r>
            <w:r w:rsidR="00562636" w:rsidRPr="004748A3">
              <w:rPr>
                <w:sz w:val="17"/>
                <w:szCs w:val="17"/>
                <w:lang w:val="fr-FR"/>
              </w:rPr>
              <w:t>’</w:t>
            </w:r>
            <w:r w:rsidRPr="004748A3">
              <w:rPr>
                <w:sz w:val="17"/>
                <w:szCs w:val="17"/>
                <w:lang w:val="fr-FR"/>
              </w:rPr>
              <w:t xml:space="preserve">UPOV 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UPOV/INF/20/1 adopté en </w:t>
            </w:r>
            <w:r w:rsidR="00B963B8" w:rsidRPr="004748A3">
              <w:rPr>
                <w:sz w:val="17"/>
                <w:szCs w:val="17"/>
                <w:lang w:val="fr-FR"/>
              </w:rPr>
              <w:t>novembre 20</w:t>
            </w:r>
            <w:r w:rsidRPr="004748A3">
              <w:rPr>
                <w:sz w:val="17"/>
                <w:szCs w:val="17"/>
                <w:lang w:val="fr-FR"/>
              </w:rPr>
              <w:t>12</w:t>
            </w:r>
          </w:p>
        </w:tc>
      </w:tr>
      <w:tr w:rsidR="007D7093" w:rsidRPr="004748A3">
        <w:trPr>
          <w:cantSplit/>
          <w:jc w:val="center"/>
        </w:trPr>
        <w:tc>
          <w:tcPr>
            <w:tcW w:w="1599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UPOV/INF/21</w:t>
            </w:r>
          </w:p>
        </w:tc>
        <w:tc>
          <w:tcPr>
            <w:tcW w:w="8657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>Mécanismes extrajudiciaires de règlement des litiges</w:t>
            </w:r>
          </w:p>
        </w:tc>
        <w:tc>
          <w:tcPr>
            <w:tcW w:w="4961" w:type="dxa"/>
          </w:tcPr>
          <w:p w:rsidR="007D7093" w:rsidRPr="004748A3" w:rsidRDefault="007D7093" w:rsidP="00D9528F">
            <w:pPr>
              <w:jc w:val="left"/>
              <w:rPr>
                <w:sz w:val="17"/>
                <w:szCs w:val="17"/>
                <w:lang w:val="fr-FR"/>
              </w:rPr>
            </w:pPr>
            <w:r w:rsidRPr="004748A3">
              <w:rPr>
                <w:sz w:val="17"/>
                <w:szCs w:val="17"/>
                <w:lang w:val="fr-FR"/>
              </w:rPr>
              <w:t xml:space="preserve">UPOV/INF/21/1 adopté en </w:t>
            </w:r>
            <w:r w:rsidR="00B963B8" w:rsidRPr="004748A3">
              <w:rPr>
                <w:sz w:val="17"/>
                <w:szCs w:val="17"/>
                <w:lang w:val="fr-FR"/>
              </w:rPr>
              <w:t>novembre 20</w:t>
            </w:r>
            <w:r w:rsidRPr="004748A3">
              <w:rPr>
                <w:sz w:val="17"/>
                <w:szCs w:val="17"/>
                <w:lang w:val="fr-FR"/>
              </w:rPr>
              <w:t>12</w:t>
            </w:r>
          </w:p>
        </w:tc>
      </w:tr>
    </w:tbl>
    <w:p w:rsidR="007D7093" w:rsidRDefault="007D7093" w:rsidP="00835DF1">
      <w:pPr>
        <w:jc w:val="right"/>
        <w:rPr>
          <w:lang w:val="fr-FR"/>
        </w:rPr>
      </w:pPr>
    </w:p>
    <w:p w:rsidR="002259B3" w:rsidRPr="00563EA2" w:rsidRDefault="002259B3" w:rsidP="00835DF1">
      <w:pPr>
        <w:jc w:val="right"/>
        <w:rPr>
          <w:lang w:val="fr-FR"/>
        </w:rPr>
      </w:pPr>
    </w:p>
    <w:p w:rsidR="007D7093" w:rsidRPr="00563EA2" w:rsidRDefault="007D7093" w:rsidP="00835DF1">
      <w:pPr>
        <w:jc w:val="right"/>
        <w:rPr>
          <w:snapToGrid w:val="0"/>
          <w:lang w:val="fr-FR"/>
        </w:rPr>
      </w:pPr>
      <w:r w:rsidRPr="00563EA2">
        <w:rPr>
          <w:lang w:val="fr-FR"/>
        </w:rPr>
        <w:t>[Fin de l</w:t>
      </w:r>
      <w:r w:rsidR="00562636" w:rsidRPr="00563EA2">
        <w:rPr>
          <w:lang w:val="fr-FR"/>
        </w:rPr>
        <w:t>’</w:t>
      </w:r>
      <w:r w:rsidRPr="00563EA2">
        <w:rPr>
          <w:lang w:val="fr-FR"/>
        </w:rPr>
        <w:t>annexe et du document]</w:t>
      </w:r>
    </w:p>
    <w:sectPr w:rsidR="007D7093" w:rsidRPr="00563EA2" w:rsidSect="006543C8">
      <w:headerReference w:type="default" r:id="rId11"/>
      <w:headerReference w:type="first" r:id="rId12"/>
      <w:pgSz w:w="16840" w:h="11907" w:orient="landscape" w:code="9"/>
      <w:pgMar w:top="510" w:right="1134" w:bottom="567" w:left="1134" w:header="51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5D" w:rsidRDefault="00CF385D">
      <w:r>
        <w:separator/>
      </w:r>
    </w:p>
    <w:p w:rsidR="00CF385D" w:rsidRDefault="00CF385D"/>
    <w:p w:rsidR="00CF385D" w:rsidRDefault="00CF385D"/>
  </w:endnote>
  <w:endnote w:type="continuationSeparator" w:id="0">
    <w:p w:rsidR="00CF385D" w:rsidRDefault="00CF385D">
      <w:r>
        <w:separator/>
      </w:r>
    </w:p>
    <w:p w:rsidR="00CF385D" w:rsidRPr="00664515" w:rsidRDefault="00CF385D">
      <w:pPr>
        <w:pStyle w:val="Footer"/>
        <w:spacing w:after="60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de la page précédente]</w:t>
      </w:r>
    </w:p>
    <w:p w:rsidR="00CF385D" w:rsidRPr="00664515" w:rsidRDefault="00CF385D">
      <w:pPr>
        <w:rPr>
          <w:lang w:val="fr-CH"/>
        </w:rPr>
      </w:pPr>
    </w:p>
    <w:p w:rsidR="00CF385D" w:rsidRPr="00664515" w:rsidRDefault="00CF385D">
      <w:pPr>
        <w:rPr>
          <w:lang w:val="fr-CH"/>
        </w:rPr>
      </w:pPr>
    </w:p>
  </w:endnote>
  <w:endnote w:type="continuationNotice" w:id="1">
    <w:p w:rsidR="00CF385D" w:rsidRPr="00664515" w:rsidRDefault="00CF385D">
      <w:pPr>
        <w:spacing w:before="60"/>
        <w:jc w:val="right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page suivante]</w:t>
      </w:r>
    </w:p>
    <w:p w:rsidR="00CF385D" w:rsidRPr="00664515" w:rsidRDefault="00CF385D">
      <w:pPr>
        <w:rPr>
          <w:lang w:val="fr-CH"/>
        </w:rPr>
      </w:pPr>
    </w:p>
    <w:p w:rsidR="00CF385D" w:rsidRPr="00664515" w:rsidRDefault="00CF385D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5D" w:rsidRDefault="00CF385D" w:rsidP="009D690D">
      <w:pPr>
        <w:spacing w:before="120"/>
      </w:pPr>
      <w:r>
        <w:separator/>
      </w:r>
    </w:p>
  </w:footnote>
  <w:footnote w:type="continuationSeparator" w:id="0">
    <w:p w:rsidR="00CF385D" w:rsidRDefault="00CF385D" w:rsidP="00520297">
      <w:pPr>
        <w:spacing w:before="120"/>
        <w:jc w:val="left"/>
      </w:pPr>
      <w:r>
        <w:separator/>
      </w:r>
    </w:p>
  </w:footnote>
  <w:footnote w:type="continuationNotice" w:id="1">
    <w:p w:rsidR="00CF385D" w:rsidRDefault="00CF38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60" w:rsidRPr="00997029" w:rsidRDefault="00076D60" w:rsidP="00EB048E">
    <w:pPr>
      <w:pStyle w:val="Header"/>
      <w:rPr>
        <w:rStyle w:val="PageNumber"/>
      </w:rPr>
    </w:pPr>
    <w:r>
      <w:rPr>
        <w:rStyle w:val="PageNumber"/>
      </w:rPr>
      <w:t>CAJ/68/2</w:t>
    </w:r>
  </w:p>
  <w:p w:rsidR="00076D60" w:rsidRPr="00997029" w:rsidRDefault="00076D60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6362D6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076D60" w:rsidRPr="00997029" w:rsidRDefault="00076D60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60" w:rsidRPr="00997029" w:rsidRDefault="00076D60" w:rsidP="00EB048E">
    <w:pPr>
      <w:pStyle w:val="Header"/>
      <w:rPr>
        <w:rStyle w:val="PageNumber"/>
      </w:rPr>
    </w:pPr>
    <w:r>
      <w:rPr>
        <w:rStyle w:val="PageNumber"/>
      </w:rPr>
      <w:t>CAJ/68/2</w:t>
    </w:r>
  </w:p>
  <w:p w:rsidR="00076D60" w:rsidRPr="00997029" w:rsidRDefault="00076D60" w:rsidP="00EB048E">
    <w:pPr>
      <w:pStyle w:val="Head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6362D6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076D60" w:rsidRPr="00997029" w:rsidRDefault="00076D60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60" w:rsidRDefault="00076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56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D4"/>
    <w:rsid w:val="00001380"/>
    <w:rsid w:val="00001D48"/>
    <w:rsid w:val="00010CF3"/>
    <w:rsid w:val="00011E27"/>
    <w:rsid w:val="000148BC"/>
    <w:rsid w:val="00024AB8"/>
    <w:rsid w:val="000341D8"/>
    <w:rsid w:val="00036028"/>
    <w:rsid w:val="000446B9"/>
    <w:rsid w:val="00047E21"/>
    <w:rsid w:val="00062305"/>
    <w:rsid w:val="00074811"/>
    <w:rsid w:val="00076D60"/>
    <w:rsid w:val="000816F2"/>
    <w:rsid w:val="00085505"/>
    <w:rsid w:val="000941FB"/>
    <w:rsid w:val="000B52CE"/>
    <w:rsid w:val="000C7021"/>
    <w:rsid w:val="000D6BBC"/>
    <w:rsid w:val="000D7780"/>
    <w:rsid w:val="000F5F56"/>
    <w:rsid w:val="00105929"/>
    <w:rsid w:val="00110481"/>
    <w:rsid w:val="00111069"/>
    <w:rsid w:val="001131D5"/>
    <w:rsid w:val="00136FFF"/>
    <w:rsid w:val="00141DB8"/>
    <w:rsid w:val="00163C86"/>
    <w:rsid w:val="00165CD8"/>
    <w:rsid w:val="0017474A"/>
    <w:rsid w:val="001758C6"/>
    <w:rsid w:val="00193864"/>
    <w:rsid w:val="001B6A27"/>
    <w:rsid w:val="001C3DF3"/>
    <w:rsid w:val="001C522C"/>
    <w:rsid w:val="001F13CB"/>
    <w:rsid w:val="001F1F2A"/>
    <w:rsid w:val="00205516"/>
    <w:rsid w:val="00210F9B"/>
    <w:rsid w:val="0021332C"/>
    <w:rsid w:val="00213982"/>
    <w:rsid w:val="002259B3"/>
    <w:rsid w:val="002308D7"/>
    <w:rsid w:val="00237C7D"/>
    <w:rsid w:val="0024416D"/>
    <w:rsid w:val="00250002"/>
    <w:rsid w:val="00253C04"/>
    <w:rsid w:val="002659CE"/>
    <w:rsid w:val="0027309C"/>
    <w:rsid w:val="002800A0"/>
    <w:rsid w:val="00281060"/>
    <w:rsid w:val="00292338"/>
    <w:rsid w:val="0029439F"/>
    <w:rsid w:val="002A6E50"/>
    <w:rsid w:val="002C256A"/>
    <w:rsid w:val="002D14B8"/>
    <w:rsid w:val="002E200F"/>
    <w:rsid w:val="002E7BA1"/>
    <w:rsid w:val="002F1AA8"/>
    <w:rsid w:val="002F78FA"/>
    <w:rsid w:val="00300A07"/>
    <w:rsid w:val="00305A7F"/>
    <w:rsid w:val="003152FE"/>
    <w:rsid w:val="003227D9"/>
    <w:rsid w:val="00327436"/>
    <w:rsid w:val="00343CD9"/>
    <w:rsid w:val="00344BD6"/>
    <w:rsid w:val="0035528D"/>
    <w:rsid w:val="00361821"/>
    <w:rsid w:val="00387BF2"/>
    <w:rsid w:val="00390D59"/>
    <w:rsid w:val="00392D43"/>
    <w:rsid w:val="00394429"/>
    <w:rsid w:val="003A11B7"/>
    <w:rsid w:val="003A17C8"/>
    <w:rsid w:val="003A44BC"/>
    <w:rsid w:val="003C563E"/>
    <w:rsid w:val="003D227C"/>
    <w:rsid w:val="003D2B4D"/>
    <w:rsid w:val="003F6136"/>
    <w:rsid w:val="00414471"/>
    <w:rsid w:val="00427139"/>
    <w:rsid w:val="00444A88"/>
    <w:rsid w:val="00470047"/>
    <w:rsid w:val="004748A3"/>
    <w:rsid w:val="00474DA4"/>
    <w:rsid w:val="00492820"/>
    <w:rsid w:val="00496BC8"/>
    <w:rsid w:val="004A2951"/>
    <w:rsid w:val="004D047D"/>
    <w:rsid w:val="004D771D"/>
    <w:rsid w:val="004E6F76"/>
    <w:rsid w:val="004F305A"/>
    <w:rsid w:val="00512164"/>
    <w:rsid w:val="00520297"/>
    <w:rsid w:val="00526292"/>
    <w:rsid w:val="005338F9"/>
    <w:rsid w:val="005364D4"/>
    <w:rsid w:val="0054281C"/>
    <w:rsid w:val="0055268D"/>
    <w:rsid w:val="005571F0"/>
    <w:rsid w:val="00562636"/>
    <w:rsid w:val="00563EA2"/>
    <w:rsid w:val="00565FA8"/>
    <w:rsid w:val="00572E44"/>
    <w:rsid w:val="00576BE4"/>
    <w:rsid w:val="00592412"/>
    <w:rsid w:val="005A400A"/>
    <w:rsid w:val="005E5308"/>
    <w:rsid w:val="005F5A4E"/>
    <w:rsid w:val="00612379"/>
    <w:rsid w:val="0061555F"/>
    <w:rsid w:val="006218DA"/>
    <w:rsid w:val="006362D6"/>
    <w:rsid w:val="00641200"/>
    <w:rsid w:val="00643D59"/>
    <w:rsid w:val="00645156"/>
    <w:rsid w:val="00652008"/>
    <w:rsid w:val="006543C8"/>
    <w:rsid w:val="00663ED8"/>
    <w:rsid w:val="00664515"/>
    <w:rsid w:val="00664646"/>
    <w:rsid w:val="006654AC"/>
    <w:rsid w:val="00687EB4"/>
    <w:rsid w:val="00690BA2"/>
    <w:rsid w:val="00696C09"/>
    <w:rsid w:val="006B17D2"/>
    <w:rsid w:val="006B45FA"/>
    <w:rsid w:val="006C224E"/>
    <w:rsid w:val="006C453D"/>
    <w:rsid w:val="006E21EA"/>
    <w:rsid w:val="00732DEC"/>
    <w:rsid w:val="00733FD6"/>
    <w:rsid w:val="00735BD5"/>
    <w:rsid w:val="0075117E"/>
    <w:rsid w:val="007556F6"/>
    <w:rsid w:val="00760EEF"/>
    <w:rsid w:val="00777EE5"/>
    <w:rsid w:val="00784836"/>
    <w:rsid w:val="00785B99"/>
    <w:rsid w:val="0079023E"/>
    <w:rsid w:val="007B6894"/>
    <w:rsid w:val="007D0B9D"/>
    <w:rsid w:val="007D19B0"/>
    <w:rsid w:val="007D2B2B"/>
    <w:rsid w:val="007D5742"/>
    <w:rsid w:val="007D7093"/>
    <w:rsid w:val="007E1CCF"/>
    <w:rsid w:val="007E7F63"/>
    <w:rsid w:val="007F498F"/>
    <w:rsid w:val="0080679D"/>
    <w:rsid w:val="008108B0"/>
    <w:rsid w:val="00811B20"/>
    <w:rsid w:val="0082296E"/>
    <w:rsid w:val="00824099"/>
    <w:rsid w:val="00835DF1"/>
    <w:rsid w:val="00836E88"/>
    <w:rsid w:val="00855DBD"/>
    <w:rsid w:val="0086170F"/>
    <w:rsid w:val="00867AC1"/>
    <w:rsid w:val="008723C6"/>
    <w:rsid w:val="00875D98"/>
    <w:rsid w:val="00877F4A"/>
    <w:rsid w:val="008A395B"/>
    <w:rsid w:val="008A5512"/>
    <w:rsid w:val="008A743F"/>
    <w:rsid w:val="008B2004"/>
    <w:rsid w:val="008B51D0"/>
    <w:rsid w:val="008B6B42"/>
    <w:rsid w:val="008C0970"/>
    <w:rsid w:val="008C2182"/>
    <w:rsid w:val="008D2CF7"/>
    <w:rsid w:val="008D684C"/>
    <w:rsid w:val="008E793E"/>
    <w:rsid w:val="008F7797"/>
    <w:rsid w:val="00900C26"/>
    <w:rsid w:val="0090197F"/>
    <w:rsid w:val="00902240"/>
    <w:rsid w:val="00906DDC"/>
    <w:rsid w:val="00934E09"/>
    <w:rsid w:val="00936253"/>
    <w:rsid w:val="00970FED"/>
    <w:rsid w:val="00972A51"/>
    <w:rsid w:val="00997029"/>
    <w:rsid w:val="009A283D"/>
    <w:rsid w:val="009B1109"/>
    <w:rsid w:val="009D0DE5"/>
    <w:rsid w:val="009D690D"/>
    <w:rsid w:val="009E65B6"/>
    <w:rsid w:val="00A006B1"/>
    <w:rsid w:val="00A078B2"/>
    <w:rsid w:val="00A15DC5"/>
    <w:rsid w:val="00A36672"/>
    <w:rsid w:val="00A42AC3"/>
    <w:rsid w:val="00A430CF"/>
    <w:rsid w:val="00A520A8"/>
    <w:rsid w:val="00A54309"/>
    <w:rsid w:val="00AB2B93"/>
    <w:rsid w:val="00AE0EF1"/>
    <w:rsid w:val="00B07301"/>
    <w:rsid w:val="00B224DE"/>
    <w:rsid w:val="00B35394"/>
    <w:rsid w:val="00B3601F"/>
    <w:rsid w:val="00B45895"/>
    <w:rsid w:val="00B573B4"/>
    <w:rsid w:val="00B62F85"/>
    <w:rsid w:val="00B64D82"/>
    <w:rsid w:val="00B84BBD"/>
    <w:rsid w:val="00B963B8"/>
    <w:rsid w:val="00BA43FB"/>
    <w:rsid w:val="00BC127D"/>
    <w:rsid w:val="00BC1FE6"/>
    <w:rsid w:val="00BC54C4"/>
    <w:rsid w:val="00BC64E8"/>
    <w:rsid w:val="00BD4C24"/>
    <w:rsid w:val="00C00FBB"/>
    <w:rsid w:val="00C061B6"/>
    <w:rsid w:val="00C175E1"/>
    <w:rsid w:val="00C21865"/>
    <w:rsid w:val="00C21DBF"/>
    <w:rsid w:val="00C2446C"/>
    <w:rsid w:val="00C36AE5"/>
    <w:rsid w:val="00C41D00"/>
    <w:rsid w:val="00C41F17"/>
    <w:rsid w:val="00C54BF4"/>
    <w:rsid w:val="00C57332"/>
    <w:rsid w:val="00C5791C"/>
    <w:rsid w:val="00C60046"/>
    <w:rsid w:val="00C66290"/>
    <w:rsid w:val="00C72B7A"/>
    <w:rsid w:val="00C85237"/>
    <w:rsid w:val="00C85E95"/>
    <w:rsid w:val="00C87A6B"/>
    <w:rsid w:val="00C973F2"/>
    <w:rsid w:val="00CA774A"/>
    <w:rsid w:val="00CC11B0"/>
    <w:rsid w:val="00CF385D"/>
    <w:rsid w:val="00CF7E36"/>
    <w:rsid w:val="00D10353"/>
    <w:rsid w:val="00D149A7"/>
    <w:rsid w:val="00D24210"/>
    <w:rsid w:val="00D3708D"/>
    <w:rsid w:val="00D40426"/>
    <w:rsid w:val="00D4245D"/>
    <w:rsid w:val="00D57727"/>
    <w:rsid w:val="00D57C96"/>
    <w:rsid w:val="00D671B7"/>
    <w:rsid w:val="00D8207A"/>
    <w:rsid w:val="00D91203"/>
    <w:rsid w:val="00D95174"/>
    <w:rsid w:val="00D9528F"/>
    <w:rsid w:val="00D95A5C"/>
    <w:rsid w:val="00DA4635"/>
    <w:rsid w:val="00DA6F36"/>
    <w:rsid w:val="00DC00EA"/>
    <w:rsid w:val="00DD3646"/>
    <w:rsid w:val="00DD6B7B"/>
    <w:rsid w:val="00E45A36"/>
    <w:rsid w:val="00E72D49"/>
    <w:rsid w:val="00E74ACB"/>
    <w:rsid w:val="00E7593C"/>
    <w:rsid w:val="00E7678A"/>
    <w:rsid w:val="00E86445"/>
    <w:rsid w:val="00E935F1"/>
    <w:rsid w:val="00E94A81"/>
    <w:rsid w:val="00EA1FFB"/>
    <w:rsid w:val="00EB00A6"/>
    <w:rsid w:val="00EB048E"/>
    <w:rsid w:val="00EB3EFA"/>
    <w:rsid w:val="00EC6BF0"/>
    <w:rsid w:val="00ED0D33"/>
    <w:rsid w:val="00ED6445"/>
    <w:rsid w:val="00EF2F89"/>
    <w:rsid w:val="00F01786"/>
    <w:rsid w:val="00F04DEB"/>
    <w:rsid w:val="00F1237A"/>
    <w:rsid w:val="00F22CBD"/>
    <w:rsid w:val="00F306A5"/>
    <w:rsid w:val="00F37961"/>
    <w:rsid w:val="00F42E34"/>
    <w:rsid w:val="00F6334D"/>
    <w:rsid w:val="00FA161B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37961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76D60"/>
    <w:pPr>
      <w:keepNext/>
      <w:ind w:left="567" w:hanging="567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816F2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37961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076D60"/>
    <w:rPr>
      <w:rFonts w:ascii="Arial" w:hAnsi="Arial" w:cs="Arial"/>
      <w:u w:val="single"/>
    </w:rPr>
  </w:style>
  <w:style w:type="character" w:customStyle="1" w:styleId="Heading3Char">
    <w:name w:val="Heading 3 Char"/>
    <w:link w:val="Heading3"/>
    <w:uiPriority w:val="99"/>
    <w:rsid w:val="000816F2"/>
    <w:rPr>
      <w:rFonts w:ascii="Arial" w:hAnsi="Arial" w:cs="Arial"/>
      <w:i/>
      <w:iCs/>
      <w:lang w:val="en-US" w:eastAsia="en-US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F37961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uiPriority w:val="99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link w:val="EndnoteText"/>
    <w:uiPriority w:val="99"/>
    <w:semiHidden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F37961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B3601F"/>
    <w:pPr>
      <w:tabs>
        <w:tab w:val="right" w:leader="dot" w:pos="9639"/>
      </w:tabs>
      <w:spacing w:before="120" w:after="120"/>
      <w:ind w:left="851" w:right="851" w:hanging="425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816F2"/>
    <w:pPr>
      <w:tabs>
        <w:tab w:val="right" w:leader="dot" w:pos="9639"/>
      </w:tabs>
      <w:spacing w:before="120"/>
      <w:ind w:left="851" w:right="851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39"/>
    <w:rsid w:val="00B3601F"/>
    <w:pPr>
      <w:tabs>
        <w:tab w:val="right" w:leader="dot" w:pos="9639"/>
      </w:tabs>
      <w:spacing w:after="120"/>
      <w:ind w:left="426" w:right="284" w:hanging="426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rsid w:val="00205516"/>
    <w:rPr>
      <w:rFonts w:ascii="Arial" w:hAnsi="Arial"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37961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76D60"/>
    <w:pPr>
      <w:keepNext/>
      <w:ind w:left="567" w:hanging="567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816F2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37961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076D60"/>
    <w:rPr>
      <w:rFonts w:ascii="Arial" w:hAnsi="Arial" w:cs="Arial"/>
      <w:u w:val="single"/>
    </w:rPr>
  </w:style>
  <w:style w:type="character" w:customStyle="1" w:styleId="Heading3Char">
    <w:name w:val="Heading 3 Char"/>
    <w:link w:val="Heading3"/>
    <w:uiPriority w:val="99"/>
    <w:rsid w:val="000816F2"/>
    <w:rPr>
      <w:rFonts w:ascii="Arial" w:hAnsi="Arial" w:cs="Arial"/>
      <w:i/>
      <w:iCs/>
      <w:lang w:val="en-US" w:eastAsia="en-US"/>
    </w:rPr>
  </w:style>
  <w:style w:type="character" w:customStyle="1" w:styleId="Heading4Char">
    <w:name w:val="Heading 4 Char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F37961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uiPriority w:val="99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link w:val="EndnoteText"/>
    <w:uiPriority w:val="99"/>
    <w:semiHidden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F37961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B3601F"/>
    <w:pPr>
      <w:tabs>
        <w:tab w:val="right" w:leader="dot" w:pos="9639"/>
      </w:tabs>
      <w:spacing w:before="120" w:after="120"/>
      <w:ind w:left="851" w:right="851" w:hanging="425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0816F2"/>
    <w:pPr>
      <w:tabs>
        <w:tab w:val="right" w:leader="dot" w:pos="9639"/>
      </w:tabs>
      <w:spacing w:before="120"/>
      <w:ind w:left="851" w:right="851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39"/>
    <w:rsid w:val="00B3601F"/>
    <w:pPr>
      <w:tabs>
        <w:tab w:val="right" w:leader="dot" w:pos="9639"/>
      </w:tabs>
      <w:spacing w:after="120"/>
      <w:ind w:left="426" w:right="284" w:hanging="426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uiPriority w:val="99"/>
    <w:rsid w:val="00205516"/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fr/topic.jsp?group_id=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F866-863A-4769-9AC7-929ED589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3508</Words>
  <Characters>20904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24364</CharactersWithSpaces>
  <SharedDoc>false</SharedDoc>
  <HLinks>
    <vt:vector size="6" baseType="variant">
      <vt:variant>
        <vt:i4>7798877</vt:i4>
      </vt:variant>
      <vt:variant>
        <vt:i4>68</vt:i4>
      </vt:variant>
      <vt:variant>
        <vt:i4>0</vt:i4>
      </vt:variant>
      <vt:variant>
        <vt:i4>5</vt:i4>
      </vt:variant>
      <vt:variant>
        <vt:lpwstr>http://www.upov.int/meetings/en/topic.jsp?group_id=73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keywords>BP/mhf</cp:keywords>
  <cp:lastModifiedBy>BESSE Ariane</cp:lastModifiedBy>
  <cp:revision>8</cp:revision>
  <cp:lastPrinted>2013-10-09T10:50:00Z</cp:lastPrinted>
  <dcterms:created xsi:type="dcterms:W3CDTF">2013-10-08T06:34:00Z</dcterms:created>
  <dcterms:modified xsi:type="dcterms:W3CDTF">2013-10-09T17:28:00Z</dcterms:modified>
</cp:coreProperties>
</file>