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87BD4" w:rsidRPr="00754CC2" w:rsidTr="00FF414C">
        <w:trPr>
          <w:trHeight w:val="1760"/>
        </w:trPr>
        <w:tc>
          <w:tcPr>
            <w:tcW w:w="4243" w:type="dxa"/>
          </w:tcPr>
          <w:p w:rsidR="00287BD4" w:rsidRPr="00754CC2" w:rsidRDefault="00287BD4" w:rsidP="00FF414C">
            <w:pPr>
              <w:rPr>
                <w:lang w:val="fr-FR"/>
              </w:rPr>
            </w:pPr>
          </w:p>
        </w:tc>
        <w:tc>
          <w:tcPr>
            <w:tcW w:w="1646" w:type="dxa"/>
            <w:vAlign w:val="center"/>
          </w:tcPr>
          <w:p w:rsidR="00287BD4" w:rsidRPr="00754CC2" w:rsidRDefault="00287BD4" w:rsidP="00FF414C">
            <w:pPr>
              <w:pStyle w:val="LogoUPOV"/>
              <w:ind w:left="57"/>
              <w:rPr>
                <w:lang w:val="fr-FR"/>
              </w:rPr>
            </w:pPr>
            <w:r w:rsidRPr="00754CC2">
              <w:rPr>
                <w:noProof/>
                <w:lang w:val="fr-FR"/>
              </w:rPr>
              <w:drawing>
                <wp:inline distT="0" distB="0" distL="0" distR="0" wp14:anchorId="0C746B97" wp14:editId="695028EA">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287BD4" w:rsidRPr="00754CC2" w:rsidRDefault="00287BD4" w:rsidP="00FF414C">
            <w:pPr>
              <w:pStyle w:val="Lettrine"/>
            </w:pPr>
            <w:r w:rsidRPr="00754CC2">
              <w:t>F</w:t>
            </w:r>
          </w:p>
          <w:p w:rsidR="00287BD4" w:rsidRPr="00754CC2" w:rsidRDefault="002D4E53" w:rsidP="00FF414C">
            <w:pPr>
              <w:spacing w:before="120" w:line="280" w:lineRule="exact"/>
              <w:ind w:left="1304"/>
              <w:jc w:val="left"/>
              <w:rPr>
                <w:rFonts w:cs="Arial"/>
                <w:lang w:val="fr-FR"/>
              </w:rPr>
            </w:pPr>
            <w:bookmarkStart w:id="0" w:name="Code"/>
            <w:bookmarkEnd w:id="0"/>
            <w:r w:rsidRPr="00754CC2">
              <w:rPr>
                <w:rFonts w:cs="Arial"/>
                <w:b/>
                <w:spacing w:val="10"/>
                <w:lang w:val="fr-FR"/>
              </w:rPr>
              <w:t>UPOV/INF/15/3 Draft </w:t>
            </w:r>
            <w:r w:rsidR="00217807" w:rsidRPr="00754CC2">
              <w:rPr>
                <w:rFonts w:cs="Arial"/>
                <w:b/>
                <w:spacing w:val="10"/>
                <w:lang w:val="fr-FR"/>
              </w:rPr>
              <w:t>2</w:t>
            </w:r>
            <w:r w:rsidR="00287BD4" w:rsidRPr="00754CC2">
              <w:rPr>
                <w:rFonts w:cs="Arial"/>
                <w:b/>
                <w:spacing w:val="10"/>
                <w:lang w:val="fr-FR"/>
              </w:rPr>
              <w:br/>
            </w:r>
            <w:r w:rsidR="00287BD4" w:rsidRPr="00754CC2">
              <w:rPr>
                <w:rFonts w:cs="Arial"/>
                <w:b/>
                <w:lang w:val="fr-FR"/>
              </w:rPr>
              <w:t>ORIGINAL</w:t>
            </w:r>
            <w:r w:rsidR="00926645" w:rsidRPr="00754CC2">
              <w:rPr>
                <w:rFonts w:cs="Arial"/>
                <w:b/>
                <w:lang w:val="fr-FR"/>
              </w:rPr>
              <w:t> </w:t>
            </w:r>
            <w:r w:rsidR="00287BD4" w:rsidRPr="00754CC2">
              <w:rPr>
                <w:rFonts w:cs="Arial"/>
                <w:b/>
                <w:lang w:val="fr-FR"/>
              </w:rPr>
              <w:t>:</w:t>
            </w:r>
            <w:r w:rsidR="00287BD4" w:rsidRPr="00754CC2">
              <w:rPr>
                <w:rFonts w:cs="Arial"/>
                <w:lang w:val="fr-FR"/>
              </w:rPr>
              <w:t xml:space="preserve"> anglais</w:t>
            </w:r>
          </w:p>
          <w:p w:rsidR="00287BD4" w:rsidRPr="00754CC2" w:rsidRDefault="00287BD4" w:rsidP="00217807">
            <w:pPr>
              <w:pStyle w:val="Docoriginal"/>
              <w:ind w:left="1304"/>
              <w:rPr>
                <w:spacing w:val="0"/>
                <w:lang w:val="fr-FR"/>
              </w:rPr>
            </w:pPr>
            <w:r w:rsidRPr="00754CC2">
              <w:rPr>
                <w:rFonts w:cs="Arial"/>
                <w:spacing w:val="0"/>
                <w:lang w:val="fr-FR"/>
              </w:rPr>
              <w:t>DATE</w:t>
            </w:r>
            <w:r w:rsidR="00926645" w:rsidRPr="00754CC2">
              <w:rPr>
                <w:rFonts w:cs="Arial"/>
                <w:spacing w:val="0"/>
                <w:lang w:val="fr-FR"/>
              </w:rPr>
              <w:t> </w:t>
            </w:r>
            <w:r w:rsidRPr="00754CC2">
              <w:rPr>
                <w:rFonts w:cs="Arial"/>
                <w:spacing w:val="0"/>
                <w:lang w:val="fr-FR"/>
              </w:rPr>
              <w:t>:</w:t>
            </w:r>
            <w:r w:rsidRPr="00754CC2">
              <w:rPr>
                <w:rFonts w:cs="Arial"/>
                <w:b w:val="0"/>
                <w:spacing w:val="0"/>
                <w:lang w:val="fr-FR"/>
              </w:rPr>
              <w:t xml:space="preserve"> </w:t>
            </w:r>
            <w:r w:rsidRPr="00754CC2">
              <w:rPr>
                <w:b w:val="0"/>
                <w:spacing w:val="0"/>
                <w:lang w:val="fr-FR"/>
              </w:rPr>
              <w:t>1</w:t>
            </w:r>
            <w:r w:rsidR="00347556" w:rsidRPr="00754CC2">
              <w:rPr>
                <w:b w:val="0"/>
                <w:spacing w:val="0"/>
                <w:lang w:val="fr-FR"/>
              </w:rPr>
              <w:t>1</w:t>
            </w:r>
            <w:r w:rsidRPr="00754CC2">
              <w:rPr>
                <w:b w:val="0"/>
                <w:spacing w:val="0"/>
                <w:lang w:val="fr-FR"/>
              </w:rPr>
              <w:t> </w:t>
            </w:r>
            <w:r w:rsidR="00217807" w:rsidRPr="00754CC2">
              <w:rPr>
                <w:b w:val="0"/>
                <w:spacing w:val="0"/>
                <w:lang w:val="fr-FR"/>
              </w:rPr>
              <w:t>février</w:t>
            </w:r>
            <w:r w:rsidRPr="00754CC2">
              <w:rPr>
                <w:b w:val="0"/>
                <w:spacing w:val="0"/>
                <w:lang w:val="fr-FR"/>
              </w:rPr>
              <w:t> 201</w:t>
            </w:r>
            <w:r w:rsidR="00217807" w:rsidRPr="00754CC2">
              <w:rPr>
                <w:b w:val="0"/>
                <w:spacing w:val="0"/>
                <w:lang w:val="fr-FR"/>
              </w:rPr>
              <w:t>5</w:t>
            </w:r>
          </w:p>
        </w:tc>
      </w:tr>
      <w:tr w:rsidR="00287BD4" w:rsidRPr="00754CC2" w:rsidTr="00FF414C">
        <w:tc>
          <w:tcPr>
            <w:tcW w:w="10131" w:type="dxa"/>
            <w:gridSpan w:val="3"/>
          </w:tcPr>
          <w:p w:rsidR="00287BD4" w:rsidRPr="00754CC2" w:rsidRDefault="00287BD4" w:rsidP="00FF414C">
            <w:pPr>
              <w:pStyle w:val="upove"/>
              <w:rPr>
                <w:sz w:val="28"/>
                <w:lang w:val="fr-FR"/>
              </w:rPr>
            </w:pPr>
            <w:r w:rsidRPr="00754CC2">
              <w:rPr>
                <w:spacing w:val="6"/>
                <w:lang w:val="fr-FR"/>
              </w:rPr>
              <w:t>UNION INTERNATIONALE POUR LA PROTECTION DES OBTENTIONS VÉGÉTALES</w:t>
            </w:r>
            <w:r w:rsidRPr="00754CC2">
              <w:rPr>
                <w:snapToGrid w:val="0"/>
                <w:lang w:val="fr-FR"/>
              </w:rPr>
              <w:t xml:space="preserve"> </w:t>
            </w:r>
          </w:p>
        </w:tc>
      </w:tr>
      <w:tr w:rsidR="00287BD4" w:rsidRPr="00754CC2" w:rsidTr="00FF414C">
        <w:tc>
          <w:tcPr>
            <w:tcW w:w="10131" w:type="dxa"/>
            <w:gridSpan w:val="3"/>
          </w:tcPr>
          <w:p w:rsidR="00287BD4" w:rsidRPr="00754CC2" w:rsidRDefault="00287BD4" w:rsidP="00FF414C">
            <w:pPr>
              <w:pStyle w:val="Country"/>
              <w:rPr>
                <w:lang w:val="fr-FR"/>
              </w:rPr>
            </w:pPr>
            <w:r w:rsidRPr="00754CC2">
              <w:rPr>
                <w:lang w:val="fr-FR"/>
              </w:rPr>
              <w:t>Genève</w:t>
            </w:r>
          </w:p>
        </w:tc>
      </w:tr>
    </w:tbl>
    <w:p w:rsidR="001730B7" w:rsidRPr="00754CC2" w:rsidRDefault="00467D18" w:rsidP="00480111">
      <w:pPr>
        <w:pStyle w:val="preparedby0"/>
        <w:spacing w:before="1440" w:after="240"/>
        <w:rPr>
          <w:rFonts w:cs="Arial"/>
          <w:i w:val="0"/>
          <w:color w:val="000000"/>
          <w:highlight w:val="lightGray"/>
        </w:rPr>
      </w:pPr>
      <w:r w:rsidRPr="00754CC2">
        <w:rPr>
          <w:rFonts w:cs="Arial"/>
          <w:i w:val="0"/>
        </w:rPr>
        <w:t>DOCUMENT D</w:t>
      </w:r>
      <w:r w:rsidR="00FD700E" w:rsidRPr="00754CC2">
        <w:rPr>
          <w:rFonts w:cs="Arial"/>
          <w:i w:val="0"/>
        </w:rPr>
        <w:t>’</w:t>
      </w:r>
      <w:r w:rsidRPr="00754CC2">
        <w:rPr>
          <w:rFonts w:cs="Arial"/>
          <w:i w:val="0"/>
        </w:rPr>
        <w:t>ORIENTATION DESTINÉ AUX MEMBRES DE L</w:t>
      </w:r>
      <w:r w:rsidR="00FD700E" w:rsidRPr="00754CC2">
        <w:rPr>
          <w:rFonts w:cs="Arial"/>
          <w:i w:val="0"/>
        </w:rPr>
        <w:t>’</w:t>
      </w:r>
      <w:r w:rsidRPr="00754CC2">
        <w:rPr>
          <w:rFonts w:cs="Arial"/>
          <w:i w:val="0"/>
        </w:rPr>
        <w:t>UPOV</w:t>
      </w:r>
      <w:r w:rsidR="00C36DD4" w:rsidRPr="00754CC2">
        <w:rPr>
          <w:rFonts w:cs="Arial"/>
          <w:i w:val="0"/>
        </w:rPr>
        <w:t xml:space="preserve"> </w:t>
      </w:r>
      <w:r w:rsidR="00C36DD4" w:rsidRPr="00754CC2">
        <w:rPr>
          <w:rFonts w:cs="Arial"/>
          <w:i w:val="0"/>
          <w:strike/>
          <w:highlight w:val="lightGray"/>
        </w:rPr>
        <w:t>CONCERNANT LES OBLIGATIONS EN COURS ET LES NOTIFICATIONS CONNEXES,</w:t>
      </w:r>
      <w:r w:rsidR="001730B7" w:rsidRPr="00754CC2">
        <w:rPr>
          <w:rFonts w:cs="Arial"/>
          <w:i w:val="0"/>
          <w:strike/>
          <w:highlight w:val="lightGray"/>
        </w:rPr>
        <w:t xml:space="preserve"> </w:t>
      </w:r>
      <w:r w:rsidR="00C36DD4" w:rsidRPr="00754CC2">
        <w:rPr>
          <w:rFonts w:cs="Arial"/>
          <w:i w:val="0"/>
          <w:strike/>
          <w:highlight w:val="lightGray"/>
        </w:rPr>
        <w:t>AINSI QUE LA FOURNITURE D</w:t>
      </w:r>
      <w:r w:rsidR="00FD700E" w:rsidRPr="00754CC2">
        <w:rPr>
          <w:rFonts w:cs="Arial"/>
          <w:i w:val="0"/>
          <w:strike/>
          <w:highlight w:val="lightGray"/>
        </w:rPr>
        <w:t>’</w:t>
      </w:r>
      <w:r w:rsidR="00C36DD4" w:rsidRPr="00754CC2">
        <w:rPr>
          <w:rFonts w:cs="Arial"/>
          <w:i w:val="0"/>
          <w:strike/>
          <w:highlight w:val="lightGray"/>
        </w:rPr>
        <w:t>INFORMATIONS VISANT À FACILITER LA COOPÉRATION</w:t>
      </w:r>
    </w:p>
    <w:p w:rsidR="00603EB9" w:rsidRPr="00754CC2" w:rsidRDefault="00603EB9" w:rsidP="001730B7">
      <w:pPr>
        <w:pStyle w:val="preparedby0"/>
        <w:spacing w:after="880"/>
        <w:rPr>
          <w:color w:val="A6A6A6" w:themeColor="background1" w:themeShade="A6"/>
        </w:rPr>
      </w:pPr>
      <w:r w:rsidRPr="00754CC2">
        <w:rPr>
          <w:rFonts w:cs="Arial"/>
          <w:color w:val="000000"/>
        </w:rPr>
        <w:t>Document établi par le Bureau de l</w:t>
      </w:r>
      <w:r w:rsidR="00FD700E" w:rsidRPr="00754CC2">
        <w:rPr>
          <w:rFonts w:cs="Arial"/>
          <w:color w:val="000000"/>
        </w:rPr>
        <w:t>’</w:t>
      </w:r>
      <w:r w:rsidRPr="00754CC2">
        <w:rPr>
          <w:rFonts w:cs="Arial"/>
          <w:color w:val="000000"/>
        </w:rPr>
        <w:t xml:space="preserve">Union </w:t>
      </w:r>
      <w:r w:rsidR="001730B7" w:rsidRPr="00754CC2">
        <w:rPr>
          <w:rFonts w:cs="Arial"/>
          <w:color w:val="000000"/>
        </w:rPr>
        <w:br/>
      </w:r>
      <w:r w:rsidR="001730B7" w:rsidRPr="00754CC2">
        <w:rPr>
          <w:rFonts w:cs="Arial"/>
          <w:color w:val="000000"/>
        </w:rPr>
        <w:br/>
      </w:r>
      <w:r w:rsidRPr="00754CC2">
        <w:rPr>
          <w:rFonts w:cs="Arial"/>
          <w:color w:val="000000"/>
        </w:rPr>
        <w:t>aux fins de l</w:t>
      </w:r>
      <w:r w:rsidR="00FD700E" w:rsidRPr="00754CC2">
        <w:rPr>
          <w:rFonts w:cs="Arial"/>
          <w:color w:val="000000"/>
        </w:rPr>
        <w:t>’</w:t>
      </w:r>
      <w:r w:rsidRPr="00754CC2">
        <w:rPr>
          <w:rFonts w:cs="Arial"/>
          <w:color w:val="000000"/>
        </w:rPr>
        <w:t>examen par le Co</w:t>
      </w:r>
      <w:r w:rsidR="00217807" w:rsidRPr="00754CC2">
        <w:rPr>
          <w:rFonts w:cs="Arial"/>
          <w:color w:val="000000"/>
        </w:rPr>
        <w:t>nseil</w:t>
      </w:r>
      <w:r w:rsidRPr="00754CC2">
        <w:rPr>
          <w:rFonts w:cs="Arial"/>
          <w:color w:val="000000"/>
        </w:rPr>
        <w:t xml:space="preserve"> </w:t>
      </w:r>
      <w:r w:rsidR="001730B7" w:rsidRPr="00754CC2">
        <w:rPr>
          <w:rFonts w:cs="Arial"/>
          <w:color w:val="000000"/>
        </w:rPr>
        <w:br/>
      </w:r>
      <w:r w:rsidRPr="00754CC2">
        <w:rPr>
          <w:rFonts w:cs="Arial"/>
          <w:color w:val="000000"/>
        </w:rPr>
        <w:t xml:space="preserve">à sa </w:t>
      </w:r>
      <w:r w:rsidR="00217807" w:rsidRPr="00754CC2">
        <w:rPr>
          <w:rFonts w:cs="Arial"/>
          <w:color w:val="000000"/>
        </w:rPr>
        <w:t>trente</w:t>
      </w:r>
      <w:r w:rsidR="00B66F35" w:rsidRPr="00754CC2">
        <w:rPr>
          <w:rFonts w:cs="Arial"/>
          <w:color w:val="000000"/>
        </w:rPr>
        <w:noBreakHyphen/>
      </w:r>
      <w:r w:rsidR="00217807" w:rsidRPr="00754CC2">
        <w:rPr>
          <w:rFonts w:cs="Arial"/>
          <w:color w:val="000000"/>
        </w:rPr>
        <w:t>deux</w:t>
      </w:r>
      <w:r w:rsidRPr="00754CC2">
        <w:rPr>
          <w:rFonts w:cs="Arial"/>
          <w:color w:val="000000"/>
        </w:rPr>
        <w:t xml:space="preserve">ième session </w:t>
      </w:r>
      <w:r w:rsidR="00217807" w:rsidRPr="00754CC2">
        <w:rPr>
          <w:rFonts w:cs="Arial"/>
          <w:color w:val="000000"/>
        </w:rPr>
        <w:t xml:space="preserve">extraordinaire </w:t>
      </w:r>
      <w:r w:rsidRPr="00754CC2">
        <w:rPr>
          <w:rFonts w:cs="Arial"/>
          <w:color w:val="000000"/>
        </w:rPr>
        <w:t xml:space="preserve">qui se tiendra à Genève le </w:t>
      </w:r>
      <w:r w:rsidR="00217807" w:rsidRPr="00754CC2">
        <w:rPr>
          <w:rFonts w:cs="Arial"/>
          <w:color w:val="000000"/>
        </w:rPr>
        <w:t>27</w:t>
      </w:r>
      <w:r w:rsidR="00556163" w:rsidRPr="00754CC2">
        <w:rPr>
          <w:rFonts w:cs="Arial"/>
          <w:color w:val="000000"/>
        </w:rPr>
        <w:t> </w:t>
      </w:r>
      <w:r w:rsidR="00217807" w:rsidRPr="00754CC2">
        <w:rPr>
          <w:rFonts w:cs="Arial"/>
          <w:color w:val="000000"/>
        </w:rPr>
        <w:t>mars</w:t>
      </w:r>
      <w:r w:rsidR="00556163" w:rsidRPr="00754CC2">
        <w:rPr>
          <w:rFonts w:cs="Arial"/>
          <w:color w:val="000000"/>
        </w:rPr>
        <w:t> 20</w:t>
      </w:r>
      <w:r w:rsidRPr="00754CC2">
        <w:rPr>
          <w:rFonts w:cs="Arial"/>
          <w:color w:val="000000"/>
        </w:rPr>
        <w:t>1</w:t>
      </w:r>
      <w:r w:rsidR="00217807" w:rsidRPr="00754CC2">
        <w:rPr>
          <w:rFonts w:cs="Arial"/>
          <w:color w:val="000000"/>
        </w:rPr>
        <w:t>5</w:t>
      </w:r>
      <w:r w:rsidR="001730B7" w:rsidRPr="00754CC2">
        <w:rPr>
          <w:rFonts w:cs="Arial"/>
          <w:color w:val="000000"/>
        </w:rPr>
        <w:br/>
      </w:r>
      <w:r w:rsidR="001730B7" w:rsidRPr="00754CC2">
        <w:rPr>
          <w:rFonts w:cs="Arial"/>
          <w:color w:val="000000"/>
        </w:rPr>
        <w:br/>
      </w:r>
      <w:r w:rsidR="00E608EC" w:rsidRPr="00754CC2">
        <w:rPr>
          <w:color w:val="A6A6A6" w:themeColor="background1" w:themeShade="A6"/>
        </w:rPr>
        <w:t>Avertissement : le présent document ne représente pas les principes ou les orientations de l</w:t>
      </w:r>
      <w:r w:rsidR="00FD700E" w:rsidRPr="00754CC2">
        <w:rPr>
          <w:color w:val="A6A6A6" w:themeColor="background1" w:themeShade="A6"/>
        </w:rPr>
        <w:t>’</w:t>
      </w:r>
      <w:r w:rsidR="00E608EC" w:rsidRPr="00754CC2">
        <w:rPr>
          <w:color w:val="A6A6A6" w:themeColor="background1" w:themeShade="A6"/>
        </w:rPr>
        <w:t>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816"/>
      </w:tblGrid>
      <w:tr w:rsidR="00603EB9" w:rsidRPr="00754CC2" w:rsidTr="00C03A66">
        <w:trPr>
          <w:cantSplit/>
          <w:jc w:val="center"/>
        </w:trPr>
        <w:tc>
          <w:tcPr>
            <w:tcW w:w="7816" w:type="dxa"/>
            <w:shd w:val="clear" w:color="auto" w:fill="E6E6E6"/>
          </w:tcPr>
          <w:p w:rsidR="00C36DD4" w:rsidRPr="00754CC2" w:rsidRDefault="00E608EC" w:rsidP="00E608EC">
            <w:pPr>
              <w:jc w:val="center"/>
              <w:rPr>
                <w:szCs w:val="22"/>
                <w:u w:val="single"/>
                <w:lang w:val="fr-FR"/>
              </w:rPr>
            </w:pPr>
            <w:r w:rsidRPr="00754CC2">
              <w:rPr>
                <w:szCs w:val="22"/>
                <w:u w:val="single"/>
                <w:lang w:val="fr-FR"/>
              </w:rPr>
              <w:t>Précisions concernant cette version</w:t>
            </w:r>
          </w:p>
          <w:p w:rsidR="00C36DD4" w:rsidRPr="00754CC2" w:rsidRDefault="00C36DD4" w:rsidP="00E608EC">
            <w:pPr>
              <w:jc w:val="center"/>
              <w:rPr>
                <w:szCs w:val="22"/>
                <w:u w:val="single"/>
                <w:lang w:val="fr-FR"/>
              </w:rPr>
            </w:pPr>
          </w:p>
          <w:p w:rsidR="00C36DD4" w:rsidRPr="00754CC2" w:rsidRDefault="00E608EC" w:rsidP="00E608EC">
            <w:pPr>
              <w:rPr>
                <w:rFonts w:cs="Arial"/>
                <w:b/>
                <w:sz w:val="18"/>
                <w:szCs w:val="18"/>
                <w:lang w:val="fr-FR"/>
              </w:rPr>
            </w:pPr>
            <w:r w:rsidRPr="00754CC2">
              <w:rPr>
                <w:rFonts w:cs="Arial"/>
                <w:b/>
                <w:sz w:val="18"/>
                <w:szCs w:val="18"/>
                <w:lang w:val="fr-FR"/>
              </w:rPr>
              <w:t>PR</w:t>
            </w:r>
            <w:r w:rsidR="00C36DD4" w:rsidRPr="00754CC2">
              <w:rPr>
                <w:rFonts w:cs="Arial"/>
                <w:b/>
                <w:sz w:val="18"/>
                <w:szCs w:val="18"/>
                <w:lang w:val="fr-FR"/>
              </w:rPr>
              <w:t>É</w:t>
            </w:r>
            <w:r w:rsidRPr="00754CC2">
              <w:rPr>
                <w:rFonts w:cs="Arial"/>
                <w:b/>
                <w:sz w:val="18"/>
                <w:szCs w:val="18"/>
                <w:lang w:val="fr-FR"/>
              </w:rPr>
              <w:t>AMBULE</w:t>
            </w:r>
            <w:r w:rsidR="00447EC9" w:rsidRPr="00754CC2">
              <w:rPr>
                <w:rFonts w:cs="Arial"/>
                <w:b/>
                <w:sz w:val="18"/>
                <w:szCs w:val="18"/>
                <w:lang w:val="fr-FR"/>
              </w:rPr>
              <w:t>/</w:t>
            </w:r>
            <w:r w:rsidR="00C36DD4" w:rsidRPr="00754CC2">
              <w:rPr>
                <w:b/>
                <w:caps/>
                <w:sz w:val="18"/>
                <w:szCs w:val="18"/>
                <w:lang w:val="fr-FR"/>
              </w:rPr>
              <w:t>PREMIÈRE PARTIE</w:t>
            </w:r>
          </w:p>
          <w:p w:rsidR="00C36DD4" w:rsidRPr="00754CC2" w:rsidRDefault="00C36DD4" w:rsidP="00E37E33">
            <w:pPr>
              <w:rPr>
                <w:rFonts w:cs="Arial"/>
                <w:b/>
                <w:strike/>
                <w:sz w:val="18"/>
                <w:szCs w:val="22"/>
                <w:lang w:val="fr-FR"/>
              </w:rPr>
            </w:pPr>
          </w:p>
          <w:p w:rsidR="00C36DD4" w:rsidRPr="00754CC2" w:rsidRDefault="00E608EC" w:rsidP="00E608EC">
            <w:pPr>
              <w:rPr>
                <w:rFonts w:cs="Arial"/>
                <w:sz w:val="18"/>
                <w:szCs w:val="22"/>
                <w:lang w:val="fr-FR"/>
              </w:rPr>
            </w:pPr>
            <w:r w:rsidRPr="00754CC2">
              <w:rPr>
                <w:rFonts w:ascii="Arial Bold" w:hAnsi="Arial Bold" w:cs="Arial"/>
                <w:b/>
                <w:strike/>
                <w:sz w:val="18"/>
                <w:szCs w:val="22"/>
                <w:lang w:val="fr-FR"/>
              </w:rPr>
              <w:t>Le texte barré</w:t>
            </w:r>
            <w:r w:rsidRPr="00754CC2">
              <w:rPr>
                <w:rFonts w:cs="Arial"/>
                <w:b/>
                <w:sz w:val="18"/>
                <w:szCs w:val="22"/>
                <w:lang w:val="fr-FR"/>
              </w:rPr>
              <w:t xml:space="preserve"> (en surbrillance)</w:t>
            </w:r>
            <w:r w:rsidRPr="00754CC2">
              <w:rPr>
                <w:rFonts w:cs="Arial"/>
                <w:sz w:val="18"/>
                <w:szCs w:val="22"/>
                <w:lang w:val="fr-FR"/>
              </w:rPr>
              <w:t xml:space="preserve"> </w:t>
            </w:r>
            <w:r w:rsidR="002204F0" w:rsidRPr="00754CC2">
              <w:rPr>
                <w:rFonts w:cs="Arial"/>
                <w:sz w:val="18"/>
                <w:szCs w:val="22"/>
                <w:lang w:val="fr-FR"/>
              </w:rPr>
              <w:t>indique des parties</w:t>
            </w:r>
            <w:r w:rsidRPr="00754CC2">
              <w:rPr>
                <w:rFonts w:cs="Arial"/>
                <w:sz w:val="18"/>
                <w:szCs w:val="22"/>
                <w:lang w:val="fr-FR"/>
              </w:rPr>
              <w:t xml:space="preserve"> supprimé</w:t>
            </w:r>
            <w:r w:rsidR="002204F0" w:rsidRPr="00754CC2">
              <w:rPr>
                <w:rFonts w:cs="Arial"/>
                <w:sz w:val="18"/>
                <w:szCs w:val="22"/>
                <w:lang w:val="fr-FR"/>
              </w:rPr>
              <w:t>es a</w:t>
            </w:r>
            <w:r w:rsidRPr="00754CC2">
              <w:rPr>
                <w:rFonts w:cs="Arial"/>
                <w:sz w:val="18"/>
                <w:szCs w:val="22"/>
                <w:lang w:val="fr-FR"/>
              </w:rPr>
              <w:t>u document UPOV/INF/15/2</w:t>
            </w:r>
            <w:r w:rsidR="00217807" w:rsidRPr="00754CC2">
              <w:rPr>
                <w:rFonts w:cs="Arial"/>
                <w:sz w:val="18"/>
                <w:szCs w:val="22"/>
                <w:lang w:val="fr-FR"/>
              </w:rPr>
              <w:t xml:space="preserve"> </w:t>
            </w:r>
            <w:r w:rsidR="00217807" w:rsidRPr="00754CC2">
              <w:rPr>
                <w:rFonts w:cs="Arial"/>
                <w:sz w:val="18"/>
                <w:szCs w:val="18"/>
                <w:lang w:val="fr-FR"/>
              </w:rPr>
              <w:t>a</w:t>
            </w:r>
            <w:r w:rsidR="009F6D89" w:rsidRPr="00754CC2">
              <w:rPr>
                <w:rFonts w:cs="Arial"/>
                <w:sz w:val="18"/>
                <w:szCs w:val="18"/>
                <w:lang w:val="fr-FR"/>
              </w:rPr>
              <w:t>pprouvées par le Comité a</w:t>
            </w:r>
            <w:r w:rsidR="00217807" w:rsidRPr="00754CC2">
              <w:rPr>
                <w:rFonts w:cs="Arial"/>
                <w:color w:val="000000"/>
                <w:sz w:val="18"/>
                <w:szCs w:val="18"/>
                <w:lang w:val="fr-FR"/>
              </w:rPr>
              <w:t>dministrati</w:t>
            </w:r>
            <w:r w:rsidR="009F6D89" w:rsidRPr="00754CC2">
              <w:rPr>
                <w:rFonts w:cs="Arial"/>
                <w:color w:val="000000"/>
                <w:sz w:val="18"/>
                <w:szCs w:val="18"/>
                <w:lang w:val="fr-FR"/>
              </w:rPr>
              <w:t xml:space="preserve">f </w:t>
            </w:r>
            <w:r w:rsidR="00217807" w:rsidRPr="00754CC2">
              <w:rPr>
                <w:rFonts w:cs="Arial"/>
                <w:color w:val="000000"/>
                <w:sz w:val="18"/>
                <w:szCs w:val="18"/>
                <w:lang w:val="fr-FR"/>
              </w:rPr>
              <w:t>e</w:t>
            </w:r>
            <w:r w:rsidR="009F6D89" w:rsidRPr="00754CC2">
              <w:rPr>
                <w:rFonts w:cs="Arial"/>
                <w:color w:val="000000"/>
                <w:sz w:val="18"/>
                <w:szCs w:val="18"/>
                <w:lang w:val="fr-FR"/>
              </w:rPr>
              <w:t>t</w:t>
            </w:r>
            <w:r w:rsidR="00217807" w:rsidRPr="00754CC2">
              <w:rPr>
                <w:rFonts w:cs="Arial"/>
                <w:color w:val="000000"/>
                <w:sz w:val="18"/>
                <w:szCs w:val="18"/>
                <w:lang w:val="fr-FR"/>
              </w:rPr>
              <w:t xml:space="preserve"> </w:t>
            </w:r>
            <w:r w:rsidR="009F6D89" w:rsidRPr="00754CC2">
              <w:rPr>
                <w:rFonts w:cs="Arial"/>
                <w:color w:val="000000"/>
                <w:sz w:val="18"/>
                <w:szCs w:val="18"/>
                <w:lang w:val="fr-FR"/>
              </w:rPr>
              <w:t>juridique</w:t>
            </w:r>
            <w:r w:rsidR="00217807" w:rsidRPr="00754CC2">
              <w:rPr>
                <w:rFonts w:cs="Arial"/>
                <w:color w:val="000000"/>
                <w:sz w:val="18"/>
                <w:szCs w:val="18"/>
                <w:lang w:val="fr-FR"/>
              </w:rPr>
              <w:t xml:space="preserve"> (CAJ)</w:t>
            </w:r>
            <w:r w:rsidRPr="00754CC2">
              <w:rPr>
                <w:rFonts w:cs="Arial"/>
                <w:sz w:val="18"/>
                <w:szCs w:val="22"/>
                <w:lang w:val="fr-FR"/>
              </w:rPr>
              <w:t>.</w:t>
            </w:r>
          </w:p>
          <w:p w:rsidR="00C36DD4" w:rsidRPr="00754CC2" w:rsidRDefault="00C36DD4" w:rsidP="00E37E33">
            <w:pPr>
              <w:rPr>
                <w:rFonts w:cs="Arial"/>
                <w:sz w:val="18"/>
                <w:szCs w:val="22"/>
                <w:lang w:val="fr-FR"/>
              </w:rPr>
            </w:pPr>
          </w:p>
          <w:p w:rsidR="00C36DD4" w:rsidRPr="00754CC2" w:rsidRDefault="00E608EC" w:rsidP="00E608EC">
            <w:pPr>
              <w:rPr>
                <w:rFonts w:cs="Arial"/>
                <w:spacing w:val="-2"/>
                <w:sz w:val="18"/>
                <w:szCs w:val="22"/>
                <w:lang w:val="fr-FR"/>
              </w:rPr>
            </w:pPr>
            <w:r w:rsidRPr="00754CC2">
              <w:rPr>
                <w:rFonts w:cs="Arial"/>
                <w:b/>
                <w:spacing w:val="-2"/>
                <w:sz w:val="18"/>
                <w:szCs w:val="22"/>
                <w:u w:val="single"/>
                <w:lang w:val="fr-FR"/>
              </w:rPr>
              <w:t>Le texte souligné</w:t>
            </w:r>
            <w:r w:rsidRPr="00754CC2">
              <w:rPr>
                <w:rFonts w:cs="Arial"/>
                <w:b/>
                <w:spacing w:val="-2"/>
                <w:sz w:val="18"/>
                <w:szCs w:val="22"/>
                <w:lang w:val="fr-FR"/>
              </w:rPr>
              <w:t xml:space="preserve"> (en surbrillance)</w:t>
            </w:r>
            <w:r w:rsidR="002204F0" w:rsidRPr="00754CC2">
              <w:rPr>
                <w:rFonts w:cs="Arial"/>
                <w:spacing w:val="-2"/>
                <w:sz w:val="18"/>
                <w:szCs w:val="22"/>
                <w:lang w:val="fr-FR"/>
              </w:rPr>
              <w:t xml:space="preserve"> indique des parties</w:t>
            </w:r>
            <w:r w:rsidRPr="00754CC2">
              <w:rPr>
                <w:rFonts w:cs="Arial"/>
                <w:spacing w:val="-2"/>
                <w:sz w:val="18"/>
                <w:szCs w:val="22"/>
                <w:lang w:val="fr-FR"/>
              </w:rPr>
              <w:t xml:space="preserve"> ajouté</w:t>
            </w:r>
            <w:r w:rsidR="002204F0" w:rsidRPr="00754CC2">
              <w:rPr>
                <w:rFonts w:cs="Arial"/>
                <w:spacing w:val="-2"/>
                <w:sz w:val="18"/>
                <w:szCs w:val="22"/>
                <w:lang w:val="fr-FR"/>
              </w:rPr>
              <w:t>es</w:t>
            </w:r>
            <w:r w:rsidRPr="00754CC2">
              <w:rPr>
                <w:rFonts w:cs="Arial"/>
                <w:spacing w:val="-2"/>
                <w:sz w:val="18"/>
                <w:szCs w:val="22"/>
                <w:lang w:val="fr-FR"/>
              </w:rPr>
              <w:t xml:space="preserve"> au document UPOV/INF/15/2</w:t>
            </w:r>
            <w:r w:rsidR="00217807" w:rsidRPr="00754CC2">
              <w:rPr>
                <w:rFonts w:cs="Arial"/>
                <w:spacing w:val="-2"/>
                <w:sz w:val="18"/>
                <w:szCs w:val="22"/>
                <w:lang w:val="fr-FR"/>
              </w:rPr>
              <w:t xml:space="preserve"> </w:t>
            </w:r>
            <w:r w:rsidR="00217807" w:rsidRPr="00754CC2">
              <w:rPr>
                <w:rFonts w:cs="Arial"/>
                <w:sz w:val="18"/>
                <w:szCs w:val="18"/>
                <w:lang w:val="fr-FR"/>
              </w:rPr>
              <w:t>a</w:t>
            </w:r>
            <w:r w:rsidR="009F6D89" w:rsidRPr="00754CC2">
              <w:rPr>
                <w:rFonts w:cs="Arial"/>
                <w:sz w:val="18"/>
                <w:szCs w:val="18"/>
                <w:lang w:val="fr-FR"/>
              </w:rPr>
              <w:t>pprouvées par</w:t>
            </w:r>
            <w:r w:rsidR="00FD700E" w:rsidRPr="00754CC2">
              <w:rPr>
                <w:rFonts w:cs="Arial"/>
                <w:sz w:val="18"/>
                <w:szCs w:val="18"/>
                <w:lang w:val="fr-FR"/>
              </w:rPr>
              <w:t xml:space="preserve"> le CAJ</w:t>
            </w:r>
            <w:r w:rsidRPr="00754CC2">
              <w:rPr>
                <w:rFonts w:cs="Arial"/>
                <w:spacing w:val="-2"/>
                <w:sz w:val="18"/>
                <w:szCs w:val="22"/>
                <w:lang w:val="fr-FR"/>
              </w:rPr>
              <w:t>.</w:t>
            </w:r>
          </w:p>
          <w:p w:rsidR="00C36DD4" w:rsidRPr="00754CC2" w:rsidRDefault="00C36DD4" w:rsidP="00E37E33">
            <w:pPr>
              <w:rPr>
                <w:sz w:val="18"/>
                <w:szCs w:val="18"/>
                <w:lang w:val="fr-FR"/>
              </w:rPr>
            </w:pPr>
          </w:p>
          <w:p w:rsidR="00C36DD4" w:rsidRPr="00754CC2" w:rsidRDefault="00C36DD4" w:rsidP="00E37E33">
            <w:pPr>
              <w:rPr>
                <w:b/>
                <w:sz w:val="18"/>
                <w:szCs w:val="18"/>
                <w:lang w:val="fr-FR"/>
              </w:rPr>
            </w:pPr>
            <w:r w:rsidRPr="00754CC2">
              <w:rPr>
                <w:b/>
                <w:sz w:val="18"/>
                <w:szCs w:val="18"/>
                <w:lang w:val="fr-FR"/>
              </w:rPr>
              <w:t>DEUXI</w:t>
            </w:r>
            <w:r w:rsidRPr="00754CC2">
              <w:rPr>
                <w:rFonts w:cs="Arial"/>
                <w:b/>
                <w:sz w:val="18"/>
                <w:szCs w:val="18"/>
                <w:lang w:val="fr-FR"/>
              </w:rPr>
              <w:t>È</w:t>
            </w:r>
            <w:r w:rsidRPr="00754CC2">
              <w:rPr>
                <w:b/>
                <w:sz w:val="18"/>
                <w:szCs w:val="18"/>
                <w:lang w:val="fr-FR"/>
              </w:rPr>
              <w:t xml:space="preserve">ME </w:t>
            </w:r>
            <w:r w:rsidR="00E608EC" w:rsidRPr="00754CC2">
              <w:rPr>
                <w:b/>
                <w:sz w:val="18"/>
                <w:szCs w:val="18"/>
                <w:lang w:val="fr-FR"/>
              </w:rPr>
              <w:t>PARTIE</w:t>
            </w:r>
          </w:p>
          <w:p w:rsidR="00C36DD4" w:rsidRPr="00754CC2" w:rsidRDefault="00C36DD4" w:rsidP="00E37E33">
            <w:pPr>
              <w:rPr>
                <w:sz w:val="18"/>
                <w:szCs w:val="18"/>
                <w:lang w:val="fr-FR"/>
              </w:rPr>
            </w:pPr>
          </w:p>
          <w:p w:rsidR="00C36DD4" w:rsidRPr="00754CC2" w:rsidRDefault="00EE4545" w:rsidP="00EE4545">
            <w:pPr>
              <w:rPr>
                <w:rFonts w:cs="Arial"/>
                <w:sz w:val="18"/>
                <w:szCs w:val="22"/>
                <w:lang w:val="fr-FR"/>
              </w:rPr>
            </w:pPr>
            <w:r w:rsidRPr="00754CC2">
              <w:rPr>
                <w:rFonts w:cs="Arial"/>
                <w:b/>
                <w:sz w:val="18"/>
                <w:szCs w:val="22"/>
                <w:lang w:val="fr-FR"/>
              </w:rPr>
              <w:t>Le texte en surbrillance</w:t>
            </w:r>
            <w:r w:rsidRPr="00754CC2">
              <w:rPr>
                <w:rFonts w:cs="Arial"/>
                <w:sz w:val="18"/>
                <w:szCs w:val="22"/>
                <w:lang w:val="fr-FR"/>
              </w:rPr>
              <w:t xml:space="preserve"> indique des parties ajoutées au texte du </w:t>
            </w:r>
            <w:r w:rsidR="00217807" w:rsidRPr="00754CC2">
              <w:rPr>
                <w:rFonts w:cs="Arial"/>
                <w:sz w:val="18"/>
                <w:szCs w:val="22"/>
                <w:lang w:val="fr-FR"/>
              </w:rPr>
              <w:t xml:space="preserve">document UPOV/INF/15/2 </w:t>
            </w:r>
            <w:r w:rsidR="00217807" w:rsidRPr="00754CC2">
              <w:rPr>
                <w:rFonts w:cs="Arial"/>
                <w:sz w:val="18"/>
                <w:szCs w:val="18"/>
                <w:lang w:val="fr-FR"/>
              </w:rPr>
              <w:t>a</w:t>
            </w:r>
            <w:r w:rsidR="009F6D89" w:rsidRPr="00754CC2">
              <w:rPr>
                <w:rFonts w:cs="Arial"/>
                <w:sz w:val="18"/>
                <w:szCs w:val="18"/>
                <w:lang w:val="fr-FR"/>
              </w:rPr>
              <w:t>pprouvées</w:t>
            </w:r>
            <w:r w:rsidR="00217807" w:rsidRPr="00754CC2">
              <w:rPr>
                <w:rFonts w:cs="Arial"/>
                <w:sz w:val="18"/>
                <w:szCs w:val="18"/>
                <w:lang w:val="fr-FR"/>
              </w:rPr>
              <w:t xml:space="preserve"> </w:t>
            </w:r>
            <w:r w:rsidR="009F6D89" w:rsidRPr="00754CC2">
              <w:rPr>
                <w:rFonts w:cs="Arial"/>
                <w:sz w:val="18"/>
                <w:szCs w:val="18"/>
                <w:lang w:val="fr-FR"/>
              </w:rPr>
              <w:t>par l</w:t>
            </w:r>
            <w:r w:rsidR="00217807" w:rsidRPr="00754CC2">
              <w:rPr>
                <w:rFonts w:cs="Arial"/>
                <w:sz w:val="18"/>
                <w:szCs w:val="18"/>
                <w:lang w:val="fr-FR"/>
              </w:rPr>
              <w:t>e CAJ</w:t>
            </w:r>
            <w:r w:rsidRPr="00754CC2">
              <w:rPr>
                <w:rFonts w:cs="Arial"/>
                <w:sz w:val="18"/>
                <w:szCs w:val="22"/>
                <w:lang w:val="fr-FR"/>
              </w:rPr>
              <w:t>.</w:t>
            </w:r>
          </w:p>
          <w:p w:rsidR="00C36DD4" w:rsidRPr="00754CC2" w:rsidRDefault="00C36DD4" w:rsidP="00E37E33">
            <w:pPr>
              <w:rPr>
                <w:rFonts w:cs="Arial"/>
                <w:sz w:val="18"/>
                <w:szCs w:val="22"/>
                <w:lang w:val="fr-FR"/>
              </w:rPr>
            </w:pPr>
          </w:p>
          <w:p w:rsidR="00C36DD4" w:rsidRPr="00754CC2" w:rsidRDefault="002204F0" w:rsidP="00EE4545">
            <w:pPr>
              <w:rPr>
                <w:rFonts w:cs="Arial"/>
                <w:b/>
                <w:sz w:val="18"/>
                <w:szCs w:val="22"/>
                <w:lang w:val="fr-FR"/>
              </w:rPr>
            </w:pPr>
            <w:r w:rsidRPr="00754CC2">
              <w:rPr>
                <w:rFonts w:cs="Arial"/>
                <w:b/>
                <w:sz w:val="18"/>
                <w:szCs w:val="22"/>
                <w:lang w:val="fr-FR"/>
              </w:rPr>
              <w:t>GÉNÉRALITÉS</w:t>
            </w:r>
          </w:p>
          <w:p w:rsidR="00C36DD4" w:rsidRPr="00754CC2" w:rsidRDefault="00C36DD4" w:rsidP="00E37E33">
            <w:pPr>
              <w:rPr>
                <w:szCs w:val="22"/>
                <w:lang w:val="fr-FR"/>
              </w:rPr>
            </w:pPr>
          </w:p>
          <w:p w:rsidR="00C36DD4" w:rsidRPr="00754CC2" w:rsidRDefault="00C36DD4" w:rsidP="00C36DD4">
            <w:pPr>
              <w:rPr>
                <w:b/>
                <w:sz w:val="18"/>
                <w:szCs w:val="18"/>
                <w:lang w:val="fr-FR"/>
              </w:rPr>
            </w:pPr>
            <w:r w:rsidRPr="00754CC2">
              <w:rPr>
                <w:b/>
                <w:sz w:val="18"/>
                <w:szCs w:val="18"/>
                <w:lang w:val="fr-FR"/>
              </w:rPr>
              <w:t>Les</w:t>
            </w:r>
            <w:r w:rsidRPr="00754CC2">
              <w:rPr>
                <w:sz w:val="18"/>
                <w:szCs w:val="18"/>
                <w:lang w:val="fr-FR"/>
              </w:rPr>
              <w:t xml:space="preserve"> </w:t>
            </w:r>
            <w:r w:rsidRPr="00754CC2">
              <w:rPr>
                <w:b/>
                <w:sz w:val="18"/>
                <w:szCs w:val="18"/>
                <w:lang w:val="fr-FR"/>
              </w:rPr>
              <w:t xml:space="preserve">notes en fin de texte </w:t>
            </w:r>
            <w:r w:rsidRPr="00754CC2">
              <w:rPr>
                <w:sz w:val="18"/>
                <w:szCs w:val="18"/>
                <w:lang w:val="fr-FR"/>
              </w:rPr>
              <w:t>sont des explications destinées à faciliter l</w:t>
            </w:r>
            <w:r w:rsidR="00FD700E" w:rsidRPr="00754CC2">
              <w:rPr>
                <w:sz w:val="18"/>
                <w:szCs w:val="18"/>
                <w:lang w:val="fr-FR"/>
              </w:rPr>
              <w:t>’</w:t>
            </w:r>
            <w:r w:rsidRPr="00754CC2">
              <w:rPr>
                <w:sz w:val="18"/>
                <w:szCs w:val="18"/>
                <w:lang w:val="fr-FR"/>
              </w:rPr>
              <w:t>examen de ce projet et ne figureront pas dans la version du document qui sera approuvée.</w:t>
            </w:r>
          </w:p>
          <w:p w:rsidR="00C36DD4" w:rsidRPr="00754CC2" w:rsidRDefault="00C36DD4" w:rsidP="00E37E33">
            <w:pPr>
              <w:rPr>
                <w:sz w:val="18"/>
                <w:szCs w:val="18"/>
                <w:lang w:val="fr-FR"/>
              </w:rPr>
            </w:pPr>
          </w:p>
          <w:p w:rsidR="00C36DD4" w:rsidRPr="00754CC2" w:rsidRDefault="00C36DD4" w:rsidP="00C36DD4">
            <w:pPr>
              <w:rPr>
                <w:sz w:val="18"/>
                <w:szCs w:val="18"/>
                <w:lang w:val="fr-FR"/>
              </w:rPr>
            </w:pPr>
            <w:r w:rsidRPr="00754CC2">
              <w:rPr>
                <w:b/>
                <w:sz w:val="18"/>
                <w:szCs w:val="18"/>
                <w:lang w:val="fr-FR"/>
              </w:rPr>
              <w:t>Les</w:t>
            </w:r>
            <w:r w:rsidRPr="00754CC2">
              <w:rPr>
                <w:sz w:val="18"/>
                <w:szCs w:val="18"/>
                <w:lang w:val="fr-FR"/>
              </w:rPr>
              <w:t xml:space="preserve"> </w:t>
            </w:r>
            <w:r w:rsidRPr="00754CC2">
              <w:rPr>
                <w:b/>
                <w:sz w:val="18"/>
                <w:szCs w:val="18"/>
                <w:lang w:val="fr-FR"/>
              </w:rPr>
              <w:t xml:space="preserve">notes de bas de page </w:t>
            </w:r>
            <w:r w:rsidRPr="00754CC2">
              <w:rPr>
                <w:sz w:val="18"/>
                <w:szCs w:val="18"/>
                <w:lang w:val="fr-FR"/>
              </w:rPr>
              <w:t>seront conservées dans le document publié.</w:t>
            </w:r>
          </w:p>
          <w:p w:rsidR="00603EB9" w:rsidRPr="00754CC2" w:rsidRDefault="00603EB9" w:rsidP="00C03A66">
            <w:pPr>
              <w:rPr>
                <w:sz w:val="18"/>
                <w:szCs w:val="18"/>
                <w:lang w:val="fr-FR"/>
              </w:rPr>
            </w:pPr>
          </w:p>
        </w:tc>
      </w:tr>
    </w:tbl>
    <w:p w:rsidR="00C03A66" w:rsidRPr="00754CC2" w:rsidRDefault="00C03A66">
      <w:pPr>
        <w:jc w:val="left"/>
        <w:rPr>
          <w:lang w:val="fr-FR"/>
        </w:rPr>
      </w:pPr>
      <w:r w:rsidRPr="00754CC2">
        <w:rPr>
          <w:lang w:val="fr-FR"/>
        </w:rPr>
        <w:br w:type="page"/>
      </w:r>
    </w:p>
    <w:p w:rsidR="00C36DD4" w:rsidRPr="00754CC2" w:rsidRDefault="00467D18" w:rsidP="00467D18">
      <w:pPr>
        <w:jc w:val="center"/>
        <w:rPr>
          <w:lang w:val="fr-FR"/>
        </w:rPr>
      </w:pPr>
      <w:r w:rsidRPr="00754CC2">
        <w:rPr>
          <w:lang w:val="fr-FR"/>
        </w:rPr>
        <w:lastRenderedPageBreak/>
        <w:t>TABLE DES MATIÈRES</w:t>
      </w:r>
    </w:p>
    <w:p w:rsidR="00C36DD4" w:rsidRPr="00754CC2" w:rsidRDefault="00C36DD4" w:rsidP="00467D18">
      <w:pPr>
        <w:jc w:val="center"/>
        <w:rPr>
          <w:lang w:val="fr-FR"/>
        </w:rPr>
      </w:pPr>
    </w:p>
    <w:p w:rsidR="00AA14C0" w:rsidRPr="00754CC2" w:rsidRDefault="00B804B3">
      <w:pPr>
        <w:pStyle w:val="TOC1"/>
        <w:rPr>
          <w:rFonts w:asciiTheme="minorHAnsi" w:eastAsiaTheme="minorEastAsia" w:hAnsiTheme="minorHAnsi" w:cstheme="minorBidi"/>
          <w:bCs w:val="0"/>
          <w:caps w:val="0"/>
          <w:noProof/>
          <w:sz w:val="22"/>
          <w:szCs w:val="22"/>
          <w:lang w:val="fr-FR"/>
        </w:rPr>
      </w:pPr>
      <w:r w:rsidRPr="00754CC2">
        <w:rPr>
          <w:caps w:val="0"/>
          <w:lang w:val="fr-FR"/>
        </w:rPr>
        <w:fldChar w:fldCharType="begin"/>
      </w:r>
      <w:r w:rsidRPr="00754CC2">
        <w:rPr>
          <w:caps w:val="0"/>
          <w:lang w:val="fr-FR"/>
        </w:rPr>
        <w:instrText xml:space="preserve"> TOC \o "1-3" \u </w:instrText>
      </w:r>
      <w:r w:rsidRPr="00754CC2">
        <w:rPr>
          <w:caps w:val="0"/>
          <w:lang w:val="fr-FR"/>
        </w:rPr>
        <w:fldChar w:fldCharType="separate"/>
      </w:r>
      <w:r w:rsidR="00AA14C0" w:rsidRPr="00754CC2">
        <w:rPr>
          <w:noProof/>
          <w:lang w:val="fr-FR"/>
        </w:rPr>
        <w:t>Pr</w:t>
      </w:r>
      <w:r w:rsidR="00AA14C0" w:rsidRPr="00754CC2">
        <w:rPr>
          <w:rFonts w:cs="Arial"/>
          <w:noProof/>
          <w:lang w:val="fr-FR"/>
        </w:rPr>
        <w:t>É</w:t>
      </w:r>
      <w:r w:rsidR="00AA14C0" w:rsidRPr="00754CC2">
        <w:rPr>
          <w:noProof/>
          <w:lang w:val="fr-FR"/>
        </w:rPr>
        <w:t>ambule</w:t>
      </w:r>
      <w:r w:rsidR="00AA14C0" w:rsidRPr="00754CC2">
        <w:rPr>
          <w:noProof/>
          <w:lang w:val="fr-FR"/>
        </w:rPr>
        <w:tab/>
      </w:r>
      <w:r w:rsidR="00AA14C0" w:rsidRPr="00754CC2">
        <w:rPr>
          <w:noProof/>
          <w:lang w:val="fr-FR"/>
        </w:rPr>
        <w:fldChar w:fldCharType="begin"/>
      </w:r>
      <w:r w:rsidR="00AA14C0" w:rsidRPr="00754CC2">
        <w:rPr>
          <w:noProof/>
          <w:lang w:val="fr-FR"/>
        </w:rPr>
        <w:instrText xml:space="preserve"> PAGEREF _Toc412041912 \h </w:instrText>
      </w:r>
      <w:r w:rsidR="00AA14C0" w:rsidRPr="00754CC2">
        <w:rPr>
          <w:noProof/>
          <w:lang w:val="fr-FR"/>
        </w:rPr>
      </w:r>
      <w:r w:rsidR="00AA14C0" w:rsidRPr="00754CC2">
        <w:rPr>
          <w:noProof/>
          <w:lang w:val="fr-FR"/>
        </w:rPr>
        <w:fldChar w:fldCharType="separate"/>
      </w:r>
      <w:r w:rsidR="00CA2490">
        <w:rPr>
          <w:noProof/>
          <w:lang w:val="fr-FR"/>
        </w:rPr>
        <w:t>3</w:t>
      </w:r>
      <w:r w:rsidR="00AA14C0" w:rsidRPr="00754CC2">
        <w:rPr>
          <w:noProof/>
          <w:lang w:val="fr-FR"/>
        </w:rPr>
        <w:fldChar w:fldCharType="end"/>
      </w:r>
    </w:p>
    <w:p w:rsidR="00AA14C0" w:rsidRPr="00754CC2" w:rsidRDefault="00AA14C0">
      <w:pPr>
        <w:pStyle w:val="TOC1"/>
        <w:rPr>
          <w:rFonts w:asciiTheme="minorHAnsi" w:eastAsiaTheme="minorEastAsia" w:hAnsiTheme="minorHAnsi" w:cstheme="minorBidi"/>
          <w:bCs w:val="0"/>
          <w:caps w:val="0"/>
          <w:noProof/>
          <w:sz w:val="22"/>
          <w:szCs w:val="22"/>
          <w:lang w:val="fr-FR"/>
        </w:rPr>
      </w:pPr>
      <w:r w:rsidRPr="00754CC2">
        <w:rPr>
          <w:noProof/>
          <w:lang w:val="fr-FR"/>
        </w:rPr>
        <w:t>Première partie : Rôle des membres de l’UPOV</w:t>
      </w:r>
      <w:r w:rsidRPr="00754CC2">
        <w:rPr>
          <w:noProof/>
          <w:lang w:val="fr-FR"/>
        </w:rPr>
        <w:tab/>
      </w:r>
      <w:r w:rsidRPr="00754CC2">
        <w:rPr>
          <w:noProof/>
          <w:lang w:val="fr-FR"/>
        </w:rPr>
        <w:fldChar w:fldCharType="begin"/>
      </w:r>
      <w:r w:rsidRPr="00754CC2">
        <w:rPr>
          <w:noProof/>
          <w:lang w:val="fr-FR"/>
        </w:rPr>
        <w:instrText xml:space="preserve"> PAGEREF _Toc412041913 \h </w:instrText>
      </w:r>
      <w:r w:rsidRPr="00754CC2">
        <w:rPr>
          <w:noProof/>
          <w:lang w:val="fr-FR"/>
        </w:rPr>
      </w:r>
      <w:r w:rsidRPr="00754CC2">
        <w:rPr>
          <w:noProof/>
          <w:lang w:val="fr-FR"/>
        </w:rPr>
        <w:fldChar w:fldCharType="separate"/>
      </w:r>
      <w:r w:rsidR="00CA2490">
        <w:rPr>
          <w:noProof/>
          <w:lang w:val="fr-FR"/>
        </w:rPr>
        <w:t>4</w:t>
      </w:r>
      <w:r w:rsidRPr="00754CC2">
        <w:rPr>
          <w:noProof/>
          <w:lang w:val="fr-FR"/>
        </w:rPr>
        <w:fldChar w:fldCharType="end"/>
      </w:r>
    </w:p>
    <w:p w:rsidR="00AA14C0" w:rsidRPr="00754CC2" w:rsidRDefault="00AA14C0">
      <w:pPr>
        <w:pStyle w:val="TOC2"/>
        <w:rPr>
          <w:rFonts w:asciiTheme="minorHAnsi" w:eastAsiaTheme="minorEastAsia" w:hAnsiTheme="minorHAnsi" w:cstheme="minorBidi"/>
          <w:noProof/>
          <w:sz w:val="22"/>
          <w:szCs w:val="22"/>
          <w:lang w:val="fr-FR"/>
        </w:rPr>
      </w:pPr>
      <w:r w:rsidRPr="00754CC2">
        <w:rPr>
          <w:noProof/>
          <w:lang w:val="fr-FR"/>
        </w:rPr>
        <w:t>Section 1 : Notifications relatives aux représentants au Conseil et à leurs suppléants</w:t>
      </w:r>
      <w:r w:rsidRPr="00754CC2">
        <w:rPr>
          <w:noProof/>
          <w:lang w:val="fr-FR"/>
        </w:rPr>
        <w:tab/>
      </w:r>
      <w:r w:rsidRPr="00754CC2">
        <w:rPr>
          <w:noProof/>
          <w:lang w:val="fr-FR"/>
        </w:rPr>
        <w:fldChar w:fldCharType="begin"/>
      </w:r>
      <w:r w:rsidRPr="00754CC2">
        <w:rPr>
          <w:noProof/>
          <w:lang w:val="fr-FR"/>
        </w:rPr>
        <w:instrText xml:space="preserve"> PAGEREF _Toc412041914 \h </w:instrText>
      </w:r>
      <w:r w:rsidRPr="00754CC2">
        <w:rPr>
          <w:noProof/>
          <w:lang w:val="fr-FR"/>
        </w:rPr>
      </w:r>
      <w:r w:rsidRPr="00754CC2">
        <w:rPr>
          <w:noProof/>
          <w:lang w:val="fr-FR"/>
        </w:rPr>
        <w:fldChar w:fldCharType="separate"/>
      </w:r>
      <w:r w:rsidR="00CA2490">
        <w:rPr>
          <w:noProof/>
          <w:lang w:val="fr-FR"/>
        </w:rPr>
        <w:t>4</w:t>
      </w:r>
      <w:r w:rsidRPr="00754CC2">
        <w:rPr>
          <w:noProof/>
          <w:lang w:val="fr-FR"/>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rPr>
        <w:t>Première notification du représentant</w:t>
      </w:r>
      <w:r w:rsidRPr="00754CC2">
        <w:rPr>
          <w:noProof/>
        </w:rPr>
        <w:tab/>
      </w:r>
      <w:r w:rsidRPr="00754CC2">
        <w:rPr>
          <w:noProof/>
        </w:rPr>
        <w:fldChar w:fldCharType="begin"/>
      </w:r>
      <w:r w:rsidRPr="00754CC2">
        <w:rPr>
          <w:noProof/>
        </w:rPr>
        <w:instrText xml:space="preserve"> PAGEREF _Toc412041915 \h </w:instrText>
      </w:r>
      <w:r w:rsidRPr="00754CC2">
        <w:rPr>
          <w:noProof/>
        </w:rPr>
      </w:r>
      <w:r w:rsidRPr="00754CC2">
        <w:rPr>
          <w:noProof/>
        </w:rPr>
        <w:fldChar w:fldCharType="separate"/>
      </w:r>
      <w:r w:rsidR="00CA2490">
        <w:rPr>
          <w:noProof/>
        </w:rPr>
        <w:t>4</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rPr>
        <w:t>Notifications ultérieures relatives à toute modification concernant le représentant</w:t>
      </w:r>
      <w:r w:rsidRPr="00754CC2">
        <w:rPr>
          <w:noProof/>
        </w:rPr>
        <w:tab/>
      </w:r>
      <w:r w:rsidRPr="00754CC2">
        <w:rPr>
          <w:noProof/>
        </w:rPr>
        <w:fldChar w:fldCharType="begin"/>
      </w:r>
      <w:r w:rsidRPr="00754CC2">
        <w:rPr>
          <w:noProof/>
        </w:rPr>
        <w:instrText xml:space="preserve"> PAGEREF _Toc412041916 \h </w:instrText>
      </w:r>
      <w:r w:rsidRPr="00754CC2">
        <w:rPr>
          <w:noProof/>
        </w:rPr>
      </w:r>
      <w:r w:rsidRPr="00754CC2">
        <w:rPr>
          <w:noProof/>
        </w:rPr>
        <w:fldChar w:fldCharType="separate"/>
      </w:r>
      <w:r w:rsidR="00CA2490">
        <w:rPr>
          <w:noProof/>
        </w:rPr>
        <w:t>4</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rPr>
        <w:t>Rôle du représentant</w:t>
      </w:r>
      <w:r w:rsidRPr="00754CC2">
        <w:rPr>
          <w:noProof/>
        </w:rPr>
        <w:tab/>
      </w:r>
      <w:r w:rsidRPr="00754CC2">
        <w:rPr>
          <w:noProof/>
        </w:rPr>
        <w:fldChar w:fldCharType="begin"/>
      </w:r>
      <w:r w:rsidRPr="00754CC2">
        <w:rPr>
          <w:noProof/>
        </w:rPr>
        <w:instrText xml:space="preserve"> PAGEREF _Toc412041917 \h </w:instrText>
      </w:r>
      <w:r w:rsidRPr="00754CC2">
        <w:rPr>
          <w:noProof/>
        </w:rPr>
      </w:r>
      <w:r w:rsidRPr="00754CC2">
        <w:rPr>
          <w:noProof/>
        </w:rPr>
        <w:fldChar w:fldCharType="separate"/>
      </w:r>
      <w:r w:rsidR="00CA2490">
        <w:rPr>
          <w:noProof/>
        </w:rPr>
        <w:t>4</w:t>
      </w:r>
      <w:r w:rsidRPr="00754CC2">
        <w:rPr>
          <w:noProof/>
        </w:rPr>
        <w:fldChar w:fldCharType="end"/>
      </w:r>
    </w:p>
    <w:p w:rsidR="00AA14C0" w:rsidRPr="00754CC2" w:rsidRDefault="00AA14C0">
      <w:pPr>
        <w:pStyle w:val="TOC2"/>
        <w:rPr>
          <w:rFonts w:asciiTheme="minorHAnsi" w:eastAsiaTheme="minorEastAsia" w:hAnsiTheme="minorHAnsi" w:cstheme="minorBidi"/>
          <w:noProof/>
          <w:sz w:val="22"/>
          <w:szCs w:val="22"/>
          <w:lang w:val="fr-FR"/>
        </w:rPr>
      </w:pPr>
      <w:r w:rsidRPr="00754CC2">
        <w:rPr>
          <w:noProof/>
          <w:lang w:val="fr-FR"/>
        </w:rPr>
        <w:t>Section 2 : Notifications relatives à la législation régissant les droits d’obtenteur et, le cas échéant, à toute extension de l’application de la législation à d’autres genres et espèces végétaux</w:t>
      </w:r>
      <w:r w:rsidRPr="00754CC2">
        <w:rPr>
          <w:noProof/>
          <w:lang w:val="fr-FR"/>
        </w:rPr>
        <w:tab/>
      </w:r>
      <w:r w:rsidRPr="00754CC2">
        <w:rPr>
          <w:noProof/>
          <w:lang w:val="fr-FR"/>
        </w:rPr>
        <w:fldChar w:fldCharType="begin"/>
      </w:r>
      <w:r w:rsidRPr="00754CC2">
        <w:rPr>
          <w:noProof/>
          <w:lang w:val="fr-FR"/>
        </w:rPr>
        <w:instrText xml:space="preserve"> PAGEREF _Toc412041918 \h </w:instrText>
      </w:r>
      <w:r w:rsidRPr="00754CC2">
        <w:rPr>
          <w:noProof/>
          <w:lang w:val="fr-FR"/>
        </w:rPr>
      </w:r>
      <w:r w:rsidRPr="00754CC2">
        <w:rPr>
          <w:noProof/>
          <w:lang w:val="fr-FR"/>
        </w:rPr>
        <w:fldChar w:fldCharType="separate"/>
      </w:r>
      <w:r w:rsidR="00CA2490">
        <w:rPr>
          <w:noProof/>
          <w:lang w:val="fr-FR"/>
        </w:rPr>
        <w:t>5</w:t>
      </w:r>
      <w:r w:rsidRPr="00754CC2">
        <w:rPr>
          <w:noProof/>
          <w:lang w:val="fr-FR"/>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rPr>
        <w:t>Notifications relatives à la modification de la législation régissant les droits d’obtenteur</w:t>
      </w:r>
      <w:r w:rsidRPr="00754CC2">
        <w:rPr>
          <w:noProof/>
        </w:rPr>
        <w:tab/>
      </w:r>
      <w:r w:rsidRPr="00754CC2">
        <w:rPr>
          <w:noProof/>
        </w:rPr>
        <w:fldChar w:fldCharType="begin"/>
      </w:r>
      <w:r w:rsidRPr="00754CC2">
        <w:rPr>
          <w:noProof/>
        </w:rPr>
        <w:instrText xml:space="preserve"> PAGEREF _Toc412041919 \h </w:instrText>
      </w:r>
      <w:r w:rsidRPr="00754CC2">
        <w:rPr>
          <w:noProof/>
        </w:rPr>
      </w:r>
      <w:r w:rsidRPr="00754CC2">
        <w:rPr>
          <w:noProof/>
        </w:rPr>
        <w:fldChar w:fldCharType="separate"/>
      </w:r>
      <w:r w:rsidR="00CA2490">
        <w:rPr>
          <w:noProof/>
        </w:rPr>
        <w:t>5</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rPr>
        <w:t>Notification relative à toute extension de l’application de la Convention UPOV à d’autres genres  et espèces végétaux</w:t>
      </w:r>
      <w:r w:rsidRPr="00754CC2">
        <w:rPr>
          <w:noProof/>
        </w:rPr>
        <w:tab/>
      </w:r>
      <w:r w:rsidRPr="00754CC2">
        <w:rPr>
          <w:noProof/>
        </w:rPr>
        <w:fldChar w:fldCharType="begin"/>
      </w:r>
      <w:r w:rsidRPr="00754CC2">
        <w:rPr>
          <w:noProof/>
        </w:rPr>
        <w:instrText xml:space="preserve"> PAGEREF _Toc412041920 \h </w:instrText>
      </w:r>
      <w:r w:rsidRPr="00754CC2">
        <w:rPr>
          <w:noProof/>
        </w:rPr>
      </w:r>
      <w:r w:rsidRPr="00754CC2">
        <w:rPr>
          <w:noProof/>
        </w:rPr>
        <w:fldChar w:fldCharType="separate"/>
      </w:r>
      <w:r w:rsidR="00CA2490">
        <w:rPr>
          <w:noProof/>
        </w:rPr>
        <w:t>6</w:t>
      </w:r>
      <w:r w:rsidRPr="00754CC2">
        <w:rPr>
          <w:noProof/>
        </w:rPr>
        <w:fldChar w:fldCharType="end"/>
      </w:r>
    </w:p>
    <w:p w:rsidR="00AA14C0" w:rsidRPr="00754CC2" w:rsidRDefault="00AA14C0">
      <w:pPr>
        <w:pStyle w:val="TOC2"/>
        <w:rPr>
          <w:rFonts w:asciiTheme="minorHAnsi" w:eastAsiaTheme="minorEastAsia" w:hAnsiTheme="minorHAnsi" w:cstheme="minorBidi"/>
          <w:noProof/>
          <w:sz w:val="22"/>
          <w:szCs w:val="22"/>
          <w:lang w:val="fr-FR"/>
        </w:rPr>
      </w:pPr>
      <w:r w:rsidRPr="00754CC2">
        <w:rPr>
          <w:noProof/>
          <w:lang w:val="fr-FR"/>
        </w:rPr>
        <w:t>Section 3 : Obligations financières concernant le paiement des contributions</w:t>
      </w:r>
      <w:r w:rsidRPr="00754CC2">
        <w:rPr>
          <w:noProof/>
          <w:lang w:val="fr-FR"/>
        </w:rPr>
        <w:tab/>
      </w:r>
      <w:r w:rsidRPr="00754CC2">
        <w:rPr>
          <w:noProof/>
          <w:lang w:val="fr-FR"/>
        </w:rPr>
        <w:fldChar w:fldCharType="begin"/>
      </w:r>
      <w:r w:rsidRPr="00754CC2">
        <w:rPr>
          <w:noProof/>
          <w:lang w:val="fr-FR"/>
        </w:rPr>
        <w:instrText xml:space="preserve"> PAGEREF _Toc412041921 \h </w:instrText>
      </w:r>
      <w:r w:rsidRPr="00754CC2">
        <w:rPr>
          <w:noProof/>
          <w:lang w:val="fr-FR"/>
        </w:rPr>
      </w:r>
      <w:r w:rsidRPr="00754CC2">
        <w:rPr>
          <w:noProof/>
          <w:lang w:val="fr-FR"/>
        </w:rPr>
        <w:fldChar w:fldCharType="separate"/>
      </w:r>
      <w:r w:rsidR="00CA2490">
        <w:rPr>
          <w:noProof/>
          <w:lang w:val="fr-FR"/>
        </w:rPr>
        <w:t>7</w:t>
      </w:r>
      <w:r w:rsidRPr="00754CC2">
        <w:rPr>
          <w:noProof/>
          <w:lang w:val="fr-FR"/>
        </w:rPr>
        <w:fldChar w:fldCharType="end"/>
      </w:r>
    </w:p>
    <w:p w:rsidR="00AA14C0" w:rsidRPr="00754CC2" w:rsidRDefault="00AA14C0">
      <w:pPr>
        <w:pStyle w:val="TOC2"/>
        <w:rPr>
          <w:rFonts w:asciiTheme="minorHAnsi" w:eastAsiaTheme="minorEastAsia" w:hAnsiTheme="minorHAnsi" w:cstheme="minorBidi"/>
          <w:noProof/>
          <w:sz w:val="22"/>
          <w:szCs w:val="22"/>
          <w:lang w:val="fr-FR"/>
        </w:rPr>
      </w:pPr>
      <w:r w:rsidRPr="00754CC2">
        <w:rPr>
          <w:noProof/>
          <w:lang w:val="fr-FR"/>
        </w:rPr>
        <w:t>Section 4 : Informations visant à faciliter la coopération</w:t>
      </w:r>
      <w:r w:rsidRPr="00754CC2">
        <w:rPr>
          <w:noProof/>
          <w:lang w:val="fr-FR"/>
        </w:rPr>
        <w:tab/>
      </w:r>
      <w:r w:rsidRPr="00754CC2">
        <w:rPr>
          <w:noProof/>
          <w:lang w:val="fr-FR"/>
        </w:rPr>
        <w:fldChar w:fldCharType="begin"/>
      </w:r>
      <w:r w:rsidRPr="00754CC2">
        <w:rPr>
          <w:noProof/>
          <w:lang w:val="fr-FR"/>
        </w:rPr>
        <w:instrText xml:space="preserve"> PAGEREF _Toc412041922 \h </w:instrText>
      </w:r>
      <w:r w:rsidRPr="00754CC2">
        <w:rPr>
          <w:noProof/>
          <w:lang w:val="fr-FR"/>
        </w:rPr>
      </w:r>
      <w:r w:rsidRPr="00754CC2">
        <w:rPr>
          <w:noProof/>
          <w:lang w:val="fr-FR"/>
        </w:rPr>
        <w:fldChar w:fldCharType="separate"/>
      </w:r>
      <w:r w:rsidR="00CA2490">
        <w:rPr>
          <w:noProof/>
          <w:lang w:val="fr-FR"/>
        </w:rPr>
        <w:t>7</w:t>
      </w:r>
      <w:r w:rsidRPr="00754CC2">
        <w:rPr>
          <w:noProof/>
          <w:lang w:val="fr-FR"/>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rPr>
        <w:t>Examen DHS (base de données GENIE)</w:t>
      </w:r>
      <w:r w:rsidRPr="00754CC2">
        <w:rPr>
          <w:noProof/>
        </w:rPr>
        <w:tab/>
      </w:r>
      <w:r w:rsidRPr="00754CC2">
        <w:rPr>
          <w:noProof/>
        </w:rPr>
        <w:fldChar w:fldCharType="begin"/>
      </w:r>
      <w:r w:rsidRPr="00754CC2">
        <w:rPr>
          <w:noProof/>
        </w:rPr>
        <w:instrText xml:space="preserve"> PAGEREF _Toc412041923 \h </w:instrText>
      </w:r>
      <w:r w:rsidRPr="00754CC2">
        <w:rPr>
          <w:noProof/>
        </w:rPr>
      </w:r>
      <w:r w:rsidRPr="00754CC2">
        <w:rPr>
          <w:noProof/>
        </w:rPr>
        <w:fldChar w:fldCharType="separate"/>
      </w:r>
      <w:r w:rsidR="00CA2490">
        <w:rPr>
          <w:noProof/>
        </w:rPr>
        <w:t>7</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rPr>
        <w:t>Dénominations variétales (base de données PLUTO)</w:t>
      </w:r>
      <w:r w:rsidRPr="00754CC2">
        <w:rPr>
          <w:noProof/>
        </w:rPr>
        <w:tab/>
      </w:r>
      <w:r w:rsidRPr="00754CC2">
        <w:rPr>
          <w:noProof/>
        </w:rPr>
        <w:fldChar w:fldCharType="begin"/>
      </w:r>
      <w:r w:rsidRPr="00754CC2">
        <w:rPr>
          <w:noProof/>
        </w:rPr>
        <w:instrText xml:space="preserve"> PAGEREF _Toc412041924 \h </w:instrText>
      </w:r>
      <w:r w:rsidRPr="00754CC2">
        <w:rPr>
          <w:noProof/>
        </w:rPr>
      </w:r>
      <w:r w:rsidRPr="00754CC2">
        <w:rPr>
          <w:noProof/>
        </w:rPr>
        <w:fldChar w:fldCharType="separate"/>
      </w:r>
      <w:r w:rsidR="00CA2490">
        <w:rPr>
          <w:noProof/>
        </w:rPr>
        <w:t>8</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strike/>
          <w:noProof/>
          <w:highlight w:val="lightGray"/>
        </w:rPr>
        <w:t>Logiciels échangeables</w:t>
      </w:r>
      <w:r w:rsidRPr="00754CC2">
        <w:rPr>
          <w:noProof/>
        </w:rPr>
        <w:t xml:space="preserve"> </w:t>
      </w:r>
      <w:r w:rsidRPr="00754CC2">
        <w:rPr>
          <w:rFonts w:cs="Arial"/>
          <w:noProof/>
          <w:highlight w:val="lightGray"/>
        </w:rPr>
        <w:t>É</w:t>
      </w:r>
      <w:r w:rsidRPr="00754CC2">
        <w:rPr>
          <w:noProof/>
          <w:highlight w:val="lightGray"/>
        </w:rPr>
        <w:t>change et utilisation de logiciels et d’équipements</w:t>
      </w:r>
      <w:r w:rsidRPr="00754CC2">
        <w:rPr>
          <w:noProof/>
        </w:rPr>
        <w:tab/>
      </w:r>
      <w:r w:rsidRPr="00754CC2">
        <w:rPr>
          <w:noProof/>
        </w:rPr>
        <w:fldChar w:fldCharType="begin"/>
      </w:r>
      <w:r w:rsidRPr="00754CC2">
        <w:rPr>
          <w:noProof/>
        </w:rPr>
        <w:instrText xml:space="preserve"> PAGEREF _Toc412041925 \h </w:instrText>
      </w:r>
      <w:r w:rsidRPr="00754CC2">
        <w:rPr>
          <w:noProof/>
        </w:rPr>
      </w:r>
      <w:r w:rsidRPr="00754CC2">
        <w:rPr>
          <w:noProof/>
        </w:rPr>
        <w:fldChar w:fldCharType="separate"/>
      </w:r>
      <w:r w:rsidR="00CA2490">
        <w:rPr>
          <w:noProof/>
        </w:rPr>
        <w:t>8</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rPr>
        <w:t>Statistiques sur la protection des obtentions végétales</w:t>
      </w:r>
      <w:r w:rsidRPr="00754CC2">
        <w:rPr>
          <w:noProof/>
        </w:rPr>
        <w:tab/>
      </w:r>
      <w:r w:rsidRPr="00754CC2">
        <w:rPr>
          <w:noProof/>
        </w:rPr>
        <w:fldChar w:fldCharType="begin"/>
      </w:r>
      <w:r w:rsidRPr="00754CC2">
        <w:rPr>
          <w:noProof/>
        </w:rPr>
        <w:instrText xml:space="preserve"> PAGEREF _Toc412041926 \h </w:instrText>
      </w:r>
      <w:r w:rsidRPr="00754CC2">
        <w:rPr>
          <w:noProof/>
        </w:rPr>
      </w:r>
      <w:r w:rsidRPr="00754CC2">
        <w:rPr>
          <w:noProof/>
        </w:rPr>
        <w:fldChar w:fldCharType="separate"/>
      </w:r>
      <w:r w:rsidR="00CA2490">
        <w:rPr>
          <w:noProof/>
        </w:rPr>
        <w:t>8</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rPr>
        <w:t>Autres faits nouveaux intervenus au sein des membres de l’Union</w:t>
      </w:r>
      <w:r w:rsidRPr="00754CC2">
        <w:rPr>
          <w:noProof/>
        </w:rPr>
        <w:tab/>
      </w:r>
      <w:r w:rsidRPr="00754CC2">
        <w:rPr>
          <w:noProof/>
        </w:rPr>
        <w:fldChar w:fldCharType="begin"/>
      </w:r>
      <w:r w:rsidRPr="00754CC2">
        <w:rPr>
          <w:noProof/>
        </w:rPr>
        <w:instrText xml:space="preserve"> PAGEREF _Toc412041927 \h </w:instrText>
      </w:r>
      <w:r w:rsidRPr="00754CC2">
        <w:rPr>
          <w:noProof/>
        </w:rPr>
      </w:r>
      <w:r w:rsidRPr="00754CC2">
        <w:rPr>
          <w:noProof/>
        </w:rPr>
        <w:fldChar w:fldCharType="separate"/>
      </w:r>
      <w:r w:rsidR="00CA2490">
        <w:rPr>
          <w:noProof/>
        </w:rPr>
        <w:t>9</w:t>
      </w:r>
      <w:r w:rsidRPr="00754CC2">
        <w:rPr>
          <w:noProof/>
        </w:rPr>
        <w:fldChar w:fldCharType="end"/>
      </w:r>
    </w:p>
    <w:p w:rsidR="00AA14C0" w:rsidRPr="00754CC2" w:rsidRDefault="00AA14C0">
      <w:pPr>
        <w:pStyle w:val="TOC1"/>
        <w:rPr>
          <w:rFonts w:asciiTheme="minorHAnsi" w:eastAsiaTheme="minorEastAsia" w:hAnsiTheme="minorHAnsi" w:cstheme="minorBidi"/>
          <w:bCs w:val="0"/>
          <w:caps w:val="0"/>
          <w:noProof/>
          <w:sz w:val="22"/>
          <w:szCs w:val="22"/>
          <w:lang w:val="fr-FR"/>
        </w:rPr>
      </w:pPr>
      <w:r w:rsidRPr="00754CC2">
        <w:rPr>
          <w:noProof/>
          <w:highlight w:val="lightGray"/>
          <w:lang w:val="fr-FR"/>
        </w:rPr>
        <w:t>Deuxième Partie : Fonctionnement du système de protection des obtentions végétales de l’UPOV</w:t>
      </w:r>
      <w:r w:rsidRPr="00754CC2">
        <w:rPr>
          <w:noProof/>
          <w:lang w:val="fr-FR"/>
        </w:rPr>
        <w:tab/>
      </w:r>
      <w:r w:rsidRPr="00754CC2">
        <w:rPr>
          <w:noProof/>
          <w:lang w:val="fr-FR"/>
        </w:rPr>
        <w:fldChar w:fldCharType="begin"/>
      </w:r>
      <w:r w:rsidRPr="00754CC2">
        <w:rPr>
          <w:noProof/>
          <w:lang w:val="fr-FR"/>
        </w:rPr>
        <w:instrText xml:space="preserve"> PAGEREF _Toc412041928 \h </w:instrText>
      </w:r>
      <w:r w:rsidRPr="00754CC2">
        <w:rPr>
          <w:noProof/>
          <w:lang w:val="fr-FR"/>
        </w:rPr>
      </w:r>
      <w:r w:rsidRPr="00754CC2">
        <w:rPr>
          <w:noProof/>
          <w:lang w:val="fr-FR"/>
        </w:rPr>
        <w:fldChar w:fldCharType="separate"/>
      </w:r>
      <w:r w:rsidR="00CA2490">
        <w:rPr>
          <w:noProof/>
          <w:lang w:val="fr-FR"/>
        </w:rPr>
        <w:t>10</w:t>
      </w:r>
      <w:r w:rsidRPr="00754CC2">
        <w:rPr>
          <w:noProof/>
          <w:lang w:val="fr-FR"/>
        </w:rPr>
        <w:fldChar w:fldCharType="end"/>
      </w:r>
    </w:p>
    <w:p w:rsidR="00AA14C0" w:rsidRPr="00754CC2" w:rsidRDefault="00AA14C0">
      <w:pPr>
        <w:pStyle w:val="TOC2"/>
        <w:rPr>
          <w:rFonts w:asciiTheme="minorHAnsi" w:eastAsiaTheme="minorEastAsia" w:hAnsiTheme="minorHAnsi" w:cstheme="minorBidi"/>
          <w:noProof/>
          <w:sz w:val="22"/>
          <w:szCs w:val="22"/>
          <w:lang w:val="fr-FR"/>
        </w:rPr>
      </w:pPr>
      <w:r w:rsidRPr="00754CC2">
        <w:rPr>
          <w:iCs/>
          <w:noProof/>
          <w:highlight w:val="lightGray"/>
          <w:lang w:val="fr-FR"/>
        </w:rPr>
        <w:t xml:space="preserve">Section 1 : </w:t>
      </w:r>
      <w:r w:rsidRPr="00754CC2">
        <w:rPr>
          <w:noProof/>
          <w:highlight w:val="lightGray"/>
          <w:lang w:val="fr-FR"/>
        </w:rPr>
        <w:t>Service d’octroi des droits d’obtenteur</w:t>
      </w:r>
      <w:r w:rsidRPr="00754CC2">
        <w:rPr>
          <w:noProof/>
          <w:lang w:val="fr-FR"/>
        </w:rPr>
        <w:tab/>
      </w:r>
      <w:r w:rsidRPr="00754CC2">
        <w:rPr>
          <w:noProof/>
          <w:lang w:val="fr-FR"/>
        </w:rPr>
        <w:fldChar w:fldCharType="begin"/>
      </w:r>
      <w:r w:rsidRPr="00754CC2">
        <w:rPr>
          <w:noProof/>
          <w:lang w:val="fr-FR"/>
        </w:rPr>
        <w:instrText xml:space="preserve"> PAGEREF _Toc412041929 \h </w:instrText>
      </w:r>
      <w:r w:rsidRPr="00754CC2">
        <w:rPr>
          <w:noProof/>
          <w:lang w:val="fr-FR"/>
        </w:rPr>
      </w:r>
      <w:r w:rsidRPr="00754CC2">
        <w:rPr>
          <w:noProof/>
          <w:lang w:val="fr-FR"/>
        </w:rPr>
        <w:fldChar w:fldCharType="separate"/>
      </w:r>
      <w:r w:rsidR="00CA2490">
        <w:rPr>
          <w:noProof/>
          <w:lang w:val="fr-FR"/>
        </w:rPr>
        <w:t>10</w:t>
      </w:r>
      <w:r w:rsidRPr="00754CC2">
        <w:rPr>
          <w:noProof/>
          <w:lang w:val="fr-FR"/>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Introduction</w:t>
      </w:r>
      <w:r w:rsidRPr="00754CC2">
        <w:rPr>
          <w:noProof/>
        </w:rPr>
        <w:tab/>
      </w:r>
      <w:r w:rsidRPr="00754CC2">
        <w:rPr>
          <w:noProof/>
        </w:rPr>
        <w:fldChar w:fldCharType="begin"/>
      </w:r>
      <w:r w:rsidRPr="00754CC2">
        <w:rPr>
          <w:noProof/>
        </w:rPr>
        <w:instrText xml:space="preserve"> PAGEREF _Toc412041930 \h </w:instrText>
      </w:r>
      <w:r w:rsidRPr="00754CC2">
        <w:rPr>
          <w:noProof/>
        </w:rPr>
      </w:r>
      <w:r w:rsidRPr="00754CC2">
        <w:rPr>
          <w:noProof/>
        </w:rPr>
        <w:fldChar w:fldCharType="separate"/>
      </w:r>
      <w:r w:rsidR="00CA2490">
        <w:rPr>
          <w:noProof/>
        </w:rPr>
        <w:t>10</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Table des matières</w:t>
      </w:r>
      <w:r w:rsidRPr="00754CC2">
        <w:rPr>
          <w:noProof/>
        </w:rPr>
        <w:tab/>
      </w:r>
      <w:r w:rsidRPr="00754CC2">
        <w:rPr>
          <w:noProof/>
        </w:rPr>
        <w:fldChar w:fldCharType="begin"/>
      </w:r>
      <w:r w:rsidRPr="00754CC2">
        <w:rPr>
          <w:noProof/>
        </w:rPr>
        <w:instrText xml:space="preserve"> PAGEREF _Toc412041931 \h </w:instrText>
      </w:r>
      <w:r w:rsidRPr="00754CC2">
        <w:rPr>
          <w:noProof/>
        </w:rPr>
      </w:r>
      <w:r w:rsidRPr="00754CC2">
        <w:rPr>
          <w:noProof/>
        </w:rPr>
        <w:fldChar w:fldCharType="separate"/>
      </w:r>
      <w:r w:rsidR="00CA2490">
        <w:rPr>
          <w:noProof/>
        </w:rPr>
        <w:t>11</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Création d’un service d’octroi des droits d’obtenteur</w:t>
      </w:r>
      <w:r w:rsidRPr="00754CC2">
        <w:rPr>
          <w:noProof/>
        </w:rPr>
        <w:tab/>
      </w:r>
      <w:r w:rsidRPr="00754CC2">
        <w:rPr>
          <w:noProof/>
        </w:rPr>
        <w:fldChar w:fldCharType="begin"/>
      </w:r>
      <w:r w:rsidRPr="00754CC2">
        <w:rPr>
          <w:noProof/>
        </w:rPr>
        <w:instrText xml:space="preserve"> PAGEREF _Toc412041932 \h </w:instrText>
      </w:r>
      <w:r w:rsidRPr="00754CC2">
        <w:rPr>
          <w:noProof/>
        </w:rPr>
      </w:r>
      <w:r w:rsidRPr="00754CC2">
        <w:rPr>
          <w:noProof/>
        </w:rPr>
        <w:fldChar w:fldCharType="separate"/>
      </w:r>
      <w:r w:rsidR="00CA2490">
        <w:rPr>
          <w:noProof/>
        </w:rPr>
        <w:t>11</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Fonctions et structure d’un service d’octroi des droits d’obtenteur</w:t>
      </w:r>
      <w:r w:rsidRPr="00754CC2">
        <w:rPr>
          <w:noProof/>
        </w:rPr>
        <w:tab/>
      </w:r>
      <w:r w:rsidRPr="00754CC2">
        <w:rPr>
          <w:noProof/>
        </w:rPr>
        <w:fldChar w:fldCharType="begin"/>
      </w:r>
      <w:r w:rsidRPr="00754CC2">
        <w:rPr>
          <w:noProof/>
        </w:rPr>
        <w:instrText xml:space="preserve"> PAGEREF _Toc412041933 \h </w:instrText>
      </w:r>
      <w:r w:rsidRPr="00754CC2">
        <w:rPr>
          <w:noProof/>
        </w:rPr>
      </w:r>
      <w:r w:rsidRPr="00754CC2">
        <w:rPr>
          <w:noProof/>
        </w:rPr>
        <w:fldChar w:fldCharType="separate"/>
      </w:r>
      <w:r w:rsidR="00CA2490">
        <w:rPr>
          <w:noProof/>
        </w:rPr>
        <w:t>12</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Ordinogramme 1 : Tâches fondamentales du service d’octroi des droits d’obtenteur</w:t>
      </w:r>
      <w:r w:rsidRPr="00754CC2">
        <w:rPr>
          <w:noProof/>
        </w:rPr>
        <w:tab/>
      </w:r>
      <w:r w:rsidRPr="00754CC2">
        <w:rPr>
          <w:noProof/>
        </w:rPr>
        <w:fldChar w:fldCharType="begin"/>
      </w:r>
      <w:r w:rsidRPr="00754CC2">
        <w:rPr>
          <w:noProof/>
        </w:rPr>
        <w:instrText xml:space="preserve"> PAGEREF _Toc412041934 \h </w:instrText>
      </w:r>
      <w:r w:rsidRPr="00754CC2">
        <w:rPr>
          <w:noProof/>
        </w:rPr>
      </w:r>
      <w:r w:rsidRPr="00754CC2">
        <w:rPr>
          <w:noProof/>
        </w:rPr>
        <w:fldChar w:fldCharType="separate"/>
      </w:r>
      <w:r w:rsidR="00CA2490">
        <w:rPr>
          <w:noProof/>
        </w:rPr>
        <w:t>12</w:t>
      </w:r>
      <w:r w:rsidRPr="00754CC2">
        <w:rPr>
          <w:noProof/>
        </w:rPr>
        <w:fldChar w:fldCharType="end"/>
      </w:r>
    </w:p>
    <w:p w:rsidR="00AA14C0" w:rsidRPr="00754CC2" w:rsidRDefault="00AA14C0">
      <w:pPr>
        <w:pStyle w:val="TOC2"/>
        <w:rPr>
          <w:rFonts w:asciiTheme="minorHAnsi" w:eastAsiaTheme="minorEastAsia" w:hAnsiTheme="minorHAnsi" w:cstheme="minorBidi"/>
          <w:noProof/>
          <w:sz w:val="22"/>
          <w:szCs w:val="22"/>
          <w:lang w:val="fr-FR"/>
        </w:rPr>
      </w:pPr>
      <w:r w:rsidRPr="00754CC2">
        <w:rPr>
          <w:noProof/>
          <w:highlight w:val="lightGray"/>
          <w:lang w:val="fr-FR"/>
        </w:rPr>
        <w:t>Section 2 : Administration des demandes</w:t>
      </w:r>
      <w:r w:rsidRPr="00754CC2">
        <w:rPr>
          <w:noProof/>
          <w:lang w:val="fr-FR"/>
        </w:rPr>
        <w:tab/>
      </w:r>
      <w:r w:rsidRPr="00754CC2">
        <w:rPr>
          <w:noProof/>
          <w:lang w:val="fr-FR"/>
        </w:rPr>
        <w:fldChar w:fldCharType="begin"/>
      </w:r>
      <w:r w:rsidRPr="00754CC2">
        <w:rPr>
          <w:noProof/>
          <w:lang w:val="fr-FR"/>
        </w:rPr>
        <w:instrText xml:space="preserve"> PAGEREF _Toc412041935 \h </w:instrText>
      </w:r>
      <w:r w:rsidRPr="00754CC2">
        <w:rPr>
          <w:noProof/>
          <w:lang w:val="fr-FR"/>
        </w:rPr>
      </w:r>
      <w:r w:rsidRPr="00754CC2">
        <w:rPr>
          <w:noProof/>
          <w:lang w:val="fr-FR"/>
        </w:rPr>
        <w:fldChar w:fldCharType="separate"/>
      </w:r>
      <w:r w:rsidR="00CA2490">
        <w:rPr>
          <w:noProof/>
          <w:lang w:val="fr-FR"/>
        </w:rPr>
        <w:t>13</w:t>
      </w:r>
      <w:r w:rsidRPr="00754CC2">
        <w:rPr>
          <w:noProof/>
          <w:lang w:val="fr-FR"/>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Demande de droits d’obtenteur (voir la note a du diagramme figurant dans la section 1)</w:t>
      </w:r>
      <w:r w:rsidRPr="00754CC2">
        <w:rPr>
          <w:noProof/>
        </w:rPr>
        <w:tab/>
      </w:r>
      <w:r w:rsidRPr="00754CC2">
        <w:rPr>
          <w:noProof/>
        </w:rPr>
        <w:fldChar w:fldCharType="begin"/>
      </w:r>
      <w:r w:rsidRPr="00754CC2">
        <w:rPr>
          <w:noProof/>
        </w:rPr>
        <w:instrText xml:space="preserve"> PAGEREF _Toc412041936 \h </w:instrText>
      </w:r>
      <w:r w:rsidRPr="00754CC2">
        <w:rPr>
          <w:noProof/>
        </w:rPr>
      </w:r>
      <w:r w:rsidRPr="00754CC2">
        <w:rPr>
          <w:noProof/>
        </w:rPr>
        <w:fldChar w:fldCharType="separate"/>
      </w:r>
      <w:r w:rsidR="00CA2490">
        <w:rPr>
          <w:noProof/>
        </w:rPr>
        <w:t>13</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Élaboration de formulaires</w:t>
      </w:r>
      <w:r w:rsidRPr="00754CC2">
        <w:rPr>
          <w:noProof/>
        </w:rPr>
        <w:tab/>
      </w:r>
      <w:r w:rsidRPr="00754CC2">
        <w:rPr>
          <w:noProof/>
        </w:rPr>
        <w:fldChar w:fldCharType="begin"/>
      </w:r>
      <w:r w:rsidRPr="00754CC2">
        <w:rPr>
          <w:noProof/>
        </w:rPr>
        <w:instrText xml:space="preserve"> PAGEREF _Toc412041937 \h </w:instrText>
      </w:r>
      <w:r w:rsidRPr="00754CC2">
        <w:rPr>
          <w:noProof/>
        </w:rPr>
      </w:r>
      <w:r w:rsidRPr="00754CC2">
        <w:rPr>
          <w:noProof/>
        </w:rPr>
        <w:fldChar w:fldCharType="separate"/>
      </w:r>
      <w:r w:rsidR="00CA2490">
        <w:rPr>
          <w:noProof/>
        </w:rPr>
        <w:t>13</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Attribution de la date de dépôt</w:t>
      </w:r>
      <w:r w:rsidRPr="00754CC2">
        <w:rPr>
          <w:noProof/>
        </w:rPr>
        <w:tab/>
      </w:r>
      <w:r w:rsidRPr="00754CC2">
        <w:rPr>
          <w:noProof/>
        </w:rPr>
        <w:fldChar w:fldCharType="begin"/>
      </w:r>
      <w:r w:rsidRPr="00754CC2">
        <w:rPr>
          <w:noProof/>
        </w:rPr>
        <w:instrText xml:space="preserve"> PAGEREF _Toc412041938 \h </w:instrText>
      </w:r>
      <w:r w:rsidRPr="00754CC2">
        <w:rPr>
          <w:noProof/>
        </w:rPr>
      </w:r>
      <w:r w:rsidRPr="00754CC2">
        <w:rPr>
          <w:noProof/>
        </w:rPr>
        <w:fldChar w:fldCharType="separate"/>
      </w:r>
      <w:r w:rsidR="00CA2490">
        <w:rPr>
          <w:noProof/>
        </w:rPr>
        <w:t>16</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Dépôt de la demande en bonne et due forme (voir la note b dans le diagramme figurant dans la section 1)</w:t>
      </w:r>
      <w:r w:rsidRPr="00754CC2">
        <w:rPr>
          <w:noProof/>
        </w:rPr>
        <w:tab/>
      </w:r>
      <w:r w:rsidRPr="00754CC2">
        <w:rPr>
          <w:noProof/>
        </w:rPr>
        <w:fldChar w:fldCharType="begin"/>
      </w:r>
      <w:r w:rsidRPr="00754CC2">
        <w:rPr>
          <w:noProof/>
        </w:rPr>
        <w:instrText xml:space="preserve"> PAGEREF _Toc412041939 \h </w:instrText>
      </w:r>
      <w:r w:rsidRPr="00754CC2">
        <w:rPr>
          <w:noProof/>
        </w:rPr>
      </w:r>
      <w:r w:rsidRPr="00754CC2">
        <w:rPr>
          <w:noProof/>
        </w:rPr>
        <w:fldChar w:fldCharType="separate"/>
      </w:r>
      <w:r w:rsidR="00CA2490">
        <w:rPr>
          <w:noProof/>
        </w:rPr>
        <w:t>16</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Publication (voir la note c du diagramme figurant dans la section 1)</w:t>
      </w:r>
      <w:r w:rsidRPr="00754CC2">
        <w:rPr>
          <w:noProof/>
        </w:rPr>
        <w:tab/>
      </w:r>
      <w:r w:rsidRPr="00754CC2">
        <w:rPr>
          <w:noProof/>
        </w:rPr>
        <w:fldChar w:fldCharType="begin"/>
      </w:r>
      <w:r w:rsidRPr="00754CC2">
        <w:rPr>
          <w:noProof/>
        </w:rPr>
        <w:instrText xml:space="preserve"> PAGEREF _Toc412041940 \h </w:instrText>
      </w:r>
      <w:r w:rsidRPr="00754CC2">
        <w:rPr>
          <w:noProof/>
        </w:rPr>
      </w:r>
      <w:r w:rsidRPr="00754CC2">
        <w:rPr>
          <w:noProof/>
        </w:rPr>
        <w:fldChar w:fldCharType="separate"/>
      </w:r>
      <w:r w:rsidR="00CA2490">
        <w:rPr>
          <w:noProof/>
        </w:rPr>
        <w:t>16</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Examen des conditions (voir la note d du diagramme figurant dans la section 1)</w:t>
      </w:r>
      <w:r w:rsidRPr="00754CC2">
        <w:rPr>
          <w:noProof/>
        </w:rPr>
        <w:tab/>
      </w:r>
      <w:r w:rsidRPr="00754CC2">
        <w:rPr>
          <w:noProof/>
        </w:rPr>
        <w:fldChar w:fldCharType="begin"/>
      </w:r>
      <w:r w:rsidRPr="00754CC2">
        <w:rPr>
          <w:noProof/>
        </w:rPr>
        <w:instrText xml:space="preserve"> PAGEREF _Toc412041941 \h </w:instrText>
      </w:r>
      <w:r w:rsidRPr="00754CC2">
        <w:rPr>
          <w:noProof/>
        </w:rPr>
      </w:r>
      <w:r w:rsidRPr="00754CC2">
        <w:rPr>
          <w:noProof/>
        </w:rPr>
        <w:fldChar w:fldCharType="separate"/>
      </w:r>
      <w:r w:rsidR="00CA2490">
        <w:rPr>
          <w:noProof/>
        </w:rPr>
        <w:t>16</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Examen DHS (voir la note e du diagramme figurant dans la section 1)</w:t>
      </w:r>
      <w:r w:rsidRPr="00754CC2">
        <w:rPr>
          <w:noProof/>
        </w:rPr>
        <w:tab/>
      </w:r>
      <w:r w:rsidRPr="00754CC2">
        <w:rPr>
          <w:noProof/>
        </w:rPr>
        <w:fldChar w:fldCharType="begin"/>
      </w:r>
      <w:r w:rsidRPr="00754CC2">
        <w:rPr>
          <w:noProof/>
        </w:rPr>
        <w:instrText xml:space="preserve"> PAGEREF _Toc412041942 \h </w:instrText>
      </w:r>
      <w:r w:rsidRPr="00754CC2">
        <w:rPr>
          <w:noProof/>
        </w:rPr>
      </w:r>
      <w:r w:rsidRPr="00754CC2">
        <w:rPr>
          <w:noProof/>
        </w:rPr>
        <w:fldChar w:fldCharType="separate"/>
      </w:r>
      <w:r w:rsidR="00CA2490">
        <w:rPr>
          <w:noProof/>
        </w:rPr>
        <w:t>17</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Décision proposée (voir la note f du diagramme figurant dans la section 1)</w:t>
      </w:r>
      <w:r w:rsidRPr="00754CC2">
        <w:rPr>
          <w:noProof/>
        </w:rPr>
        <w:tab/>
      </w:r>
      <w:r w:rsidRPr="00754CC2">
        <w:rPr>
          <w:noProof/>
        </w:rPr>
        <w:fldChar w:fldCharType="begin"/>
      </w:r>
      <w:r w:rsidRPr="00754CC2">
        <w:rPr>
          <w:noProof/>
        </w:rPr>
        <w:instrText xml:space="preserve"> PAGEREF _Toc412041943 \h </w:instrText>
      </w:r>
      <w:r w:rsidRPr="00754CC2">
        <w:rPr>
          <w:noProof/>
        </w:rPr>
      </w:r>
      <w:r w:rsidRPr="00754CC2">
        <w:rPr>
          <w:noProof/>
        </w:rPr>
        <w:fldChar w:fldCharType="separate"/>
      </w:r>
      <w:r w:rsidR="00CA2490">
        <w:rPr>
          <w:noProof/>
        </w:rPr>
        <w:t>18</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Objections (voir la note g du diagramme figurant dans la section 1)</w:t>
      </w:r>
      <w:r w:rsidRPr="00754CC2">
        <w:rPr>
          <w:noProof/>
        </w:rPr>
        <w:tab/>
      </w:r>
      <w:r w:rsidRPr="00754CC2">
        <w:rPr>
          <w:noProof/>
        </w:rPr>
        <w:fldChar w:fldCharType="begin"/>
      </w:r>
      <w:r w:rsidRPr="00754CC2">
        <w:rPr>
          <w:noProof/>
        </w:rPr>
        <w:instrText xml:space="preserve"> PAGEREF _Toc412041944 \h </w:instrText>
      </w:r>
      <w:r w:rsidRPr="00754CC2">
        <w:rPr>
          <w:noProof/>
        </w:rPr>
      </w:r>
      <w:r w:rsidRPr="00754CC2">
        <w:rPr>
          <w:noProof/>
        </w:rPr>
        <w:fldChar w:fldCharType="separate"/>
      </w:r>
      <w:r w:rsidR="00CA2490">
        <w:rPr>
          <w:noProof/>
        </w:rPr>
        <w:t>18</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Octroi du titre (voir la note h du diagramme figurant dans la section 1)</w:t>
      </w:r>
      <w:r w:rsidRPr="00754CC2">
        <w:rPr>
          <w:noProof/>
        </w:rPr>
        <w:tab/>
      </w:r>
      <w:r w:rsidRPr="00754CC2">
        <w:rPr>
          <w:noProof/>
        </w:rPr>
        <w:fldChar w:fldCharType="begin"/>
      </w:r>
      <w:r w:rsidRPr="00754CC2">
        <w:rPr>
          <w:noProof/>
        </w:rPr>
        <w:instrText xml:space="preserve"> PAGEREF _Toc412041945 \h </w:instrText>
      </w:r>
      <w:r w:rsidRPr="00754CC2">
        <w:rPr>
          <w:noProof/>
        </w:rPr>
      </w:r>
      <w:r w:rsidRPr="00754CC2">
        <w:rPr>
          <w:noProof/>
        </w:rPr>
        <w:fldChar w:fldCharType="separate"/>
      </w:r>
      <w:r w:rsidR="00CA2490">
        <w:rPr>
          <w:noProof/>
        </w:rPr>
        <w:t>18</w:t>
      </w:r>
      <w:r w:rsidRPr="00754CC2">
        <w:rPr>
          <w:noProof/>
        </w:rPr>
        <w:fldChar w:fldCharType="end"/>
      </w:r>
    </w:p>
    <w:p w:rsidR="00AA14C0" w:rsidRPr="00754CC2" w:rsidRDefault="00AA14C0">
      <w:pPr>
        <w:pStyle w:val="TOC3"/>
        <w:rPr>
          <w:rFonts w:asciiTheme="minorHAnsi" w:eastAsiaTheme="minorEastAsia" w:hAnsiTheme="minorHAnsi" w:cstheme="minorBidi"/>
          <w:noProof/>
          <w:sz w:val="22"/>
          <w:szCs w:val="22"/>
        </w:rPr>
      </w:pPr>
      <w:r w:rsidRPr="00754CC2">
        <w:rPr>
          <w:noProof/>
          <w:highlight w:val="lightGray"/>
        </w:rPr>
        <w:t>Questions à prendre en considération après l’octroi du titre (voir la note i du diagramme figurant dans la section 1)</w:t>
      </w:r>
      <w:r w:rsidRPr="00754CC2">
        <w:rPr>
          <w:noProof/>
        </w:rPr>
        <w:tab/>
      </w:r>
      <w:r w:rsidRPr="00754CC2">
        <w:rPr>
          <w:noProof/>
        </w:rPr>
        <w:fldChar w:fldCharType="begin"/>
      </w:r>
      <w:r w:rsidRPr="00754CC2">
        <w:rPr>
          <w:noProof/>
        </w:rPr>
        <w:instrText xml:space="preserve"> PAGEREF _Toc412041946 \h </w:instrText>
      </w:r>
      <w:r w:rsidRPr="00754CC2">
        <w:rPr>
          <w:noProof/>
        </w:rPr>
      </w:r>
      <w:r w:rsidRPr="00754CC2">
        <w:rPr>
          <w:noProof/>
        </w:rPr>
        <w:fldChar w:fldCharType="separate"/>
      </w:r>
      <w:r w:rsidR="00CA2490">
        <w:rPr>
          <w:noProof/>
        </w:rPr>
        <w:t>18</w:t>
      </w:r>
      <w:r w:rsidRPr="00754CC2">
        <w:rPr>
          <w:noProof/>
        </w:rPr>
        <w:fldChar w:fldCharType="end"/>
      </w:r>
    </w:p>
    <w:p w:rsidR="00C36DD4" w:rsidRPr="00754CC2" w:rsidRDefault="00B804B3" w:rsidP="00603EB9">
      <w:pPr>
        <w:rPr>
          <w:lang w:val="fr-FR"/>
        </w:rPr>
      </w:pPr>
      <w:r w:rsidRPr="00754CC2">
        <w:rPr>
          <w:caps/>
          <w:sz w:val="18"/>
          <w:lang w:val="fr-FR"/>
        </w:rPr>
        <w:fldChar w:fldCharType="end"/>
      </w:r>
    </w:p>
    <w:p w:rsidR="00C36DD4" w:rsidRPr="00754CC2" w:rsidRDefault="00C36DD4" w:rsidP="00467D18">
      <w:pPr>
        <w:rPr>
          <w:lang w:val="fr-FR"/>
        </w:rPr>
      </w:pPr>
    </w:p>
    <w:p w:rsidR="00C36DD4" w:rsidRPr="00754CC2" w:rsidRDefault="00C36DD4" w:rsidP="00467D18">
      <w:pPr>
        <w:rPr>
          <w:lang w:val="fr-FR"/>
        </w:rPr>
      </w:pPr>
    </w:p>
    <w:p w:rsidR="00C36DD4" w:rsidRPr="00754CC2" w:rsidRDefault="00C36DD4" w:rsidP="00467D18">
      <w:pPr>
        <w:rPr>
          <w:lang w:val="fr-FR"/>
        </w:rPr>
      </w:pPr>
    </w:p>
    <w:p w:rsidR="00C36DD4" w:rsidRPr="00754CC2" w:rsidRDefault="00467D18" w:rsidP="00467D18">
      <w:pPr>
        <w:jc w:val="center"/>
        <w:rPr>
          <w:lang w:val="fr-FR"/>
        </w:rPr>
      </w:pPr>
      <w:r w:rsidRPr="00754CC2">
        <w:rPr>
          <w:lang w:val="fr-FR"/>
        </w:rPr>
        <w:br w:type="page"/>
      </w:r>
      <w:bookmarkStart w:id="1" w:name="_Toc259183051"/>
      <w:bookmarkStart w:id="2" w:name="_Toc267302725"/>
    </w:p>
    <w:p w:rsidR="00C36DD4" w:rsidRPr="00754CC2" w:rsidRDefault="00467D18" w:rsidP="00603EB9">
      <w:pPr>
        <w:jc w:val="center"/>
        <w:rPr>
          <w:highlight w:val="lightGray"/>
          <w:lang w:val="fr-FR"/>
        </w:rPr>
      </w:pPr>
      <w:r w:rsidRPr="00754CC2">
        <w:rPr>
          <w:lang w:val="fr-FR"/>
        </w:rPr>
        <w:lastRenderedPageBreak/>
        <w:t>DOCUMENT D</w:t>
      </w:r>
      <w:r w:rsidR="00FD700E" w:rsidRPr="00754CC2">
        <w:rPr>
          <w:lang w:val="fr-FR"/>
        </w:rPr>
        <w:t>’</w:t>
      </w:r>
      <w:r w:rsidRPr="00754CC2">
        <w:rPr>
          <w:lang w:val="fr-FR"/>
        </w:rPr>
        <w:t>ORIENTATION DESTINÉ AUX MEMBRES DE L</w:t>
      </w:r>
      <w:r w:rsidR="00FD700E" w:rsidRPr="00754CC2">
        <w:rPr>
          <w:lang w:val="fr-FR"/>
        </w:rPr>
        <w:t>’</w:t>
      </w:r>
      <w:r w:rsidRPr="00754CC2">
        <w:rPr>
          <w:lang w:val="fr-FR"/>
        </w:rPr>
        <w:t>UPOV</w:t>
      </w:r>
      <w:r w:rsidR="00C36DD4" w:rsidRPr="00754CC2">
        <w:rPr>
          <w:lang w:val="fr-FR"/>
        </w:rPr>
        <w:t xml:space="preserve"> </w:t>
      </w:r>
      <w:r w:rsidR="00770D72" w:rsidRPr="00754CC2">
        <w:rPr>
          <w:rFonts w:cs="Arial"/>
          <w:strike/>
          <w:highlight w:val="lightGray"/>
          <w:lang w:val="fr-FR"/>
        </w:rPr>
        <w:t>CONCERNANT</w:t>
      </w:r>
      <w:r w:rsidR="00770D72" w:rsidRPr="00754CC2">
        <w:rPr>
          <w:rFonts w:cs="Arial"/>
          <w:strike/>
          <w:highlight w:val="lightGray"/>
          <w:lang w:val="fr-FR"/>
        </w:rPr>
        <w:br/>
      </w:r>
      <w:r w:rsidR="00C36DD4" w:rsidRPr="00754CC2">
        <w:rPr>
          <w:rFonts w:cs="Arial"/>
          <w:strike/>
          <w:highlight w:val="lightGray"/>
          <w:lang w:val="fr-FR"/>
        </w:rPr>
        <w:t>LES OBLIGATIONS EN COURS ET LES NO</w:t>
      </w:r>
      <w:r w:rsidR="00770D72" w:rsidRPr="00754CC2">
        <w:rPr>
          <w:rFonts w:cs="Arial"/>
          <w:strike/>
          <w:highlight w:val="lightGray"/>
          <w:lang w:val="fr-FR"/>
        </w:rPr>
        <w:t>TIFICATIONS CONNEXES, AINSI QUE</w:t>
      </w:r>
      <w:r w:rsidR="00770D72" w:rsidRPr="00754CC2">
        <w:rPr>
          <w:rFonts w:cs="Arial"/>
          <w:strike/>
          <w:highlight w:val="lightGray"/>
          <w:lang w:val="fr-FR"/>
        </w:rPr>
        <w:br/>
      </w:r>
      <w:r w:rsidR="00C36DD4" w:rsidRPr="00754CC2">
        <w:rPr>
          <w:rFonts w:cs="Arial"/>
          <w:strike/>
          <w:highlight w:val="lightGray"/>
          <w:lang w:val="fr-FR"/>
        </w:rPr>
        <w:t>LA FOURNITURE D</w:t>
      </w:r>
      <w:r w:rsidR="00FD700E" w:rsidRPr="00754CC2">
        <w:rPr>
          <w:rFonts w:cs="Arial"/>
          <w:strike/>
          <w:highlight w:val="lightGray"/>
          <w:lang w:val="fr-FR"/>
        </w:rPr>
        <w:t>’</w:t>
      </w:r>
      <w:r w:rsidR="00C36DD4" w:rsidRPr="00754CC2">
        <w:rPr>
          <w:rFonts w:cs="Arial"/>
          <w:strike/>
          <w:highlight w:val="lightGray"/>
          <w:lang w:val="fr-FR"/>
        </w:rPr>
        <w:t>INFORMATIONS VISANT À FACILITER LA COOPÉRATION</w:t>
      </w:r>
    </w:p>
    <w:p w:rsidR="00C36DD4" w:rsidRPr="00754CC2" w:rsidRDefault="00C36DD4" w:rsidP="00467D18">
      <w:pPr>
        <w:rPr>
          <w:highlight w:val="lightGray"/>
          <w:lang w:val="fr-FR"/>
        </w:rPr>
      </w:pPr>
    </w:p>
    <w:p w:rsidR="00C36DD4" w:rsidRPr="00754CC2" w:rsidRDefault="00C36DD4" w:rsidP="00467D18">
      <w:pPr>
        <w:rPr>
          <w:highlight w:val="lightGray"/>
          <w:lang w:val="fr-FR"/>
        </w:rPr>
      </w:pPr>
    </w:p>
    <w:p w:rsidR="00C36DD4" w:rsidRPr="00754CC2" w:rsidRDefault="00467D18" w:rsidP="00D318A3">
      <w:pPr>
        <w:pStyle w:val="Heading1"/>
      </w:pPr>
      <w:bookmarkStart w:id="3" w:name="_Toc355191718"/>
      <w:bookmarkStart w:id="4" w:name="_Toc412041912"/>
      <w:r w:rsidRPr="00754CC2">
        <w:t>P</w:t>
      </w:r>
      <w:bookmarkEnd w:id="1"/>
      <w:bookmarkEnd w:id="2"/>
      <w:bookmarkEnd w:id="3"/>
      <w:r w:rsidR="00D318A3" w:rsidRPr="00754CC2">
        <w:t>r</w:t>
      </w:r>
      <w:r w:rsidR="009F6D89" w:rsidRPr="00754CC2">
        <w:rPr>
          <w:rFonts w:cs="Arial"/>
        </w:rPr>
        <w:t>É</w:t>
      </w:r>
      <w:r w:rsidR="00D318A3" w:rsidRPr="00754CC2">
        <w:t>ambule</w:t>
      </w:r>
      <w:bookmarkEnd w:id="4"/>
    </w:p>
    <w:p w:rsidR="00C36DD4" w:rsidRPr="00754CC2" w:rsidRDefault="00C36DD4" w:rsidP="00467D18">
      <w:pPr>
        <w:rPr>
          <w:highlight w:val="lightGray"/>
          <w:lang w:val="fr-FR"/>
        </w:rPr>
      </w:pPr>
    </w:p>
    <w:p w:rsidR="00C36DD4" w:rsidRPr="00754CC2" w:rsidRDefault="00467D18" w:rsidP="00763CF8">
      <w:pPr>
        <w:rPr>
          <w:u w:val="single"/>
          <w:lang w:val="fr-FR"/>
        </w:rPr>
      </w:pPr>
      <w:r w:rsidRPr="00754CC2">
        <w:rPr>
          <w:highlight w:val="lightGray"/>
          <w:lang w:val="fr-FR"/>
        </w:rPr>
        <w:fldChar w:fldCharType="begin"/>
      </w:r>
      <w:r w:rsidRPr="00754CC2">
        <w:rPr>
          <w:highlight w:val="lightGray"/>
          <w:lang w:val="fr-FR"/>
        </w:rPr>
        <w:instrText xml:space="preserve"> AUTONUM  </w:instrText>
      </w:r>
      <w:r w:rsidRPr="00754CC2">
        <w:rPr>
          <w:highlight w:val="lightGray"/>
          <w:lang w:val="fr-FR"/>
        </w:rPr>
        <w:fldChar w:fldCharType="end"/>
      </w:r>
      <w:r w:rsidRPr="00754CC2">
        <w:rPr>
          <w:highlight w:val="lightGray"/>
          <w:lang w:val="fr-FR"/>
        </w:rPr>
        <w:tab/>
      </w:r>
      <w:r w:rsidR="00C36DD4" w:rsidRPr="00754CC2">
        <w:rPr>
          <w:strike/>
          <w:highlight w:val="lightGray"/>
          <w:lang w:val="fr-FR"/>
        </w:rPr>
        <w:t>Le présent document vise à fournir des indications aux membres de l</w:t>
      </w:r>
      <w:r w:rsidR="00FD700E" w:rsidRPr="00754CC2">
        <w:rPr>
          <w:strike/>
          <w:highlight w:val="lightGray"/>
          <w:lang w:val="fr-FR"/>
        </w:rPr>
        <w:t>’</w:t>
      </w:r>
      <w:r w:rsidR="00C36DD4" w:rsidRPr="00754CC2">
        <w:rPr>
          <w:strike/>
          <w:highlight w:val="lightGray"/>
          <w:lang w:val="fr-FR"/>
        </w:rPr>
        <w:t>Union internationale pour la protection des obtentions végétales (membres de l</w:t>
      </w:r>
      <w:r w:rsidR="00FD700E" w:rsidRPr="00754CC2">
        <w:rPr>
          <w:strike/>
          <w:highlight w:val="lightGray"/>
          <w:lang w:val="fr-FR"/>
        </w:rPr>
        <w:t>’</w:t>
      </w:r>
      <w:r w:rsidR="00C36DD4" w:rsidRPr="00754CC2">
        <w:rPr>
          <w:strike/>
          <w:highlight w:val="lightGray"/>
          <w:lang w:val="fr-FR"/>
        </w:rPr>
        <w:t>Union) sur les obligations en cours et les notifications connexes</w:t>
      </w:r>
      <w:r w:rsidR="00C36DD4" w:rsidRPr="00754CC2">
        <w:rPr>
          <w:strike/>
          <w:szCs w:val="24"/>
          <w:highlight w:val="lightGray"/>
          <w:lang w:val="fr-FR"/>
        </w:rPr>
        <w:t>, ainsi que la fourniture d</w:t>
      </w:r>
      <w:r w:rsidR="00FD700E" w:rsidRPr="00754CC2">
        <w:rPr>
          <w:strike/>
          <w:szCs w:val="24"/>
          <w:highlight w:val="lightGray"/>
          <w:lang w:val="fr-FR"/>
        </w:rPr>
        <w:t>’</w:t>
      </w:r>
      <w:r w:rsidR="00C36DD4" w:rsidRPr="00754CC2">
        <w:rPr>
          <w:strike/>
          <w:szCs w:val="24"/>
          <w:highlight w:val="lightGray"/>
          <w:lang w:val="fr-FR"/>
        </w:rPr>
        <w:t>informations visant à faciliter la coopération</w:t>
      </w:r>
      <w:r w:rsidR="00C36DD4" w:rsidRPr="00754CC2">
        <w:rPr>
          <w:szCs w:val="24"/>
          <w:highlight w:val="lightGray"/>
          <w:lang w:val="fr-FR"/>
        </w:rPr>
        <w:t>.</w:t>
      </w:r>
      <w:r w:rsidR="00C36DD4" w:rsidRPr="00754CC2">
        <w:rPr>
          <w:highlight w:val="lightGray"/>
          <w:lang w:val="fr-FR"/>
        </w:rPr>
        <w:t xml:space="preserve">  </w:t>
      </w:r>
      <w:r w:rsidR="00763CF8" w:rsidRPr="00754CC2">
        <w:rPr>
          <w:color w:val="000000"/>
          <w:highlight w:val="lightGray"/>
          <w:u w:val="single"/>
          <w:lang w:val="fr-FR"/>
        </w:rPr>
        <w:t>Le présent document vise à fournir aux membres de l</w:t>
      </w:r>
      <w:r w:rsidR="00FD700E" w:rsidRPr="00754CC2">
        <w:rPr>
          <w:color w:val="000000"/>
          <w:highlight w:val="lightGray"/>
          <w:u w:val="single"/>
          <w:lang w:val="fr-FR"/>
        </w:rPr>
        <w:t>’</w:t>
      </w:r>
      <w:r w:rsidR="00763CF8" w:rsidRPr="00754CC2">
        <w:rPr>
          <w:color w:val="000000"/>
          <w:highlight w:val="lightGray"/>
          <w:u w:val="single"/>
          <w:lang w:val="fr-FR"/>
        </w:rPr>
        <w:t xml:space="preserve">UPOV des </w:t>
      </w:r>
      <w:r w:rsidR="001A73AD" w:rsidRPr="00754CC2">
        <w:rPr>
          <w:color w:val="000000"/>
          <w:highlight w:val="lightGray"/>
          <w:u w:val="single"/>
          <w:lang w:val="fr-FR"/>
        </w:rPr>
        <w:t>orientations</w:t>
      </w:r>
      <w:r w:rsidR="00717396" w:rsidRPr="00754CC2">
        <w:rPr>
          <w:color w:val="000000"/>
          <w:highlight w:val="lightGray"/>
          <w:u w:val="single"/>
          <w:lang w:val="fr-FR"/>
        </w:rPr>
        <w:t xml:space="preserve"> concernant leur rôle</w:t>
      </w:r>
      <w:r w:rsidR="00763CF8" w:rsidRPr="00754CC2">
        <w:rPr>
          <w:color w:val="000000"/>
          <w:highlight w:val="lightGray"/>
          <w:u w:val="single"/>
          <w:lang w:val="fr-FR"/>
        </w:rPr>
        <w:t xml:space="preserve">, et à présenter le fonctionnement du système de protection des </w:t>
      </w:r>
      <w:r w:rsidR="002204F0" w:rsidRPr="00754CC2">
        <w:rPr>
          <w:color w:val="000000"/>
          <w:highlight w:val="lightGray"/>
          <w:u w:val="single"/>
          <w:lang w:val="fr-FR"/>
        </w:rPr>
        <w:t>obtention</w:t>
      </w:r>
      <w:r w:rsidR="00763CF8" w:rsidRPr="00754CC2">
        <w:rPr>
          <w:color w:val="000000"/>
          <w:highlight w:val="lightGray"/>
          <w:u w:val="single"/>
          <w:lang w:val="fr-FR"/>
        </w:rPr>
        <w:t>s végétales de l</w:t>
      </w:r>
      <w:r w:rsidR="00FD700E" w:rsidRPr="00754CC2">
        <w:rPr>
          <w:color w:val="000000"/>
          <w:highlight w:val="lightGray"/>
          <w:u w:val="single"/>
          <w:lang w:val="fr-FR"/>
        </w:rPr>
        <w:t>’</w:t>
      </w:r>
      <w:r w:rsidR="00763CF8" w:rsidRPr="00754CC2">
        <w:rPr>
          <w:color w:val="000000"/>
          <w:highlight w:val="lightGray"/>
          <w:u w:val="single"/>
          <w:lang w:val="fr-FR"/>
        </w:rPr>
        <w:t>UPOV</w:t>
      </w:r>
      <w:r w:rsidR="001A73AD" w:rsidRPr="00754CC2">
        <w:rPr>
          <w:color w:val="000000"/>
          <w:highlight w:val="lightGray"/>
          <w:u w:val="single"/>
          <w:lang w:val="fr-FR"/>
        </w:rPr>
        <w:t xml:space="preserve">. </w:t>
      </w:r>
      <w:r w:rsidR="00763CF8" w:rsidRPr="00754CC2">
        <w:rPr>
          <w:color w:val="000000"/>
          <w:highlight w:val="lightGray"/>
          <w:u w:val="single"/>
          <w:lang w:val="fr-FR"/>
        </w:rPr>
        <w:t xml:space="preserve"> </w:t>
      </w:r>
      <w:r w:rsidR="001A73AD" w:rsidRPr="00754CC2">
        <w:rPr>
          <w:color w:val="000000"/>
          <w:highlight w:val="lightGray"/>
          <w:u w:val="single"/>
          <w:lang w:val="fr-FR"/>
        </w:rPr>
        <w:t xml:space="preserve">Il contient également </w:t>
      </w:r>
      <w:r w:rsidR="00763CF8" w:rsidRPr="00754CC2">
        <w:rPr>
          <w:color w:val="000000"/>
          <w:highlight w:val="lightGray"/>
          <w:u w:val="single"/>
          <w:lang w:val="fr-FR"/>
        </w:rPr>
        <w:t>d</w:t>
      </w:r>
      <w:r w:rsidR="00FD700E" w:rsidRPr="00754CC2">
        <w:rPr>
          <w:color w:val="000000"/>
          <w:highlight w:val="lightGray"/>
          <w:u w:val="single"/>
          <w:lang w:val="fr-FR"/>
        </w:rPr>
        <w:t>’</w:t>
      </w:r>
      <w:r w:rsidR="002204F0" w:rsidRPr="00754CC2">
        <w:rPr>
          <w:color w:val="000000"/>
          <w:highlight w:val="lightGray"/>
          <w:u w:val="single"/>
          <w:lang w:val="fr-FR"/>
        </w:rPr>
        <w:t>autr</w:t>
      </w:r>
      <w:r w:rsidR="00763CF8" w:rsidRPr="00754CC2">
        <w:rPr>
          <w:color w:val="000000"/>
          <w:highlight w:val="lightGray"/>
          <w:u w:val="single"/>
          <w:lang w:val="fr-FR"/>
        </w:rPr>
        <w:t xml:space="preserve">es </w:t>
      </w:r>
      <w:r w:rsidR="00B153D5" w:rsidRPr="00754CC2">
        <w:rPr>
          <w:color w:val="000000"/>
          <w:highlight w:val="lightGray"/>
          <w:u w:val="single"/>
          <w:lang w:val="fr-FR"/>
        </w:rPr>
        <w:t xml:space="preserve">sources de </w:t>
      </w:r>
      <w:r w:rsidR="002204F0" w:rsidRPr="00754CC2">
        <w:rPr>
          <w:color w:val="000000"/>
          <w:highlight w:val="lightGray"/>
          <w:u w:val="single"/>
          <w:lang w:val="fr-FR"/>
        </w:rPr>
        <w:t xml:space="preserve">renseignements </w:t>
      </w:r>
      <w:r w:rsidR="00763CF8" w:rsidRPr="00754CC2">
        <w:rPr>
          <w:color w:val="000000"/>
          <w:highlight w:val="lightGray"/>
          <w:u w:val="single"/>
          <w:lang w:val="fr-FR"/>
        </w:rPr>
        <w:t>détaillés</w:t>
      </w:r>
      <w:r w:rsidR="001A73AD" w:rsidRPr="00754CC2">
        <w:rPr>
          <w:color w:val="000000"/>
          <w:highlight w:val="lightGray"/>
          <w:u w:val="single"/>
          <w:lang w:val="fr-FR"/>
        </w:rPr>
        <w:t>.</w:t>
      </w:r>
    </w:p>
    <w:p w:rsidR="00C36DD4" w:rsidRPr="00754CC2" w:rsidRDefault="00C36DD4" w:rsidP="00603EB9">
      <w:pPr>
        <w:rPr>
          <w:u w:val="single"/>
          <w:lang w:val="fr-FR"/>
        </w:rPr>
      </w:pPr>
    </w:p>
    <w:p w:rsidR="00C36DD4" w:rsidRPr="00754CC2" w:rsidRDefault="00603EB9" w:rsidP="001A73AD">
      <w:pPr>
        <w:rPr>
          <w:b/>
          <w:highlight w:val="lightGray"/>
          <w:u w:val="single"/>
          <w:lang w:val="fr-FR"/>
        </w:rPr>
      </w:pPr>
      <w:r w:rsidRPr="00754CC2">
        <w:rPr>
          <w:highlight w:val="lightGray"/>
          <w:lang w:val="fr-FR"/>
        </w:rPr>
        <w:fldChar w:fldCharType="begin"/>
      </w:r>
      <w:r w:rsidRPr="00754CC2">
        <w:rPr>
          <w:highlight w:val="lightGray"/>
          <w:lang w:val="fr-FR"/>
        </w:rPr>
        <w:instrText xml:space="preserve"> AUTONUM  </w:instrText>
      </w:r>
      <w:r w:rsidRPr="00754CC2">
        <w:rPr>
          <w:highlight w:val="lightGray"/>
          <w:lang w:val="fr-FR"/>
        </w:rPr>
        <w:fldChar w:fldCharType="end"/>
      </w:r>
      <w:r w:rsidRPr="00754CC2">
        <w:rPr>
          <w:highlight w:val="lightGray"/>
          <w:lang w:val="fr-FR"/>
        </w:rPr>
        <w:tab/>
      </w:r>
      <w:r w:rsidR="00E37E33" w:rsidRPr="00754CC2">
        <w:rPr>
          <w:color w:val="000000"/>
          <w:highlight w:val="lightGray"/>
          <w:u w:val="single"/>
          <w:lang w:val="fr-FR"/>
        </w:rPr>
        <w:t xml:space="preserve">La </w:t>
      </w:r>
      <w:r w:rsidR="00FD700E" w:rsidRPr="00754CC2">
        <w:rPr>
          <w:color w:val="000000"/>
          <w:highlight w:val="lightGray"/>
          <w:u w:val="single"/>
          <w:lang w:val="fr-FR"/>
        </w:rPr>
        <w:t>Convention UPOV</w:t>
      </w:r>
      <w:r w:rsidR="001A73AD" w:rsidRPr="00754CC2">
        <w:rPr>
          <w:color w:val="000000"/>
          <w:highlight w:val="lightGray"/>
          <w:u w:val="single"/>
          <w:lang w:val="fr-FR"/>
        </w:rPr>
        <w:t xml:space="preserve"> dispose que les membres de l</w:t>
      </w:r>
      <w:r w:rsidR="00FD700E" w:rsidRPr="00754CC2">
        <w:rPr>
          <w:color w:val="000000"/>
          <w:highlight w:val="lightGray"/>
          <w:u w:val="single"/>
          <w:lang w:val="fr-FR"/>
        </w:rPr>
        <w:t>’</w:t>
      </w:r>
      <w:r w:rsidR="001A73AD" w:rsidRPr="00754CC2">
        <w:rPr>
          <w:color w:val="000000"/>
          <w:highlight w:val="lightGray"/>
          <w:u w:val="single"/>
          <w:lang w:val="fr-FR"/>
        </w:rPr>
        <w:t>Union s</w:t>
      </w:r>
      <w:r w:rsidR="00FD700E" w:rsidRPr="00754CC2">
        <w:rPr>
          <w:color w:val="000000"/>
          <w:highlight w:val="lightGray"/>
          <w:u w:val="single"/>
          <w:lang w:val="fr-FR"/>
        </w:rPr>
        <w:t>’</w:t>
      </w:r>
      <w:r w:rsidR="001A73AD" w:rsidRPr="00754CC2">
        <w:rPr>
          <w:color w:val="000000"/>
          <w:highlight w:val="lightGray"/>
          <w:u w:val="single"/>
          <w:lang w:val="fr-FR"/>
        </w:rPr>
        <w:t xml:space="preserve">engagent à prendre toutes les mesures nécessaires à sa mise en </w:t>
      </w:r>
      <w:r w:rsidR="001A73AD" w:rsidRPr="00754CC2">
        <w:rPr>
          <w:rFonts w:cs="Arial"/>
          <w:color w:val="000000"/>
          <w:highlight w:val="lightGray"/>
          <w:u w:val="single"/>
          <w:lang w:val="fr-FR"/>
        </w:rPr>
        <w:t>œ</w:t>
      </w:r>
      <w:r w:rsidR="001A73AD" w:rsidRPr="00754CC2">
        <w:rPr>
          <w:color w:val="000000"/>
          <w:highlight w:val="lightGray"/>
          <w:u w:val="single"/>
          <w:lang w:val="fr-FR"/>
        </w:rPr>
        <w:t>uvre.  Les membres de l</w:t>
      </w:r>
      <w:r w:rsidR="00FD700E" w:rsidRPr="00754CC2">
        <w:rPr>
          <w:color w:val="000000"/>
          <w:highlight w:val="lightGray"/>
          <w:u w:val="single"/>
          <w:lang w:val="fr-FR"/>
        </w:rPr>
        <w:t>’</w:t>
      </w:r>
      <w:r w:rsidR="001A73AD" w:rsidRPr="00754CC2">
        <w:rPr>
          <w:color w:val="000000"/>
          <w:highlight w:val="lightGray"/>
          <w:u w:val="single"/>
          <w:lang w:val="fr-FR"/>
        </w:rPr>
        <w:t xml:space="preserve">Union doivent être en mesure, </w:t>
      </w:r>
      <w:r w:rsidR="00E37E33" w:rsidRPr="00754CC2">
        <w:rPr>
          <w:color w:val="000000"/>
          <w:highlight w:val="lightGray"/>
          <w:u w:val="single"/>
          <w:lang w:val="fr-FR"/>
        </w:rPr>
        <w:t>conformément à</w:t>
      </w:r>
      <w:r w:rsidR="001A73AD" w:rsidRPr="00754CC2">
        <w:rPr>
          <w:color w:val="000000"/>
          <w:highlight w:val="lightGray"/>
          <w:u w:val="single"/>
          <w:lang w:val="fr-FR"/>
        </w:rPr>
        <w:t xml:space="preserve"> leur législation, de donner effet aux dispositions de la </w:t>
      </w:r>
      <w:r w:rsidR="00FD700E" w:rsidRPr="00754CC2">
        <w:rPr>
          <w:color w:val="000000"/>
          <w:highlight w:val="lightGray"/>
          <w:u w:val="single"/>
          <w:lang w:val="fr-FR"/>
        </w:rPr>
        <w:t>Convention UPOV</w:t>
      </w:r>
      <w:r w:rsidR="00E37E33" w:rsidRPr="00754CC2">
        <w:rPr>
          <w:rStyle w:val="FootnoteReference"/>
          <w:color w:val="000000"/>
          <w:highlight w:val="lightGray"/>
          <w:u w:val="single"/>
          <w:lang w:val="fr-FR"/>
        </w:rPr>
        <w:footnoteReference w:id="2"/>
      </w:r>
      <w:r w:rsidR="001A73AD" w:rsidRPr="00754CC2">
        <w:rPr>
          <w:color w:val="000000"/>
          <w:highlight w:val="lightGray"/>
          <w:u w:val="single"/>
          <w:lang w:val="fr-FR"/>
        </w:rPr>
        <w:t>.</w:t>
      </w:r>
    </w:p>
    <w:p w:rsidR="00C36DD4" w:rsidRPr="00754CC2" w:rsidRDefault="00C36DD4" w:rsidP="00467D18">
      <w:pPr>
        <w:rPr>
          <w:u w:val="single"/>
          <w:lang w:val="fr-FR"/>
        </w:rPr>
      </w:pPr>
    </w:p>
    <w:p w:rsidR="00C36DD4" w:rsidRPr="00754CC2" w:rsidRDefault="009F6FF7" w:rsidP="00467D18">
      <w:pPr>
        <w:rPr>
          <w:lang w:val="fr-FR"/>
        </w:rPr>
      </w:pPr>
      <w:r w:rsidRPr="00754CC2">
        <w:rPr>
          <w:lang w:val="fr-FR"/>
        </w:rPr>
        <w:fldChar w:fldCharType="begin"/>
      </w:r>
      <w:r w:rsidRPr="00754CC2">
        <w:rPr>
          <w:lang w:val="fr-FR"/>
        </w:rPr>
        <w:instrText xml:space="preserve"> AUTONUM  </w:instrText>
      </w:r>
      <w:r w:rsidRPr="00754CC2">
        <w:rPr>
          <w:lang w:val="fr-FR"/>
        </w:rPr>
        <w:fldChar w:fldCharType="end"/>
      </w:r>
      <w:r w:rsidRPr="00754CC2">
        <w:rPr>
          <w:lang w:val="fr-FR"/>
        </w:rPr>
        <w:tab/>
      </w:r>
      <w:r w:rsidR="00467D18" w:rsidRPr="00754CC2">
        <w:rPr>
          <w:lang w:val="fr-FR"/>
        </w:rPr>
        <w:t>Les seules obligations impératives pour les membres de l</w:t>
      </w:r>
      <w:r w:rsidR="00FD700E" w:rsidRPr="00754CC2">
        <w:rPr>
          <w:lang w:val="fr-FR"/>
        </w:rPr>
        <w:t>’</w:t>
      </w:r>
      <w:r w:rsidR="00467D18" w:rsidRPr="00754CC2">
        <w:rPr>
          <w:lang w:val="fr-FR"/>
        </w:rPr>
        <w:t xml:space="preserve">Union sont celles qui figurent dans le texte de la </w:t>
      </w:r>
      <w:r w:rsidR="00FD700E" w:rsidRPr="00754CC2">
        <w:rPr>
          <w:lang w:val="fr-FR"/>
        </w:rPr>
        <w:t>Convention UPOV</w:t>
      </w:r>
      <w:r w:rsidR="00467D18" w:rsidRPr="00754CC2">
        <w:rPr>
          <w:lang w:val="fr-FR"/>
        </w:rPr>
        <w:t xml:space="preserve"> proprement dite;  le document d</w:t>
      </w:r>
      <w:r w:rsidR="00FD700E" w:rsidRPr="00754CC2">
        <w:rPr>
          <w:lang w:val="fr-FR"/>
        </w:rPr>
        <w:t>’</w:t>
      </w:r>
      <w:r w:rsidR="00467D18" w:rsidRPr="00754CC2">
        <w:rPr>
          <w:lang w:val="fr-FR"/>
        </w:rPr>
        <w:t>orientation ne doit pas être interprété d</w:t>
      </w:r>
      <w:r w:rsidR="00FD700E" w:rsidRPr="00754CC2">
        <w:rPr>
          <w:lang w:val="fr-FR"/>
        </w:rPr>
        <w:t>’</w:t>
      </w:r>
      <w:r w:rsidR="00467D18" w:rsidRPr="00754CC2">
        <w:rPr>
          <w:lang w:val="fr-FR"/>
        </w:rPr>
        <w:t>une manière qui ne serait pas conforme à l</w:t>
      </w:r>
      <w:r w:rsidR="00FD700E" w:rsidRPr="00754CC2">
        <w:rPr>
          <w:lang w:val="fr-FR"/>
        </w:rPr>
        <w:t>’</w:t>
      </w:r>
      <w:r w:rsidR="00467D18" w:rsidRPr="00754CC2">
        <w:rPr>
          <w:lang w:val="fr-FR"/>
        </w:rPr>
        <w:t>acte pertinent pour le membre de l</w:t>
      </w:r>
      <w:r w:rsidR="00FD700E" w:rsidRPr="00754CC2">
        <w:rPr>
          <w:lang w:val="fr-FR"/>
        </w:rPr>
        <w:t>’</w:t>
      </w:r>
      <w:r w:rsidR="00467D18" w:rsidRPr="00754CC2">
        <w:rPr>
          <w:lang w:val="fr-FR"/>
        </w:rPr>
        <w:t>Union concerné.</w:t>
      </w:r>
    </w:p>
    <w:p w:rsidR="00C36DD4" w:rsidRPr="00754CC2" w:rsidRDefault="00C36DD4" w:rsidP="00467D18">
      <w:pPr>
        <w:tabs>
          <w:tab w:val="left" w:pos="567"/>
        </w:tabs>
        <w:rPr>
          <w:szCs w:val="24"/>
          <w:lang w:val="fr-FR"/>
        </w:rPr>
      </w:pPr>
    </w:p>
    <w:p w:rsidR="00C36DD4" w:rsidRPr="00754CC2" w:rsidRDefault="009F6FF7" w:rsidP="00467D18">
      <w:pPr>
        <w:tabs>
          <w:tab w:val="left" w:pos="567"/>
        </w:tabs>
        <w:rPr>
          <w:lang w:val="fr-FR"/>
        </w:rPr>
      </w:pPr>
      <w:r w:rsidRPr="00754CC2">
        <w:rPr>
          <w:lang w:val="fr-FR"/>
        </w:rPr>
        <w:fldChar w:fldCharType="begin"/>
      </w:r>
      <w:r w:rsidRPr="00754CC2">
        <w:rPr>
          <w:lang w:val="fr-FR"/>
        </w:rPr>
        <w:instrText xml:space="preserve"> AUTONUM  </w:instrText>
      </w:r>
      <w:r w:rsidRPr="00754CC2">
        <w:rPr>
          <w:lang w:val="fr-FR"/>
        </w:rPr>
        <w:fldChar w:fldCharType="end"/>
      </w:r>
      <w:r w:rsidR="00467D18" w:rsidRPr="00754CC2">
        <w:rPr>
          <w:lang w:val="fr-FR"/>
        </w:rPr>
        <w:tab/>
        <w:t>Si les notes du présent document d</w:t>
      </w:r>
      <w:r w:rsidR="00FD700E" w:rsidRPr="00754CC2">
        <w:rPr>
          <w:lang w:val="fr-FR"/>
        </w:rPr>
        <w:t>’</w:t>
      </w:r>
      <w:r w:rsidR="00467D18" w:rsidRPr="00754CC2">
        <w:rPr>
          <w:lang w:val="fr-FR"/>
        </w:rPr>
        <w:t>orientation renvoient à certaines dispositions de l</w:t>
      </w:r>
      <w:r w:rsidR="00FD700E" w:rsidRPr="00754CC2">
        <w:rPr>
          <w:lang w:val="fr-FR"/>
        </w:rPr>
        <w:t>’</w:t>
      </w:r>
      <w:r w:rsidR="00467D18" w:rsidRPr="00754CC2">
        <w:rPr>
          <w:lang w:val="fr-FR"/>
        </w:rPr>
        <w:t xml:space="preserve">Acte de 1991 de la </w:t>
      </w:r>
      <w:r w:rsidR="00FD700E" w:rsidRPr="00754CC2">
        <w:rPr>
          <w:lang w:val="fr-FR"/>
        </w:rPr>
        <w:t>Convention UPOV</w:t>
      </w:r>
      <w:r w:rsidR="00467D18" w:rsidRPr="00754CC2">
        <w:rPr>
          <w:lang w:val="fr-FR"/>
        </w:rPr>
        <w:t>, elles sont aussi pertinentes pour les dispositions correspondantes de l</w:t>
      </w:r>
      <w:r w:rsidR="00FD700E" w:rsidRPr="00754CC2">
        <w:rPr>
          <w:lang w:val="fr-FR"/>
        </w:rPr>
        <w:t>’</w:t>
      </w:r>
      <w:r w:rsidR="00467D18" w:rsidRPr="00754CC2">
        <w:rPr>
          <w:lang w:val="fr-FR"/>
        </w:rPr>
        <w:t xml:space="preserve">Acte de 1978 de la </w:t>
      </w:r>
      <w:r w:rsidR="00FD700E" w:rsidRPr="00754CC2">
        <w:rPr>
          <w:lang w:val="fr-FR"/>
        </w:rPr>
        <w:t>Convention UPOV</w:t>
      </w:r>
      <w:r w:rsidR="00467D18" w:rsidRPr="00754CC2">
        <w:rPr>
          <w:lang w:val="fr-FR"/>
        </w:rPr>
        <w:t>, sauf indication contraire.</w:t>
      </w:r>
    </w:p>
    <w:p w:rsidR="00C36DD4" w:rsidRPr="00754CC2" w:rsidRDefault="00C36DD4" w:rsidP="00467D18">
      <w:pPr>
        <w:rPr>
          <w:lang w:val="fr-FR"/>
        </w:rPr>
      </w:pPr>
    </w:p>
    <w:p w:rsidR="00C36DD4" w:rsidRPr="00754CC2" w:rsidRDefault="009F6FF7" w:rsidP="001A73AD">
      <w:pPr>
        <w:tabs>
          <w:tab w:val="left" w:pos="567"/>
        </w:tabs>
        <w:rPr>
          <w:highlight w:val="lightGray"/>
          <w:u w:val="single"/>
          <w:lang w:val="fr-FR"/>
        </w:rPr>
      </w:pPr>
      <w:r w:rsidRPr="00754CC2">
        <w:rPr>
          <w:highlight w:val="lightGray"/>
          <w:u w:val="single"/>
          <w:lang w:val="fr-FR"/>
        </w:rPr>
        <w:fldChar w:fldCharType="begin"/>
      </w:r>
      <w:r w:rsidRPr="00754CC2">
        <w:rPr>
          <w:highlight w:val="lightGray"/>
          <w:u w:val="single"/>
          <w:lang w:val="fr-FR"/>
        </w:rPr>
        <w:instrText xml:space="preserve"> AUTONUM  </w:instrText>
      </w:r>
      <w:r w:rsidRPr="00754CC2">
        <w:rPr>
          <w:highlight w:val="lightGray"/>
          <w:u w:val="single"/>
          <w:lang w:val="fr-FR"/>
        </w:rPr>
        <w:fldChar w:fldCharType="end"/>
      </w:r>
      <w:r w:rsidRPr="00754CC2">
        <w:rPr>
          <w:highlight w:val="lightGray"/>
          <w:u w:val="single"/>
          <w:lang w:val="fr-FR"/>
        </w:rPr>
        <w:tab/>
      </w:r>
      <w:r w:rsidR="001A73AD" w:rsidRPr="00754CC2">
        <w:rPr>
          <w:highlight w:val="lightGray"/>
          <w:u w:val="single"/>
          <w:lang w:val="fr-FR"/>
        </w:rPr>
        <w:t>La structure du présent document est la suivante :</w:t>
      </w:r>
    </w:p>
    <w:p w:rsidR="00C36DD4" w:rsidRPr="00754CC2" w:rsidRDefault="00C36DD4" w:rsidP="001A73AD">
      <w:pPr>
        <w:tabs>
          <w:tab w:val="left" w:pos="567"/>
        </w:tabs>
        <w:rPr>
          <w:highlight w:val="lightGray"/>
          <w:u w:val="single"/>
          <w:lang w:val="fr-FR"/>
        </w:rPr>
      </w:pPr>
    </w:p>
    <w:p w:rsidR="00C36DD4" w:rsidRPr="00754CC2" w:rsidRDefault="002204F0" w:rsidP="001A73AD">
      <w:pPr>
        <w:tabs>
          <w:tab w:val="left" w:pos="567"/>
        </w:tabs>
        <w:ind w:left="567"/>
        <w:rPr>
          <w:caps/>
          <w:highlight w:val="lightGray"/>
          <w:u w:val="single"/>
          <w:lang w:val="fr-FR"/>
        </w:rPr>
      </w:pPr>
      <w:r w:rsidRPr="00754CC2">
        <w:rPr>
          <w:caps/>
          <w:highlight w:val="lightGray"/>
          <w:u w:val="single"/>
          <w:lang w:val="fr-FR"/>
        </w:rPr>
        <w:t xml:space="preserve">Première </w:t>
      </w:r>
      <w:r w:rsidR="001A73AD" w:rsidRPr="00754CC2">
        <w:rPr>
          <w:caps/>
          <w:highlight w:val="lightGray"/>
          <w:u w:val="single"/>
          <w:lang w:val="fr-FR"/>
        </w:rPr>
        <w:t>PARTIE</w:t>
      </w:r>
      <w:r w:rsidR="009F6FF7" w:rsidRPr="00754CC2">
        <w:rPr>
          <w:caps/>
          <w:highlight w:val="lightGray"/>
          <w:u w:val="single"/>
          <w:lang w:val="fr-FR"/>
        </w:rPr>
        <w:t xml:space="preserve"> : </w:t>
      </w:r>
      <w:r w:rsidR="001A73AD" w:rsidRPr="00754CC2">
        <w:rPr>
          <w:caps/>
          <w:highlight w:val="lightGray"/>
          <w:u w:val="single"/>
          <w:lang w:val="fr-FR"/>
        </w:rPr>
        <w:t>R</w:t>
      </w:r>
      <w:r w:rsidRPr="00754CC2">
        <w:rPr>
          <w:caps/>
          <w:highlight w:val="lightGray"/>
          <w:u w:val="single"/>
          <w:lang w:val="fr-FR"/>
        </w:rPr>
        <w:t>ôle</w:t>
      </w:r>
      <w:r w:rsidR="001A73AD" w:rsidRPr="00754CC2">
        <w:rPr>
          <w:caps/>
          <w:highlight w:val="lightGray"/>
          <w:u w:val="single"/>
          <w:lang w:val="fr-FR"/>
        </w:rPr>
        <w:t xml:space="preserve"> des membres de l</w:t>
      </w:r>
      <w:r w:rsidR="00FD700E" w:rsidRPr="00754CC2">
        <w:rPr>
          <w:caps/>
          <w:highlight w:val="lightGray"/>
          <w:u w:val="single"/>
          <w:lang w:val="fr-FR"/>
        </w:rPr>
        <w:t>’</w:t>
      </w:r>
      <w:r w:rsidR="001A73AD" w:rsidRPr="00754CC2">
        <w:rPr>
          <w:caps/>
          <w:highlight w:val="lightGray"/>
          <w:u w:val="single"/>
          <w:lang w:val="fr-FR"/>
        </w:rPr>
        <w:t>UPOV</w:t>
      </w:r>
    </w:p>
    <w:p w:rsidR="00C36DD4" w:rsidRPr="00754CC2" w:rsidRDefault="00C36DD4" w:rsidP="001A73AD">
      <w:pPr>
        <w:tabs>
          <w:tab w:val="left" w:pos="567"/>
        </w:tabs>
        <w:ind w:left="567"/>
        <w:rPr>
          <w:highlight w:val="lightGray"/>
          <w:u w:val="single"/>
          <w:lang w:val="fr-FR"/>
        </w:rPr>
      </w:pPr>
    </w:p>
    <w:p w:rsidR="00C36DD4" w:rsidRPr="00754CC2" w:rsidRDefault="00E37E33" w:rsidP="0093579E">
      <w:pPr>
        <w:tabs>
          <w:tab w:val="left" w:pos="567"/>
        </w:tabs>
        <w:ind w:left="851"/>
        <w:rPr>
          <w:highlight w:val="lightGray"/>
          <w:u w:val="single"/>
          <w:lang w:val="fr-FR"/>
        </w:rPr>
      </w:pPr>
      <w:r w:rsidRPr="00754CC2">
        <w:rPr>
          <w:highlight w:val="lightGray"/>
          <w:u w:val="single"/>
          <w:lang w:val="fr-FR"/>
        </w:rPr>
        <w:t>Section</w:t>
      </w:r>
      <w:r w:rsidR="00175F7E" w:rsidRPr="00754CC2">
        <w:rPr>
          <w:highlight w:val="lightGray"/>
          <w:u w:val="single"/>
          <w:lang w:val="fr-FR"/>
        </w:rPr>
        <w:t> </w:t>
      </w:r>
      <w:r w:rsidRPr="00754CC2">
        <w:rPr>
          <w:highlight w:val="lightGray"/>
          <w:u w:val="single"/>
          <w:lang w:val="fr-FR"/>
        </w:rPr>
        <w:t>1</w:t>
      </w:r>
      <w:r w:rsidR="009F6FF7" w:rsidRPr="00754CC2">
        <w:rPr>
          <w:highlight w:val="lightGray"/>
          <w:u w:val="single"/>
          <w:lang w:val="fr-FR"/>
        </w:rPr>
        <w:t> :</w:t>
      </w:r>
      <w:r w:rsidRPr="00754CC2">
        <w:rPr>
          <w:highlight w:val="lightGray"/>
          <w:u w:val="single"/>
          <w:lang w:val="fr-FR"/>
        </w:rPr>
        <w:t xml:space="preserve"> Notifications relatives aux représentants au Conseil et à leurs suppléants</w:t>
      </w:r>
    </w:p>
    <w:p w:rsidR="00C36DD4" w:rsidRPr="00754CC2" w:rsidRDefault="00C36DD4" w:rsidP="0093579E">
      <w:pPr>
        <w:tabs>
          <w:tab w:val="left" w:pos="567"/>
        </w:tabs>
        <w:ind w:left="851"/>
        <w:rPr>
          <w:highlight w:val="lightGray"/>
          <w:u w:val="single"/>
          <w:lang w:val="fr-FR"/>
        </w:rPr>
      </w:pPr>
    </w:p>
    <w:p w:rsidR="00556163" w:rsidRPr="00754CC2" w:rsidRDefault="00E37E33" w:rsidP="0093579E">
      <w:pPr>
        <w:ind w:left="851"/>
        <w:rPr>
          <w:highlight w:val="lightGray"/>
          <w:u w:val="single"/>
          <w:lang w:val="fr-FR"/>
        </w:rPr>
      </w:pPr>
      <w:r w:rsidRPr="00754CC2">
        <w:rPr>
          <w:highlight w:val="lightGray"/>
          <w:u w:val="single"/>
          <w:lang w:val="fr-FR"/>
        </w:rPr>
        <w:t>Section</w:t>
      </w:r>
      <w:r w:rsidR="00175F7E" w:rsidRPr="00754CC2">
        <w:rPr>
          <w:highlight w:val="lightGray"/>
          <w:u w:val="single"/>
          <w:lang w:val="fr-FR"/>
        </w:rPr>
        <w:t> </w:t>
      </w:r>
      <w:r w:rsidRPr="00754CC2">
        <w:rPr>
          <w:highlight w:val="lightGray"/>
          <w:u w:val="single"/>
          <w:lang w:val="fr-FR"/>
        </w:rPr>
        <w:t>2</w:t>
      </w:r>
      <w:r w:rsidR="009F6FF7" w:rsidRPr="00754CC2">
        <w:rPr>
          <w:highlight w:val="lightGray"/>
          <w:u w:val="single"/>
          <w:lang w:val="fr-FR"/>
        </w:rPr>
        <w:t> :</w:t>
      </w:r>
      <w:r w:rsidRPr="00754CC2">
        <w:rPr>
          <w:highlight w:val="lightGray"/>
          <w:u w:val="single"/>
          <w:lang w:val="fr-FR"/>
        </w:rPr>
        <w:t xml:space="preserve"> Notifications relatives à la législation régissant les droits d</w:t>
      </w:r>
      <w:r w:rsidR="00FD700E" w:rsidRPr="00754CC2">
        <w:rPr>
          <w:highlight w:val="lightGray"/>
          <w:u w:val="single"/>
          <w:lang w:val="fr-FR"/>
        </w:rPr>
        <w:t>’</w:t>
      </w:r>
      <w:r w:rsidRPr="00754CC2">
        <w:rPr>
          <w:highlight w:val="lightGray"/>
          <w:u w:val="single"/>
          <w:lang w:val="fr-FR"/>
        </w:rPr>
        <w:t>obtenteur et, le cas échéant, à toute extension de l</w:t>
      </w:r>
      <w:r w:rsidR="00FD700E" w:rsidRPr="00754CC2">
        <w:rPr>
          <w:highlight w:val="lightGray"/>
          <w:u w:val="single"/>
          <w:lang w:val="fr-FR"/>
        </w:rPr>
        <w:t>’</w:t>
      </w:r>
      <w:r w:rsidRPr="00754CC2">
        <w:rPr>
          <w:highlight w:val="lightGray"/>
          <w:u w:val="single"/>
          <w:lang w:val="fr-FR"/>
        </w:rPr>
        <w:t>application de la législation à d</w:t>
      </w:r>
      <w:r w:rsidR="00FD700E" w:rsidRPr="00754CC2">
        <w:rPr>
          <w:highlight w:val="lightGray"/>
          <w:u w:val="single"/>
          <w:lang w:val="fr-FR"/>
        </w:rPr>
        <w:t>’</w:t>
      </w:r>
      <w:r w:rsidRPr="00754CC2">
        <w:rPr>
          <w:highlight w:val="lightGray"/>
          <w:u w:val="single"/>
          <w:lang w:val="fr-FR"/>
        </w:rPr>
        <w:t>autres genres et espèces végétaux</w:t>
      </w:r>
    </w:p>
    <w:p w:rsidR="00C36DD4" w:rsidRPr="00754CC2" w:rsidRDefault="00C36DD4" w:rsidP="0093579E">
      <w:pPr>
        <w:tabs>
          <w:tab w:val="left" w:pos="567"/>
        </w:tabs>
        <w:ind w:left="851"/>
        <w:rPr>
          <w:highlight w:val="lightGray"/>
          <w:u w:val="single"/>
          <w:lang w:val="fr-FR"/>
        </w:rPr>
      </w:pPr>
    </w:p>
    <w:p w:rsidR="00C36DD4" w:rsidRPr="00754CC2" w:rsidRDefault="00E37E33" w:rsidP="0093579E">
      <w:pPr>
        <w:tabs>
          <w:tab w:val="left" w:pos="567"/>
        </w:tabs>
        <w:ind w:left="851"/>
        <w:rPr>
          <w:highlight w:val="lightGray"/>
          <w:u w:val="single"/>
          <w:lang w:val="fr-FR"/>
        </w:rPr>
      </w:pPr>
      <w:r w:rsidRPr="00754CC2">
        <w:rPr>
          <w:highlight w:val="lightGray"/>
          <w:u w:val="single"/>
          <w:lang w:val="fr-FR"/>
        </w:rPr>
        <w:t>Section</w:t>
      </w:r>
      <w:r w:rsidR="00175F7E" w:rsidRPr="00754CC2">
        <w:rPr>
          <w:highlight w:val="lightGray"/>
          <w:u w:val="single"/>
          <w:lang w:val="fr-FR"/>
        </w:rPr>
        <w:t> </w:t>
      </w:r>
      <w:r w:rsidRPr="00754CC2">
        <w:rPr>
          <w:highlight w:val="lightGray"/>
          <w:u w:val="single"/>
          <w:lang w:val="fr-FR"/>
        </w:rPr>
        <w:t>3</w:t>
      </w:r>
      <w:r w:rsidR="009F6FF7" w:rsidRPr="00754CC2">
        <w:rPr>
          <w:highlight w:val="lightGray"/>
          <w:u w:val="single"/>
          <w:lang w:val="fr-FR"/>
        </w:rPr>
        <w:t> :</w:t>
      </w:r>
      <w:r w:rsidRPr="00754CC2">
        <w:rPr>
          <w:highlight w:val="lightGray"/>
          <w:u w:val="single"/>
          <w:lang w:val="fr-FR"/>
        </w:rPr>
        <w:t xml:space="preserve"> Obligations financières concernant le paiement des contributions</w:t>
      </w:r>
    </w:p>
    <w:p w:rsidR="00C36DD4" w:rsidRPr="00754CC2" w:rsidRDefault="00C36DD4" w:rsidP="0093579E">
      <w:pPr>
        <w:tabs>
          <w:tab w:val="left" w:pos="567"/>
        </w:tabs>
        <w:ind w:left="851"/>
        <w:rPr>
          <w:highlight w:val="lightGray"/>
          <w:u w:val="single"/>
          <w:lang w:val="fr-FR"/>
        </w:rPr>
      </w:pPr>
    </w:p>
    <w:p w:rsidR="00556163" w:rsidRPr="00754CC2" w:rsidRDefault="00E37E33" w:rsidP="0093579E">
      <w:pPr>
        <w:tabs>
          <w:tab w:val="left" w:pos="567"/>
        </w:tabs>
        <w:ind w:left="851"/>
        <w:rPr>
          <w:highlight w:val="lightGray"/>
          <w:u w:val="single"/>
          <w:lang w:val="fr-FR"/>
        </w:rPr>
      </w:pPr>
      <w:r w:rsidRPr="00754CC2">
        <w:rPr>
          <w:highlight w:val="lightGray"/>
          <w:u w:val="single"/>
          <w:lang w:val="fr-FR"/>
        </w:rPr>
        <w:t>Section</w:t>
      </w:r>
      <w:r w:rsidR="00175F7E" w:rsidRPr="00754CC2">
        <w:rPr>
          <w:highlight w:val="lightGray"/>
          <w:u w:val="single"/>
          <w:lang w:val="fr-FR"/>
        </w:rPr>
        <w:t> </w:t>
      </w:r>
      <w:r w:rsidRPr="00754CC2">
        <w:rPr>
          <w:highlight w:val="lightGray"/>
          <w:u w:val="single"/>
          <w:lang w:val="fr-FR"/>
        </w:rPr>
        <w:t>4</w:t>
      </w:r>
      <w:r w:rsidR="009F6FF7" w:rsidRPr="00754CC2">
        <w:rPr>
          <w:highlight w:val="lightGray"/>
          <w:u w:val="single"/>
          <w:lang w:val="fr-FR"/>
        </w:rPr>
        <w:t> :</w:t>
      </w:r>
      <w:r w:rsidRPr="00754CC2">
        <w:rPr>
          <w:highlight w:val="lightGray"/>
          <w:u w:val="single"/>
          <w:lang w:val="fr-FR"/>
        </w:rPr>
        <w:t xml:space="preserve"> Informations visant à faciliter la coopération</w:t>
      </w:r>
    </w:p>
    <w:p w:rsidR="00C36DD4" w:rsidRPr="00754CC2" w:rsidRDefault="00C36DD4" w:rsidP="001A73AD">
      <w:pPr>
        <w:tabs>
          <w:tab w:val="left" w:pos="567"/>
        </w:tabs>
        <w:ind w:left="567"/>
        <w:rPr>
          <w:highlight w:val="lightGray"/>
          <w:u w:val="single"/>
          <w:lang w:val="fr-FR"/>
        </w:rPr>
      </w:pPr>
    </w:p>
    <w:p w:rsidR="00556163" w:rsidRPr="00754CC2" w:rsidRDefault="002204F0" w:rsidP="00E37E33">
      <w:pPr>
        <w:tabs>
          <w:tab w:val="left" w:pos="567"/>
        </w:tabs>
        <w:ind w:left="567"/>
        <w:rPr>
          <w:caps/>
          <w:highlight w:val="lightGray"/>
          <w:u w:val="single"/>
          <w:lang w:val="fr-FR"/>
        </w:rPr>
      </w:pPr>
      <w:r w:rsidRPr="00754CC2">
        <w:rPr>
          <w:caps/>
          <w:highlight w:val="lightGray"/>
          <w:u w:val="single"/>
          <w:lang w:val="fr-FR"/>
        </w:rPr>
        <w:t xml:space="preserve">Deuxième </w:t>
      </w:r>
      <w:r w:rsidR="009F6FF7" w:rsidRPr="00754CC2">
        <w:rPr>
          <w:caps/>
          <w:highlight w:val="lightGray"/>
          <w:u w:val="single"/>
          <w:lang w:val="fr-FR"/>
        </w:rPr>
        <w:t>PARTIE :</w:t>
      </w:r>
      <w:r w:rsidR="00E37E33" w:rsidRPr="00754CC2">
        <w:rPr>
          <w:caps/>
          <w:highlight w:val="lightGray"/>
          <w:u w:val="single"/>
          <w:lang w:val="fr-FR"/>
        </w:rPr>
        <w:t xml:space="preserve"> Fonctionnement du système de protection des obtentions végétales de l</w:t>
      </w:r>
      <w:r w:rsidR="00FD700E" w:rsidRPr="00754CC2">
        <w:rPr>
          <w:caps/>
          <w:highlight w:val="lightGray"/>
          <w:u w:val="single"/>
          <w:lang w:val="fr-FR"/>
        </w:rPr>
        <w:t>’</w:t>
      </w:r>
      <w:r w:rsidR="00E37E33" w:rsidRPr="00754CC2">
        <w:rPr>
          <w:caps/>
          <w:highlight w:val="lightGray"/>
          <w:u w:val="single"/>
          <w:lang w:val="fr-FR"/>
        </w:rPr>
        <w:t>UPOV</w:t>
      </w:r>
    </w:p>
    <w:p w:rsidR="00C36DD4" w:rsidRPr="00754CC2" w:rsidRDefault="00C36DD4" w:rsidP="001A73AD">
      <w:pPr>
        <w:tabs>
          <w:tab w:val="left" w:pos="567"/>
        </w:tabs>
        <w:ind w:left="567"/>
        <w:rPr>
          <w:caps/>
          <w:highlight w:val="lightGray"/>
          <w:u w:val="single"/>
          <w:lang w:val="fr-FR"/>
        </w:rPr>
      </w:pPr>
    </w:p>
    <w:p w:rsidR="00C36DD4" w:rsidRPr="00754CC2" w:rsidRDefault="00E37E33" w:rsidP="0093579E">
      <w:pPr>
        <w:tabs>
          <w:tab w:val="left" w:pos="567"/>
        </w:tabs>
        <w:ind w:left="851"/>
        <w:rPr>
          <w:highlight w:val="lightGray"/>
          <w:u w:val="single"/>
          <w:lang w:val="fr-FR"/>
        </w:rPr>
      </w:pPr>
      <w:r w:rsidRPr="00754CC2">
        <w:rPr>
          <w:highlight w:val="lightGray"/>
          <w:u w:val="single"/>
          <w:lang w:val="fr-FR"/>
        </w:rPr>
        <w:t>Section</w:t>
      </w:r>
      <w:r w:rsidR="00175F7E" w:rsidRPr="00754CC2">
        <w:rPr>
          <w:highlight w:val="lightGray"/>
          <w:u w:val="single"/>
          <w:lang w:val="fr-FR"/>
        </w:rPr>
        <w:t> </w:t>
      </w:r>
      <w:r w:rsidRPr="00754CC2">
        <w:rPr>
          <w:highlight w:val="lightGray"/>
          <w:u w:val="single"/>
          <w:lang w:val="fr-FR"/>
        </w:rPr>
        <w:t>1.</w:t>
      </w:r>
      <w:r w:rsidR="00175F7E" w:rsidRPr="00754CC2">
        <w:rPr>
          <w:highlight w:val="lightGray"/>
          <w:u w:val="single"/>
          <w:lang w:val="fr-FR"/>
        </w:rPr>
        <w:t xml:space="preserve"> </w:t>
      </w:r>
      <w:r w:rsidRPr="00754CC2">
        <w:rPr>
          <w:highlight w:val="lightGray"/>
          <w:u w:val="single"/>
          <w:lang w:val="fr-FR"/>
        </w:rPr>
        <w:t xml:space="preserve"> </w:t>
      </w:r>
      <w:r w:rsidR="001554EC" w:rsidRPr="00754CC2">
        <w:rPr>
          <w:highlight w:val="lightGray"/>
          <w:u w:val="single"/>
          <w:lang w:val="fr-FR"/>
        </w:rPr>
        <w:t>Service d</w:t>
      </w:r>
      <w:r w:rsidR="00FD700E" w:rsidRPr="00754CC2">
        <w:rPr>
          <w:highlight w:val="lightGray"/>
          <w:u w:val="single"/>
          <w:lang w:val="fr-FR"/>
        </w:rPr>
        <w:t>’</w:t>
      </w:r>
      <w:r w:rsidR="001554EC" w:rsidRPr="00754CC2">
        <w:rPr>
          <w:highlight w:val="lightGray"/>
          <w:u w:val="single"/>
          <w:lang w:val="fr-FR"/>
        </w:rPr>
        <w:t>octroi des droits d</w:t>
      </w:r>
      <w:r w:rsidR="00FD700E" w:rsidRPr="00754CC2">
        <w:rPr>
          <w:highlight w:val="lightGray"/>
          <w:u w:val="single"/>
          <w:lang w:val="fr-FR"/>
        </w:rPr>
        <w:t>’</w:t>
      </w:r>
      <w:r w:rsidR="001554EC" w:rsidRPr="00754CC2">
        <w:rPr>
          <w:highlight w:val="lightGray"/>
          <w:u w:val="single"/>
          <w:lang w:val="fr-FR"/>
        </w:rPr>
        <w:t>obtenteur</w:t>
      </w:r>
    </w:p>
    <w:p w:rsidR="00C36DD4" w:rsidRPr="00754CC2" w:rsidRDefault="00C36DD4" w:rsidP="0093579E">
      <w:pPr>
        <w:tabs>
          <w:tab w:val="left" w:pos="567"/>
        </w:tabs>
        <w:ind w:left="851"/>
        <w:rPr>
          <w:highlight w:val="lightGray"/>
          <w:u w:val="single"/>
          <w:lang w:val="fr-FR"/>
        </w:rPr>
      </w:pPr>
    </w:p>
    <w:p w:rsidR="00C36DD4" w:rsidRPr="00754CC2" w:rsidRDefault="00E37E33" w:rsidP="0093579E">
      <w:pPr>
        <w:tabs>
          <w:tab w:val="left" w:pos="567"/>
        </w:tabs>
        <w:ind w:left="851"/>
        <w:rPr>
          <w:u w:val="single"/>
          <w:lang w:val="fr-FR"/>
        </w:rPr>
      </w:pPr>
      <w:r w:rsidRPr="00754CC2">
        <w:rPr>
          <w:highlight w:val="lightGray"/>
          <w:u w:val="single"/>
          <w:lang w:val="fr-FR"/>
        </w:rPr>
        <w:t>Section</w:t>
      </w:r>
      <w:r w:rsidR="00175F7E" w:rsidRPr="00754CC2">
        <w:rPr>
          <w:highlight w:val="lightGray"/>
          <w:u w:val="single"/>
          <w:lang w:val="fr-FR"/>
        </w:rPr>
        <w:t> </w:t>
      </w:r>
      <w:r w:rsidRPr="00754CC2">
        <w:rPr>
          <w:highlight w:val="lightGray"/>
          <w:u w:val="single"/>
          <w:lang w:val="fr-FR"/>
        </w:rPr>
        <w:t>2 : A</w:t>
      </w:r>
      <w:r w:rsidR="009F6FF7" w:rsidRPr="00754CC2">
        <w:rPr>
          <w:highlight w:val="lightGray"/>
          <w:u w:val="single"/>
          <w:lang w:val="fr-FR"/>
        </w:rPr>
        <w:t>dministration</w:t>
      </w:r>
      <w:r w:rsidRPr="00754CC2">
        <w:rPr>
          <w:highlight w:val="lightGray"/>
          <w:u w:val="single"/>
          <w:lang w:val="fr-FR"/>
        </w:rPr>
        <w:t xml:space="preserve"> des demandes</w:t>
      </w:r>
    </w:p>
    <w:p w:rsidR="00C36DD4" w:rsidRPr="00754CC2" w:rsidRDefault="00C36DD4" w:rsidP="0093579E">
      <w:pPr>
        <w:ind w:left="851"/>
        <w:rPr>
          <w:lang w:val="fr-FR"/>
        </w:rPr>
      </w:pPr>
    </w:p>
    <w:p w:rsidR="00C36DD4" w:rsidRPr="00754CC2" w:rsidRDefault="00C36DD4" w:rsidP="00467D18">
      <w:pPr>
        <w:rPr>
          <w:lang w:val="fr-FR"/>
        </w:rPr>
      </w:pPr>
    </w:p>
    <w:p w:rsidR="00C36DD4" w:rsidRPr="00754CC2" w:rsidRDefault="00467D18" w:rsidP="00D318A3">
      <w:pPr>
        <w:pStyle w:val="Heading1"/>
      </w:pPr>
      <w:r w:rsidRPr="00754CC2">
        <w:br w:type="page"/>
      </w:r>
      <w:bookmarkStart w:id="5" w:name="_Toc279499860"/>
    </w:p>
    <w:p w:rsidR="00C36DD4" w:rsidRPr="00754CC2" w:rsidRDefault="009F6FF7" w:rsidP="009F6FF7">
      <w:pPr>
        <w:pStyle w:val="Heading1"/>
      </w:pPr>
      <w:bookmarkStart w:id="6" w:name="_Toc412041913"/>
      <w:bookmarkStart w:id="7" w:name="_Toc355191719"/>
      <w:r w:rsidRPr="00754CC2">
        <w:lastRenderedPageBreak/>
        <w:t>Première partie</w:t>
      </w:r>
      <w:r w:rsidR="002D3E39" w:rsidRPr="00754CC2">
        <w:t> </w:t>
      </w:r>
      <w:r w:rsidRPr="00754CC2">
        <w:t>: R</w:t>
      </w:r>
      <w:r w:rsidR="002204F0" w:rsidRPr="00754CC2">
        <w:t>ôle</w:t>
      </w:r>
      <w:r w:rsidRPr="00754CC2">
        <w:t xml:space="preserve"> des membres de l</w:t>
      </w:r>
      <w:r w:rsidR="00FD700E" w:rsidRPr="00754CC2">
        <w:t>’</w:t>
      </w:r>
      <w:r w:rsidRPr="00754CC2">
        <w:t>UPOV</w:t>
      </w:r>
      <w:bookmarkEnd w:id="6"/>
    </w:p>
    <w:p w:rsidR="00C36DD4" w:rsidRPr="00754CC2" w:rsidRDefault="00C36DD4" w:rsidP="009F6FF7">
      <w:pPr>
        <w:rPr>
          <w:lang w:val="fr-FR"/>
        </w:rPr>
      </w:pPr>
    </w:p>
    <w:p w:rsidR="00C36DD4" w:rsidRPr="00754CC2" w:rsidRDefault="00E37E33" w:rsidP="009F6FF7">
      <w:pPr>
        <w:pStyle w:val="Heading2"/>
        <w:rPr>
          <w:lang w:val="fr-FR"/>
        </w:rPr>
      </w:pPr>
      <w:bookmarkStart w:id="8" w:name="_Toc412041914"/>
      <w:r w:rsidRPr="00754CC2">
        <w:rPr>
          <w:lang w:val="fr-FR"/>
        </w:rPr>
        <w:t>Section</w:t>
      </w:r>
      <w:r w:rsidR="00175F7E" w:rsidRPr="00754CC2">
        <w:rPr>
          <w:lang w:val="fr-FR"/>
        </w:rPr>
        <w:t> </w:t>
      </w:r>
      <w:r w:rsidRPr="00754CC2">
        <w:rPr>
          <w:lang w:val="fr-FR"/>
        </w:rPr>
        <w:t xml:space="preserve">1 : </w:t>
      </w:r>
      <w:r w:rsidR="00467D18" w:rsidRPr="00754CC2">
        <w:rPr>
          <w:lang w:val="fr-FR"/>
        </w:rPr>
        <w:t>N</w:t>
      </w:r>
      <w:r w:rsidRPr="00754CC2">
        <w:rPr>
          <w:lang w:val="fr-FR"/>
        </w:rPr>
        <w:t>otifications</w:t>
      </w:r>
      <w:r w:rsidR="00467D18" w:rsidRPr="00754CC2">
        <w:rPr>
          <w:lang w:val="fr-FR"/>
        </w:rPr>
        <w:t xml:space="preserve"> relatives aux </w:t>
      </w:r>
      <w:r w:rsidRPr="00754CC2">
        <w:rPr>
          <w:lang w:val="fr-FR"/>
        </w:rPr>
        <w:t>représentants</w:t>
      </w:r>
      <w:r w:rsidR="00467D18" w:rsidRPr="00754CC2">
        <w:rPr>
          <w:lang w:val="fr-FR"/>
        </w:rPr>
        <w:t xml:space="preserve"> </w:t>
      </w:r>
      <w:r w:rsidRPr="00754CC2">
        <w:rPr>
          <w:lang w:val="fr-FR"/>
        </w:rPr>
        <w:t>au Conseil</w:t>
      </w:r>
      <w:r w:rsidR="00467D18" w:rsidRPr="00754CC2">
        <w:rPr>
          <w:lang w:val="fr-FR"/>
        </w:rPr>
        <w:t xml:space="preserve"> et à </w:t>
      </w:r>
      <w:bookmarkEnd w:id="5"/>
      <w:bookmarkEnd w:id="7"/>
      <w:r w:rsidRPr="00754CC2">
        <w:rPr>
          <w:lang w:val="fr-FR"/>
        </w:rPr>
        <w:t>leurs suppléants</w:t>
      </w:r>
      <w:bookmarkEnd w:id="8"/>
    </w:p>
    <w:p w:rsidR="00C36DD4" w:rsidRPr="00754CC2" w:rsidRDefault="00C36DD4" w:rsidP="00467D18">
      <w:pPr>
        <w:rPr>
          <w:lang w:val="fr-FR"/>
        </w:rPr>
      </w:pPr>
    </w:p>
    <w:p w:rsidR="00C36DD4" w:rsidRPr="00754CC2" w:rsidRDefault="00467D18" w:rsidP="00467D18">
      <w:pPr>
        <w:pStyle w:val="BodyText"/>
        <w:keepNext/>
        <w:jc w:val="left"/>
        <w:rPr>
          <w:i/>
          <w:lang w:val="fr-FR"/>
        </w:rPr>
      </w:pPr>
      <w:r w:rsidRPr="00754CC2">
        <w:rPr>
          <w:i/>
          <w:lang w:val="fr-FR"/>
        </w:rPr>
        <w:t>Article pertinent</w:t>
      </w:r>
      <w:r w:rsidRPr="00754CC2">
        <w:rPr>
          <w:rStyle w:val="FootnoteReference"/>
          <w:b/>
          <w:lang w:val="fr-FR"/>
        </w:rPr>
        <w:footnoteReference w:id="3"/>
      </w:r>
    </w:p>
    <w:p w:rsidR="00C36DD4" w:rsidRPr="00754CC2" w:rsidRDefault="00467D18" w:rsidP="00467D18">
      <w:pPr>
        <w:keepNext/>
        <w:spacing w:before="120" w:line="360" w:lineRule="auto"/>
        <w:jc w:val="center"/>
        <w:rPr>
          <w:b/>
          <w:lang w:val="fr-FR"/>
        </w:rPr>
      </w:pPr>
      <w:r w:rsidRPr="00754CC2">
        <w:rPr>
          <w:b/>
          <w:lang w:val="fr-FR"/>
        </w:rPr>
        <w:t>Article 26</w:t>
      </w:r>
    </w:p>
    <w:p w:rsidR="00C36DD4" w:rsidRPr="00754CC2" w:rsidRDefault="00467D18" w:rsidP="00467D18">
      <w:pPr>
        <w:keepNext/>
        <w:jc w:val="center"/>
        <w:rPr>
          <w:b/>
          <w:lang w:val="fr-FR"/>
        </w:rPr>
      </w:pPr>
      <w:r w:rsidRPr="00754CC2">
        <w:rPr>
          <w:b/>
          <w:lang w:val="fr-FR"/>
        </w:rPr>
        <w:t>Le Conseil</w:t>
      </w:r>
    </w:p>
    <w:p w:rsidR="00C36DD4" w:rsidRPr="00754CC2" w:rsidRDefault="00C36DD4" w:rsidP="00467D18">
      <w:pPr>
        <w:keepNext/>
        <w:rPr>
          <w:lang w:val="fr-FR"/>
        </w:rPr>
      </w:pPr>
    </w:p>
    <w:p w:rsidR="00C36DD4" w:rsidRPr="00754CC2" w:rsidRDefault="00467D18" w:rsidP="00467D18">
      <w:pPr>
        <w:rPr>
          <w:b/>
          <w:lang w:val="fr-FR"/>
        </w:rPr>
      </w:pPr>
      <w:r w:rsidRPr="00754CC2">
        <w:rPr>
          <w:b/>
          <w:lang w:val="fr-FR"/>
        </w:rPr>
        <w:tab/>
        <w:t>1)</w:t>
      </w:r>
      <w:r w:rsidRPr="00754CC2">
        <w:rPr>
          <w:b/>
          <w:lang w:val="fr-FR"/>
        </w:rPr>
        <w:tab/>
      </w:r>
      <w:r w:rsidRPr="00754CC2">
        <w:rPr>
          <w:b/>
          <w:bCs/>
          <w:lang w:val="fr-FR"/>
        </w:rPr>
        <w:t>[</w:t>
      </w:r>
      <w:r w:rsidRPr="00754CC2">
        <w:rPr>
          <w:b/>
          <w:bCs/>
          <w:i/>
          <w:iCs/>
          <w:lang w:val="fr-FR"/>
        </w:rPr>
        <w:t>Composition</w:t>
      </w:r>
      <w:r w:rsidRPr="00754CC2">
        <w:rPr>
          <w:b/>
          <w:bCs/>
          <w:lang w:val="fr-FR"/>
        </w:rPr>
        <w:t>] Le Conseil est composé des représentants des membres de l</w:t>
      </w:r>
      <w:r w:rsidR="00FD700E" w:rsidRPr="00754CC2">
        <w:rPr>
          <w:b/>
          <w:bCs/>
          <w:lang w:val="fr-FR"/>
        </w:rPr>
        <w:t>’</w:t>
      </w:r>
      <w:r w:rsidRPr="00754CC2">
        <w:rPr>
          <w:b/>
          <w:bCs/>
          <w:lang w:val="fr-FR"/>
        </w:rPr>
        <w:t>Union.  Chaque membre de l</w:t>
      </w:r>
      <w:r w:rsidR="00FD700E" w:rsidRPr="00754CC2">
        <w:rPr>
          <w:b/>
          <w:bCs/>
          <w:lang w:val="fr-FR"/>
        </w:rPr>
        <w:t>’</w:t>
      </w:r>
      <w:r w:rsidRPr="00754CC2">
        <w:rPr>
          <w:b/>
          <w:bCs/>
          <w:lang w:val="fr-FR"/>
        </w:rPr>
        <w:t>Union nomme un représentant au Conseil et un suppléant.  Les représentants ou suppléants peuvent être accompagnés d</w:t>
      </w:r>
      <w:r w:rsidR="00FD700E" w:rsidRPr="00754CC2">
        <w:rPr>
          <w:b/>
          <w:bCs/>
          <w:lang w:val="fr-FR"/>
        </w:rPr>
        <w:t>’</w:t>
      </w:r>
      <w:r w:rsidRPr="00754CC2">
        <w:rPr>
          <w:b/>
          <w:bCs/>
          <w:lang w:val="fr-FR"/>
        </w:rPr>
        <w:t>adjoints ou de conseillers</w:t>
      </w:r>
    </w:p>
    <w:p w:rsidR="00C36DD4" w:rsidRPr="00754CC2" w:rsidRDefault="00C36DD4" w:rsidP="00467D18">
      <w:pPr>
        <w:rPr>
          <w:u w:val="single"/>
          <w:lang w:val="fr-FR"/>
        </w:rPr>
      </w:pPr>
    </w:p>
    <w:p w:rsidR="00C36DD4" w:rsidRPr="00754CC2" w:rsidRDefault="00467D18" w:rsidP="00347556">
      <w:pPr>
        <w:pStyle w:val="Heading3"/>
      </w:pPr>
      <w:bookmarkStart w:id="9" w:name="_Toc355191720"/>
      <w:bookmarkStart w:id="10" w:name="_Toc412041915"/>
      <w:r w:rsidRPr="00754CC2">
        <w:t>Première notification du représentant</w:t>
      </w:r>
      <w:bookmarkEnd w:id="9"/>
      <w:bookmarkEnd w:id="10"/>
    </w:p>
    <w:p w:rsidR="00C36DD4" w:rsidRPr="00754CC2" w:rsidRDefault="00C36DD4" w:rsidP="00347556">
      <w:pPr>
        <w:rPr>
          <w:lang w:val="fr-FR"/>
        </w:rPr>
      </w:pPr>
    </w:p>
    <w:p w:rsidR="00C36DD4" w:rsidRPr="00754CC2" w:rsidRDefault="00717396" w:rsidP="00467D18">
      <w:pPr>
        <w:rPr>
          <w:lang w:val="fr-FR"/>
        </w:rPr>
      </w:pPr>
      <w:r w:rsidRPr="00754CC2">
        <w:rPr>
          <w:lang w:val="fr-FR"/>
        </w:rPr>
        <w:t>6.</w:t>
      </w:r>
      <w:r w:rsidR="00467D18" w:rsidRPr="00754CC2">
        <w:rPr>
          <w:lang w:val="fr-FR"/>
        </w:rPr>
        <w:tab/>
        <w:t>Les membres de l</w:t>
      </w:r>
      <w:r w:rsidR="00FD700E" w:rsidRPr="00754CC2">
        <w:rPr>
          <w:lang w:val="fr-FR"/>
        </w:rPr>
        <w:t>’</w:t>
      </w:r>
      <w:r w:rsidR="00467D18" w:rsidRPr="00754CC2">
        <w:rPr>
          <w:lang w:val="fr-FR"/>
        </w:rPr>
        <w:t>Union sont tenus de notifier au Bureau de l</w:t>
      </w:r>
      <w:r w:rsidR="00FD700E" w:rsidRPr="00754CC2">
        <w:rPr>
          <w:lang w:val="fr-FR"/>
        </w:rPr>
        <w:t>’</w:t>
      </w:r>
      <w:r w:rsidR="00467D18" w:rsidRPr="00754CC2">
        <w:rPr>
          <w:lang w:val="fr-FR"/>
        </w:rPr>
        <w:t>Union les nom, qualité et coordonnées de leur représentant au Conseil et de son suppléant.</w:t>
      </w:r>
    </w:p>
    <w:p w:rsidR="00C36DD4" w:rsidRPr="00754CC2" w:rsidRDefault="00C36DD4" w:rsidP="00467D18">
      <w:pPr>
        <w:rPr>
          <w:lang w:val="fr-FR"/>
        </w:rPr>
      </w:pPr>
    </w:p>
    <w:p w:rsidR="00C36DD4" w:rsidRPr="00754CC2" w:rsidRDefault="00717396" w:rsidP="00467D18">
      <w:pPr>
        <w:rPr>
          <w:lang w:val="fr-FR"/>
        </w:rPr>
      </w:pPr>
      <w:r w:rsidRPr="00754CC2">
        <w:rPr>
          <w:lang w:val="fr-FR"/>
        </w:rPr>
        <w:t>7.</w:t>
      </w:r>
      <w:r w:rsidR="00467D18" w:rsidRPr="00754CC2">
        <w:rPr>
          <w:lang w:val="fr-FR"/>
        </w:rPr>
        <w:tab/>
        <w:t>La notification susmentionnée du nouveau membre de l</w:t>
      </w:r>
      <w:r w:rsidR="00FD700E" w:rsidRPr="00754CC2">
        <w:rPr>
          <w:lang w:val="fr-FR"/>
        </w:rPr>
        <w:t>’</w:t>
      </w:r>
      <w:r w:rsidR="00467D18" w:rsidRPr="00754CC2">
        <w:rPr>
          <w:lang w:val="fr-FR"/>
        </w:rPr>
        <w:t>UPOV peut être effectuée au moyen d</w:t>
      </w:r>
      <w:r w:rsidR="00FD700E" w:rsidRPr="00754CC2">
        <w:rPr>
          <w:lang w:val="fr-FR"/>
        </w:rPr>
        <w:t>’</w:t>
      </w:r>
      <w:r w:rsidR="00467D18" w:rsidRPr="00754CC2">
        <w:rPr>
          <w:lang w:val="fr-FR"/>
        </w:rPr>
        <w:t>une lettre du ministre des affaires étrangères, d</w:t>
      </w:r>
      <w:r w:rsidR="00FD700E" w:rsidRPr="00754CC2">
        <w:rPr>
          <w:lang w:val="fr-FR"/>
        </w:rPr>
        <w:t>’</w:t>
      </w:r>
      <w:r w:rsidR="00467D18" w:rsidRPr="00754CC2">
        <w:rPr>
          <w:lang w:val="fr-FR"/>
        </w:rPr>
        <w:t>une note du Ministère des affaires étrangères, d</w:t>
      </w:r>
      <w:r w:rsidR="00FD700E" w:rsidRPr="00754CC2">
        <w:rPr>
          <w:lang w:val="fr-FR"/>
        </w:rPr>
        <w:t>’</w:t>
      </w:r>
      <w:r w:rsidR="00467D18" w:rsidRPr="00754CC2">
        <w:rPr>
          <w:lang w:val="fr-FR"/>
        </w:rPr>
        <w:t>une lettre du représentant permanent ou d</w:t>
      </w:r>
      <w:r w:rsidR="00FD700E" w:rsidRPr="00754CC2">
        <w:rPr>
          <w:lang w:val="fr-FR"/>
        </w:rPr>
        <w:t>’</w:t>
      </w:r>
      <w:r w:rsidR="00467D18" w:rsidRPr="00754CC2">
        <w:rPr>
          <w:lang w:val="fr-FR"/>
        </w:rPr>
        <w:t>une note de la Mission permanente à Genève ou, s</w:t>
      </w:r>
      <w:r w:rsidR="00FD700E" w:rsidRPr="00754CC2">
        <w:rPr>
          <w:lang w:val="fr-FR"/>
        </w:rPr>
        <w:t>’</w:t>
      </w:r>
      <w:r w:rsidR="00467D18" w:rsidRPr="00754CC2">
        <w:rPr>
          <w:lang w:val="fr-FR"/>
        </w:rPr>
        <w:t>il s</w:t>
      </w:r>
      <w:r w:rsidR="00FD700E" w:rsidRPr="00754CC2">
        <w:rPr>
          <w:lang w:val="fr-FR"/>
        </w:rPr>
        <w:t>’</w:t>
      </w:r>
      <w:r w:rsidR="00467D18" w:rsidRPr="00754CC2">
        <w:rPr>
          <w:lang w:val="fr-FR"/>
        </w:rPr>
        <w:t>agit d</w:t>
      </w:r>
      <w:r w:rsidR="00FD700E" w:rsidRPr="00754CC2">
        <w:rPr>
          <w:lang w:val="fr-FR"/>
        </w:rPr>
        <w:t>’</w:t>
      </w:r>
      <w:r w:rsidR="00467D18" w:rsidRPr="00754CC2">
        <w:rPr>
          <w:lang w:val="fr-FR"/>
        </w:rPr>
        <w:t>une organisation intergouvernementale, elle peut être effectuée par l</w:t>
      </w:r>
      <w:r w:rsidR="00FD700E" w:rsidRPr="00754CC2">
        <w:rPr>
          <w:lang w:val="fr-FR"/>
        </w:rPr>
        <w:t>’</w:t>
      </w:r>
      <w:r w:rsidR="00467D18" w:rsidRPr="00754CC2">
        <w:rPr>
          <w:lang w:val="fr-FR"/>
        </w:rPr>
        <w:t>autorité ou les autorités compétentes chargées des relations extérieures de cette organisation intergouvernementale (un exemple de libellé de la notification précitée peut être obtenu sur demande).</w:t>
      </w:r>
    </w:p>
    <w:p w:rsidR="00C36DD4" w:rsidRPr="00754CC2" w:rsidRDefault="00C36DD4" w:rsidP="00467D18">
      <w:pPr>
        <w:rPr>
          <w:lang w:val="fr-FR"/>
        </w:rPr>
      </w:pPr>
    </w:p>
    <w:p w:rsidR="00C36DD4" w:rsidRPr="00754CC2" w:rsidRDefault="00467D18" w:rsidP="00347556">
      <w:pPr>
        <w:pStyle w:val="Heading3"/>
      </w:pPr>
      <w:bookmarkStart w:id="11" w:name="_Toc355191721"/>
      <w:bookmarkStart w:id="12" w:name="_Toc412041916"/>
      <w:r w:rsidRPr="00754CC2">
        <w:t>Notifications ultérieures relatives à toute modification concernant le représentant</w:t>
      </w:r>
      <w:bookmarkEnd w:id="11"/>
      <w:bookmarkEnd w:id="12"/>
    </w:p>
    <w:p w:rsidR="00C36DD4" w:rsidRPr="00754CC2" w:rsidRDefault="00C36DD4" w:rsidP="00467D18">
      <w:pPr>
        <w:rPr>
          <w:u w:val="single"/>
          <w:lang w:val="fr-FR"/>
        </w:rPr>
      </w:pPr>
    </w:p>
    <w:p w:rsidR="00C36DD4" w:rsidRPr="00754CC2" w:rsidRDefault="00717396" w:rsidP="00467D18">
      <w:pPr>
        <w:rPr>
          <w:lang w:val="fr-FR"/>
        </w:rPr>
      </w:pPr>
      <w:r w:rsidRPr="00754CC2">
        <w:rPr>
          <w:lang w:val="fr-FR"/>
        </w:rPr>
        <w:t>8.</w:t>
      </w:r>
      <w:r w:rsidR="00467D18" w:rsidRPr="00754CC2">
        <w:rPr>
          <w:lang w:val="fr-FR"/>
        </w:rPr>
        <w:tab/>
        <w:t>Les membres de l</w:t>
      </w:r>
      <w:r w:rsidR="00FD700E" w:rsidRPr="00754CC2">
        <w:rPr>
          <w:lang w:val="fr-FR"/>
        </w:rPr>
        <w:t>’</w:t>
      </w:r>
      <w:r w:rsidR="00467D18" w:rsidRPr="00754CC2">
        <w:rPr>
          <w:lang w:val="fr-FR"/>
        </w:rPr>
        <w:t>Union sont tenus de communiquer au Bureau de l</w:t>
      </w:r>
      <w:r w:rsidR="00FD700E" w:rsidRPr="00754CC2">
        <w:rPr>
          <w:lang w:val="fr-FR"/>
        </w:rPr>
        <w:t>’</w:t>
      </w:r>
      <w:r w:rsidR="00467D18" w:rsidRPr="00754CC2">
        <w:rPr>
          <w:lang w:val="fr-FR"/>
        </w:rPr>
        <w:t>Union, dès que possible, tout changement concernant leur représentant.</w:t>
      </w:r>
    </w:p>
    <w:p w:rsidR="00C36DD4" w:rsidRPr="00754CC2" w:rsidRDefault="00C36DD4" w:rsidP="00467D18">
      <w:pPr>
        <w:rPr>
          <w:lang w:val="fr-FR"/>
        </w:rPr>
      </w:pPr>
    </w:p>
    <w:p w:rsidR="00C36DD4" w:rsidRPr="00754CC2" w:rsidRDefault="00717396" w:rsidP="00467D18">
      <w:pPr>
        <w:rPr>
          <w:lang w:val="fr-FR"/>
        </w:rPr>
      </w:pPr>
      <w:r w:rsidRPr="00754CC2">
        <w:rPr>
          <w:lang w:val="fr-FR"/>
        </w:rPr>
        <w:t>9.</w:t>
      </w:r>
      <w:r w:rsidR="00467D18" w:rsidRPr="00754CC2">
        <w:rPr>
          <w:lang w:val="fr-FR"/>
        </w:rPr>
        <w:tab/>
        <w:t xml:space="preserve">Après la première notification les changements ultérieurs de représentant ne nécessitent pas une notification par la voie du </w:t>
      </w:r>
      <w:r w:rsidR="00447EC9" w:rsidRPr="00754CC2">
        <w:rPr>
          <w:lang w:val="fr-FR"/>
        </w:rPr>
        <w:t>M</w:t>
      </w:r>
      <w:r w:rsidR="00467D18" w:rsidRPr="00754CC2">
        <w:rPr>
          <w:lang w:val="fr-FR"/>
        </w:rPr>
        <w:t>inistère des affaires étrangères.  Si le nouveau représentant a le même titre que son prédécesseur, une communication du nouveau représentant ou de son supérieur hiérarchique au Bureau de l</w:t>
      </w:r>
      <w:r w:rsidR="00FD700E" w:rsidRPr="00754CC2">
        <w:rPr>
          <w:lang w:val="fr-FR"/>
        </w:rPr>
        <w:t>’</w:t>
      </w:r>
      <w:r w:rsidR="00467D18" w:rsidRPr="00754CC2">
        <w:rPr>
          <w:lang w:val="fr-FR"/>
        </w:rPr>
        <w:t>Union suffit.  Dans des cas exceptionnels (par exemple, différentes communications émanant du même gouvernement), le Bureau de l</w:t>
      </w:r>
      <w:r w:rsidR="00FD700E" w:rsidRPr="00754CC2">
        <w:rPr>
          <w:lang w:val="fr-FR"/>
        </w:rPr>
        <w:t>’</w:t>
      </w:r>
      <w:r w:rsidR="00467D18" w:rsidRPr="00754CC2">
        <w:rPr>
          <w:lang w:val="fr-FR"/>
        </w:rPr>
        <w:t>Union demande à la mission permanente du membre de l</w:t>
      </w:r>
      <w:r w:rsidR="00FD700E" w:rsidRPr="00754CC2">
        <w:rPr>
          <w:lang w:val="fr-FR"/>
        </w:rPr>
        <w:t>’</w:t>
      </w:r>
      <w:r w:rsidR="00467D18" w:rsidRPr="00754CC2">
        <w:rPr>
          <w:lang w:val="fr-FR"/>
        </w:rPr>
        <w:t>Union concerné de coordonner la communication relative à la nomination du nouveau représentant.</w:t>
      </w:r>
    </w:p>
    <w:p w:rsidR="00C36DD4" w:rsidRPr="00754CC2" w:rsidRDefault="00C36DD4" w:rsidP="00467D18">
      <w:pPr>
        <w:rPr>
          <w:lang w:val="fr-FR"/>
        </w:rPr>
      </w:pPr>
    </w:p>
    <w:p w:rsidR="00C36DD4" w:rsidRPr="00754CC2" w:rsidRDefault="00467D18" w:rsidP="00347556">
      <w:pPr>
        <w:pStyle w:val="Heading3"/>
      </w:pPr>
      <w:bookmarkStart w:id="13" w:name="_Toc355191722"/>
      <w:bookmarkStart w:id="14" w:name="_Toc412041917"/>
      <w:r w:rsidRPr="00754CC2">
        <w:t>Rôle du représentant</w:t>
      </w:r>
      <w:bookmarkEnd w:id="13"/>
      <w:bookmarkEnd w:id="14"/>
    </w:p>
    <w:p w:rsidR="00C36DD4" w:rsidRPr="00754CC2" w:rsidRDefault="00C36DD4" w:rsidP="00467D18">
      <w:pPr>
        <w:keepNext/>
        <w:rPr>
          <w:u w:val="single"/>
          <w:lang w:val="fr-FR"/>
        </w:rPr>
      </w:pPr>
    </w:p>
    <w:p w:rsidR="00C36DD4" w:rsidRPr="00754CC2" w:rsidRDefault="00717396" w:rsidP="00467D18">
      <w:pPr>
        <w:rPr>
          <w:spacing w:val="-2"/>
          <w:szCs w:val="24"/>
          <w:lang w:val="fr-FR"/>
        </w:rPr>
      </w:pPr>
      <w:r w:rsidRPr="00754CC2">
        <w:rPr>
          <w:spacing w:val="-2"/>
          <w:lang w:val="fr-FR"/>
        </w:rPr>
        <w:t>10.</w:t>
      </w:r>
      <w:r w:rsidR="00467D18" w:rsidRPr="00754CC2">
        <w:rPr>
          <w:spacing w:val="-2"/>
          <w:lang w:val="fr-FR"/>
        </w:rPr>
        <w:tab/>
        <w:t>Les représentants au Conseil sont notamment chargés de désigner les personnes auprès des organes pertinents de l</w:t>
      </w:r>
      <w:r w:rsidR="00FD700E" w:rsidRPr="00754CC2">
        <w:rPr>
          <w:spacing w:val="-2"/>
          <w:lang w:val="fr-FR"/>
        </w:rPr>
        <w:t>’</w:t>
      </w:r>
      <w:r w:rsidR="00467D18" w:rsidRPr="00754CC2">
        <w:rPr>
          <w:spacing w:val="-2"/>
          <w:lang w:val="fr-FR"/>
        </w:rPr>
        <w:t>UPOV, ainsi que celles auxquelles il est donné accès aux documents de l</w:t>
      </w:r>
      <w:r w:rsidR="00FD700E" w:rsidRPr="00754CC2">
        <w:rPr>
          <w:spacing w:val="-2"/>
          <w:lang w:val="fr-FR"/>
        </w:rPr>
        <w:t>’</w:t>
      </w:r>
      <w:r w:rsidR="00467D18" w:rsidRPr="00754CC2">
        <w:rPr>
          <w:spacing w:val="-2"/>
          <w:lang w:val="fr-FR"/>
        </w:rPr>
        <w:t>UPOV dans la zone d</w:t>
      </w:r>
      <w:r w:rsidR="00FD700E" w:rsidRPr="00754CC2">
        <w:rPr>
          <w:spacing w:val="-2"/>
          <w:lang w:val="fr-FR"/>
        </w:rPr>
        <w:t>’</w:t>
      </w:r>
      <w:r w:rsidR="00467D18" w:rsidRPr="00754CC2">
        <w:rPr>
          <w:spacing w:val="-2"/>
          <w:lang w:val="fr-FR"/>
        </w:rPr>
        <w:t>accès restreint sur le site Web de l</w:t>
      </w:r>
      <w:r w:rsidR="00FD700E" w:rsidRPr="00754CC2">
        <w:rPr>
          <w:spacing w:val="-2"/>
          <w:lang w:val="fr-FR"/>
        </w:rPr>
        <w:t>’</w:t>
      </w:r>
      <w:r w:rsidR="00467D18" w:rsidRPr="00754CC2">
        <w:rPr>
          <w:spacing w:val="-2"/>
          <w:lang w:val="fr-FR"/>
        </w:rPr>
        <w:t>UPOV (voir les règles concernant l</w:t>
      </w:r>
      <w:r w:rsidR="00FD700E" w:rsidRPr="00754CC2">
        <w:rPr>
          <w:spacing w:val="-2"/>
          <w:lang w:val="fr-FR"/>
        </w:rPr>
        <w:t>’</w:t>
      </w:r>
      <w:r w:rsidR="00467D18" w:rsidRPr="00754CC2">
        <w:rPr>
          <w:spacing w:val="-2"/>
          <w:lang w:val="fr-FR"/>
        </w:rPr>
        <w:t>accès aux documents de l</w:t>
      </w:r>
      <w:r w:rsidR="00FD700E" w:rsidRPr="00754CC2">
        <w:rPr>
          <w:spacing w:val="-2"/>
          <w:lang w:val="fr-FR"/>
        </w:rPr>
        <w:t>’</w:t>
      </w:r>
      <w:r w:rsidR="00467D18" w:rsidRPr="00754CC2">
        <w:rPr>
          <w:spacing w:val="-2"/>
          <w:lang w:val="fr-FR"/>
        </w:rPr>
        <w:t xml:space="preserve">UPOV : </w:t>
      </w:r>
      <w:hyperlink r:id="rId17" w:history="1">
        <w:r w:rsidR="00976DB3" w:rsidRPr="00754CC2">
          <w:rPr>
            <w:rStyle w:val="Hyperlink"/>
            <w:spacing w:val="-2"/>
            <w:szCs w:val="24"/>
            <w:lang w:val="fr-FR"/>
          </w:rPr>
          <w:t>http://www.upov.int/edocs/infdocs/fr/upov_inf_20_1.pdf</w:t>
        </w:r>
      </w:hyperlink>
      <w:r w:rsidR="00467D18" w:rsidRPr="00754CC2">
        <w:rPr>
          <w:spacing w:val="-2"/>
          <w:szCs w:val="24"/>
          <w:lang w:val="fr-FR"/>
        </w:rPr>
        <w:t>).</w:t>
      </w:r>
    </w:p>
    <w:p w:rsidR="00C36DD4" w:rsidRPr="00754CC2" w:rsidRDefault="00C36DD4" w:rsidP="00467D18">
      <w:pPr>
        <w:rPr>
          <w:szCs w:val="24"/>
          <w:lang w:val="fr-FR"/>
        </w:rPr>
      </w:pPr>
    </w:p>
    <w:p w:rsidR="00C36DD4" w:rsidRPr="00754CC2" w:rsidRDefault="00717396" w:rsidP="00467D18">
      <w:pPr>
        <w:rPr>
          <w:lang w:val="fr-FR"/>
        </w:rPr>
      </w:pPr>
      <w:r w:rsidRPr="00754CC2">
        <w:rPr>
          <w:lang w:val="fr-FR"/>
        </w:rPr>
        <w:t>11.</w:t>
      </w:r>
      <w:r w:rsidR="00467D18" w:rsidRPr="00754CC2">
        <w:rPr>
          <w:lang w:val="fr-FR"/>
        </w:rPr>
        <w:tab/>
        <w:t>Lorsqu</w:t>
      </w:r>
      <w:r w:rsidR="00FD700E" w:rsidRPr="00754CC2">
        <w:rPr>
          <w:lang w:val="fr-FR"/>
        </w:rPr>
        <w:t>’</w:t>
      </w:r>
      <w:r w:rsidR="00467D18" w:rsidRPr="00754CC2">
        <w:rPr>
          <w:lang w:val="fr-FR"/>
        </w:rPr>
        <w:t>il reçoit la notification, le Bureau de l</w:t>
      </w:r>
      <w:r w:rsidR="00FD700E" w:rsidRPr="00754CC2">
        <w:rPr>
          <w:lang w:val="fr-FR"/>
        </w:rPr>
        <w:t>’</w:t>
      </w:r>
      <w:r w:rsidR="00467D18" w:rsidRPr="00754CC2">
        <w:rPr>
          <w:lang w:val="fr-FR"/>
        </w:rPr>
        <w:t>Union</w:t>
      </w:r>
    </w:p>
    <w:p w:rsidR="00C36DD4" w:rsidRPr="00754CC2" w:rsidRDefault="00C36DD4" w:rsidP="00467D18">
      <w:pPr>
        <w:rPr>
          <w:lang w:val="fr-FR"/>
        </w:rPr>
      </w:pPr>
    </w:p>
    <w:p w:rsidR="00C36DD4" w:rsidRPr="00754CC2" w:rsidRDefault="00467D18" w:rsidP="00467D18">
      <w:pPr>
        <w:rPr>
          <w:lang w:val="fr-FR"/>
        </w:rPr>
      </w:pPr>
      <w:r w:rsidRPr="00754CC2">
        <w:rPr>
          <w:lang w:val="fr-FR"/>
        </w:rPr>
        <w:tab/>
        <w:t>a)</w:t>
      </w:r>
      <w:r w:rsidRPr="00754CC2">
        <w:rPr>
          <w:lang w:val="fr-FR"/>
        </w:rPr>
        <w:tab/>
        <w:t>communique au représentant officiellement nommé l</w:t>
      </w:r>
      <w:r w:rsidR="00FD700E" w:rsidRPr="00754CC2">
        <w:rPr>
          <w:lang w:val="fr-FR"/>
        </w:rPr>
        <w:t>’</w:t>
      </w:r>
      <w:r w:rsidRPr="00754CC2">
        <w:rPr>
          <w:lang w:val="fr-FR"/>
        </w:rPr>
        <w:t>identifiant et le mot de passe attribués à ce membre de l</w:t>
      </w:r>
      <w:r w:rsidR="00FD700E" w:rsidRPr="00754CC2">
        <w:rPr>
          <w:lang w:val="fr-FR"/>
        </w:rPr>
        <w:t>’</w:t>
      </w:r>
      <w:r w:rsidRPr="00754CC2">
        <w:rPr>
          <w:lang w:val="fr-FR"/>
        </w:rPr>
        <w:t>Union.  L</w:t>
      </w:r>
      <w:r w:rsidR="00FD700E" w:rsidRPr="00754CC2">
        <w:rPr>
          <w:lang w:val="fr-FR"/>
        </w:rPr>
        <w:t>’</w:t>
      </w:r>
      <w:r w:rsidRPr="00754CC2">
        <w:rPr>
          <w:lang w:val="fr-FR"/>
        </w:rPr>
        <w:t>identifiant et le mot de passe permettent d</w:t>
      </w:r>
      <w:r w:rsidR="00FD700E" w:rsidRPr="00754CC2">
        <w:rPr>
          <w:lang w:val="fr-FR"/>
        </w:rPr>
        <w:t>’</w:t>
      </w:r>
      <w:r w:rsidRPr="00754CC2">
        <w:rPr>
          <w:lang w:val="fr-FR"/>
        </w:rPr>
        <w:t xml:space="preserve">accéder </w:t>
      </w:r>
      <w:r w:rsidRPr="00754CC2">
        <w:rPr>
          <w:szCs w:val="24"/>
          <w:lang w:val="fr-FR"/>
        </w:rPr>
        <w:t xml:space="preserve">à la </w:t>
      </w:r>
      <w:r w:rsidRPr="00754CC2">
        <w:rPr>
          <w:lang w:val="fr-FR"/>
        </w:rPr>
        <w:t>zone d</w:t>
      </w:r>
      <w:r w:rsidR="00FD700E" w:rsidRPr="00754CC2">
        <w:rPr>
          <w:lang w:val="fr-FR"/>
        </w:rPr>
        <w:t>’</w:t>
      </w:r>
      <w:r w:rsidRPr="00754CC2">
        <w:rPr>
          <w:lang w:val="fr-FR"/>
        </w:rPr>
        <w:t>accès restreint du site Web de l</w:t>
      </w:r>
      <w:r w:rsidR="00FD700E" w:rsidRPr="00754CC2">
        <w:rPr>
          <w:lang w:val="fr-FR"/>
        </w:rPr>
        <w:t>’</w:t>
      </w:r>
      <w:r w:rsidRPr="00754CC2">
        <w:rPr>
          <w:lang w:val="fr-FR"/>
        </w:rPr>
        <w:t>UPOV afin de télécharger les documents (</w:t>
      </w:r>
      <w:hyperlink r:id="rId18" w:history="1">
        <w:r w:rsidRPr="00754CC2">
          <w:rPr>
            <w:rStyle w:val="Hyperlink"/>
            <w:lang w:val="fr-FR"/>
          </w:rPr>
          <w:t>http://www.upov.int/restrict/meetings/fr/</w:t>
        </w:r>
      </w:hyperlink>
      <w:r w:rsidRPr="00754CC2">
        <w:rPr>
          <w:lang w:val="fr-FR"/>
        </w:rPr>
        <w:t>);</w:t>
      </w:r>
    </w:p>
    <w:p w:rsidR="00C36DD4" w:rsidRPr="00754CC2" w:rsidRDefault="00C36DD4" w:rsidP="00467D18">
      <w:pPr>
        <w:rPr>
          <w:lang w:val="fr-FR"/>
        </w:rPr>
      </w:pPr>
    </w:p>
    <w:p w:rsidR="00C36DD4" w:rsidRPr="00754CC2" w:rsidRDefault="00467D18" w:rsidP="00467D18">
      <w:pPr>
        <w:rPr>
          <w:lang w:val="fr-FR"/>
        </w:rPr>
      </w:pPr>
      <w:r w:rsidRPr="00754CC2">
        <w:rPr>
          <w:lang w:val="fr-FR"/>
        </w:rPr>
        <w:tab/>
        <w:t>b)</w:t>
      </w:r>
      <w:r w:rsidRPr="00754CC2">
        <w:rPr>
          <w:lang w:val="fr-FR"/>
        </w:rPr>
        <w:tab/>
        <w:t>attire l</w:t>
      </w:r>
      <w:r w:rsidR="00FD700E" w:rsidRPr="00754CC2">
        <w:rPr>
          <w:lang w:val="fr-FR"/>
        </w:rPr>
        <w:t>’</w:t>
      </w:r>
      <w:r w:rsidRPr="00754CC2">
        <w:rPr>
          <w:lang w:val="fr-FR"/>
        </w:rPr>
        <w:t>attention du représentant sur le diagramme des organes de l</w:t>
      </w:r>
      <w:r w:rsidR="00FD700E" w:rsidRPr="00754CC2">
        <w:rPr>
          <w:lang w:val="fr-FR"/>
        </w:rPr>
        <w:t>’</w:t>
      </w:r>
      <w:r w:rsidRPr="00754CC2">
        <w:rPr>
          <w:lang w:val="fr-FR"/>
        </w:rPr>
        <w:t>UPOV (</w:t>
      </w:r>
      <w:hyperlink r:id="rId19" w:history="1">
        <w:r w:rsidRPr="00754CC2">
          <w:rPr>
            <w:rStyle w:val="Hyperlink"/>
            <w:lang w:val="fr-FR"/>
          </w:rPr>
          <w:t>http://www.upov.int/about/fr/organigram.html</w:t>
        </w:r>
      </w:hyperlink>
      <w:r w:rsidRPr="00754CC2">
        <w:rPr>
          <w:lang w:val="fr-FR"/>
        </w:rPr>
        <w:t>) et demande au représentant de lui communiquer les noms et coordonnées des “personnes désignées” auprès du Conseil, du Comité consultatif, du Comité administratif et juridique (CAJ), du Comité technique (TC) et des groupes de travail techniques (TWP).  Le Bureau de l</w:t>
      </w:r>
      <w:r w:rsidR="00FD700E" w:rsidRPr="00754CC2">
        <w:rPr>
          <w:lang w:val="fr-FR"/>
        </w:rPr>
        <w:t>’</w:t>
      </w:r>
      <w:r w:rsidRPr="00754CC2">
        <w:rPr>
          <w:lang w:val="fr-FR"/>
        </w:rPr>
        <w:t>Union, si besoin est, joint la liste existante à l</w:t>
      </w:r>
      <w:r w:rsidR="00FD700E" w:rsidRPr="00754CC2">
        <w:rPr>
          <w:lang w:val="fr-FR"/>
        </w:rPr>
        <w:t>’</w:t>
      </w:r>
      <w:r w:rsidRPr="00754CC2">
        <w:rPr>
          <w:lang w:val="fr-FR"/>
        </w:rPr>
        <w:t>intention du membre intéressé de l</w:t>
      </w:r>
      <w:r w:rsidR="00FD700E" w:rsidRPr="00754CC2">
        <w:rPr>
          <w:lang w:val="fr-FR"/>
        </w:rPr>
        <w:t>’</w:t>
      </w:r>
      <w:r w:rsidRPr="00754CC2">
        <w:rPr>
          <w:lang w:val="fr-FR"/>
        </w:rPr>
        <w:t>Union, pour confirmation ou mise à jour.  Les personnes désignées par le représentant reçoivent une copie des invitations à assister aux sessions des organes pertinents de l</w:t>
      </w:r>
      <w:r w:rsidR="00FD700E" w:rsidRPr="00754CC2">
        <w:rPr>
          <w:lang w:val="fr-FR"/>
        </w:rPr>
        <w:t>’</w:t>
      </w:r>
      <w:r w:rsidRPr="00754CC2">
        <w:rPr>
          <w:lang w:val="fr-FR"/>
        </w:rPr>
        <w:t>UPOV et des notifications correspondantes relatives à la diffusion des documents pour ces sessions;</w:t>
      </w:r>
    </w:p>
    <w:p w:rsidR="00C36DD4" w:rsidRPr="00754CC2" w:rsidRDefault="00C36DD4" w:rsidP="00467D18">
      <w:pPr>
        <w:rPr>
          <w:lang w:val="fr-FR"/>
        </w:rPr>
      </w:pPr>
    </w:p>
    <w:p w:rsidR="00C36DD4" w:rsidRPr="00754CC2" w:rsidRDefault="00467D18" w:rsidP="00467D18">
      <w:pPr>
        <w:rPr>
          <w:rFonts w:cs="Arial"/>
          <w:lang w:val="fr-FR"/>
        </w:rPr>
      </w:pPr>
      <w:r w:rsidRPr="00754CC2">
        <w:rPr>
          <w:lang w:val="fr-FR"/>
        </w:rPr>
        <w:lastRenderedPageBreak/>
        <w:tab/>
        <w:t>c)</w:t>
      </w:r>
      <w:r w:rsidRPr="00754CC2">
        <w:rPr>
          <w:lang w:val="fr-FR"/>
        </w:rPr>
        <w:tab/>
        <w:t>envoie une copie des règles concernant l</w:t>
      </w:r>
      <w:r w:rsidR="00FD700E" w:rsidRPr="00754CC2">
        <w:rPr>
          <w:lang w:val="fr-FR"/>
        </w:rPr>
        <w:t>’</w:t>
      </w:r>
      <w:r w:rsidRPr="00754CC2">
        <w:rPr>
          <w:lang w:val="fr-FR"/>
        </w:rPr>
        <w:t>accès aux documents de l</w:t>
      </w:r>
      <w:r w:rsidR="00FD700E" w:rsidRPr="00754CC2">
        <w:rPr>
          <w:lang w:val="fr-FR"/>
        </w:rPr>
        <w:t>’</w:t>
      </w:r>
      <w:r w:rsidRPr="00754CC2">
        <w:rPr>
          <w:lang w:val="fr-FR"/>
        </w:rPr>
        <w:t xml:space="preserve">UPOV </w:t>
      </w:r>
      <w:hyperlink r:id="rId20" w:history="1">
        <w:r w:rsidRPr="00754CC2">
          <w:rPr>
            <w:rStyle w:val="Hyperlink"/>
            <w:u w:val="none"/>
            <w:lang w:val="fr-FR"/>
          </w:rPr>
          <w:t>(</w:t>
        </w:r>
        <w:hyperlink r:id="rId21" w:history="1">
          <w:r w:rsidR="00B25FED" w:rsidRPr="00754CC2">
            <w:rPr>
              <w:rStyle w:val="Hyperlink"/>
              <w:spacing w:val="-2"/>
              <w:szCs w:val="24"/>
              <w:lang w:val="fr-FR"/>
            </w:rPr>
            <w:t>http://www.upov.int/edocs/infdocs/fr/upov_inf_20_1.pdf</w:t>
          </w:r>
        </w:hyperlink>
      </w:hyperlink>
      <w:r w:rsidRPr="00754CC2">
        <w:rPr>
          <w:szCs w:val="24"/>
          <w:lang w:val="fr-FR"/>
        </w:rPr>
        <w:t>)</w:t>
      </w:r>
      <w:r w:rsidRPr="00754CC2">
        <w:rPr>
          <w:lang w:val="fr-FR"/>
        </w:rPr>
        <w:t xml:space="preserve"> afin de guider le représentant en ce qui concerne la communication de l</w:t>
      </w:r>
      <w:r w:rsidR="00FD700E" w:rsidRPr="00754CC2">
        <w:rPr>
          <w:lang w:val="fr-FR"/>
        </w:rPr>
        <w:t>’</w:t>
      </w:r>
      <w:r w:rsidRPr="00754CC2">
        <w:rPr>
          <w:lang w:val="fr-FR"/>
        </w:rPr>
        <w:t>identifiant et du mot de passe.  Toute personne provenant du membre de l</w:t>
      </w:r>
      <w:r w:rsidR="00FD700E" w:rsidRPr="00754CC2">
        <w:rPr>
          <w:lang w:val="fr-FR"/>
        </w:rPr>
        <w:t>’</w:t>
      </w:r>
      <w:r w:rsidRPr="00754CC2">
        <w:rPr>
          <w:lang w:val="fr-FR"/>
        </w:rPr>
        <w:t>Union qui dépose auprès du Bureau de l</w:t>
      </w:r>
      <w:r w:rsidR="00FD700E" w:rsidRPr="00754CC2">
        <w:rPr>
          <w:lang w:val="fr-FR"/>
        </w:rPr>
        <w:t>’</w:t>
      </w:r>
      <w:r w:rsidRPr="00754CC2">
        <w:rPr>
          <w:lang w:val="fr-FR"/>
        </w:rPr>
        <w:t>Union une demande d</w:t>
      </w:r>
      <w:r w:rsidR="00FD700E" w:rsidRPr="00754CC2">
        <w:rPr>
          <w:lang w:val="fr-FR"/>
        </w:rPr>
        <w:t>’</w:t>
      </w:r>
      <w:r w:rsidRPr="00754CC2">
        <w:rPr>
          <w:lang w:val="fr-FR"/>
        </w:rPr>
        <w:t>accès aux documents figurant dans la zone d</w:t>
      </w:r>
      <w:r w:rsidR="00FD700E" w:rsidRPr="00754CC2">
        <w:rPr>
          <w:lang w:val="fr-FR"/>
        </w:rPr>
        <w:t>’</w:t>
      </w:r>
      <w:r w:rsidRPr="00754CC2">
        <w:rPr>
          <w:lang w:val="fr-FR"/>
        </w:rPr>
        <w:t>accès restreint du site Web de l</w:t>
      </w:r>
      <w:r w:rsidR="00FD700E" w:rsidRPr="00754CC2">
        <w:rPr>
          <w:lang w:val="fr-FR"/>
        </w:rPr>
        <w:t>’</w:t>
      </w:r>
      <w:r w:rsidRPr="00754CC2">
        <w:rPr>
          <w:lang w:val="fr-FR"/>
        </w:rPr>
        <w:t>UPOV</w:t>
      </w:r>
      <w:r w:rsidR="00447EC9" w:rsidRPr="00754CC2">
        <w:rPr>
          <w:lang w:val="fr-FR"/>
        </w:rPr>
        <w:t>,</w:t>
      </w:r>
      <w:r w:rsidRPr="00754CC2">
        <w:rPr>
          <w:lang w:val="fr-FR"/>
        </w:rPr>
        <w:t xml:space="preserve"> est invitée à prendre contact avec le représentant;  et</w:t>
      </w:r>
    </w:p>
    <w:p w:rsidR="00C36DD4" w:rsidRPr="00754CC2" w:rsidRDefault="00C36DD4" w:rsidP="00467D18">
      <w:pPr>
        <w:rPr>
          <w:lang w:val="fr-FR"/>
        </w:rPr>
      </w:pPr>
    </w:p>
    <w:p w:rsidR="00C36DD4" w:rsidRPr="00754CC2" w:rsidRDefault="00467D18" w:rsidP="00467D18">
      <w:pPr>
        <w:rPr>
          <w:lang w:val="fr-FR"/>
        </w:rPr>
      </w:pPr>
      <w:r w:rsidRPr="00754CC2">
        <w:rPr>
          <w:lang w:val="fr-FR"/>
        </w:rPr>
        <w:tab/>
        <w:t>d)</w:t>
      </w:r>
      <w:r w:rsidRPr="00754CC2">
        <w:rPr>
          <w:lang w:val="fr-FR"/>
        </w:rPr>
        <w:tab/>
        <w:t>demande au représentant de lui fournir les coordonnées du service chargé d</w:t>
      </w:r>
      <w:r w:rsidR="00FD700E" w:rsidRPr="00754CC2">
        <w:rPr>
          <w:lang w:val="fr-FR"/>
        </w:rPr>
        <w:t>’</w:t>
      </w:r>
      <w:r w:rsidRPr="00754CC2">
        <w:rPr>
          <w:lang w:val="fr-FR"/>
        </w:rPr>
        <w:t>octroyer</w:t>
      </w:r>
      <w:r w:rsidRPr="00754CC2">
        <w:rPr>
          <w:lang w:val="fr-FR"/>
        </w:rPr>
        <w:br/>
        <w:t>les droits d</w:t>
      </w:r>
      <w:r w:rsidR="00FD700E" w:rsidRPr="00754CC2">
        <w:rPr>
          <w:lang w:val="fr-FR"/>
        </w:rPr>
        <w:t>’</w:t>
      </w:r>
      <w:r w:rsidRPr="00754CC2">
        <w:rPr>
          <w:lang w:val="fr-FR"/>
        </w:rPr>
        <w:t>obtenteur conformément à l</w:t>
      </w:r>
      <w:r w:rsidR="00FD700E" w:rsidRPr="00754CC2">
        <w:rPr>
          <w:lang w:val="fr-FR"/>
        </w:rPr>
        <w:t>’</w:t>
      </w:r>
      <w:r w:rsidRPr="00754CC2">
        <w:rPr>
          <w:lang w:val="fr-FR"/>
        </w:rPr>
        <w:t>article 30.1)ii) de l</w:t>
      </w:r>
      <w:r w:rsidR="00FD700E" w:rsidRPr="00754CC2">
        <w:rPr>
          <w:lang w:val="fr-FR"/>
        </w:rPr>
        <w:t>’</w:t>
      </w:r>
      <w:r w:rsidRPr="00754CC2">
        <w:rPr>
          <w:lang w:val="fr-FR"/>
        </w:rPr>
        <w:t xml:space="preserve">Acte de 1991 de la </w:t>
      </w:r>
      <w:r w:rsidR="00FD700E" w:rsidRPr="00754CC2">
        <w:rPr>
          <w:lang w:val="fr-FR"/>
        </w:rPr>
        <w:t>Convention UPOV</w:t>
      </w:r>
      <w:r w:rsidRPr="00754CC2">
        <w:rPr>
          <w:lang w:val="fr-FR"/>
        </w:rPr>
        <w:t>,</w:t>
      </w:r>
      <w:r w:rsidRPr="00754CC2">
        <w:rPr>
          <w:lang w:val="fr-FR"/>
        </w:rPr>
        <w:br/>
        <w:t>à des fins de publication sous la rubrique “Répertoire des services de protection des obtentions</w:t>
      </w:r>
      <w:r w:rsidRPr="00754CC2">
        <w:rPr>
          <w:lang w:val="fr-FR"/>
        </w:rPr>
        <w:br/>
        <w:t>végétales” du site Web de l</w:t>
      </w:r>
      <w:r w:rsidR="00FD700E" w:rsidRPr="00754CC2">
        <w:rPr>
          <w:lang w:val="fr-FR"/>
        </w:rPr>
        <w:t>’</w:t>
      </w:r>
      <w:r w:rsidRPr="00754CC2">
        <w:rPr>
          <w:lang w:val="fr-FR"/>
        </w:rPr>
        <w:t>UPOV (</w:t>
      </w:r>
      <w:hyperlink r:id="rId22" w:history="1">
        <w:r w:rsidRPr="00754CC2">
          <w:rPr>
            <w:rStyle w:val="Hyperlink"/>
            <w:lang w:val="fr-FR"/>
          </w:rPr>
          <w:t>http://www.upov.int/members/fr/pvp_offices.html</w:t>
        </w:r>
      </w:hyperlink>
      <w:r w:rsidRPr="00754CC2">
        <w:rPr>
          <w:lang w:val="fr-FR"/>
        </w:rPr>
        <w:t>).</w:t>
      </w:r>
    </w:p>
    <w:p w:rsidR="00C36DD4" w:rsidRPr="00754CC2" w:rsidRDefault="00C36DD4" w:rsidP="00467D18">
      <w:pPr>
        <w:rPr>
          <w:szCs w:val="24"/>
          <w:lang w:val="fr-FR"/>
        </w:rPr>
      </w:pPr>
    </w:p>
    <w:p w:rsidR="00C36DD4" w:rsidRPr="00754CC2" w:rsidRDefault="00717396" w:rsidP="00467D18">
      <w:pPr>
        <w:rPr>
          <w:u w:val="single"/>
          <w:lang w:val="fr-FR"/>
        </w:rPr>
      </w:pPr>
      <w:r w:rsidRPr="00754CC2">
        <w:rPr>
          <w:lang w:val="fr-FR"/>
        </w:rPr>
        <w:t>12.</w:t>
      </w:r>
      <w:r w:rsidR="00467D18" w:rsidRPr="00754CC2">
        <w:rPr>
          <w:lang w:val="fr-FR"/>
        </w:rPr>
        <w:tab/>
        <w:t>Un autre rôle important du représentant consiste à approuver par correspondance les politiques et éléments d</w:t>
      </w:r>
      <w:r w:rsidR="00FD700E" w:rsidRPr="00754CC2">
        <w:rPr>
          <w:lang w:val="fr-FR"/>
        </w:rPr>
        <w:t>’</w:t>
      </w:r>
      <w:r w:rsidR="00467D18" w:rsidRPr="00754CC2">
        <w:rPr>
          <w:lang w:val="fr-FR"/>
        </w:rPr>
        <w:t>orientation de l</w:t>
      </w:r>
      <w:r w:rsidR="00FD700E" w:rsidRPr="00754CC2">
        <w:rPr>
          <w:lang w:val="fr-FR"/>
        </w:rPr>
        <w:t>’</w:t>
      </w:r>
      <w:r w:rsidR="00467D18" w:rsidRPr="00754CC2">
        <w:rPr>
          <w:lang w:val="fr-FR"/>
        </w:rPr>
        <w:t>UPOV.  Les membres de l</w:t>
      </w:r>
      <w:r w:rsidR="00FD700E" w:rsidRPr="00754CC2">
        <w:rPr>
          <w:lang w:val="fr-FR"/>
        </w:rPr>
        <w:t>’</w:t>
      </w:r>
      <w:r w:rsidR="00467D18" w:rsidRPr="00754CC2">
        <w:rPr>
          <w:lang w:val="fr-FR"/>
        </w:rPr>
        <w:t>Union sont convenus que, sauf décision contraire du Conseil, les documents contenant des principes ou des orientations de l</w:t>
      </w:r>
      <w:r w:rsidR="00FD700E" w:rsidRPr="00754CC2">
        <w:rPr>
          <w:lang w:val="fr-FR"/>
        </w:rPr>
        <w:t>’</w:t>
      </w:r>
      <w:r w:rsidR="00467D18" w:rsidRPr="00754CC2">
        <w:rPr>
          <w:lang w:val="fr-FR"/>
        </w:rPr>
        <w:t>UPOV, une fois approuvés par les comités compétents de l</w:t>
      </w:r>
      <w:r w:rsidR="00FD700E" w:rsidRPr="00754CC2">
        <w:rPr>
          <w:lang w:val="fr-FR"/>
        </w:rPr>
        <w:t>’</w:t>
      </w:r>
      <w:r w:rsidR="00467D18" w:rsidRPr="00754CC2">
        <w:rPr>
          <w:lang w:val="fr-FR"/>
        </w:rPr>
        <w:t>UPOV, selon le cas, doivent être adoptés par le Conseil.  Lorsqu</w:t>
      </w:r>
      <w:r w:rsidR="00FD700E" w:rsidRPr="00754CC2">
        <w:rPr>
          <w:lang w:val="fr-FR"/>
        </w:rPr>
        <w:t>’</w:t>
      </w:r>
      <w:r w:rsidR="00467D18" w:rsidRPr="00754CC2">
        <w:rPr>
          <w:lang w:val="fr-FR"/>
        </w:rPr>
        <w:t>une présentation rapide des principes ou des orientations de l</w:t>
      </w:r>
      <w:r w:rsidR="00FD700E" w:rsidRPr="00754CC2">
        <w:rPr>
          <w:lang w:val="fr-FR"/>
        </w:rPr>
        <w:t>’</w:t>
      </w:r>
      <w:r w:rsidR="00467D18" w:rsidRPr="00754CC2">
        <w:rPr>
          <w:lang w:val="fr-FR"/>
        </w:rPr>
        <w:t>UPOV est nécessaire, de sorte qu</w:t>
      </w:r>
      <w:r w:rsidR="00FD700E" w:rsidRPr="00754CC2">
        <w:rPr>
          <w:lang w:val="fr-FR"/>
        </w:rPr>
        <w:t>’</w:t>
      </w:r>
      <w:r w:rsidR="00467D18" w:rsidRPr="00754CC2">
        <w:rPr>
          <w:lang w:val="fr-FR"/>
        </w:rPr>
        <w:t>ils ne peuvent être adoptés moyennant la soumission d</w:t>
      </w:r>
      <w:r w:rsidR="00FD700E" w:rsidRPr="00754CC2">
        <w:rPr>
          <w:lang w:val="fr-FR"/>
        </w:rPr>
        <w:t>’</w:t>
      </w:r>
      <w:r w:rsidR="00467D18" w:rsidRPr="00754CC2">
        <w:rPr>
          <w:lang w:val="fr-FR"/>
        </w:rPr>
        <w:t>un document au Conseil, il sera demandé aux représentants des membres auprès du Conseil de l</w:t>
      </w:r>
      <w:r w:rsidR="00FD700E" w:rsidRPr="00754CC2">
        <w:rPr>
          <w:lang w:val="fr-FR"/>
        </w:rPr>
        <w:t>’</w:t>
      </w:r>
      <w:r w:rsidR="00467D18" w:rsidRPr="00754CC2">
        <w:rPr>
          <w:lang w:val="fr-FR"/>
        </w:rPr>
        <w:t>Union de les approuver par correspondance (voir le paragraphe 13.i) du document C/43/17 “Rapport”).</w:t>
      </w:r>
    </w:p>
    <w:p w:rsidR="00C36DD4" w:rsidRPr="00754CC2" w:rsidRDefault="00C36DD4" w:rsidP="00467D18">
      <w:pPr>
        <w:rPr>
          <w:lang w:val="fr-FR"/>
        </w:rPr>
      </w:pPr>
    </w:p>
    <w:p w:rsidR="00C36DD4" w:rsidRPr="00754CC2" w:rsidRDefault="00717396" w:rsidP="00467D18">
      <w:pPr>
        <w:rPr>
          <w:rFonts w:cs="Arial"/>
          <w:lang w:val="fr-FR"/>
        </w:rPr>
      </w:pPr>
      <w:r w:rsidRPr="00754CC2">
        <w:rPr>
          <w:rFonts w:cs="Arial"/>
          <w:lang w:val="fr-FR"/>
        </w:rPr>
        <w:t>13.</w:t>
      </w:r>
      <w:r w:rsidR="00467D18" w:rsidRPr="00754CC2">
        <w:rPr>
          <w:rFonts w:cs="Arial"/>
          <w:lang w:val="fr-FR"/>
        </w:rPr>
        <w:tab/>
        <w:t>Le représentant est aussi chargé des notifications relatives à la modification de la législation régissant les droits d</w:t>
      </w:r>
      <w:r w:rsidR="00FD700E" w:rsidRPr="00754CC2">
        <w:rPr>
          <w:rFonts w:cs="Arial"/>
          <w:lang w:val="fr-FR"/>
        </w:rPr>
        <w:t>’</w:t>
      </w:r>
      <w:r w:rsidR="00467D18" w:rsidRPr="00754CC2">
        <w:rPr>
          <w:rFonts w:cs="Arial"/>
          <w:lang w:val="fr-FR"/>
        </w:rPr>
        <w:t>obtenteur et, le cas échéant, à toute extension de l</w:t>
      </w:r>
      <w:r w:rsidR="00FD700E" w:rsidRPr="00754CC2">
        <w:rPr>
          <w:rFonts w:cs="Arial"/>
          <w:lang w:val="fr-FR"/>
        </w:rPr>
        <w:t>’</w:t>
      </w:r>
      <w:r w:rsidR="00467D18" w:rsidRPr="00754CC2">
        <w:rPr>
          <w:rFonts w:cs="Arial"/>
          <w:lang w:val="fr-FR"/>
        </w:rPr>
        <w:t xml:space="preserve">application de la </w:t>
      </w:r>
      <w:r w:rsidR="00FD700E" w:rsidRPr="00754CC2">
        <w:rPr>
          <w:rFonts w:cs="Arial"/>
          <w:lang w:val="fr-FR"/>
        </w:rPr>
        <w:t>Convention UPOV</w:t>
      </w:r>
      <w:r w:rsidR="00467D18" w:rsidRPr="00754CC2">
        <w:rPr>
          <w:rFonts w:cs="Arial"/>
          <w:lang w:val="fr-FR"/>
        </w:rPr>
        <w:t xml:space="preserve"> à d</w:t>
      </w:r>
      <w:r w:rsidR="00FD700E" w:rsidRPr="00754CC2">
        <w:rPr>
          <w:rFonts w:cs="Arial"/>
          <w:lang w:val="fr-FR"/>
        </w:rPr>
        <w:t>’</w:t>
      </w:r>
      <w:r w:rsidR="00467D18" w:rsidRPr="00754CC2">
        <w:rPr>
          <w:rFonts w:cs="Arial"/>
          <w:lang w:val="fr-FR"/>
        </w:rPr>
        <w:t>autres genres et espèces végétaux (</w:t>
      </w:r>
      <w:r w:rsidR="00467D18" w:rsidRPr="00754CC2">
        <w:rPr>
          <w:rFonts w:cs="Arial"/>
          <w:highlight w:val="lightGray"/>
          <w:lang w:val="fr-FR"/>
        </w:rPr>
        <w:t>voir</w:t>
      </w:r>
      <w:r w:rsidR="00C36DD4" w:rsidRPr="00754CC2">
        <w:rPr>
          <w:rFonts w:cs="Arial"/>
          <w:highlight w:val="lightGray"/>
          <w:lang w:val="fr-FR"/>
        </w:rPr>
        <w:t xml:space="preserve"> </w:t>
      </w:r>
      <w:r w:rsidR="00C36DD4" w:rsidRPr="00754CC2">
        <w:rPr>
          <w:rFonts w:cs="Arial"/>
          <w:strike/>
          <w:highlight w:val="lightGray"/>
          <w:lang w:val="fr-FR"/>
        </w:rPr>
        <w:t>la deuxième partie du présent document</w:t>
      </w:r>
      <w:r w:rsidR="00467D18" w:rsidRPr="00754CC2">
        <w:rPr>
          <w:rFonts w:cs="Arial"/>
          <w:highlight w:val="lightGray"/>
          <w:lang w:val="fr-FR"/>
        </w:rPr>
        <w:t xml:space="preserve"> la </w:t>
      </w:r>
      <w:r w:rsidRPr="00754CC2">
        <w:rPr>
          <w:rFonts w:cs="Arial"/>
          <w:highlight w:val="lightGray"/>
          <w:lang w:val="fr-FR"/>
        </w:rPr>
        <w:t>section</w:t>
      </w:r>
      <w:r w:rsidR="00175F7E" w:rsidRPr="00754CC2">
        <w:rPr>
          <w:rFonts w:cs="Arial"/>
          <w:highlight w:val="lightGray"/>
          <w:lang w:val="fr-FR"/>
        </w:rPr>
        <w:t> </w:t>
      </w:r>
      <w:r w:rsidRPr="00754CC2">
        <w:rPr>
          <w:rFonts w:cs="Arial"/>
          <w:highlight w:val="lightGray"/>
          <w:lang w:val="fr-FR"/>
        </w:rPr>
        <w:t>2</w:t>
      </w:r>
      <w:r w:rsidR="00467D18" w:rsidRPr="00754CC2">
        <w:rPr>
          <w:rFonts w:cs="Arial"/>
          <w:highlight w:val="lightGray"/>
          <w:lang w:val="fr-FR"/>
        </w:rPr>
        <w:t xml:space="preserve"> </w:t>
      </w:r>
      <w:r w:rsidRPr="00754CC2">
        <w:rPr>
          <w:rFonts w:cs="Arial"/>
          <w:highlight w:val="lightGray"/>
          <w:lang w:val="fr-FR"/>
        </w:rPr>
        <w:t>ci</w:t>
      </w:r>
      <w:r w:rsidR="00B66F35" w:rsidRPr="00754CC2">
        <w:rPr>
          <w:rFonts w:cs="Arial"/>
          <w:highlight w:val="lightGray"/>
          <w:lang w:val="fr-FR"/>
        </w:rPr>
        <w:noBreakHyphen/>
      </w:r>
      <w:r w:rsidRPr="00754CC2">
        <w:rPr>
          <w:rFonts w:cs="Arial"/>
          <w:highlight w:val="lightGray"/>
          <w:lang w:val="fr-FR"/>
        </w:rPr>
        <w:t>dessous</w:t>
      </w:r>
      <w:r w:rsidR="00467D18" w:rsidRPr="00754CC2">
        <w:rPr>
          <w:rFonts w:cs="Arial"/>
          <w:lang w:val="fr-FR"/>
        </w:rPr>
        <w:t>).</w:t>
      </w:r>
    </w:p>
    <w:p w:rsidR="00C36DD4" w:rsidRPr="00754CC2" w:rsidRDefault="00C36DD4" w:rsidP="00467D18">
      <w:pPr>
        <w:rPr>
          <w:lang w:val="fr-FR"/>
        </w:rPr>
      </w:pPr>
    </w:p>
    <w:p w:rsidR="00C36DD4" w:rsidRPr="00754CC2" w:rsidRDefault="00C36DD4" w:rsidP="00686DDD">
      <w:pPr>
        <w:rPr>
          <w:lang w:val="fr-FR"/>
        </w:rPr>
      </w:pPr>
      <w:bookmarkStart w:id="15" w:name="_Toc279499864"/>
    </w:p>
    <w:p w:rsidR="00556163" w:rsidRPr="00754CC2" w:rsidRDefault="00717396" w:rsidP="00825925">
      <w:pPr>
        <w:pStyle w:val="Heading2"/>
        <w:rPr>
          <w:lang w:val="fr-FR"/>
        </w:rPr>
      </w:pPr>
      <w:bookmarkStart w:id="16" w:name="_Toc355191723"/>
      <w:bookmarkStart w:id="17" w:name="_Toc412041918"/>
      <w:r w:rsidRPr="00754CC2">
        <w:rPr>
          <w:lang w:val="fr-FR"/>
        </w:rPr>
        <w:t>Section</w:t>
      </w:r>
      <w:r w:rsidR="00175F7E" w:rsidRPr="00754CC2">
        <w:rPr>
          <w:lang w:val="fr-FR"/>
        </w:rPr>
        <w:t> </w:t>
      </w:r>
      <w:r w:rsidRPr="00754CC2">
        <w:rPr>
          <w:lang w:val="fr-FR"/>
        </w:rPr>
        <w:t>2</w:t>
      </w:r>
      <w:r w:rsidR="00467D18" w:rsidRPr="00754CC2">
        <w:rPr>
          <w:lang w:val="fr-FR"/>
        </w:rPr>
        <w:t> :</w:t>
      </w:r>
      <w:r w:rsidR="00175F7E" w:rsidRPr="00754CC2">
        <w:rPr>
          <w:lang w:val="fr-FR"/>
        </w:rPr>
        <w:t xml:space="preserve"> </w:t>
      </w:r>
      <w:r w:rsidRPr="00754CC2">
        <w:rPr>
          <w:lang w:val="fr-FR"/>
        </w:rPr>
        <w:t>Notifications relatives à</w:t>
      </w:r>
      <w:r w:rsidR="00467D18" w:rsidRPr="00754CC2">
        <w:rPr>
          <w:lang w:val="fr-FR"/>
        </w:rPr>
        <w:t xml:space="preserve"> </w:t>
      </w:r>
      <w:r w:rsidRPr="00754CC2">
        <w:rPr>
          <w:lang w:val="fr-FR"/>
        </w:rPr>
        <w:t>la législation régissant les droits d</w:t>
      </w:r>
      <w:r w:rsidR="00FD700E" w:rsidRPr="00754CC2">
        <w:rPr>
          <w:lang w:val="fr-FR"/>
        </w:rPr>
        <w:t>’</w:t>
      </w:r>
      <w:r w:rsidRPr="00754CC2">
        <w:rPr>
          <w:lang w:val="fr-FR"/>
        </w:rPr>
        <w:t>obtenteur</w:t>
      </w:r>
      <w:r w:rsidR="00467D18" w:rsidRPr="00754CC2">
        <w:rPr>
          <w:lang w:val="fr-FR"/>
        </w:rPr>
        <w:t xml:space="preserve"> </w:t>
      </w:r>
      <w:r w:rsidRPr="00754CC2">
        <w:rPr>
          <w:lang w:val="fr-FR"/>
        </w:rPr>
        <w:t>et, le cas échéant, à toute extension</w:t>
      </w:r>
      <w:r w:rsidR="00467D18" w:rsidRPr="00754CC2">
        <w:rPr>
          <w:lang w:val="fr-FR"/>
        </w:rPr>
        <w:t xml:space="preserve"> </w:t>
      </w:r>
      <w:r w:rsidRPr="00754CC2">
        <w:rPr>
          <w:lang w:val="fr-FR"/>
        </w:rPr>
        <w:t>de l</w:t>
      </w:r>
      <w:r w:rsidR="00FD700E" w:rsidRPr="00754CC2">
        <w:rPr>
          <w:lang w:val="fr-FR"/>
        </w:rPr>
        <w:t>’</w:t>
      </w:r>
      <w:r w:rsidRPr="00754CC2">
        <w:rPr>
          <w:lang w:val="fr-FR"/>
        </w:rPr>
        <w:t>application de la législation à d</w:t>
      </w:r>
      <w:r w:rsidR="00FD700E" w:rsidRPr="00754CC2">
        <w:rPr>
          <w:lang w:val="fr-FR"/>
        </w:rPr>
        <w:t>’</w:t>
      </w:r>
      <w:r w:rsidRPr="00754CC2">
        <w:rPr>
          <w:lang w:val="fr-FR"/>
        </w:rPr>
        <w:t>autres genres et espèces végétaux</w:t>
      </w:r>
      <w:bookmarkEnd w:id="15"/>
      <w:bookmarkEnd w:id="16"/>
      <w:bookmarkEnd w:id="17"/>
    </w:p>
    <w:p w:rsidR="00C36DD4" w:rsidRPr="00754CC2" w:rsidRDefault="00C36DD4" w:rsidP="00467D18">
      <w:pPr>
        <w:rPr>
          <w:lang w:val="fr-FR"/>
        </w:rPr>
      </w:pPr>
    </w:p>
    <w:p w:rsidR="00C36DD4" w:rsidRPr="00754CC2" w:rsidRDefault="00467D18" w:rsidP="00347556">
      <w:pPr>
        <w:pStyle w:val="Heading3"/>
      </w:pPr>
      <w:bookmarkStart w:id="18" w:name="_Toc355191724"/>
      <w:bookmarkStart w:id="19" w:name="_Toc412041919"/>
      <w:r w:rsidRPr="00754CC2">
        <w:t>Notifications relatives à la modification de la législation régissant les droits d</w:t>
      </w:r>
      <w:r w:rsidR="00FD700E" w:rsidRPr="00754CC2">
        <w:t>’</w:t>
      </w:r>
      <w:r w:rsidRPr="00754CC2">
        <w:t>obtenteur</w:t>
      </w:r>
      <w:bookmarkEnd w:id="18"/>
      <w:bookmarkEnd w:id="19"/>
    </w:p>
    <w:p w:rsidR="00C36DD4" w:rsidRPr="00754CC2" w:rsidRDefault="00C36DD4" w:rsidP="00467D18">
      <w:pPr>
        <w:keepNext/>
        <w:rPr>
          <w:lang w:val="fr-FR"/>
        </w:rPr>
      </w:pPr>
    </w:p>
    <w:p w:rsidR="00C36DD4" w:rsidRPr="00754CC2" w:rsidRDefault="00467D18" w:rsidP="00770D72">
      <w:pPr>
        <w:pStyle w:val="Heading4"/>
      </w:pPr>
      <w:r w:rsidRPr="00754CC2">
        <w:t>Article pertinent</w:t>
      </w:r>
      <w:r w:rsidRPr="00754CC2">
        <w:rPr>
          <w:rStyle w:val="FootnoteReference"/>
          <w:i/>
        </w:rPr>
        <w:footnoteReference w:id="4"/>
      </w:r>
    </w:p>
    <w:p w:rsidR="00C36DD4" w:rsidRPr="00754CC2" w:rsidRDefault="00467D18" w:rsidP="00467D18">
      <w:pPr>
        <w:spacing w:before="240" w:line="360" w:lineRule="auto"/>
        <w:jc w:val="center"/>
        <w:rPr>
          <w:b/>
          <w:lang w:val="fr-FR"/>
        </w:rPr>
      </w:pPr>
      <w:r w:rsidRPr="00754CC2">
        <w:rPr>
          <w:b/>
          <w:lang w:val="fr-FR"/>
        </w:rPr>
        <w:t>Article 36</w:t>
      </w:r>
    </w:p>
    <w:p w:rsidR="00C36DD4" w:rsidRPr="00754CC2" w:rsidRDefault="00467D18" w:rsidP="00467D18">
      <w:pPr>
        <w:jc w:val="center"/>
        <w:rPr>
          <w:lang w:val="fr-FR"/>
        </w:rPr>
      </w:pPr>
      <w:r w:rsidRPr="00754CC2">
        <w:rPr>
          <w:b/>
          <w:lang w:val="fr-FR"/>
        </w:rPr>
        <w:t xml:space="preserve">Communications </w:t>
      </w:r>
      <w:r w:rsidRPr="00754CC2">
        <w:rPr>
          <w:b/>
          <w:bCs/>
          <w:lang w:val="fr-FR"/>
        </w:rPr>
        <w:t>concernant les législations et les genres</w:t>
      </w:r>
      <w:r w:rsidRPr="00754CC2">
        <w:rPr>
          <w:b/>
          <w:lang w:val="fr-FR"/>
        </w:rPr>
        <w:br/>
        <w:t xml:space="preserve">et les espèces protégés;  </w:t>
      </w:r>
      <w:r w:rsidRPr="00754CC2">
        <w:rPr>
          <w:b/>
          <w:bCs/>
          <w:lang w:val="fr-FR"/>
        </w:rPr>
        <w:t>renseignements à publier</w:t>
      </w:r>
    </w:p>
    <w:p w:rsidR="00C36DD4" w:rsidRPr="00754CC2" w:rsidRDefault="00467D18" w:rsidP="00467D18">
      <w:pPr>
        <w:rPr>
          <w:rFonts w:cs="Arial"/>
          <w:b/>
          <w:lang w:val="fr-FR"/>
        </w:rPr>
      </w:pPr>
      <w:r w:rsidRPr="00754CC2">
        <w:rPr>
          <w:rFonts w:cs="Arial"/>
          <w:b/>
          <w:lang w:val="fr-FR"/>
        </w:rPr>
        <w:t>[…]</w:t>
      </w:r>
    </w:p>
    <w:p w:rsidR="00C36DD4" w:rsidRPr="00754CC2" w:rsidRDefault="00467D18" w:rsidP="00467D18">
      <w:pPr>
        <w:rPr>
          <w:rFonts w:cs="Arial"/>
          <w:b/>
          <w:lang w:val="fr-FR"/>
        </w:rPr>
      </w:pPr>
      <w:r w:rsidRPr="00754CC2">
        <w:rPr>
          <w:rFonts w:cs="Arial"/>
          <w:b/>
          <w:lang w:val="fr-FR"/>
        </w:rPr>
        <w:tab/>
        <w:t>2)</w:t>
      </w:r>
      <w:r w:rsidRPr="00754CC2">
        <w:rPr>
          <w:rFonts w:cs="Arial"/>
          <w:b/>
          <w:lang w:val="fr-FR"/>
        </w:rPr>
        <w:tab/>
        <w:t>[</w:t>
      </w:r>
      <w:r w:rsidRPr="00754CC2">
        <w:rPr>
          <w:rFonts w:cs="Arial"/>
          <w:b/>
          <w:i/>
          <w:iCs/>
          <w:lang w:val="fr-FR"/>
        </w:rPr>
        <w:t>Notification des modifications</w:t>
      </w:r>
      <w:r w:rsidRPr="00754CC2">
        <w:rPr>
          <w:rFonts w:cs="Arial"/>
          <w:b/>
          <w:lang w:val="fr-FR"/>
        </w:rPr>
        <w:t>] Chaque partie contractante notifie sans délai au Secrétaire général</w:t>
      </w:r>
    </w:p>
    <w:p w:rsidR="00C36DD4" w:rsidRPr="00754CC2" w:rsidRDefault="00C36DD4" w:rsidP="00467D18">
      <w:pPr>
        <w:rPr>
          <w:rFonts w:cs="Arial"/>
          <w:b/>
          <w:lang w:val="fr-FR"/>
        </w:rPr>
      </w:pPr>
    </w:p>
    <w:p w:rsidR="00C36DD4" w:rsidRPr="00754CC2" w:rsidRDefault="00467D18" w:rsidP="00825925">
      <w:pPr>
        <w:ind w:left="709"/>
        <w:rPr>
          <w:rFonts w:cs="Arial"/>
          <w:b/>
          <w:lang w:val="fr-FR"/>
        </w:rPr>
      </w:pPr>
      <w:r w:rsidRPr="00754CC2">
        <w:rPr>
          <w:rFonts w:cs="Arial"/>
          <w:b/>
          <w:lang w:val="fr-FR"/>
        </w:rPr>
        <w:t>i)</w:t>
      </w:r>
      <w:r w:rsidRPr="00754CC2">
        <w:rPr>
          <w:rFonts w:cs="Arial"/>
          <w:b/>
          <w:lang w:val="fr-FR"/>
        </w:rPr>
        <w:tab/>
        <w:t>toute modification de sa législation régissant les droits d</w:t>
      </w:r>
      <w:r w:rsidR="00FD700E" w:rsidRPr="00754CC2">
        <w:rPr>
          <w:rFonts w:cs="Arial"/>
          <w:b/>
          <w:lang w:val="fr-FR"/>
        </w:rPr>
        <w:t>’</w:t>
      </w:r>
      <w:r w:rsidRPr="00754CC2">
        <w:rPr>
          <w:rFonts w:cs="Arial"/>
          <w:b/>
          <w:lang w:val="fr-FR"/>
        </w:rPr>
        <w:t>obtenteur et</w:t>
      </w:r>
    </w:p>
    <w:p w:rsidR="00C36DD4" w:rsidRPr="00754CC2" w:rsidRDefault="00467D18" w:rsidP="00467D18">
      <w:pPr>
        <w:rPr>
          <w:rFonts w:cs="Arial"/>
          <w:b/>
          <w:lang w:val="fr-FR"/>
        </w:rPr>
      </w:pPr>
      <w:r w:rsidRPr="00754CC2">
        <w:rPr>
          <w:rFonts w:cs="Arial"/>
          <w:b/>
          <w:lang w:val="fr-FR"/>
        </w:rPr>
        <w:tab/>
        <w:t>[…]</w:t>
      </w:r>
    </w:p>
    <w:p w:rsidR="00C36DD4" w:rsidRPr="00754CC2" w:rsidRDefault="00C36DD4" w:rsidP="00467D18">
      <w:pPr>
        <w:rPr>
          <w:rFonts w:cs="Arial"/>
          <w:b/>
          <w:lang w:val="fr-FR"/>
        </w:rPr>
      </w:pPr>
    </w:p>
    <w:p w:rsidR="00C36DD4" w:rsidRPr="00754CC2" w:rsidRDefault="00467D18" w:rsidP="00467D18">
      <w:pPr>
        <w:rPr>
          <w:rFonts w:cs="Arial"/>
          <w:b/>
          <w:lang w:val="fr-FR"/>
        </w:rPr>
      </w:pPr>
      <w:r w:rsidRPr="00754CC2">
        <w:rPr>
          <w:rFonts w:cs="Arial"/>
          <w:b/>
          <w:lang w:val="fr-FR"/>
        </w:rPr>
        <w:tab/>
        <w:t>3)</w:t>
      </w:r>
      <w:r w:rsidRPr="00754CC2">
        <w:rPr>
          <w:rFonts w:cs="Arial"/>
          <w:b/>
          <w:lang w:val="fr-FR"/>
        </w:rPr>
        <w:tab/>
        <w:t>[</w:t>
      </w:r>
      <w:r w:rsidRPr="00754CC2">
        <w:rPr>
          <w:rFonts w:cs="Arial"/>
          <w:b/>
          <w:i/>
          <w:iCs/>
          <w:lang w:val="fr-FR"/>
        </w:rPr>
        <w:t>Publication de renseignements</w:t>
      </w:r>
      <w:r w:rsidRPr="00754CC2">
        <w:rPr>
          <w:rFonts w:cs="Arial"/>
          <w:b/>
          <w:lang w:val="fr-FR"/>
        </w:rPr>
        <w:t>] Le Secrétaire général publie, sur la base de communications reçues de la partie contractante concernée, des renseignements sur</w:t>
      </w:r>
    </w:p>
    <w:p w:rsidR="00C36DD4" w:rsidRPr="00754CC2" w:rsidRDefault="00C36DD4" w:rsidP="00467D18">
      <w:pPr>
        <w:rPr>
          <w:rFonts w:cs="Arial"/>
          <w:b/>
          <w:lang w:val="fr-FR"/>
        </w:rPr>
      </w:pPr>
    </w:p>
    <w:p w:rsidR="00C36DD4" w:rsidRPr="00754CC2" w:rsidRDefault="00467D18" w:rsidP="00825925">
      <w:pPr>
        <w:ind w:firstLine="709"/>
        <w:rPr>
          <w:rFonts w:cs="Arial"/>
          <w:b/>
          <w:lang w:val="fr-FR"/>
        </w:rPr>
      </w:pPr>
      <w:r w:rsidRPr="00754CC2">
        <w:rPr>
          <w:rFonts w:cs="Arial"/>
          <w:b/>
          <w:lang w:val="fr-FR"/>
        </w:rPr>
        <w:t>i)</w:t>
      </w:r>
      <w:r w:rsidRPr="00754CC2">
        <w:rPr>
          <w:rFonts w:cs="Arial"/>
          <w:b/>
          <w:lang w:val="fr-FR"/>
        </w:rPr>
        <w:tab/>
        <w:t>la législation régissant les droits d</w:t>
      </w:r>
      <w:r w:rsidR="00FD700E" w:rsidRPr="00754CC2">
        <w:rPr>
          <w:rFonts w:cs="Arial"/>
          <w:b/>
          <w:lang w:val="fr-FR"/>
        </w:rPr>
        <w:t>’</w:t>
      </w:r>
      <w:r w:rsidRPr="00754CC2">
        <w:rPr>
          <w:rFonts w:cs="Arial"/>
          <w:b/>
          <w:lang w:val="fr-FR"/>
        </w:rPr>
        <w:t>obtenteur et toute modification dans cette législation, et</w:t>
      </w:r>
    </w:p>
    <w:p w:rsidR="00C36DD4" w:rsidRPr="00754CC2" w:rsidRDefault="00467D18" w:rsidP="00467D18">
      <w:pPr>
        <w:rPr>
          <w:rFonts w:cs="Arial"/>
          <w:b/>
          <w:lang w:val="fr-FR"/>
        </w:rPr>
      </w:pPr>
      <w:r w:rsidRPr="00754CC2">
        <w:rPr>
          <w:rFonts w:cs="Arial"/>
          <w:b/>
          <w:lang w:val="fr-FR"/>
        </w:rPr>
        <w:tab/>
        <w:t>[…]</w:t>
      </w:r>
    </w:p>
    <w:p w:rsidR="00C36DD4" w:rsidRPr="00754CC2" w:rsidRDefault="00C36DD4" w:rsidP="00467D18">
      <w:pPr>
        <w:rPr>
          <w:b/>
          <w:lang w:val="fr-FR"/>
        </w:rPr>
      </w:pPr>
    </w:p>
    <w:p w:rsidR="00C36DD4" w:rsidRPr="00754CC2" w:rsidRDefault="00717396" w:rsidP="00467D18">
      <w:pPr>
        <w:tabs>
          <w:tab w:val="left" w:pos="0"/>
        </w:tabs>
        <w:rPr>
          <w:lang w:val="fr-FR"/>
        </w:rPr>
      </w:pPr>
      <w:r w:rsidRPr="00754CC2">
        <w:rPr>
          <w:lang w:val="fr-FR"/>
        </w:rPr>
        <w:t>14.</w:t>
      </w:r>
      <w:r w:rsidR="00467D18" w:rsidRPr="00754CC2">
        <w:rPr>
          <w:lang w:val="fr-FR"/>
        </w:rPr>
        <w:tab/>
      </w:r>
      <w:r w:rsidR="00467D18" w:rsidRPr="00754CC2">
        <w:rPr>
          <w:rFonts w:cs="Arial"/>
          <w:lang w:val="fr-FR"/>
        </w:rPr>
        <w:t>La législation adoptée régissant les droits d</w:t>
      </w:r>
      <w:r w:rsidR="00FD700E" w:rsidRPr="00754CC2">
        <w:rPr>
          <w:rFonts w:cs="Arial"/>
          <w:lang w:val="fr-FR"/>
        </w:rPr>
        <w:t>’</w:t>
      </w:r>
      <w:r w:rsidR="00467D18" w:rsidRPr="00754CC2">
        <w:rPr>
          <w:rFonts w:cs="Arial"/>
          <w:lang w:val="fr-FR"/>
        </w:rPr>
        <w:t xml:space="preserve">obtenteur, qui donne effet aux dispositions de la </w:t>
      </w:r>
      <w:r w:rsidR="00FD700E" w:rsidRPr="00754CC2">
        <w:rPr>
          <w:rFonts w:cs="Arial"/>
          <w:lang w:val="fr-FR"/>
        </w:rPr>
        <w:t>Convention UPOV</w:t>
      </w:r>
      <w:r w:rsidR="00467D18" w:rsidRPr="00754CC2">
        <w:rPr>
          <w:rFonts w:cs="Arial"/>
          <w:lang w:val="fr-FR"/>
        </w:rPr>
        <w:t>, est notifiée au moment du dépôt de l</w:t>
      </w:r>
      <w:r w:rsidR="00FD700E" w:rsidRPr="00754CC2">
        <w:rPr>
          <w:rFonts w:cs="Arial"/>
          <w:lang w:val="fr-FR"/>
        </w:rPr>
        <w:t>’</w:t>
      </w:r>
      <w:r w:rsidR="00467D18" w:rsidRPr="00754CC2">
        <w:rPr>
          <w:rFonts w:cs="Arial"/>
          <w:lang w:val="fr-FR"/>
        </w:rPr>
        <w:t>instrument de ratification ou d</w:t>
      </w:r>
      <w:r w:rsidR="00FD700E" w:rsidRPr="00754CC2">
        <w:rPr>
          <w:rFonts w:cs="Arial"/>
          <w:lang w:val="fr-FR"/>
        </w:rPr>
        <w:t>’</w:t>
      </w:r>
      <w:r w:rsidR="00467D18" w:rsidRPr="00754CC2">
        <w:rPr>
          <w:rFonts w:cs="Arial"/>
          <w:lang w:val="fr-FR"/>
        </w:rPr>
        <w:t>adhésion</w:t>
      </w:r>
      <w:r w:rsidR="00467D18" w:rsidRPr="00754CC2">
        <w:rPr>
          <w:rFonts w:cs="Arial"/>
          <w:vertAlign w:val="superscript"/>
          <w:lang w:val="fr-FR"/>
        </w:rPr>
        <w:footnoteReference w:id="5"/>
      </w:r>
      <w:r w:rsidR="00175F7E" w:rsidRPr="00754CC2">
        <w:rPr>
          <w:rFonts w:cs="Arial"/>
          <w:lang w:val="fr-FR"/>
        </w:rPr>
        <w:t>.</w:t>
      </w:r>
      <w:r w:rsidR="00467D18" w:rsidRPr="00754CC2">
        <w:rPr>
          <w:rFonts w:cs="Arial"/>
          <w:lang w:val="fr-FR"/>
        </w:rPr>
        <w:t xml:space="preserve">  Toute modification de la législation régissant les droits d</w:t>
      </w:r>
      <w:r w:rsidR="00FD700E" w:rsidRPr="00754CC2">
        <w:rPr>
          <w:rFonts w:cs="Arial"/>
          <w:lang w:val="fr-FR"/>
        </w:rPr>
        <w:t>’</w:t>
      </w:r>
      <w:r w:rsidR="00467D18" w:rsidRPr="00754CC2">
        <w:rPr>
          <w:rFonts w:cs="Arial"/>
          <w:lang w:val="fr-FR"/>
        </w:rPr>
        <w:t>obtenteur doit être notifiée sans délai au Secrétaire général dans l</w:t>
      </w:r>
      <w:r w:rsidR="00FD700E" w:rsidRPr="00754CC2">
        <w:rPr>
          <w:rFonts w:cs="Arial"/>
          <w:lang w:val="fr-FR"/>
        </w:rPr>
        <w:t>’</w:t>
      </w:r>
      <w:r w:rsidR="00467D18" w:rsidRPr="00754CC2">
        <w:rPr>
          <w:rFonts w:cs="Arial"/>
          <w:lang w:val="fr-FR"/>
        </w:rPr>
        <w:t>une des langues de l</w:t>
      </w:r>
      <w:r w:rsidR="00FD700E" w:rsidRPr="00754CC2">
        <w:rPr>
          <w:rFonts w:cs="Arial"/>
          <w:lang w:val="fr-FR"/>
        </w:rPr>
        <w:t>’</w:t>
      </w:r>
      <w:r w:rsidR="00467D18" w:rsidRPr="00754CC2">
        <w:rPr>
          <w:rFonts w:cs="Arial"/>
          <w:lang w:val="fr-FR"/>
        </w:rPr>
        <w:t>UPOV (français, allemand, anglais ou espagnol) et publiée en conséquence.  La version anglaise de cette modification de la législation ou le texte de synthèse pertinent est également publié dans la </w:t>
      </w:r>
      <w:r w:rsidR="00467D18" w:rsidRPr="00754CC2">
        <w:rPr>
          <w:rFonts w:cs="Arial"/>
          <w:i/>
          <w:lang w:val="fr-FR"/>
        </w:rPr>
        <w:t>UPOV Gazette and Newsletter</w:t>
      </w:r>
      <w:r w:rsidR="00467D18" w:rsidRPr="00754CC2">
        <w:rPr>
          <w:rFonts w:cs="Arial"/>
          <w:lang w:val="fr-FR"/>
        </w:rPr>
        <w:t xml:space="preserve"> (gazette et bulletin de l</w:t>
      </w:r>
      <w:r w:rsidR="00FD700E" w:rsidRPr="00754CC2">
        <w:rPr>
          <w:rFonts w:cs="Arial"/>
          <w:lang w:val="fr-FR"/>
        </w:rPr>
        <w:t>’</w:t>
      </w:r>
      <w:r w:rsidR="00467D18" w:rsidRPr="00754CC2">
        <w:rPr>
          <w:rFonts w:cs="Arial"/>
          <w:lang w:val="fr-FR"/>
        </w:rPr>
        <w:t xml:space="preserve">UPOV) (seulement en </w:t>
      </w:r>
      <w:r w:rsidR="00467D18" w:rsidRPr="00754CC2">
        <w:rPr>
          <w:rFonts w:cs="Arial"/>
          <w:lang w:val="fr-FR"/>
        </w:rPr>
        <w:lastRenderedPageBreak/>
        <w:t xml:space="preserve">anglais) </w:t>
      </w:r>
      <w:r w:rsidR="00467D18" w:rsidRPr="00754CC2">
        <w:rPr>
          <w:rFonts w:cs="Arial"/>
          <w:spacing w:val="-2"/>
          <w:lang w:val="fr-FR"/>
        </w:rPr>
        <w:t>(</w:t>
      </w:r>
      <w:hyperlink r:id="rId23" w:history="1">
        <w:r w:rsidR="00467D18" w:rsidRPr="00754CC2">
          <w:rPr>
            <w:rStyle w:val="Hyperlink"/>
            <w:rFonts w:cs="Arial"/>
            <w:spacing w:val="-2"/>
            <w:lang w:val="fr-FR"/>
          </w:rPr>
          <w:t>http://www.upov.int/news/en/gazette_newsletter.html</w:t>
        </w:r>
      </w:hyperlink>
      <w:r w:rsidR="00467D18" w:rsidRPr="00754CC2">
        <w:rPr>
          <w:rFonts w:cs="Arial"/>
          <w:spacing w:val="-2"/>
          <w:lang w:val="fr-FR"/>
        </w:rPr>
        <w:t xml:space="preserve">) </w:t>
      </w:r>
      <w:r w:rsidR="00467D18" w:rsidRPr="00754CC2">
        <w:rPr>
          <w:rFonts w:cs="Arial"/>
          <w:lang w:val="fr-FR"/>
        </w:rPr>
        <w:t xml:space="preserve">ainsi que dans </w:t>
      </w:r>
      <w:r w:rsidR="00467D18" w:rsidRPr="00754CC2">
        <w:rPr>
          <w:lang w:val="fr-FR"/>
        </w:rPr>
        <w:t>UPOV Lex (</w:t>
      </w:r>
      <w:hyperlink r:id="rId24" w:history="1">
        <w:r w:rsidR="00467D18" w:rsidRPr="00754CC2">
          <w:rPr>
            <w:rStyle w:val="Hyperlink"/>
            <w:lang w:val="fr-FR"/>
          </w:rPr>
          <w:t>http://www.upov.int/upovlex/fr/</w:t>
        </w:r>
      </w:hyperlink>
      <w:r w:rsidR="00467D18" w:rsidRPr="00754CC2">
        <w:rPr>
          <w:lang w:val="fr-FR"/>
        </w:rPr>
        <w:t>) dès que possible.</w:t>
      </w:r>
    </w:p>
    <w:p w:rsidR="00C36DD4" w:rsidRPr="00754CC2" w:rsidRDefault="00C36DD4" w:rsidP="00467D18">
      <w:pPr>
        <w:tabs>
          <w:tab w:val="left" w:pos="0"/>
        </w:tabs>
        <w:rPr>
          <w:lang w:val="fr-FR"/>
        </w:rPr>
      </w:pPr>
    </w:p>
    <w:p w:rsidR="00C36DD4" w:rsidRPr="00754CC2" w:rsidRDefault="00E233C8" w:rsidP="00467D18">
      <w:pPr>
        <w:tabs>
          <w:tab w:val="left" w:pos="0"/>
        </w:tabs>
        <w:rPr>
          <w:rFonts w:cs="Arial"/>
          <w:lang w:val="fr-FR"/>
        </w:rPr>
      </w:pPr>
      <w:r w:rsidRPr="00754CC2">
        <w:rPr>
          <w:lang w:val="fr-FR"/>
        </w:rPr>
        <w:t>15.</w:t>
      </w:r>
      <w:r w:rsidR="00467D18" w:rsidRPr="00754CC2">
        <w:rPr>
          <w:rFonts w:cs="Arial"/>
          <w:lang w:val="fr-FR"/>
        </w:rPr>
        <w:tab/>
        <w:t>Les membres de l</w:t>
      </w:r>
      <w:r w:rsidR="00FD700E" w:rsidRPr="00754CC2">
        <w:rPr>
          <w:rFonts w:cs="Arial"/>
          <w:lang w:val="fr-FR"/>
        </w:rPr>
        <w:t>’</w:t>
      </w:r>
      <w:r w:rsidR="00467D18" w:rsidRPr="00754CC2">
        <w:rPr>
          <w:rFonts w:cs="Arial"/>
          <w:lang w:val="fr-FR"/>
        </w:rPr>
        <w:t>Union sont invités à prendre contact avec le Bureau de l</w:t>
      </w:r>
      <w:r w:rsidR="00FD700E" w:rsidRPr="00754CC2">
        <w:rPr>
          <w:rFonts w:cs="Arial"/>
          <w:lang w:val="fr-FR"/>
        </w:rPr>
        <w:t>’</w:t>
      </w:r>
      <w:r w:rsidR="00467D18" w:rsidRPr="00754CC2">
        <w:rPr>
          <w:rFonts w:cs="Arial"/>
          <w:lang w:val="fr-FR"/>
        </w:rPr>
        <w:t>Union s</w:t>
      </w:r>
      <w:r w:rsidR="00FD700E" w:rsidRPr="00754CC2">
        <w:rPr>
          <w:rFonts w:cs="Arial"/>
          <w:lang w:val="fr-FR"/>
        </w:rPr>
        <w:t>’</w:t>
      </w:r>
      <w:r w:rsidR="00467D18" w:rsidRPr="00754CC2">
        <w:rPr>
          <w:rFonts w:cs="Arial"/>
          <w:lang w:val="fr-FR"/>
        </w:rPr>
        <w:t>ils ont besoin d</w:t>
      </w:r>
      <w:r w:rsidR="00FD700E" w:rsidRPr="00754CC2">
        <w:rPr>
          <w:rFonts w:cs="Arial"/>
          <w:lang w:val="fr-FR"/>
        </w:rPr>
        <w:t>’</w:t>
      </w:r>
      <w:r w:rsidR="00467D18" w:rsidRPr="00754CC2">
        <w:rPr>
          <w:rFonts w:cs="Arial"/>
          <w:lang w:val="fr-FR"/>
        </w:rPr>
        <w:t>aide pour la traduction en anglais de la modification de leur législation régissant les droits d</w:t>
      </w:r>
      <w:r w:rsidR="00FD700E" w:rsidRPr="00754CC2">
        <w:rPr>
          <w:rFonts w:cs="Arial"/>
          <w:lang w:val="fr-FR"/>
        </w:rPr>
        <w:t>’</w:t>
      </w:r>
      <w:r w:rsidR="00467D18" w:rsidRPr="00754CC2">
        <w:rPr>
          <w:rFonts w:cs="Arial"/>
          <w:lang w:val="fr-FR"/>
        </w:rPr>
        <w:t>obtenteur.</w:t>
      </w:r>
    </w:p>
    <w:p w:rsidR="00C36DD4" w:rsidRPr="00754CC2" w:rsidRDefault="00C36DD4" w:rsidP="00467D18">
      <w:pPr>
        <w:tabs>
          <w:tab w:val="left" w:pos="0"/>
        </w:tabs>
        <w:rPr>
          <w:lang w:val="fr-FR"/>
        </w:rPr>
      </w:pPr>
    </w:p>
    <w:p w:rsidR="00C36DD4" w:rsidRPr="00754CC2" w:rsidRDefault="00467D18" w:rsidP="00347556">
      <w:pPr>
        <w:pStyle w:val="Heading3"/>
      </w:pPr>
      <w:bookmarkStart w:id="20" w:name="_Toc355191725"/>
      <w:bookmarkStart w:id="21" w:name="_Toc412041920"/>
      <w:r w:rsidRPr="00754CC2">
        <w:t>Notification relative à toute extension de l</w:t>
      </w:r>
      <w:r w:rsidR="00FD700E" w:rsidRPr="00754CC2">
        <w:t>’</w:t>
      </w:r>
      <w:r w:rsidRPr="00754CC2">
        <w:t xml:space="preserve">application de la </w:t>
      </w:r>
      <w:r w:rsidR="00FD700E" w:rsidRPr="00754CC2">
        <w:t>Convention UPOV</w:t>
      </w:r>
      <w:r w:rsidRPr="00754CC2">
        <w:t xml:space="preserve"> à d</w:t>
      </w:r>
      <w:r w:rsidR="00FD700E" w:rsidRPr="00754CC2">
        <w:t>’</w:t>
      </w:r>
      <w:r w:rsidRPr="00754CC2">
        <w:t xml:space="preserve">autres genres </w:t>
      </w:r>
      <w:r w:rsidR="00825925" w:rsidRPr="00754CC2">
        <w:br/>
      </w:r>
      <w:r w:rsidRPr="00754CC2">
        <w:t>et espèces végétaux</w:t>
      </w:r>
      <w:bookmarkEnd w:id="20"/>
      <w:bookmarkEnd w:id="21"/>
    </w:p>
    <w:p w:rsidR="00C36DD4" w:rsidRPr="00754CC2" w:rsidRDefault="00C36DD4" w:rsidP="00467D18">
      <w:pPr>
        <w:keepNext/>
        <w:rPr>
          <w:i/>
          <w:u w:val="single"/>
          <w:lang w:val="fr-FR"/>
        </w:rPr>
      </w:pPr>
    </w:p>
    <w:p w:rsidR="00C36DD4" w:rsidRPr="00754CC2" w:rsidRDefault="00467D18" w:rsidP="00770D72">
      <w:pPr>
        <w:pStyle w:val="Heading4"/>
      </w:pPr>
      <w:r w:rsidRPr="00754CC2">
        <w:t>Articles pertinents</w:t>
      </w:r>
      <w:r w:rsidRPr="00754CC2">
        <w:rPr>
          <w:rStyle w:val="FootnoteReference"/>
          <w:i/>
        </w:rPr>
        <w:footnoteReference w:id="6"/>
      </w:r>
    </w:p>
    <w:p w:rsidR="00C36DD4" w:rsidRPr="00754CC2" w:rsidRDefault="00467D18" w:rsidP="002A47E3">
      <w:pPr>
        <w:spacing w:before="120" w:line="360" w:lineRule="auto"/>
        <w:jc w:val="center"/>
        <w:rPr>
          <w:rFonts w:cs="Arial"/>
          <w:b/>
          <w:lang w:val="fr-FR"/>
        </w:rPr>
      </w:pPr>
      <w:r w:rsidRPr="00754CC2">
        <w:rPr>
          <w:rFonts w:cs="Arial"/>
          <w:b/>
          <w:lang w:val="fr-FR"/>
        </w:rPr>
        <w:t>Article 36</w:t>
      </w:r>
    </w:p>
    <w:p w:rsidR="00C36DD4" w:rsidRPr="00754CC2" w:rsidRDefault="00467D18" w:rsidP="00467D18">
      <w:pPr>
        <w:jc w:val="center"/>
        <w:rPr>
          <w:rFonts w:cs="Arial"/>
          <w:b/>
          <w:lang w:val="fr-FR"/>
        </w:rPr>
      </w:pPr>
      <w:r w:rsidRPr="00754CC2">
        <w:rPr>
          <w:rFonts w:cs="Arial"/>
          <w:b/>
          <w:lang w:val="fr-FR"/>
        </w:rPr>
        <w:t xml:space="preserve">Communications </w:t>
      </w:r>
      <w:r w:rsidRPr="00754CC2">
        <w:rPr>
          <w:rFonts w:cs="Arial"/>
          <w:b/>
          <w:bCs/>
          <w:lang w:val="fr-FR"/>
        </w:rPr>
        <w:t>concernant les législations et les genres</w:t>
      </w:r>
      <w:r w:rsidRPr="00754CC2">
        <w:rPr>
          <w:rFonts w:cs="Arial"/>
          <w:b/>
          <w:bCs/>
          <w:lang w:val="fr-FR"/>
        </w:rPr>
        <w:br/>
        <w:t>et espèces protégés;  renseignements à publier</w:t>
      </w:r>
    </w:p>
    <w:p w:rsidR="00C36DD4" w:rsidRPr="00754CC2" w:rsidRDefault="00C36DD4" w:rsidP="00467D18">
      <w:pPr>
        <w:rPr>
          <w:rFonts w:cs="Arial"/>
          <w:lang w:val="fr-FR"/>
        </w:rPr>
      </w:pPr>
    </w:p>
    <w:p w:rsidR="00C36DD4" w:rsidRPr="00754CC2" w:rsidRDefault="00467D18" w:rsidP="00467D18">
      <w:pPr>
        <w:rPr>
          <w:rFonts w:cs="Arial"/>
          <w:b/>
          <w:lang w:val="fr-FR"/>
        </w:rPr>
      </w:pPr>
      <w:r w:rsidRPr="00754CC2">
        <w:rPr>
          <w:rFonts w:cs="Arial"/>
          <w:b/>
          <w:lang w:val="fr-FR"/>
        </w:rPr>
        <w:t>[…]</w:t>
      </w:r>
    </w:p>
    <w:p w:rsidR="00C36DD4" w:rsidRPr="00754CC2" w:rsidRDefault="00467D18" w:rsidP="00467D18">
      <w:pPr>
        <w:rPr>
          <w:rFonts w:cs="Arial"/>
          <w:b/>
          <w:lang w:val="fr-FR"/>
        </w:rPr>
      </w:pPr>
      <w:r w:rsidRPr="00754CC2">
        <w:rPr>
          <w:rFonts w:cs="Arial"/>
          <w:b/>
          <w:lang w:val="fr-FR"/>
        </w:rPr>
        <w:tab/>
        <w:t>2)</w:t>
      </w:r>
      <w:r w:rsidRPr="00754CC2">
        <w:rPr>
          <w:rFonts w:cs="Arial"/>
          <w:b/>
          <w:lang w:val="fr-FR"/>
        </w:rPr>
        <w:tab/>
        <w:t>[</w:t>
      </w:r>
      <w:r w:rsidRPr="00754CC2">
        <w:rPr>
          <w:rFonts w:cs="Arial"/>
          <w:b/>
          <w:i/>
          <w:iCs/>
          <w:lang w:val="fr-FR"/>
        </w:rPr>
        <w:t>Notification des modifications</w:t>
      </w:r>
      <w:r w:rsidRPr="00754CC2">
        <w:rPr>
          <w:rFonts w:cs="Arial"/>
          <w:b/>
          <w:lang w:val="fr-FR"/>
        </w:rPr>
        <w:t>]</w:t>
      </w:r>
      <w:r w:rsidRPr="00754CC2">
        <w:rPr>
          <w:rFonts w:cs="Arial"/>
          <w:lang w:val="fr-FR"/>
        </w:rPr>
        <w:t xml:space="preserve"> </w:t>
      </w:r>
      <w:r w:rsidRPr="00754CC2">
        <w:rPr>
          <w:rFonts w:cs="Arial"/>
          <w:b/>
          <w:lang w:val="fr-FR"/>
        </w:rPr>
        <w:t>Chaque partie contractante notifie sans délai au Secrétaire général</w:t>
      </w:r>
    </w:p>
    <w:p w:rsidR="00C36DD4" w:rsidRPr="00754CC2" w:rsidRDefault="00C36DD4" w:rsidP="00467D18">
      <w:pPr>
        <w:rPr>
          <w:rFonts w:cs="Arial"/>
          <w:b/>
          <w:lang w:val="fr-FR"/>
        </w:rPr>
      </w:pPr>
    </w:p>
    <w:p w:rsidR="00C36DD4" w:rsidRPr="00754CC2" w:rsidRDefault="00467D18" w:rsidP="00467D18">
      <w:pPr>
        <w:rPr>
          <w:rFonts w:cs="Arial"/>
          <w:b/>
          <w:lang w:val="fr-FR"/>
        </w:rPr>
      </w:pPr>
      <w:r w:rsidRPr="00754CC2">
        <w:rPr>
          <w:rFonts w:cs="Arial"/>
          <w:b/>
          <w:lang w:val="fr-FR"/>
        </w:rPr>
        <w:tab/>
        <w:t>[…]</w:t>
      </w:r>
    </w:p>
    <w:p w:rsidR="00C36DD4" w:rsidRPr="00754CC2" w:rsidRDefault="00467D18" w:rsidP="00825925">
      <w:pPr>
        <w:pStyle w:val="Style1"/>
        <w:tabs>
          <w:tab w:val="clear" w:pos="907"/>
          <w:tab w:val="clear" w:pos="1077"/>
        </w:tabs>
        <w:ind w:firstLine="709"/>
        <w:rPr>
          <w:rFonts w:cs="Arial"/>
          <w:b/>
        </w:rPr>
      </w:pPr>
      <w:r w:rsidRPr="00754CC2">
        <w:rPr>
          <w:rFonts w:cs="Arial"/>
          <w:b/>
        </w:rPr>
        <w:t>ii)</w:t>
      </w:r>
      <w:r w:rsidRPr="00754CC2">
        <w:rPr>
          <w:rFonts w:cs="Arial"/>
          <w:b/>
        </w:rPr>
        <w:tab/>
        <w:t>toute extension de l</w:t>
      </w:r>
      <w:r w:rsidR="00FD700E" w:rsidRPr="00754CC2">
        <w:rPr>
          <w:rFonts w:cs="Arial"/>
          <w:b/>
        </w:rPr>
        <w:t>’</w:t>
      </w:r>
      <w:r w:rsidRPr="00754CC2">
        <w:rPr>
          <w:rFonts w:cs="Arial"/>
          <w:b/>
        </w:rPr>
        <w:t>application de la présente Convention à d</w:t>
      </w:r>
      <w:r w:rsidR="00FD700E" w:rsidRPr="00754CC2">
        <w:rPr>
          <w:rFonts w:cs="Arial"/>
          <w:b/>
        </w:rPr>
        <w:t>’</w:t>
      </w:r>
      <w:r w:rsidRPr="00754CC2">
        <w:rPr>
          <w:rFonts w:cs="Arial"/>
          <w:b/>
        </w:rPr>
        <w:t>autres genres et espèces végétaux.</w:t>
      </w:r>
    </w:p>
    <w:p w:rsidR="00C36DD4" w:rsidRPr="00754CC2" w:rsidRDefault="00C36DD4" w:rsidP="00467D18">
      <w:pPr>
        <w:rPr>
          <w:rFonts w:cs="Arial"/>
          <w:b/>
          <w:lang w:val="fr-FR"/>
        </w:rPr>
      </w:pPr>
    </w:p>
    <w:p w:rsidR="00C36DD4" w:rsidRPr="00754CC2" w:rsidRDefault="00467D18" w:rsidP="00467D18">
      <w:pPr>
        <w:rPr>
          <w:rFonts w:cs="Arial"/>
          <w:b/>
          <w:lang w:val="fr-FR"/>
        </w:rPr>
      </w:pPr>
      <w:r w:rsidRPr="00754CC2">
        <w:rPr>
          <w:rFonts w:cs="Arial"/>
          <w:b/>
          <w:lang w:val="fr-FR"/>
        </w:rPr>
        <w:tab/>
        <w:t>3)</w:t>
      </w:r>
      <w:r w:rsidRPr="00754CC2">
        <w:rPr>
          <w:rFonts w:cs="Arial"/>
          <w:b/>
          <w:lang w:val="fr-FR"/>
        </w:rPr>
        <w:tab/>
        <w:t>[</w:t>
      </w:r>
      <w:r w:rsidRPr="00754CC2">
        <w:rPr>
          <w:rFonts w:cs="Arial"/>
          <w:b/>
          <w:i/>
          <w:iCs/>
          <w:lang w:val="fr-FR"/>
        </w:rPr>
        <w:t>Publication de renseignements</w:t>
      </w:r>
      <w:r w:rsidRPr="00754CC2">
        <w:rPr>
          <w:rFonts w:cs="Arial"/>
          <w:b/>
          <w:lang w:val="fr-FR"/>
        </w:rPr>
        <w:t>] Le Secrétaire général publie, sur la base de communications reçues de la partie contractante concernée, des renseignements sur</w:t>
      </w:r>
    </w:p>
    <w:p w:rsidR="00C36DD4" w:rsidRPr="00754CC2" w:rsidRDefault="00C36DD4" w:rsidP="00467D18">
      <w:pPr>
        <w:rPr>
          <w:rFonts w:cs="Arial"/>
          <w:b/>
          <w:lang w:val="fr-FR"/>
        </w:rPr>
      </w:pPr>
    </w:p>
    <w:p w:rsidR="00C36DD4" w:rsidRPr="00754CC2" w:rsidRDefault="00467D18" w:rsidP="00467D18">
      <w:pPr>
        <w:pStyle w:val="Style1"/>
        <w:rPr>
          <w:rFonts w:cs="Arial"/>
          <w:b/>
        </w:rPr>
      </w:pPr>
      <w:r w:rsidRPr="00754CC2">
        <w:rPr>
          <w:rFonts w:cs="Arial"/>
          <w:b/>
        </w:rPr>
        <w:tab/>
        <w:t>[…]</w:t>
      </w:r>
    </w:p>
    <w:p w:rsidR="00C36DD4" w:rsidRPr="00754CC2" w:rsidRDefault="00467D18" w:rsidP="00825925">
      <w:pPr>
        <w:pStyle w:val="Style1"/>
        <w:tabs>
          <w:tab w:val="clear" w:pos="907"/>
          <w:tab w:val="clear" w:pos="1077"/>
        </w:tabs>
        <w:ind w:firstLine="709"/>
        <w:rPr>
          <w:rFonts w:cs="Arial"/>
          <w:b/>
        </w:rPr>
      </w:pPr>
      <w:r w:rsidRPr="00754CC2">
        <w:rPr>
          <w:rFonts w:cs="Arial"/>
          <w:b/>
        </w:rPr>
        <w:t>ii)</w:t>
      </w:r>
      <w:r w:rsidRPr="00754CC2">
        <w:rPr>
          <w:rFonts w:cs="Arial"/>
          <w:b/>
        </w:rPr>
        <w:tab/>
        <w:t>la liste des genres et espèces végétaux mentionnée au paragraphe 1)ii) et toute extension mentionnée au paragraphe 2)ii).</w:t>
      </w:r>
    </w:p>
    <w:p w:rsidR="00C36DD4" w:rsidRPr="00754CC2" w:rsidRDefault="00C36DD4" w:rsidP="00467D18">
      <w:pPr>
        <w:rPr>
          <w:rFonts w:cs="Arial"/>
          <w:lang w:val="fr-FR"/>
        </w:rPr>
      </w:pPr>
    </w:p>
    <w:p w:rsidR="00C36DD4" w:rsidRPr="00754CC2" w:rsidRDefault="00C36DD4" w:rsidP="00467D18">
      <w:pPr>
        <w:rPr>
          <w:rFonts w:cs="Arial"/>
          <w:lang w:val="fr-FR"/>
        </w:rPr>
      </w:pPr>
    </w:p>
    <w:p w:rsidR="00C36DD4" w:rsidRPr="00754CC2" w:rsidRDefault="00467D18" w:rsidP="00467D18">
      <w:pPr>
        <w:spacing w:line="360" w:lineRule="auto"/>
        <w:jc w:val="center"/>
        <w:rPr>
          <w:rFonts w:cs="Arial"/>
          <w:b/>
          <w:lang w:val="fr-FR"/>
        </w:rPr>
      </w:pPr>
      <w:r w:rsidRPr="00754CC2">
        <w:rPr>
          <w:rFonts w:cs="Arial"/>
          <w:b/>
          <w:lang w:val="fr-FR"/>
        </w:rPr>
        <w:t>Article 3</w:t>
      </w:r>
    </w:p>
    <w:p w:rsidR="00C36DD4" w:rsidRPr="00754CC2" w:rsidRDefault="00467D18" w:rsidP="00467D18">
      <w:pPr>
        <w:spacing w:line="360" w:lineRule="auto"/>
        <w:jc w:val="center"/>
        <w:rPr>
          <w:rFonts w:cs="Arial"/>
          <w:b/>
          <w:lang w:val="fr-FR"/>
        </w:rPr>
      </w:pPr>
      <w:r w:rsidRPr="00754CC2">
        <w:rPr>
          <w:rFonts w:cs="Arial"/>
          <w:b/>
          <w:lang w:val="fr-FR"/>
        </w:rPr>
        <w:t>Genres et espèces devant être protégés</w:t>
      </w:r>
    </w:p>
    <w:p w:rsidR="00C36DD4" w:rsidRPr="00754CC2" w:rsidRDefault="00467D18" w:rsidP="00467D18">
      <w:pPr>
        <w:rPr>
          <w:rFonts w:cs="Arial"/>
          <w:b/>
          <w:lang w:val="fr-FR"/>
        </w:rPr>
      </w:pPr>
      <w:r w:rsidRPr="00754CC2">
        <w:rPr>
          <w:rFonts w:cs="Arial"/>
          <w:b/>
          <w:lang w:val="fr-FR"/>
        </w:rPr>
        <w:tab/>
        <w:t>1)</w:t>
      </w:r>
      <w:r w:rsidRPr="00754CC2">
        <w:rPr>
          <w:rFonts w:cs="Arial"/>
          <w:b/>
          <w:lang w:val="fr-FR"/>
        </w:rPr>
        <w:tab/>
        <w:t>[</w:t>
      </w:r>
      <w:r w:rsidRPr="00754CC2">
        <w:rPr>
          <w:rFonts w:cs="Arial"/>
          <w:b/>
          <w:i/>
          <w:iCs/>
          <w:lang w:val="fr-FR"/>
        </w:rPr>
        <w:t>États déjà membres de l</w:t>
      </w:r>
      <w:r w:rsidR="00FD700E" w:rsidRPr="00754CC2">
        <w:rPr>
          <w:rFonts w:cs="Arial"/>
          <w:b/>
          <w:i/>
          <w:iCs/>
          <w:lang w:val="fr-FR"/>
        </w:rPr>
        <w:t>’</w:t>
      </w:r>
      <w:r w:rsidRPr="00754CC2">
        <w:rPr>
          <w:rFonts w:cs="Arial"/>
          <w:b/>
          <w:i/>
          <w:iCs/>
          <w:lang w:val="fr-FR"/>
        </w:rPr>
        <w:t>Union</w:t>
      </w:r>
      <w:r w:rsidRPr="00754CC2">
        <w:rPr>
          <w:rFonts w:cs="Arial"/>
          <w:b/>
          <w:lang w:val="fr-FR"/>
        </w:rPr>
        <w:t>] Chaque partie contractante qui est liée par l</w:t>
      </w:r>
      <w:r w:rsidR="00FD700E" w:rsidRPr="00754CC2">
        <w:rPr>
          <w:rFonts w:cs="Arial"/>
          <w:b/>
          <w:lang w:val="fr-FR"/>
        </w:rPr>
        <w:t>’</w:t>
      </w:r>
      <w:r w:rsidRPr="00754CC2">
        <w:rPr>
          <w:rFonts w:cs="Arial"/>
          <w:b/>
          <w:lang w:val="fr-FR"/>
        </w:rPr>
        <w:t>Acte de 1961/1972 ou par l</w:t>
      </w:r>
      <w:r w:rsidR="00FD700E" w:rsidRPr="00754CC2">
        <w:rPr>
          <w:rFonts w:cs="Arial"/>
          <w:b/>
          <w:lang w:val="fr-FR"/>
        </w:rPr>
        <w:t>’</w:t>
      </w:r>
      <w:r w:rsidRPr="00754CC2">
        <w:rPr>
          <w:rFonts w:cs="Arial"/>
          <w:b/>
          <w:lang w:val="fr-FR"/>
        </w:rPr>
        <w:t>Acte de 1978 applique les dispositions de la présente Convention,</w:t>
      </w:r>
    </w:p>
    <w:p w:rsidR="00C36DD4" w:rsidRPr="00754CC2" w:rsidRDefault="00C36DD4" w:rsidP="00467D18">
      <w:pPr>
        <w:rPr>
          <w:rFonts w:cs="Arial"/>
          <w:b/>
          <w:lang w:val="fr-FR"/>
        </w:rPr>
      </w:pPr>
    </w:p>
    <w:p w:rsidR="00C36DD4" w:rsidRPr="00754CC2" w:rsidRDefault="00467D18" w:rsidP="00825925">
      <w:pPr>
        <w:pStyle w:val="Style1"/>
        <w:tabs>
          <w:tab w:val="clear" w:pos="907"/>
          <w:tab w:val="clear" w:pos="1077"/>
        </w:tabs>
        <w:ind w:firstLine="709"/>
        <w:rPr>
          <w:rFonts w:cs="Arial"/>
          <w:b/>
        </w:rPr>
      </w:pPr>
      <w:r w:rsidRPr="00754CC2">
        <w:rPr>
          <w:rFonts w:cs="Arial"/>
          <w:b/>
        </w:rPr>
        <w:t>i)</w:t>
      </w:r>
      <w:r w:rsidRPr="00754CC2">
        <w:rPr>
          <w:rFonts w:cs="Arial"/>
          <w:b/>
        </w:rPr>
        <w:tab/>
        <w:t>à la date à laquelle elle devient liée par la présente Convention, à tous les genres et espèces végétaux auxquels elle applique, à cette date, les dispositions de l</w:t>
      </w:r>
      <w:r w:rsidR="00FD700E" w:rsidRPr="00754CC2">
        <w:rPr>
          <w:rFonts w:cs="Arial"/>
          <w:b/>
        </w:rPr>
        <w:t>’</w:t>
      </w:r>
      <w:r w:rsidRPr="00754CC2">
        <w:rPr>
          <w:rFonts w:cs="Arial"/>
          <w:b/>
        </w:rPr>
        <w:t>Acte de 1961/1972 ou de l</w:t>
      </w:r>
      <w:r w:rsidR="00FD700E" w:rsidRPr="00754CC2">
        <w:rPr>
          <w:rFonts w:cs="Arial"/>
          <w:b/>
        </w:rPr>
        <w:t>’</w:t>
      </w:r>
      <w:r w:rsidRPr="00754CC2">
        <w:rPr>
          <w:rFonts w:cs="Arial"/>
          <w:b/>
        </w:rPr>
        <w:t>Acte de 1978 et,</w:t>
      </w:r>
    </w:p>
    <w:p w:rsidR="00C36DD4" w:rsidRPr="00754CC2" w:rsidRDefault="00C36DD4" w:rsidP="00825925">
      <w:pPr>
        <w:pStyle w:val="Style1"/>
        <w:tabs>
          <w:tab w:val="clear" w:pos="907"/>
          <w:tab w:val="clear" w:pos="1077"/>
        </w:tabs>
        <w:ind w:firstLine="709"/>
        <w:rPr>
          <w:rFonts w:cs="Arial"/>
          <w:b/>
        </w:rPr>
      </w:pPr>
    </w:p>
    <w:p w:rsidR="00C36DD4" w:rsidRPr="00754CC2" w:rsidRDefault="00467D18" w:rsidP="00825925">
      <w:pPr>
        <w:pStyle w:val="Style1"/>
        <w:tabs>
          <w:tab w:val="clear" w:pos="907"/>
          <w:tab w:val="clear" w:pos="1077"/>
        </w:tabs>
        <w:ind w:firstLine="709"/>
        <w:rPr>
          <w:rFonts w:cs="Arial"/>
          <w:b/>
        </w:rPr>
      </w:pPr>
      <w:r w:rsidRPr="00754CC2">
        <w:rPr>
          <w:rFonts w:cs="Arial"/>
          <w:b/>
        </w:rPr>
        <w:t>ii)</w:t>
      </w:r>
      <w:r w:rsidRPr="00754CC2">
        <w:rPr>
          <w:rFonts w:cs="Arial"/>
          <w:b/>
        </w:rPr>
        <w:tab/>
        <w:t>au plus tard à l</w:t>
      </w:r>
      <w:r w:rsidR="00FD700E" w:rsidRPr="00754CC2">
        <w:rPr>
          <w:rFonts w:cs="Arial"/>
          <w:b/>
        </w:rPr>
        <w:t>’</w:t>
      </w:r>
      <w:r w:rsidRPr="00754CC2">
        <w:rPr>
          <w:rFonts w:cs="Arial"/>
          <w:b/>
        </w:rPr>
        <w:t>expiration d</w:t>
      </w:r>
      <w:r w:rsidR="00FD700E" w:rsidRPr="00754CC2">
        <w:rPr>
          <w:rFonts w:cs="Arial"/>
          <w:b/>
        </w:rPr>
        <w:t>’</w:t>
      </w:r>
      <w:r w:rsidRPr="00754CC2">
        <w:rPr>
          <w:rFonts w:cs="Arial"/>
          <w:b/>
        </w:rPr>
        <w:t>un délai de cinq ans à compter de cette date, à tous les genres et espèces végétaux.</w:t>
      </w:r>
    </w:p>
    <w:p w:rsidR="00C36DD4" w:rsidRPr="00754CC2" w:rsidRDefault="00C36DD4" w:rsidP="00467D18">
      <w:pPr>
        <w:rPr>
          <w:rFonts w:cs="Arial"/>
          <w:b/>
          <w:lang w:val="fr-FR"/>
        </w:rPr>
      </w:pPr>
    </w:p>
    <w:p w:rsidR="00C36DD4" w:rsidRPr="00754CC2" w:rsidRDefault="00467D18" w:rsidP="00467D18">
      <w:pPr>
        <w:rPr>
          <w:rFonts w:cs="Arial"/>
          <w:b/>
          <w:lang w:val="fr-FR"/>
        </w:rPr>
      </w:pPr>
      <w:r w:rsidRPr="00754CC2">
        <w:rPr>
          <w:rFonts w:cs="Arial"/>
          <w:b/>
          <w:lang w:val="fr-FR"/>
        </w:rPr>
        <w:tab/>
        <w:t>2)</w:t>
      </w:r>
      <w:r w:rsidRPr="00754CC2">
        <w:rPr>
          <w:rFonts w:cs="Arial"/>
          <w:b/>
          <w:lang w:val="fr-FR"/>
        </w:rPr>
        <w:tab/>
        <w:t>[</w:t>
      </w:r>
      <w:r w:rsidRPr="00754CC2">
        <w:rPr>
          <w:rFonts w:cs="Arial"/>
          <w:b/>
          <w:i/>
          <w:iCs/>
          <w:lang w:val="fr-FR"/>
        </w:rPr>
        <w:t>Nouveaux membres de l</w:t>
      </w:r>
      <w:r w:rsidR="00FD700E" w:rsidRPr="00754CC2">
        <w:rPr>
          <w:rFonts w:cs="Arial"/>
          <w:b/>
          <w:i/>
          <w:iCs/>
          <w:lang w:val="fr-FR"/>
        </w:rPr>
        <w:t>’</w:t>
      </w:r>
      <w:r w:rsidRPr="00754CC2">
        <w:rPr>
          <w:rFonts w:cs="Arial"/>
          <w:b/>
          <w:i/>
          <w:iCs/>
          <w:lang w:val="fr-FR"/>
        </w:rPr>
        <w:t>Union</w:t>
      </w:r>
      <w:r w:rsidRPr="00754CC2">
        <w:rPr>
          <w:rFonts w:cs="Arial"/>
          <w:b/>
          <w:lang w:val="fr-FR"/>
        </w:rPr>
        <w:t>] Chaque partie contractante qui n</w:t>
      </w:r>
      <w:r w:rsidR="00FD700E" w:rsidRPr="00754CC2">
        <w:rPr>
          <w:rFonts w:cs="Arial"/>
          <w:b/>
          <w:lang w:val="fr-FR"/>
        </w:rPr>
        <w:t>’</w:t>
      </w:r>
      <w:r w:rsidRPr="00754CC2">
        <w:rPr>
          <w:rFonts w:cs="Arial"/>
          <w:b/>
          <w:lang w:val="fr-FR"/>
        </w:rPr>
        <w:t>est pas liée par l</w:t>
      </w:r>
      <w:r w:rsidR="00FD700E" w:rsidRPr="00754CC2">
        <w:rPr>
          <w:rFonts w:cs="Arial"/>
          <w:b/>
          <w:lang w:val="fr-FR"/>
        </w:rPr>
        <w:t>’</w:t>
      </w:r>
      <w:r w:rsidRPr="00754CC2">
        <w:rPr>
          <w:rFonts w:cs="Arial"/>
          <w:b/>
          <w:lang w:val="fr-FR"/>
        </w:rPr>
        <w:t>Acte de 1961/1972 ou par l</w:t>
      </w:r>
      <w:r w:rsidR="00FD700E" w:rsidRPr="00754CC2">
        <w:rPr>
          <w:rFonts w:cs="Arial"/>
          <w:b/>
          <w:lang w:val="fr-FR"/>
        </w:rPr>
        <w:t>’</w:t>
      </w:r>
      <w:r w:rsidRPr="00754CC2">
        <w:rPr>
          <w:rFonts w:cs="Arial"/>
          <w:b/>
          <w:lang w:val="fr-FR"/>
        </w:rPr>
        <w:t>Acte de 1978 applique les dispositions de la présente Convention,</w:t>
      </w:r>
    </w:p>
    <w:p w:rsidR="00C36DD4" w:rsidRPr="00754CC2" w:rsidRDefault="00C36DD4" w:rsidP="00467D18">
      <w:pPr>
        <w:rPr>
          <w:rFonts w:cs="Arial"/>
          <w:b/>
          <w:lang w:val="fr-FR"/>
        </w:rPr>
      </w:pPr>
    </w:p>
    <w:p w:rsidR="00C36DD4" w:rsidRPr="00754CC2" w:rsidRDefault="00467D18" w:rsidP="00825925">
      <w:pPr>
        <w:pStyle w:val="Style1"/>
        <w:tabs>
          <w:tab w:val="clear" w:pos="907"/>
          <w:tab w:val="clear" w:pos="1077"/>
        </w:tabs>
        <w:ind w:firstLine="709"/>
        <w:rPr>
          <w:rFonts w:cs="Arial"/>
          <w:b/>
        </w:rPr>
      </w:pPr>
      <w:r w:rsidRPr="00754CC2">
        <w:rPr>
          <w:rFonts w:cs="Arial"/>
          <w:b/>
        </w:rPr>
        <w:t>i)</w:t>
      </w:r>
      <w:r w:rsidRPr="00754CC2">
        <w:rPr>
          <w:rFonts w:cs="Arial"/>
          <w:b/>
        </w:rPr>
        <w:tab/>
        <w:t>à la date à laquelle elle devient liée par la présente Convention, à au moins 15 genres ou espèces végétaux et,</w:t>
      </w:r>
    </w:p>
    <w:p w:rsidR="00C36DD4" w:rsidRPr="00754CC2" w:rsidRDefault="00C36DD4" w:rsidP="00825925">
      <w:pPr>
        <w:pStyle w:val="Style1"/>
        <w:tabs>
          <w:tab w:val="clear" w:pos="907"/>
          <w:tab w:val="clear" w:pos="1077"/>
        </w:tabs>
        <w:ind w:firstLine="709"/>
        <w:rPr>
          <w:rFonts w:cs="Arial"/>
          <w:b/>
        </w:rPr>
      </w:pPr>
    </w:p>
    <w:p w:rsidR="00C36DD4" w:rsidRPr="00754CC2" w:rsidRDefault="00467D18" w:rsidP="00825925">
      <w:pPr>
        <w:pStyle w:val="Style1"/>
        <w:tabs>
          <w:tab w:val="clear" w:pos="907"/>
          <w:tab w:val="clear" w:pos="1077"/>
        </w:tabs>
        <w:ind w:firstLine="709"/>
        <w:rPr>
          <w:rFonts w:cs="Arial"/>
        </w:rPr>
      </w:pPr>
      <w:r w:rsidRPr="00754CC2">
        <w:rPr>
          <w:rFonts w:cs="Arial"/>
          <w:b/>
        </w:rPr>
        <w:t>ii)</w:t>
      </w:r>
      <w:r w:rsidRPr="00754CC2">
        <w:rPr>
          <w:rFonts w:cs="Arial"/>
          <w:b/>
        </w:rPr>
        <w:tab/>
        <w:t>au plus tard à l</w:t>
      </w:r>
      <w:r w:rsidR="00FD700E" w:rsidRPr="00754CC2">
        <w:rPr>
          <w:rFonts w:cs="Arial"/>
          <w:b/>
        </w:rPr>
        <w:t>’</w:t>
      </w:r>
      <w:r w:rsidRPr="00754CC2">
        <w:rPr>
          <w:rFonts w:cs="Arial"/>
          <w:b/>
        </w:rPr>
        <w:t>expiration d</w:t>
      </w:r>
      <w:r w:rsidR="00FD700E" w:rsidRPr="00754CC2">
        <w:rPr>
          <w:rFonts w:cs="Arial"/>
          <w:b/>
        </w:rPr>
        <w:t>’</w:t>
      </w:r>
      <w:r w:rsidRPr="00754CC2">
        <w:rPr>
          <w:rFonts w:cs="Arial"/>
          <w:b/>
        </w:rPr>
        <w:t>un délai de 10 ans à compter de cette date, à tous les genres et espèces végétaux.</w:t>
      </w:r>
    </w:p>
    <w:p w:rsidR="00C36DD4" w:rsidRPr="00754CC2" w:rsidRDefault="00C36DD4" w:rsidP="00467D18">
      <w:pPr>
        <w:tabs>
          <w:tab w:val="left" w:pos="0"/>
        </w:tabs>
        <w:rPr>
          <w:lang w:val="fr-FR"/>
        </w:rPr>
      </w:pPr>
    </w:p>
    <w:p w:rsidR="00C36DD4" w:rsidRPr="00754CC2" w:rsidRDefault="00147AC6" w:rsidP="00467D18">
      <w:pPr>
        <w:tabs>
          <w:tab w:val="left" w:pos="0"/>
        </w:tabs>
        <w:rPr>
          <w:rFonts w:cs="Arial"/>
          <w:spacing w:val="-2"/>
          <w:lang w:val="fr-FR"/>
        </w:rPr>
      </w:pPr>
      <w:r w:rsidRPr="00754CC2">
        <w:rPr>
          <w:rFonts w:cs="Arial"/>
          <w:spacing w:val="-2"/>
          <w:lang w:val="fr-FR"/>
        </w:rPr>
        <w:t>16.</w:t>
      </w:r>
      <w:r w:rsidR="00467D18" w:rsidRPr="00754CC2">
        <w:rPr>
          <w:rFonts w:cs="Arial"/>
          <w:spacing w:val="-2"/>
          <w:lang w:val="fr-FR"/>
        </w:rPr>
        <w:tab/>
      </w:r>
      <w:r w:rsidR="00467D18" w:rsidRPr="00754CC2">
        <w:rPr>
          <w:rFonts w:cs="Arial"/>
          <w:lang w:val="fr-FR"/>
        </w:rPr>
        <w:t>Lorsque l</w:t>
      </w:r>
      <w:r w:rsidR="00FD700E" w:rsidRPr="00754CC2">
        <w:rPr>
          <w:rFonts w:cs="Arial"/>
          <w:lang w:val="fr-FR"/>
        </w:rPr>
        <w:t>’</w:t>
      </w:r>
      <w:r w:rsidR="00467D18" w:rsidRPr="00754CC2">
        <w:rPr>
          <w:rFonts w:cs="Arial"/>
          <w:lang w:val="fr-FR"/>
        </w:rPr>
        <w:t>État ou l</w:t>
      </w:r>
      <w:r w:rsidR="00FD700E" w:rsidRPr="00754CC2">
        <w:rPr>
          <w:rFonts w:cs="Arial"/>
          <w:lang w:val="fr-FR"/>
        </w:rPr>
        <w:t>’</w:t>
      </w:r>
      <w:r w:rsidR="00467D18" w:rsidRPr="00754CC2">
        <w:rPr>
          <w:rFonts w:cs="Arial"/>
          <w:lang w:val="fr-FR"/>
        </w:rPr>
        <w:t>organisation intergouvernementale concernée n</w:t>
      </w:r>
      <w:r w:rsidR="00FD700E" w:rsidRPr="00754CC2">
        <w:rPr>
          <w:rFonts w:cs="Arial"/>
          <w:lang w:val="fr-FR"/>
        </w:rPr>
        <w:t>’</w:t>
      </w:r>
      <w:r w:rsidR="00467D18" w:rsidRPr="00754CC2">
        <w:rPr>
          <w:rFonts w:cs="Arial"/>
          <w:lang w:val="fr-FR"/>
        </w:rPr>
        <w:t>applique pas, d</w:t>
      </w:r>
      <w:r w:rsidR="00FD700E" w:rsidRPr="00754CC2">
        <w:rPr>
          <w:rFonts w:cs="Arial"/>
          <w:lang w:val="fr-FR"/>
        </w:rPr>
        <w:t>’</w:t>
      </w:r>
      <w:r w:rsidR="00467D18" w:rsidRPr="00754CC2">
        <w:rPr>
          <w:rFonts w:cs="Arial"/>
          <w:lang w:val="fr-FR"/>
        </w:rPr>
        <w:t xml:space="preserve">emblée, la </w:t>
      </w:r>
      <w:r w:rsidR="00FD700E" w:rsidRPr="00754CC2">
        <w:rPr>
          <w:rFonts w:cs="Arial"/>
          <w:lang w:val="fr-FR"/>
        </w:rPr>
        <w:t>Convention UPOV</w:t>
      </w:r>
      <w:r w:rsidR="00467D18" w:rsidRPr="00754CC2">
        <w:rPr>
          <w:rFonts w:cs="Arial"/>
          <w:lang w:val="fr-FR"/>
        </w:rPr>
        <w:t xml:space="preserve"> à tous les genres et espèces végétaux, toute extension de l</w:t>
      </w:r>
      <w:r w:rsidR="00FD700E" w:rsidRPr="00754CC2">
        <w:rPr>
          <w:rFonts w:cs="Arial"/>
          <w:lang w:val="fr-FR"/>
        </w:rPr>
        <w:t>’</w:t>
      </w:r>
      <w:r w:rsidR="00467D18" w:rsidRPr="00754CC2">
        <w:rPr>
          <w:rFonts w:cs="Arial"/>
          <w:lang w:val="fr-FR"/>
        </w:rPr>
        <w:t xml:space="preserve">application de la </w:t>
      </w:r>
      <w:r w:rsidR="00FD700E" w:rsidRPr="00754CC2">
        <w:rPr>
          <w:rFonts w:cs="Arial"/>
          <w:lang w:val="fr-FR"/>
        </w:rPr>
        <w:t>Convention UPOV</w:t>
      </w:r>
      <w:r w:rsidR="00467D18" w:rsidRPr="00754CC2">
        <w:rPr>
          <w:rFonts w:cs="Arial"/>
          <w:lang w:val="fr-FR"/>
        </w:rPr>
        <w:t xml:space="preserve"> à d</w:t>
      </w:r>
      <w:r w:rsidR="00FD700E" w:rsidRPr="00754CC2">
        <w:rPr>
          <w:rFonts w:cs="Arial"/>
          <w:lang w:val="fr-FR"/>
        </w:rPr>
        <w:t>’</w:t>
      </w:r>
      <w:r w:rsidR="00467D18" w:rsidRPr="00754CC2">
        <w:rPr>
          <w:rFonts w:cs="Arial"/>
          <w:lang w:val="fr-FR"/>
        </w:rPr>
        <w:t>autres genres et espèces végétaux doit être notifiée au Secrétaire général</w:t>
      </w:r>
      <w:r w:rsidR="00467D18" w:rsidRPr="00754CC2">
        <w:rPr>
          <w:rFonts w:cs="Arial"/>
          <w:vertAlign w:val="superscript"/>
          <w:lang w:val="fr-FR"/>
        </w:rPr>
        <w:footnoteReference w:id="7"/>
      </w:r>
      <w:r w:rsidR="00175F7E" w:rsidRPr="00754CC2">
        <w:rPr>
          <w:rFonts w:cs="Arial"/>
          <w:lang w:val="fr-FR"/>
        </w:rPr>
        <w:t>.</w:t>
      </w:r>
      <w:r w:rsidR="00467D18" w:rsidRPr="00754CC2">
        <w:rPr>
          <w:rFonts w:cs="Arial"/>
          <w:lang w:val="fr-FR"/>
        </w:rPr>
        <w:t xml:space="preserve">  Cette </w:t>
      </w:r>
      <w:r w:rsidR="00467D18" w:rsidRPr="00754CC2">
        <w:rPr>
          <w:rFonts w:cs="Arial"/>
          <w:lang w:val="fr-FR"/>
        </w:rPr>
        <w:lastRenderedPageBreak/>
        <w:t>notification doit être faite à bref délai au Bureau de l</w:t>
      </w:r>
      <w:r w:rsidR="00FD700E" w:rsidRPr="00754CC2">
        <w:rPr>
          <w:rFonts w:cs="Arial"/>
          <w:lang w:val="fr-FR"/>
        </w:rPr>
        <w:t>’</w:t>
      </w:r>
      <w:r w:rsidR="00467D18" w:rsidRPr="00754CC2">
        <w:rPr>
          <w:rFonts w:cs="Arial"/>
          <w:lang w:val="fr-FR"/>
        </w:rPr>
        <w:t>Union et comprendre la source légale pertinente de cette extension (texte réglementaire, décision du ministre, etc.).  La notification est par la suite publiée dans</w:t>
      </w:r>
      <w:r w:rsidR="00556163" w:rsidRPr="00754CC2">
        <w:rPr>
          <w:rFonts w:cs="Arial"/>
          <w:lang w:val="fr-FR"/>
        </w:rPr>
        <w:t xml:space="preserve"> la </w:t>
      </w:r>
      <w:r w:rsidR="00556163" w:rsidRPr="00754CC2">
        <w:rPr>
          <w:rFonts w:cs="Arial"/>
          <w:i/>
          <w:lang w:val="fr-FR"/>
        </w:rPr>
        <w:t>UPO</w:t>
      </w:r>
      <w:r w:rsidR="00467D18" w:rsidRPr="00754CC2">
        <w:rPr>
          <w:rFonts w:cs="Arial"/>
          <w:i/>
          <w:lang w:val="fr-FR"/>
        </w:rPr>
        <w:t>V Gazette and Newsletter</w:t>
      </w:r>
      <w:r w:rsidR="00467D18" w:rsidRPr="00754CC2">
        <w:rPr>
          <w:rFonts w:cs="Arial"/>
          <w:lang w:val="fr-FR"/>
        </w:rPr>
        <w:t xml:space="preserve"> (gazette et bulletin de l</w:t>
      </w:r>
      <w:r w:rsidR="00FD700E" w:rsidRPr="00754CC2">
        <w:rPr>
          <w:rFonts w:cs="Arial"/>
          <w:lang w:val="fr-FR"/>
        </w:rPr>
        <w:t>’</w:t>
      </w:r>
      <w:r w:rsidR="00467D18" w:rsidRPr="00754CC2">
        <w:rPr>
          <w:rFonts w:cs="Arial"/>
          <w:lang w:val="fr-FR"/>
        </w:rPr>
        <w:t>UPOV) (seulement en anglais) (</w:t>
      </w:r>
      <w:hyperlink r:id="rId25" w:history="1">
        <w:r w:rsidR="00467D18" w:rsidRPr="00754CC2">
          <w:rPr>
            <w:rStyle w:val="Hyperlink"/>
            <w:rFonts w:cs="Arial"/>
            <w:lang w:val="fr-FR"/>
          </w:rPr>
          <w:t>http://www.upov.int/news/en/gazette_newsletter.html</w:t>
        </w:r>
      </w:hyperlink>
      <w:r w:rsidR="00467D18" w:rsidRPr="00754CC2">
        <w:rPr>
          <w:rFonts w:cs="Arial"/>
          <w:lang w:val="fr-FR"/>
        </w:rPr>
        <w:t xml:space="preserve">) </w:t>
      </w:r>
      <w:r w:rsidR="00467D18" w:rsidRPr="00754CC2">
        <w:rPr>
          <w:lang w:val="fr-FR"/>
        </w:rPr>
        <w:t>et dans UPOV Lex (</w:t>
      </w:r>
      <w:hyperlink r:id="rId26" w:history="1">
        <w:r w:rsidR="00467D18" w:rsidRPr="00754CC2">
          <w:rPr>
            <w:rStyle w:val="Hyperlink"/>
            <w:lang w:val="fr-FR"/>
          </w:rPr>
          <w:t>http://www.upov.int/upovlex/fr/</w:t>
        </w:r>
      </w:hyperlink>
      <w:r w:rsidR="00467D18" w:rsidRPr="00754CC2">
        <w:rPr>
          <w:lang w:val="fr-FR"/>
        </w:rPr>
        <w:t xml:space="preserve">) </w:t>
      </w:r>
      <w:r w:rsidR="00467D18" w:rsidRPr="00754CC2">
        <w:rPr>
          <w:rFonts w:cs="Arial"/>
          <w:lang w:val="fr-FR"/>
        </w:rPr>
        <w:t>dès que possible.</w:t>
      </w:r>
    </w:p>
    <w:p w:rsidR="00C36DD4" w:rsidRPr="00754CC2" w:rsidRDefault="00C36DD4" w:rsidP="00467D18">
      <w:pPr>
        <w:tabs>
          <w:tab w:val="left" w:pos="0"/>
        </w:tabs>
        <w:rPr>
          <w:lang w:val="fr-FR"/>
        </w:rPr>
      </w:pPr>
    </w:p>
    <w:p w:rsidR="00C36DD4" w:rsidRPr="00754CC2" w:rsidRDefault="00147AC6" w:rsidP="00467D18">
      <w:pPr>
        <w:rPr>
          <w:rFonts w:cs="Arial"/>
          <w:szCs w:val="24"/>
          <w:lang w:val="fr-FR"/>
        </w:rPr>
      </w:pPr>
      <w:r w:rsidRPr="00754CC2">
        <w:rPr>
          <w:lang w:val="fr-FR"/>
        </w:rPr>
        <w:t>17.</w:t>
      </w:r>
      <w:r w:rsidR="00467D18" w:rsidRPr="00754CC2">
        <w:rPr>
          <w:lang w:val="fr-FR"/>
        </w:rPr>
        <w:tab/>
      </w:r>
      <w:r w:rsidR="00467D18" w:rsidRPr="00754CC2">
        <w:rPr>
          <w:rFonts w:cs="Arial"/>
          <w:lang w:val="fr-FR"/>
        </w:rPr>
        <w:t>Lorsqu</w:t>
      </w:r>
      <w:r w:rsidR="00FD700E" w:rsidRPr="00754CC2">
        <w:rPr>
          <w:rFonts w:cs="Arial"/>
          <w:lang w:val="fr-FR"/>
        </w:rPr>
        <w:t>’</w:t>
      </w:r>
      <w:r w:rsidR="00467D18" w:rsidRPr="00754CC2">
        <w:rPr>
          <w:rFonts w:cs="Arial"/>
          <w:lang w:val="fr-FR"/>
        </w:rPr>
        <w:t>ils rédigent la notification relative à l</w:t>
      </w:r>
      <w:r w:rsidR="00FD700E" w:rsidRPr="00754CC2">
        <w:rPr>
          <w:rFonts w:cs="Arial"/>
          <w:lang w:val="fr-FR"/>
        </w:rPr>
        <w:t>’</w:t>
      </w:r>
      <w:r w:rsidR="00467D18" w:rsidRPr="00754CC2">
        <w:rPr>
          <w:rFonts w:cs="Arial"/>
          <w:lang w:val="fr-FR"/>
        </w:rPr>
        <w:t>extension de l</w:t>
      </w:r>
      <w:r w:rsidR="00FD700E" w:rsidRPr="00754CC2">
        <w:rPr>
          <w:rFonts w:cs="Arial"/>
          <w:lang w:val="fr-FR"/>
        </w:rPr>
        <w:t>’</w:t>
      </w:r>
      <w:r w:rsidR="00467D18" w:rsidRPr="00754CC2">
        <w:rPr>
          <w:rFonts w:cs="Arial"/>
          <w:lang w:val="fr-FR"/>
        </w:rPr>
        <w:t xml:space="preserve">application de la </w:t>
      </w:r>
      <w:r w:rsidR="00FD700E" w:rsidRPr="00754CC2">
        <w:rPr>
          <w:rFonts w:cs="Arial"/>
          <w:lang w:val="fr-FR"/>
        </w:rPr>
        <w:t>Convention UPOV</w:t>
      </w:r>
      <w:r w:rsidR="00467D18" w:rsidRPr="00754CC2">
        <w:rPr>
          <w:rFonts w:cs="Arial"/>
          <w:lang w:val="fr-FR"/>
        </w:rPr>
        <w:t xml:space="preserve"> à d</w:t>
      </w:r>
      <w:r w:rsidR="00FD700E" w:rsidRPr="00754CC2">
        <w:rPr>
          <w:rFonts w:cs="Arial"/>
          <w:lang w:val="fr-FR"/>
        </w:rPr>
        <w:t>’</w:t>
      </w:r>
      <w:r w:rsidR="00467D18" w:rsidRPr="00754CC2">
        <w:rPr>
          <w:rFonts w:cs="Arial"/>
          <w:lang w:val="fr-FR"/>
        </w:rPr>
        <w:t>autres genres et espèces végétaux, les membres de l</w:t>
      </w:r>
      <w:r w:rsidR="00FD700E" w:rsidRPr="00754CC2">
        <w:rPr>
          <w:rFonts w:cs="Arial"/>
          <w:lang w:val="fr-FR"/>
        </w:rPr>
        <w:t>’</w:t>
      </w:r>
      <w:r w:rsidR="00467D18" w:rsidRPr="00754CC2">
        <w:rPr>
          <w:rFonts w:cs="Arial"/>
          <w:lang w:val="fr-FR"/>
        </w:rPr>
        <w:t>Union sont invités à consulter les “Notes explicatives concernant les genres et espèces devant être protégés en vertu de l</w:t>
      </w:r>
      <w:r w:rsidR="00FD700E" w:rsidRPr="00754CC2">
        <w:rPr>
          <w:rFonts w:cs="Arial"/>
          <w:lang w:val="fr-FR"/>
        </w:rPr>
        <w:t>’</w:t>
      </w:r>
      <w:r w:rsidR="00467D18" w:rsidRPr="00754CC2">
        <w:rPr>
          <w:rFonts w:cs="Arial"/>
          <w:lang w:val="fr-FR"/>
        </w:rPr>
        <w:t xml:space="preserve">Acte de 1991 de la </w:t>
      </w:r>
      <w:r w:rsidR="00FD700E" w:rsidRPr="00754CC2">
        <w:rPr>
          <w:rFonts w:cs="Arial"/>
          <w:szCs w:val="24"/>
          <w:lang w:val="fr-FR"/>
        </w:rPr>
        <w:t>Convention UPOV</w:t>
      </w:r>
      <w:r w:rsidR="00467D18" w:rsidRPr="00754CC2">
        <w:rPr>
          <w:rFonts w:cs="Arial"/>
          <w:szCs w:val="24"/>
          <w:lang w:val="fr-FR"/>
        </w:rPr>
        <w:t xml:space="preserve">” (document </w:t>
      </w:r>
      <w:hyperlink r:id="rId27" w:history="1">
        <w:r w:rsidR="00467D18" w:rsidRPr="00754CC2">
          <w:rPr>
            <w:rStyle w:val="Hyperlink"/>
            <w:rFonts w:cs="Arial"/>
            <w:szCs w:val="24"/>
            <w:lang w:val="fr-FR"/>
          </w:rPr>
          <w:t>UPOV/EXN/GEN/1</w:t>
        </w:r>
      </w:hyperlink>
      <w:r w:rsidR="00467D18" w:rsidRPr="00754CC2">
        <w:rPr>
          <w:rFonts w:cs="Arial"/>
          <w:szCs w:val="24"/>
          <w:lang w:val="fr-FR"/>
        </w:rPr>
        <w:t>) et la base de données GENIE (</w:t>
      </w:r>
      <w:hyperlink r:id="rId28" w:history="1">
        <w:r w:rsidR="00467D18" w:rsidRPr="00754CC2">
          <w:rPr>
            <w:rStyle w:val="Hyperlink"/>
            <w:rFonts w:cs="Arial"/>
            <w:lang w:val="fr-FR"/>
          </w:rPr>
          <w:t>http://www.upov.int/genie/fr/</w:t>
        </w:r>
      </w:hyperlink>
      <w:r w:rsidR="00467D18" w:rsidRPr="00754CC2">
        <w:rPr>
          <w:rFonts w:cs="Arial"/>
          <w:szCs w:val="24"/>
          <w:lang w:val="fr-FR"/>
        </w:rPr>
        <w:t>).</w:t>
      </w:r>
    </w:p>
    <w:p w:rsidR="00C36DD4" w:rsidRPr="00754CC2" w:rsidRDefault="00C36DD4" w:rsidP="00467D18">
      <w:pPr>
        <w:rPr>
          <w:rFonts w:cs="Arial"/>
          <w:szCs w:val="24"/>
          <w:lang w:val="fr-FR"/>
        </w:rPr>
      </w:pPr>
    </w:p>
    <w:p w:rsidR="00C36DD4" w:rsidRPr="00754CC2" w:rsidRDefault="00147AC6" w:rsidP="00467D18">
      <w:pPr>
        <w:rPr>
          <w:rFonts w:cs="Arial"/>
          <w:u w:val="single"/>
          <w:lang w:val="fr-FR"/>
        </w:rPr>
      </w:pPr>
      <w:r w:rsidRPr="00754CC2">
        <w:rPr>
          <w:rFonts w:cs="Arial"/>
          <w:lang w:val="fr-FR"/>
        </w:rPr>
        <w:t>18.</w:t>
      </w:r>
      <w:r w:rsidR="00467D18" w:rsidRPr="00754CC2">
        <w:rPr>
          <w:rFonts w:cs="Arial"/>
          <w:lang w:val="fr-FR"/>
        </w:rPr>
        <w:tab/>
        <w:t>Les notifications susmentionnées relatives à la modification de la législation régissant les droits d</w:t>
      </w:r>
      <w:r w:rsidR="00FD700E" w:rsidRPr="00754CC2">
        <w:rPr>
          <w:rFonts w:cs="Arial"/>
          <w:lang w:val="fr-FR"/>
        </w:rPr>
        <w:t>’</w:t>
      </w:r>
      <w:r w:rsidR="00467D18" w:rsidRPr="00754CC2">
        <w:rPr>
          <w:rFonts w:cs="Arial"/>
          <w:lang w:val="fr-FR"/>
        </w:rPr>
        <w:t>obtenteur et à toute extension de l</w:t>
      </w:r>
      <w:r w:rsidR="00FD700E" w:rsidRPr="00754CC2">
        <w:rPr>
          <w:rFonts w:cs="Arial"/>
          <w:lang w:val="fr-FR"/>
        </w:rPr>
        <w:t>’</w:t>
      </w:r>
      <w:r w:rsidR="00467D18" w:rsidRPr="00754CC2">
        <w:rPr>
          <w:rFonts w:cs="Arial"/>
          <w:lang w:val="fr-FR"/>
        </w:rPr>
        <w:t xml:space="preserve">application de la </w:t>
      </w:r>
      <w:r w:rsidR="00FD700E" w:rsidRPr="00754CC2">
        <w:rPr>
          <w:rFonts w:cs="Arial"/>
          <w:lang w:val="fr-FR"/>
        </w:rPr>
        <w:t>Convention UPOV</w:t>
      </w:r>
      <w:r w:rsidR="00467D18" w:rsidRPr="00754CC2">
        <w:rPr>
          <w:rFonts w:cs="Arial"/>
          <w:lang w:val="fr-FR"/>
        </w:rPr>
        <w:t xml:space="preserve"> à d</w:t>
      </w:r>
      <w:r w:rsidR="00FD700E" w:rsidRPr="00754CC2">
        <w:rPr>
          <w:rFonts w:cs="Arial"/>
          <w:lang w:val="fr-FR"/>
        </w:rPr>
        <w:t>’</w:t>
      </w:r>
      <w:r w:rsidR="00467D18" w:rsidRPr="00754CC2">
        <w:rPr>
          <w:rFonts w:cs="Arial"/>
          <w:lang w:val="fr-FR"/>
        </w:rPr>
        <w:t>autres genres et espèces végétaux doivent être faites par le représentant.</w:t>
      </w:r>
    </w:p>
    <w:p w:rsidR="00C36DD4" w:rsidRPr="00754CC2" w:rsidRDefault="00C36DD4" w:rsidP="00467D18">
      <w:pPr>
        <w:rPr>
          <w:lang w:val="fr-FR"/>
        </w:rPr>
      </w:pPr>
    </w:p>
    <w:p w:rsidR="00C36DD4" w:rsidRPr="00754CC2" w:rsidRDefault="00C36DD4" w:rsidP="00467D18">
      <w:pPr>
        <w:rPr>
          <w:lang w:val="fr-FR"/>
        </w:rPr>
      </w:pPr>
    </w:p>
    <w:p w:rsidR="00C36DD4" w:rsidRPr="00754CC2" w:rsidRDefault="00147AC6" w:rsidP="00825925">
      <w:pPr>
        <w:pStyle w:val="Heading2"/>
        <w:rPr>
          <w:lang w:val="fr-FR"/>
        </w:rPr>
      </w:pPr>
      <w:bookmarkStart w:id="22" w:name="_Toc279499867"/>
      <w:bookmarkStart w:id="23" w:name="_Toc355191726"/>
      <w:bookmarkStart w:id="24" w:name="_Toc412041921"/>
      <w:r w:rsidRPr="00754CC2">
        <w:rPr>
          <w:lang w:val="fr-FR"/>
        </w:rPr>
        <w:t>Section</w:t>
      </w:r>
      <w:r w:rsidR="00175F7E" w:rsidRPr="00754CC2">
        <w:rPr>
          <w:lang w:val="fr-FR"/>
        </w:rPr>
        <w:t> </w:t>
      </w:r>
      <w:r w:rsidRPr="00754CC2">
        <w:rPr>
          <w:lang w:val="fr-FR"/>
        </w:rPr>
        <w:t>3</w:t>
      </w:r>
      <w:r w:rsidR="00467D18" w:rsidRPr="00754CC2">
        <w:rPr>
          <w:lang w:val="fr-FR"/>
        </w:rPr>
        <w:t> :</w:t>
      </w:r>
      <w:r w:rsidR="00175F7E" w:rsidRPr="00754CC2">
        <w:rPr>
          <w:lang w:val="fr-FR"/>
        </w:rPr>
        <w:t xml:space="preserve"> </w:t>
      </w:r>
      <w:r w:rsidRPr="00754CC2">
        <w:rPr>
          <w:lang w:val="fr-FR"/>
        </w:rPr>
        <w:t>Obligations</w:t>
      </w:r>
      <w:r w:rsidR="00467D18" w:rsidRPr="00754CC2">
        <w:rPr>
          <w:lang w:val="fr-FR"/>
        </w:rPr>
        <w:t xml:space="preserve"> financières </w:t>
      </w:r>
      <w:r w:rsidRPr="00754CC2">
        <w:rPr>
          <w:lang w:val="fr-FR"/>
        </w:rPr>
        <w:t>concernant</w:t>
      </w:r>
      <w:r w:rsidR="00467D18" w:rsidRPr="00754CC2">
        <w:rPr>
          <w:lang w:val="fr-FR"/>
        </w:rPr>
        <w:t xml:space="preserve"> le paiement des </w:t>
      </w:r>
      <w:bookmarkEnd w:id="22"/>
      <w:bookmarkEnd w:id="23"/>
      <w:r w:rsidRPr="00754CC2">
        <w:rPr>
          <w:lang w:val="fr-FR"/>
        </w:rPr>
        <w:t>contributions</w:t>
      </w:r>
      <w:bookmarkEnd w:id="24"/>
    </w:p>
    <w:p w:rsidR="00C36DD4" w:rsidRPr="00754CC2" w:rsidRDefault="00C36DD4" w:rsidP="00467D18">
      <w:pPr>
        <w:rPr>
          <w:rFonts w:cs="Arial"/>
          <w:lang w:val="fr-FR"/>
        </w:rPr>
      </w:pPr>
    </w:p>
    <w:p w:rsidR="00C36DD4" w:rsidRPr="00754CC2" w:rsidRDefault="00147AC6" w:rsidP="00467D18">
      <w:pPr>
        <w:rPr>
          <w:spacing w:val="8"/>
          <w:lang w:val="fr-FR"/>
        </w:rPr>
      </w:pPr>
      <w:r w:rsidRPr="00754CC2">
        <w:rPr>
          <w:rFonts w:cs="Arial"/>
          <w:lang w:val="fr-FR"/>
        </w:rPr>
        <w:t>19.</w:t>
      </w:r>
      <w:r w:rsidR="00467D18" w:rsidRPr="00754CC2">
        <w:rPr>
          <w:rFonts w:cs="Arial"/>
          <w:lang w:val="fr-FR"/>
        </w:rPr>
        <w:tab/>
        <w:t xml:space="preserve">Conformément à la </w:t>
      </w:r>
      <w:r w:rsidR="00FD700E" w:rsidRPr="00754CC2">
        <w:rPr>
          <w:rFonts w:cs="Arial"/>
          <w:lang w:val="fr-FR"/>
        </w:rPr>
        <w:t>Convention UPOV</w:t>
      </w:r>
      <w:r w:rsidR="00467D18" w:rsidRPr="00754CC2">
        <w:rPr>
          <w:rFonts w:cs="Arial"/>
          <w:vertAlign w:val="superscript"/>
          <w:lang w:val="fr-FR"/>
        </w:rPr>
        <w:footnoteReference w:id="8"/>
      </w:r>
      <w:r w:rsidR="00175F7E" w:rsidRPr="00754CC2">
        <w:rPr>
          <w:rFonts w:cs="Arial"/>
          <w:lang w:val="fr-FR"/>
        </w:rPr>
        <w:t>,</w:t>
      </w:r>
      <w:r w:rsidR="00467D18" w:rsidRPr="00754CC2">
        <w:rPr>
          <w:rFonts w:cs="Arial"/>
          <w:lang w:val="fr-FR"/>
        </w:rPr>
        <w:t xml:space="preserve"> le Secrétaire général, chaque année, communique à chaque membre de l</w:t>
      </w:r>
      <w:r w:rsidR="00FD700E" w:rsidRPr="00754CC2">
        <w:rPr>
          <w:rFonts w:cs="Arial"/>
          <w:lang w:val="fr-FR"/>
        </w:rPr>
        <w:t>’</w:t>
      </w:r>
      <w:r w:rsidR="00467D18" w:rsidRPr="00754CC2">
        <w:rPr>
          <w:rFonts w:cs="Arial"/>
          <w:lang w:val="fr-FR"/>
        </w:rPr>
        <w:t>Union le montant de ses contributions annuelles pour l</w:t>
      </w:r>
      <w:r w:rsidR="00FD700E" w:rsidRPr="00754CC2">
        <w:rPr>
          <w:rFonts w:cs="Arial"/>
          <w:lang w:val="fr-FR"/>
        </w:rPr>
        <w:t>’</w:t>
      </w:r>
      <w:r w:rsidR="00467D18" w:rsidRPr="00754CC2">
        <w:rPr>
          <w:rFonts w:cs="Arial"/>
          <w:lang w:val="fr-FR"/>
        </w:rPr>
        <w:t>année suivante, calculé sur la base du nombre d</w:t>
      </w:r>
      <w:r w:rsidR="00FD700E" w:rsidRPr="00754CC2">
        <w:rPr>
          <w:rFonts w:cs="Arial"/>
          <w:lang w:val="fr-FR"/>
        </w:rPr>
        <w:t>’</w:t>
      </w:r>
      <w:r w:rsidR="00467D18" w:rsidRPr="00754CC2">
        <w:rPr>
          <w:rFonts w:cs="Arial"/>
          <w:lang w:val="fr-FR"/>
        </w:rPr>
        <w:t xml:space="preserve">unités de contributions applicable.  Le montant correspondant à la contribution annuelle est dû en janvier (voir le document </w:t>
      </w:r>
      <w:hyperlink r:id="rId29" w:history="1">
        <w:r w:rsidR="00467D18" w:rsidRPr="00754CC2">
          <w:rPr>
            <w:rStyle w:val="Hyperlink"/>
            <w:lang w:val="fr-FR"/>
          </w:rPr>
          <w:t>UPOV/INF/4</w:t>
        </w:r>
      </w:hyperlink>
      <w:r w:rsidR="00467D18" w:rsidRPr="00754CC2">
        <w:rPr>
          <w:lang w:val="fr-FR"/>
        </w:rPr>
        <w:t xml:space="preserve"> </w:t>
      </w:r>
      <w:r w:rsidR="00467D18" w:rsidRPr="00754CC2">
        <w:rPr>
          <w:rFonts w:cs="Arial"/>
          <w:lang w:val="fr-FR"/>
        </w:rPr>
        <w:t>“Règlement financier et règlement d</w:t>
      </w:r>
      <w:r w:rsidR="00FD700E" w:rsidRPr="00754CC2">
        <w:rPr>
          <w:rFonts w:cs="Arial"/>
          <w:lang w:val="fr-FR"/>
        </w:rPr>
        <w:t>’</w:t>
      </w:r>
      <w:r w:rsidR="00467D18" w:rsidRPr="00754CC2">
        <w:rPr>
          <w:rFonts w:cs="Arial"/>
          <w:lang w:val="fr-FR"/>
        </w:rPr>
        <w:t>exécution du règlement financier de l</w:t>
      </w:r>
      <w:r w:rsidR="00FD700E" w:rsidRPr="00754CC2">
        <w:rPr>
          <w:rFonts w:cs="Arial"/>
          <w:lang w:val="fr-FR"/>
        </w:rPr>
        <w:t>’</w:t>
      </w:r>
      <w:r w:rsidR="00467D18" w:rsidRPr="00754CC2">
        <w:rPr>
          <w:rFonts w:cs="Arial"/>
          <w:lang w:val="fr-FR"/>
        </w:rPr>
        <w:t>UPOV”).  La communication du Secrétaire général est adressée au Ministère des affaires étrangères, avec copie au service chargé d</w:t>
      </w:r>
      <w:r w:rsidR="00FD700E" w:rsidRPr="00754CC2">
        <w:rPr>
          <w:rFonts w:cs="Arial"/>
          <w:lang w:val="fr-FR"/>
        </w:rPr>
        <w:t>’</w:t>
      </w:r>
      <w:r w:rsidR="00467D18" w:rsidRPr="00754CC2">
        <w:rPr>
          <w:rFonts w:cs="Arial"/>
          <w:lang w:val="fr-FR"/>
        </w:rPr>
        <w:t>octroyer les droits d</w:t>
      </w:r>
      <w:r w:rsidR="00FD700E" w:rsidRPr="00754CC2">
        <w:rPr>
          <w:rFonts w:cs="Arial"/>
          <w:lang w:val="fr-FR"/>
        </w:rPr>
        <w:t>’</w:t>
      </w:r>
      <w:r w:rsidR="00467D18" w:rsidRPr="00754CC2">
        <w:rPr>
          <w:rFonts w:cs="Arial"/>
          <w:lang w:val="fr-FR"/>
        </w:rPr>
        <w:t>obtenteur, conformément à l</w:t>
      </w:r>
      <w:r w:rsidR="00FD700E" w:rsidRPr="00754CC2">
        <w:rPr>
          <w:rFonts w:cs="Arial"/>
          <w:lang w:val="fr-FR"/>
        </w:rPr>
        <w:t>’</w:t>
      </w:r>
      <w:r w:rsidR="00467D18" w:rsidRPr="00754CC2">
        <w:rPr>
          <w:rFonts w:cs="Arial"/>
          <w:lang w:val="fr-FR"/>
        </w:rPr>
        <w:t>article 30.1)i) de l</w:t>
      </w:r>
      <w:r w:rsidR="00FD700E" w:rsidRPr="00754CC2">
        <w:rPr>
          <w:rFonts w:cs="Arial"/>
          <w:lang w:val="fr-FR"/>
        </w:rPr>
        <w:t>’</w:t>
      </w:r>
      <w:r w:rsidR="00467D18" w:rsidRPr="00754CC2">
        <w:rPr>
          <w:rFonts w:cs="Arial"/>
          <w:lang w:val="fr-FR"/>
        </w:rPr>
        <w:t xml:space="preserve">Acte de 1991 de la </w:t>
      </w:r>
      <w:r w:rsidR="00FD700E" w:rsidRPr="00754CC2">
        <w:rPr>
          <w:rFonts w:cs="Arial"/>
          <w:lang w:val="fr-FR"/>
        </w:rPr>
        <w:t>Convention UPOV</w:t>
      </w:r>
      <w:r w:rsidR="00467D18" w:rsidRPr="00754CC2">
        <w:rPr>
          <w:rFonts w:cs="Arial"/>
          <w:lang w:val="fr-FR"/>
        </w:rPr>
        <w:t xml:space="preserve"> (voir les informations fournies par le représentant conformément au paragraphe 9.d) ci</w:t>
      </w:r>
      <w:r w:rsidR="00B66F35" w:rsidRPr="00754CC2">
        <w:rPr>
          <w:rFonts w:cs="Arial"/>
          <w:lang w:val="fr-FR"/>
        </w:rPr>
        <w:noBreakHyphen/>
      </w:r>
      <w:r w:rsidR="00467D18" w:rsidRPr="00754CC2">
        <w:rPr>
          <w:rFonts w:cs="Arial"/>
          <w:lang w:val="fr-FR"/>
        </w:rPr>
        <w:t>dessus), ainsi qu</w:t>
      </w:r>
      <w:r w:rsidR="00FD700E" w:rsidRPr="00754CC2">
        <w:rPr>
          <w:rFonts w:cs="Arial"/>
          <w:lang w:val="fr-FR"/>
        </w:rPr>
        <w:t>’</w:t>
      </w:r>
      <w:r w:rsidR="00467D18" w:rsidRPr="00754CC2">
        <w:rPr>
          <w:rFonts w:cs="Arial"/>
          <w:lang w:val="fr-FR"/>
        </w:rPr>
        <w:t>à la mission permanente à Genève.</w:t>
      </w:r>
    </w:p>
    <w:p w:rsidR="00C36DD4" w:rsidRPr="00754CC2" w:rsidRDefault="00C36DD4" w:rsidP="00467D18">
      <w:pPr>
        <w:rPr>
          <w:rFonts w:cs="Arial"/>
          <w:szCs w:val="24"/>
          <w:lang w:val="fr-FR"/>
        </w:rPr>
      </w:pPr>
    </w:p>
    <w:p w:rsidR="00C36DD4" w:rsidRPr="00754CC2" w:rsidRDefault="00147AC6" w:rsidP="00467D18">
      <w:pPr>
        <w:rPr>
          <w:lang w:val="fr-FR"/>
        </w:rPr>
      </w:pPr>
      <w:r w:rsidRPr="00754CC2">
        <w:rPr>
          <w:rFonts w:cs="Arial"/>
          <w:lang w:val="fr-FR"/>
        </w:rPr>
        <w:t>20.</w:t>
      </w:r>
      <w:r w:rsidR="00467D18" w:rsidRPr="00754CC2">
        <w:rPr>
          <w:rFonts w:cs="Arial"/>
          <w:lang w:val="fr-FR"/>
        </w:rPr>
        <w:tab/>
        <w:t>On trouvera davantage d</w:t>
      </w:r>
      <w:r w:rsidR="00FD700E" w:rsidRPr="00754CC2">
        <w:rPr>
          <w:rFonts w:cs="Arial"/>
          <w:lang w:val="fr-FR"/>
        </w:rPr>
        <w:t>’</w:t>
      </w:r>
      <w:r w:rsidR="00467D18" w:rsidRPr="00754CC2">
        <w:rPr>
          <w:rFonts w:cs="Arial"/>
          <w:lang w:val="fr-FR"/>
        </w:rPr>
        <w:t>informations sur les questions financières dans le d</w:t>
      </w:r>
      <w:r w:rsidR="00467D18" w:rsidRPr="00754CC2">
        <w:rPr>
          <w:rFonts w:cs="Arial"/>
          <w:szCs w:val="24"/>
          <w:lang w:val="fr-FR"/>
        </w:rPr>
        <w:t xml:space="preserve">ocument </w:t>
      </w:r>
      <w:hyperlink r:id="rId30" w:history="1">
        <w:r w:rsidR="00467D18" w:rsidRPr="00754CC2">
          <w:rPr>
            <w:rStyle w:val="Hyperlink"/>
            <w:rFonts w:cs="Arial"/>
            <w:szCs w:val="24"/>
            <w:lang w:val="fr-FR"/>
          </w:rPr>
          <w:t>UPOV/INF/13</w:t>
        </w:r>
      </w:hyperlink>
      <w:r w:rsidR="00467D18" w:rsidRPr="00754CC2">
        <w:rPr>
          <w:rFonts w:cs="Arial"/>
          <w:szCs w:val="24"/>
          <w:lang w:val="fr-FR"/>
        </w:rPr>
        <w:t xml:space="preserve"> “Document d</w:t>
      </w:r>
      <w:r w:rsidR="00FD700E" w:rsidRPr="00754CC2">
        <w:rPr>
          <w:rFonts w:cs="Arial"/>
          <w:szCs w:val="24"/>
          <w:lang w:val="fr-FR"/>
        </w:rPr>
        <w:t>’</w:t>
      </w:r>
      <w:r w:rsidR="00467D18" w:rsidRPr="00754CC2">
        <w:rPr>
          <w:rFonts w:cs="Arial"/>
          <w:szCs w:val="24"/>
          <w:lang w:val="fr-FR"/>
        </w:rPr>
        <w:t>orientation concernant la procédure à suivre pour devenir membre de l</w:t>
      </w:r>
      <w:r w:rsidR="00FD700E" w:rsidRPr="00754CC2">
        <w:rPr>
          <w:rFonts w:cs="Arial"/>
          <w:szCs w:val="24"/>
          <w:lang w:val="fr-FR"/>
        </w:rPr>
        <w:t>’</w:t>
      </w:r>
      <w:r w:rsidR="00467D18" w:rsidRPr="00754CC2">
        <w:rPr>
          <w:rFonts w:cs="Arial"/>
          <w:szCs w:val="24"/>
          <w:lang w:val="fr-FR"/>
        </w:rPr>
        <w:t xml:space="preserve">UPOV” et dans le document </w:t>
      </w:r>
      <w:hyperlink r:id="rId31" w:history="1">
        <w:r w:rsidR="00467D18" w:rsidRPr="00754CC2">
          <w:rPr>
            <w:rStyle w:val="Hyperlink"/>
            <w:rFonts w:cs="Arial"/>
            <w:szCs w:val="24"/>
            <w:lang w:val="fr-FR"/>
          </w:rPr>
          <w:t>UPOV/INF/14</w:t>
        </w:r>
      </w:hyperlink>
      <w:r w:rsidR="00467D18" w:rsidRPr="00754CC2">
        <w:rPr>
          <w:rFonts w:cs="Arial"/>
          <w:szCs w:val="24"/>
          <w:lang w:val="fr-FR"/>
        </w:rPr>
        <w:t xml:space="preserve"> “Document d</w:t>
      </w:r>
      <w:r w:rsidR="00FD700E" w:rsidRPr="00754CC2">
        <w:rPr>
          <w:rFonts w:cs="Arial"/>
          <w:szCs w:val="24"/>
          <w:lang w:val="fr-FR"/>
        </w:rPr>
        <w:t>’</w:t>
      </w:r>
      <w:r w:rsidR="00467D18" w:rsidRPr="00754CC2">
        <w:rPr>
          <w:rFonts w:cs="Arial"/>
          <w:szCs w:val="24"/>
          <w:lang w:val="fr-FR"/>
        </w:rPr>
        <w:t>orientation destiné aux membres de l</w:t>
      </w:r>
      <w:r w:rsidR="00FD700E" w:rsidRPr="00754CC2">
        <w:rPr>
          <w:rFonts w:cs="Arial"/>
          <w:szCs w:val="24"/>
          <w:lang w:val="fr-FR"/>
        </w:rPr>
        <w:t>’</w:t>
      </w:r>
      <w:r w:rsidR="00467D18" w:rsidRPr="00754CC2">
        <w:rPr>
          <w:rFonts w:cs="Arial"/>
          <w:lang w:val="fr-FR"/>
        </w:rPr>
        <w:t>UPOV concernant la procédure à suivre pour ratifier l</w:t>
      </w:r>
      <w:r w:rsidR="00FD700E" w:rsidRPr="00754CC2">
        <w:rPr>
          <w:rFonts w:cs="Arial"/>
          <w:lang w:val="fr-FR"/>
        </w:rPr>
        <w:t>’</w:t>
      </w:r>
      <w:r w:rsidR="00467D18" w:rsidRPr="00754CC2">
        <w:rPr>
          <w:rFonts w:cs="Arial"/>
          <w:lang w:val="fr-FR"/>
        </w:rPr>
        <w:t xml:space="preserve">Acte de 1991 de la </w:t>
      </w:r>
      <w:r w:rsidR="00FD700E" w:rsidRPr="00754CC2">
        <w:rPr>
          <w:rFonts w:cs="Arial"/>
          <w:lang w:val="fr-FR"/>
        </w:rPr>
        <w:t>Convention UPOV</w:t>
      </w:r>
      <w:r w:rsidR="00467D18" w:rsidRPr="00754CC2">
        <w:rPr>
          <w:rFonts w:cs="Arial"/>
          <w:lang w:val="fr-FR"/>
        </w:rPr>
        <w:t xml:space="preserve"> ou y adhérer”</w:t>
      </w:r>
      <w:r w:rsidR="00467D18" w:rsidRPr="00754CC2">
        <w:rPr>
          <w:szCs w:val="24"/>
          <w:lang w:val="fr-FR"/>
        </w:rPr>
        <w:t>.</w:t>
      </w:r>
    </w:p>
    <w:p w:rsidR="00C36DD4" w:rsidRPr="00754CC2" w:rsidRDefault="00C36DD4" w:rsidP="00467D18">
      <w:pPr>
        <w:rPr>
          <w:lang w:val="fr-FR"/>
        </w:rPr>
      </w:pPr>
    </w:p>
    <w:p w:rsidR="00C36DD4" w:rsidRPr="00754CC2" w:rsidRDefault="00C36DD4" w:rsidP="00467D18">
      <w:pPr>
        <w:rPr>
          <w:lang w:val="fr-FR"/>
        </w:rPr>
      </w:pPr>
    </w:p>
    <w:p w:rsidR="00C36DD4" w:rsidRPr="00754CC2" w:rsidRDefault="00147AC6" w:rsidP="00825925">
      <w:pPr>
        <w:pStyle w:val="Heading2"/>
        <w:rPr>
          <w:lang w:val="fr-FR"/>
        </w:rPr>
      </w:pPr>
      <w:bookmarkStart w:id="25" w:name="_Toc355191727"/>
      <w:bookmarkStart w:id="26" w:name="_Toc412041922"/>
      <w:r w:rsidRPr="00754CC2">
        <w:rPr>
          <w:lang w:val="fr-FR"/>
        </w:rPr>
        <w:t>Section</w:t>
      </w:r>
      <w:r w:rsidR="00175F7E" w:rsidRPr="00754CC2">
        <w:rPr>
          <w:lang w:val="fr-FR"/>
        </w:rPr>
        <w:t> </w:t>
      </w:r>
      <w:r w:rsidRPr="00754CC2">
        <w:rPr>
          <w:lang w:val="fr-FR"/>
        </w:rPr>
        <w:t>4 :</w:t>
      </w:r>
      <w:bookmarkEnd w:id="25"/>
      <w:r w:rsidR="002204F0" w:rsidRPr="00754CC2">
        <w:rPr>
          <w:lang w:val="fr-FR"/>
        </w:rPr>
        <w:t xml:space="preserve"> </w:t>
      </w:r>
      <w:r w:rsidRPr="00754CC2">
        <w:rPr>
          <w:lang w:val="fr-FR"/>
        </w:rPr>
        <w:t>Informations visant à faciliter la coopération</w:t>
      </w:r>
      <w:bookmarkEnd w:id="26"/>
    </w:p>
    <w:p w:rsidR="00C36DD4" w:rsidRPr="00754CC2" w:rsidRDefault="00C36DD4" w:rsidP="00467D18">
      <w:pPr>
        <w:rPr>
          <w:lang w:val="fr-FR"/>
        </w:rPr>
      </w:pPr>
    </w:p>
    <w:p w:rsidR="00C36DD4" w:rsidRPr="00754CC2" w:rsidRDefault="00147AC6" w:rsidP="00467D18">
      <w:pPr>
        <w:rPr>
          <w:lang w:val="fr-FR"/>
        </w:rPr>
      </w:pPr>
      <w:r w:rsidRPr="00754CC2">
        <w:rPr>
          <w:lang w:val="fr-FR"/>
        </w:rPr>
        <w:t>21.</w:t>
      </w:r>
      <w:r w:rsidR="00467D18" w:rsidRPr="00754CC2">
        <w:rPr>
          <w:lang w:val="fr-FR"/>
        </w:rPr>
        <w:tab/>
        <w:t>La coopération entre les membres de l</w:t>
      </w:r>
      <w:r w:rsidR="00FD700E" w:rsidRPr="00754CC2">
        <w:rPr>
          <w:lang w:val="fr-FR"/>
        </w:rPr>
        <w:t>’</w:t>
      </w:r>
      <w:r w:rsidR="00467D18" w:rsidRPr="00754CC2">
        <w:rPr>
          <w:lang w:val="fr-FR"/>
        </w:rPr>
        <w:t>Union est un avantage important du système de l</w:t>
      </w:r>
      <w:r w:rsidR="00FD700E" w:rsidRPr="00754CC2">
        <w:rPr>
          <w:lang w:val="fr-FR"/>
        </w:rPr>
        <w:t>’</w:t>
      </w:r>
      <w:r w:rsidR="00467D18" w:rsidRPr="00754CC2">
        <w:rPr>
          <w:lang w:val="fr-FR"/>
        </w:rPr>
        <w:t>UPOV et soutient un système efficace couvrant tous les genres et espèces végétaux.  Une telle efficacité constitue un moyen essentiel de veiller à ce que le système de l</w:t>
      </w:r>
      <w:r w:rsidR="00FD700E" w:rsidRPr="00754CC2">
        <w:rPr>
          <w:lang w:val="fr-FR"/>
        </w:rPr>
        <w:t>’</w:t>
      </w:r>
      <w:r w:rsidR="00467D18" w:rsidRPr="00754CC2">
        <w:rPr>
          <w:lang w:val="fr-FR"/>
        </w:rPr>
        <w:t>UPOV soit accessible et abordable pour tous les types d</w:t>
      </w:r>
      <w:r w:rsidR="00FD700E" w:rsidRPr="00754CC2">
        <w:rPr>
          <w:lang w:val="fr-FR"/>
        </w:rPr>
        <w:t>’</w:t>
      </w:r>
      <w:r w:rsidR="00467D18" w:rsidRPr="00754CC2">
        <w:rPr>
          <w:lang w:val="fr-FR"/>
        </w:rPr>
        <w:t>obtenteurs.  Les informations concernant les faits nouveaux intervenus au sein des membres de l</w:t>
      </w:r>
      <w:r w:rsidR="00FD700E" w:rsidRPr="00754CC2">
        <w:rPr>
          <w:lang w:val="fr-FR"/>
        </w:rPr>
        <w:t>’</w:t>
      </w:r>
      <w:r w:rsidR="00467D18" w:rsidRPr="00754CC2">
        <w:rPr>
          <w:lang w:val="fr-FR"/>
        </w:rPr>
        <w:t>Union constituent également un moyen efficace de partager les expériences au sein de l</w:t>
      </w:r>
      <w:r w:rsidR="00FD700E" w:rsidRPr="00754CC2">
        <w:rPr>
          <w:lang w:val="fr-FR"/>
        </w:rPr>
        <w:t>’</w:t>
      </w:r>
      <w:r w:rsidR="00467D18" w:rsidRPr="00754CC2">
        <w:rPr>
          <w:lang w:val="fr-FR"/>
        </w:rPr>
        <w:t>UPOV</w:t>
      </w:r>
      <w:r w:rsidR="00467D18" w:rsidRPr="00754CC2">
        <w:rPr>
          <w:snapToGrid w:val="0"/>
          <w:lang w:val="fr-FR"/>
        </w:rPr>
        <w:t>.  Cette partie indique quelles sont les informations qui peuvent être fournies par les membres de l</w:t>
      </w:r>
      <w:r w:rsidR="00FD700E" w:rsidRPr="00754CC2">
        <w:rPr>
          <w:snapToGrid w:val="0"/>
          <w:lang w:val="fr-FR"/>
        </w:rPr>
        <w:t>’</w:t>
      </w:r>
      <w:r w:rsidR="00467D18" w:rsidRPr="00754CC2">
        <w:rPr>
          <w:snapToGrid w:val="0"/>
          <w:lang w:val="fr-FR"/>
        </w:rPr>
        <w:t>Union et la procédure suivie pour collecter ces informations.</w:t>
      </w:r>
    </w:p>
    <w:p w:rsidR="00C36DD4" w:rsidRPr="00754CC2" w:rsidRDefault="00C36DD4" w:rsidP="00467D18">
      <w:pPr>
        <w:rPr>
          <w:lang w:val="fr-FR"/>
        </w:rPr>
      </w:pPr>
    </w:p>
    <w:p w:rsidR="00C36DD4" w:rsidRPr="00754CC2" w:rsidRDefault="00467D18" w:rsidP="00347556">
      <w:pPr>
        <w:pStyle w:val="Heading3"/>
      </w:pPr>
      <w:bookmarkStart w:id="27" w:name="_Toc355191728"/>
      <w:bookmarkStart w:id="28" w:name="_Toc412041923"/>
      <w:r w:rsidRPr="00754CC2">
        <w:t>Examen DHS (base de données GENIE)</w:t>
      </w:r>
      <w:bookmarkEnd w:id="27"/>
      <w:bookmarkEnd w:id="28"/>
    </w:p>
    <w:p w:rsidR="00C36DD4" w:rsidRPr="00754CC2" w:rsidRDefault="00C36DD4" w:rsidP="00467D18">
      <w:pPr>
        <w:rPr>
          <w:lang w:val="fr-FR"/>
        </w:rPr>
      </w:pPr>
    </w:p>
    <w:p w:rsidR="00C36DD4" w:rsidRPr="00754CC2" w:rsidRDefault="00147AC6" w:rsidP="00467D18">
      <w:pPr>
        <w:rPr>
          <w:lang w:val="fr-FR"/>
        </w:rPr>
      </w:pPr>
      <w:r w:rsidRPr="00754CC2">
        <w:rPr>
          <w:lang w:val="fr-FR"/>
        </w:rPr>
        <w:t>22.</w:t>
      </w:r>
      <w:r w:rsidR="00467D18" w:rsidRPr="00754CC2">
        <w:rPr>
          <w:lang w:val="fr-FR"/>
        </w:rPr>
        <w:tab/>
        <w:t>La coopération au sein de l</w:t>
      </w:r>
      <w:r w:rsidR="00FD700E" w:rsidRPr="00754CC2">
        <w:rPr>
          <w:lang w:val="fr-FR"/>
        </w:rPr>
        <w:t>’</w:t>
      </w:r>
      <w:r w:rsidR="00467D18" w:rsidRPr="00754CC2">
        <w:rPr>
          <w:lang w:val="fr-FR"/>
        </w:rPr>
        <w:t>UPOV repose dans une large mesure sur l</w:t>
      </w:r>
      <w:r w:rsidR="00FD700E" w:rsidRPr="00754CC2">
        <w:rPr>
          <w:lang w:val="fr-FR"/>
        </w:rPr>
        <w:t>’</w:t>
      </w:r>
      <w:r w:rsidR="00467D18" w:rsidRPr="00754CC2">
        <w:rPr>
          <w:lang w:val="fr-FR"/>
        </w:rPr>
        <w:t>apport des membres de l</w:t>
      </w:r>
      <w:r w:rsidR="00FD700E" w:rsidRPr="00754CC2">
        <w:rPr>
          <w:lang w:val="fr-FR"/>
        </w:rPr>
        <w:t>’</w:t>
      </w:r>
      <w:r w:rsidR="00467D18" w:rsidRPr="00754CC2">
        <w:rPr>
          <w:lang w:val="fr-FR"/>
        </w:rPr>
        <w:t>Union.  Plus précisément, la coopération en matière d</w:t>
      </w:r>
      <w:r w:rsidR="00FD700E" w:rsidRPr="00754CC2">
        <w:rPr>
          <w:lang w:val="fr-FR"/>
        </w:rPr>
        <w:t>’</w:t>
      </w:r>
      <w:r w:rsidR="00467D18" w:rsidRPr="00754CC2">
        <w:rPr>
          <w:lang w:val="fr-FR"/>
        </w:rPr>
        <w:t>examen de la distinction, de l</w:t>
      </w:r>
      <w:r w:rsidR="00FD700E" w:rsidRPr="00754CC2">
        <w:rPr>
          <w:lang w:val="fr-FR"/>
        </w:rPr>
        <w:t>’</w:t>
      </w:r>
      <w:r w:rsidR="00467D18" w:rsidRPr="00754CC2">
        <w:rPr>
          <w:lang w:val="fr-FR"/>
        </w:rPr>
        <w:t>homogénéité et de la stabilité (“DHS”) est fondée sur la contribution des experts des membres de l</w:t>
      </w:r>
      <w:r w:rsidR="00FD700E" w:rsidRPr="00754CC2">
        <w:rPr>
          <w:lang w:val="fr-FR"/>
        </w:rPr>
        <w:t>’</w:t>
      </w:r>
      <w:r w:rsidR="00467D18" w:rsidRPr="00754CC2">
        <w:rPr>
          <w:lang w:val="fr-FR"/>
        </w:rPr>
        <w:t>Union à l</w:t>
      </w:r>
      <w:r w:rsidR="00FD700E" w:rsidRPr="00754CC2">
        <w:rPr>
          <w:lang w:val="fr-FR"/>
        </w:rPr>
        <w:t>’</w:t>
      </w:r>
      <w:r w:rsidR="00467D18" w:rsidRPr="00754CC2">
        <w:rPr>
          <w:lang w:val="fr-FR"/>
        </w:rPr>
        <w:t>élaboration des principes directeurs d</w:t>
      </w:r>
      <w:r w:rsidR="00FD700E" w:rsidRPr="00754CC2">
        <w:rPr>
          <w:lang w:val="fr-FR"/>
        </w:rPr>
        <w:t>’</w:t>
      </w:r>
      <w:r w:rsidR="00467D18" w:rsidRPr="00754CC2">
        <w:rPr>
          <w:lang w:val="fr-FR"/>
        </w:rPr>
        <w:t>examen (</w:t>
      </w:r>
      <w:hyperlink r:id="rId32" w:history="1">
        <w:r w:rsidR="00467D18" w:rsidRPr="00754CC2">
          <w:rPr>
            <w:rStyle w:val="Hyperlink"/>
            <w:lang w:val="fr-FR"/>
          </w:rPr>
          <w:t>http://www.upov.int/test_guidelines/fr</w:t>
        </w:r>
      </w:hyperlink>
      <w:r w:rsidR="00467D18" w:rsidRPr="00754CC2">
        <w:rPr>
          <w:u w:val="single"/>
          <w:lang w:val="fr-FR"/>
        </w:rPr>
        <w:t>/</w:t>
      </w:r>
      <w:r w:rsidR="00467D18" w:rsidRPr="00754CC2">
        <w:rPr>
          <w:lang w:val="fr-FR"/>
        </w:rPr>
        <w:t>) et sur la volonté des membres de l</w:t>
      </w:r>
      <w:r w:rsidR="00FD700E" w:rsidRPr="00754CC2">
        <w:rPr>
          <w:lang w:val="fr-FR"/>
        </w:rPr>
        <w:t>’</w:t>
      </w:r>
      <w:r w:rsidR="00467D18" w:rsidRPr="00754CC2">
        <w:rPr>
          <w:lang w:val="fr-FR"/>
        </w:rPr>
        <w:t>Union à partager leur expérience pratique en ce qui concerne les genres et espèces végétaux particuliers et à coopérer en matière d</w:t>
      </w:r>
      <w:r w:rsidR="00FD700E" w:rsidRPr="00754CC2">
        <w:rPr>
          <w:lang w:val="fr-FR"/>
        </w:rPr>
        <w:t>’</w:t>
      </w:r>
      <w:r w:rsidR="00467D18" w:rsidRPr="00754CC2">
        <w:rPr>
          <w:lang w:val="fr-FR"/>
        </w:rPr>
        <w:t>examen</w:t>
      </w:r>
      <w:r w:rsidR="00175F7E" w:rsidRPr="00754CC2">
        <w:rPr>
          <w:lang w:val="fr-FR"/>
        </w:rPr>
        <w:t> </w:t>
      </w:r>
      <w:r w:rsidR="00467D18" w:rsidRPr="00754CC2">
        <w:rPr>
          <w:lang w:val="fr-FR"/>
        </w:rPr>
        <w:t>DHS.  Les informations relatives à cette coopération figurent dans la base de données GENIE (</w:t>
      </w:r>
      <w:hyperlink r:id="rId33" w:history="1">
        <w:r w:rsidR="00467D18" w:rsidRPr="00754CC2">
          <w:rPr>
            <w:rStyle w:val="Hyperlink"/>
            <w:lang w:val="fr-FR"/>
          </w:rPr>
          <w:t>http://www.upov.int/genie/fr/</w:t>
        </w:r>
      </w:hyperlink>
      <w:r w:rsidR="00467D18" w:rsidRPr="00754CC2">
        <w:rPr>
          <w:lang w:val="fr-FR"/>
        </w:rPr>
        <w:t>).</w:t>
      </w:r>
    </w:p>
    <w:p w:rsidR="00C36DD4" w:rsidRPr="00754CC2" w:rsidRDefault="00C36DD4" w:rsidP="00467D18">
      <w:pPr>
        <w:rPr>
          <w:lang w:val="fr-FR"/>
        </w:rPr>
      </w:pPr>
    </w:p>
    <w:p w:rsidR="00C36DD4" w:rsidRPr="00754CC2" w:rsidRDefault="00147AC6" w:rsidP="00347556">
      <w:pPr>
        <w:keepNext/>
        <w:rPr>
          <w:lang w:val="fr-FR"/>
        </w:rPr>
      </w:pPr>
      <w:r w:rsidRPr="00754CC2">
        <w:rPr>
          <w:lang w:val="fr-FR"/>
        </w:rPr>
        <w:t>23.</w:t>
      </w:r>
      <w:r w:rsidR="00467D18" w:rsidRPr="00754CC2">
        <w:rPr>
          <w:lang w:val="fr-FR"/>
        </w:rPr>
        <w:tab/>
        <w:t>La procédure à suivre par les membres de l</w:t>
      </w:r>
      <w:r w:rsidR="00FD700E" w:rsidRPr="00754CC2">
        <w:rPr>
          <w:lang w:val="fr-FR"/>
        </w:rPr>
        <w:t>’</w:t>
      </w:r>
      <w:r w:rsidR="00467D18" w:rsidRPr="00754CC2">
        <w:rPr>
          <w:lang w:val="fr-FR"/>
        </w:rPr>
        <w:t>Union pour fournir des informations à inclure dans la base de données GENIE est la suivante :</w:t>
      </w:r>
    </w:p>
    <w:p w:rsidR="00C36DD4" w:rsidRPr="00754CC2" w:rsidRDefault="00C36DD4" w:rsidP="00467D18">
      <w:pPr>
        <w:rPr>
          <w:lang w:val="fr-FR"/>
        </w:rPr>
      </w:pPr>
    </w:p>
    <w:p w:rsidR="00C36DD4" w:rsidRPr="00754CC2" w:rsidRDefault="00467D18" w:rsidP="00C12BBE">
      <w:pPr>
        <w:ind w:left="1134" w:hanging="567"/>
        <w:rPr>
          <w:i/>
          <w:lang w:val="fr-FR"/>
        </w:rPr>
      </w:pPr>
      <w:r w:rsidRPr="00754CC2">
        <w:rPr>
          <w:i/>
          <w:lang w:val="fr-FR"/>
        </w:rPr>
        <w:t>a)</w:t>
      </w:r>
      <w:r w:rsidRPr="00754CC2">
        <w:rPr>
          <w:i/>
          <w:lang w:val="fr-FR"/>
        </w:rPr>
        <w:tab/>
      </w:r>
      <w:r w:rsidR="008F36C1" w:rsidRPr="00754CC2">
        <w:rPr>
          <w:i/>
          <w:lang w:val="fr-FR"/>
        </w:rPr>
        <w:t xml:space="preserve">Genres </w:t>
      </w:r>
      <w:r w:rsidRPr="00754CC2">
        <w:rPr>
          <w:i/>
          <w:lang w:val="fr-FR"/>
        </w:rPr>
        <w:t>et espèces pour lesquels les membres de l</w:t>
      </w:r>
      <w:r w:rsidR="00FD700E" w:rsidRPr="00754CC2">
        <w:rPr>
          <w:i/>
          <w:lang w:val="fr-FR"/>
        </w:rPr>
        <w:t>’</w:t>
      </w:r>
      <w:r w:rsidRPr="00754CC2">
        <w:rPr>
          <w:i/>
          <w:lang w:val="fr-FR"/>
        </w:rPr>
        <w:t>Union ont une expérience pratique en matière d</w:t>
      </w:r>
      <w:r w:rsidR="00FD700E" w:rsidRPr="00754CC2">
        <w:rPr>
          <w:i/>
          <w:lang w:val="fr-FR"/>
        </w:rPr>
        <w:t>’</w:t>
      </w:r>
      <w:r w:rsidRPr="00754CC2">
        <w:rPr>
          <w:i/>
          <w:lang w:val="fr-FR"/>
        </w:rPr>
        <w:t>examen</w:t>
      </w:r>
      <w:r w:rsidR="00175F7E" w:rsidRPr="00754CC2">
        <w:rPr>
          <w:i/>
          <w:lang w:val="fr-FR"/>
        </w:rPr>
        <w:t> </w:t>
      </w:r>
      <w:r w:rsidRPr="00754CC2">
        <w:rPr>
          <w:i/>
          <w:lang w:val="fr-FR"/>
        </w:rPr>
        <w:t>DHS</w:t>
      </w:r>
    </w:p>
    <w:p w:rsidR="00C36DD4" w:rsidRPr="00754CC2" w:rsidRDefault="00C36DD4" w:rsidP="00525D73">
      <w:pPr>
        <w:ind w:left="1134"/>
        <w:rPr>
          <w:lang w:val="fr-FR"/>
        </w:rPr>
      </w:pPr>
    </w:p>
    <w:p w:rsidR="00C36DD4" w:rsidRPr="00754CC2" w:rsidRDefault="00467D18" w:rsidP="00C12BBE">
      <w:pPr>
        <w:ind w:left="1134"/>
        <w:rPr>
          <w:i/>
          <w:lang w:val="fr-FR"/>
        </w:rPr>
      </w:pPr>
      <w:r w:rsidRPr="00754CC2">
        <w:rPr>
          <w:i/>
          <w:lang w:val="fr-FR"/>
        </w:rPr>
        <w:lastRenderedPageBreak/>
        <w:t>Les membres de l</w:t>
      </w:r>
      <w:r w:rsidR="00FD700E" w:rsidRPr="00754CC2">
        <w:rPr>
          <w:i/>
          <w:lang w:val="fr-FR"/>
        </w:rPr>
        <w:t>’</w:t>
      </w:r>
      <w:r w:rsidRPr="00754CC2">
        <w:rPr>
          <w:i/>
          <w:lang w:val="fr-FR"/>
        </w:rPr>
        <w:t xml:space="preserve">Union reçoivent une circulaire du Comité technique (TC) les invitant à fournir des informations pour actualiser le </w:t>
      </w:r>
      <w:r w:rsidR="00FD700E" w:rsidRPr="00754CC2">
        <w:rPr>
          <w:i/>
          <w:lang w:val="fr-FR"/>
        </w:rPr>
        <w:t>document TC</w:t>
      </w:r>
      <w:r w:rsidRPr="00754CC2">
        <w:rPr>
          <w:i/>
          <w:lang w:val="fr-FR"/>
        </w:rPr>
        <w:t>/[session]/4 “Liste des genres et espèces pour lesquels les services ont une expérience pratique en matière d</w:t>
      </w:r>
      <w:r w:rsidR="00FD700E" w:rsidRPr="00754CC2">
        <w:rPr>
          <w:i/>
          <w:lang w:val="fr-FR"/>
        </w:rPr>
        <w:t>’</w:t>
      </w:r>
      <w:r w:rsidRPr="00754CC2">
        <w:rPr>
          <w:i/>
          <w:lang w:val="fr-FR"/>
        </w:rPr>
        <w:t>examen de la distinction, de l</w:t>
      </w:r>
      <w:r w:rsidR="00FD700E" w:rsidRPr="00754CC2">
        <w:rPr>
          <w:i/>
          <w:lang w:val="fr-FR"/>
        </w:rPr>
        <w:t>’</w:t>
      </w:r>
      <w:r w:rsidRPr="00754CC2">
        <w:rPr>
          <w:i/>
          <w:lang w:val="fr-FR"/>
        </w:rPr>
        <w:t>homogénéité et de la stabilité”.  Les informations fournies servent à mettre à jour la base de données GENIE.</w:t>
      </w:r>
    </w:p>
    <w:p w:rsidR="00C36DD4" w:rsidRPr="00754CC2" w:rsidRDefault="00C36DD4" w:rsidP="00525D73">
      <w:pPr>
        <w:rPr>
          <w:lang w:val="fr-FR"/>
        </w:rPr>
      </w:pPr>
    </w:p>
    <w:p w:rsidR="00C36DD4" w:rsidRPr="00754CC2" w:rsidRDefault="008F36C1" w:rsidP="00C12BBE">
      <w:pPr>
        <w:numPr>
          <w:ilvl w:val="0"/>
          <w:numId w:val="2"/>
        </w:numPr>
        <w:tabs>
          <w:tab w:val="clear" w:pos="567"/>
          <w:tab w:val="num" w:pos="1134"/>
        </w:tabs>
        <w:ind w:left="1134"/>
        <w:rPr>
          <w:i/>
          <w:lang w:val="fr-FR"/>
        </w:rPr>
      </w:pPr>
      <w:r w:rsidRPr="00754CC2">
        <w:rPr>
          <w:i/>
          <w:lang w:val="fr-FR"/>
        </w:rPr>
        <w:t xml:space="preserve">Coopération </w:t>
      </w:r>
      <w:r w:rsidR="00467D18" w:rsidRPr="00754CC2">
        <w:rPr>
          <w:i/>
          <w:lang w:val="fr-FR"/>
        </w:rPr>
        <w:t>en matière d</w:t>
      </w:r>
      <w:r w:rsidR="00FD700E" w:rsidRPr="00754CC2">
        <w:rPr>
          <w:i/>
          <w:lang w:val="fr-FR"/>
        </w:rPr>
        <w:t>’</w:t>
      </w:r>
      <w:r w:rsidR="00467D18" w:rsidRPr="00754CC2">
        <w:rPr>
          <w:i/>
          <w:lang w:val="fr-FR"/>
        </w:rPr>
        <w:t>examen</w:t>
      </w:r>
      <w:r w:rsidR="00175F7E" w:rsidRPr="00754CC2">
        <w:rPr>
          <w:i/>
          <w:lang w:val="fr-FR"/>
        </w:rPr>
        <w:t> </w:t>
      </w:r>
      <w:r w:rsidR="00467D18" w:rsidRPr="00754CC2">
        <w:rPr>
          <w:i/>
          <w:lang w:val="fr-FR"/>
        </w:rPr>
        <w:t>DHS</w:t>
      </w:r>
    </w:p>
    <w:p w:rsidR="00C36DD4" w:rsidRPr="00754CC2" w:rsidRDefault="00C36DD4" w:rsidP="00C12BBE">
      <w:pPr>
        <w:ind w:left="1134"/>
        <w:rPr>
          <w:lang w:val="fr-FR"/>
        </w:rPr>
      </w:pPr>
    </w:p>
    <w:p w:rsidR="00C36DD4" w:rsidRPr="00754CC2" w:rsidRDefault="00467D18" w:rsidP="00C12BBE">
      <w:pPr>
        <w:ind w:left="1134"/>
        <w:rPr>
          <w:i/>
          <w:lang w:val="fr-FR"/>
        </w:rPr>
      </w:pPr>
      <w:r w:rsidRPr="00754CC2">
        <w:rPr>
          <w:i/>
          <w:lang w:val="fr-FR"/>
        </w:rPr>
        <w:t>Les membres de l</w:t>
      </w:r>
      <w:r w:rsidR="00FD700E" w:rsidRPr="00754CC2">
        <w:rPr>
          <w:i/>
          <w:lang w:val="fr-FR"/>
        </w:rPr>
        <w:t>’</w:t>
      </w:r>
      <w:r w:rsidRPr="00754CC2">
        <w:rPr>
          <w:i/>
          <w:lang w:val="fr-FR"/>
        </w:rPr>
        <w:t>Union reçoivent une circulaire du Conseil les invitant à fournir des informations pour actualiser le document C/[session]/5 “Coopération en matière d</w:t>
      </w:r>
      <w:r w:rsidR="00FD700E" w:rsidRPr="00754CC2">
        <w:rPr>
          <w:i/>
          <w:lang w:val="fr-FR"/>
        </w:rPr>
        <w:t>’</w:t>
      </w:r>
      <w:r w:rsidRPr="00754CC2">
        <w:rPr>
          <w:i/>
          <w:lang w:val="fr-FR"/>
        </w:rPr>
        <w:t>examen”.  Ces informations concernent les accords de coopération en matière d</w:t>
      </w:r>
      <w:r w:rsidR="00FD700E" w:rsidRPr="00754CC2">
        <w:rPr>
          <w:i/>
          <w:lang w:val="fr-FR"/>
        </w:rPr>
        <w:t>’</w:t>
      </w:r>
      <w:r w:rsidRPr="00754CC2">
        <w:rPr>
          <w:i/>
          <w:lang w:val="fr-FR"/>
        </w:rPr>
        <w:t>examen</w:t>
      </w:r>
      <w:r w:rsidR="00175F7E" w:rsidRPr="00754CC2">
        <w:rPr>
          <w:i/>
          <w:lang w:val="fr-FR"/>
        </w:rPr>
        <w:t> </w:t>
      </w:r>
      <w:r w:rsidRPr="00754CC2">
        <w:rPr>
          <w:i/>
          <w:lang w:val="fr-FR"/>
        </w:rPr>
        <w:t>DHS conclus entre les membres de l</w:t>
      </w:r>
      <w:r w:rsidR="00FD700E" w:rsidRPr="00754CC2">
        <w:rPr>
          <w:i/>
          <w:lang w:val="fr-FR"/>
        </w:rPr>
        <w:t>’</w:t>
      </w:r>
      <w:r w:rsidRPr="00754CC2">
        <w:rPr>
          <w:i/>
          <w:lang w:val="fr-FR"/>
        </w:rPr>
        <w:t>Union et l</w:t>
      </w:r>
      <w:r w:rsidR="00FD700E" w:rsidRPr="00754CC2">
        <w:rPr>
          <w:i/>
          <w:lang w:val="fr-FR"/>
        </w:rPr>
        <w:t>’</w:t>
      </w:r>
      <w:r w:rsidRPr="00754CC2">
        <w:rPr>
          <w:i/>
          <w:lang w:val="fr-FR"/>
        </w:rPr>
        <w:t>utilisation des rapports d</w:t>
      </w:r>
      <w:r w:rsidR="00FD700E" w:rsidRPr="00754CC2">
        <w:rPr>
          <w:i/>
          <w:lang w:val="fr-FR"/>
        </w:rPr>
        <w:t>’</w:t>
      </w:r>
      <w:r w:rsidRPr="00754CC2">
        <w:rPr>
          <w:i/>
          <w:lang w:val="fr-FR"/>
        </w:rPr>
        <w:t>examen</w:t>
      </w:r>
      <w:r w:rsidR="00175F7E" w:rsidRPr="00754CC2">
        <w:rPr>
          <w:i/>
          <w:lang w:val="fr-FR"/>
        </w:rPr>
        <w:t> </w:t>
      </w:r>
      <w:r w:rsidRPr="00754CC2">
        <w:rPr>
          <w:i/>
          <w:lang w:val="fr-FR"/>
        </w:rPr>
        <w:t>DHS existants.  Les informations fournies servent à mettre à jour la base de données GENIE.</w:t>
      </w:r>
    </w:p>
    <w:p w:rsidR="00C36DD4" w:rsidRPr="00754CC2" w:rsidRDefault="00C36DD4" w:rsidP="00467D18">
      <w:pPr>
        <w:pStyle w:val="Heading2"/>
        <w:keepNext w:val="0"/>
        <w:rPr>
          <w:u w:val="none"/>
          <w:lang w:val="fr-FR"/>
        </w:rPr>
      </w:pPr>
    </w:p>
    <w:p w:rsidR="00C36DD4" w:rsidRPr="00754CC2" w:rsidRDefault="00467D18" w:rsidP="00347556">
      <w:pPr>
        <w:pStyle w:val="Heading3"/>
      </w:pPr>
      <w:bookmarkStart w:id="29" w:name="_Toc355191729"/>
      <w:bookmarkStart w:id="30" w:name="_Toc412041924"/>
      <w:r w:rsidRPr="00754CC2">
        <w:t>Dénominations variétales (base de données PLUTO)</w:t>
      </w:r>
      <w:bookmarkEnd w:id="29"/>
      <w:bookmarkEnd w:id="30"/>
    </w:p>
    <w:p w:rsidR="00C36DD4" w:rsidRPr="00754CC2" w:rsidRDefault="00C36DD4" w:rsidP="00467D18">
      <w:pPr>
        <w:keepNext/>
        <w:rPr>
          <w:lang w:val="fr-FR"/>
        </w:rPr>
      </w:pPr>
    </w:p>
    <w:p w:rsidR="00C36DD4" w:rsidRPr="00754CC2" w:rsidRDefault="00147AC6" w:rsidP="00467D18">
      <w:pPr>
        <w:keepNext/>
        <w:rPr>
          <w:lang w:val="fr-FR"/>
        </w:rPr>
      </w:pPr>
      <w:r w:rsidRPr="00754CC2">
        <w:rPr>
          <w:lang w:val="fr-FR"/>
        </w:rPr>
        <w:t>24.</w:t>
      </w:r>
      <w:r w:rsidR="00467D18" w:rsidRPr="00754CC2">
        <w:rPr>
          <w:lang w:val="fr-FR"/>
        </w:rPr>
        <w:tab/>
        <w:t>Les données fournies par les membres de l</w:t>
      </w:r>
      <w:r w:rsidR="00FD700E" w:rsidRPr="00754CC2">
        <w:rPr>
          <w:lang w:val="fr-FR"/>
        </w:rPr>
        <w:t>’</w:t>
      </w:r>
      <w:r w:rsidR="00467D18" w:rsidRPr="00754CC2">
        <w:rPr>
          <w:lang w:val="fr-FR"/>
        </w:rPr>
        <w:t xml:space="preserve">Union pour la </w:t>
      </w:r>
      <w:hyperlink r:id="rId34" w:history="1">
        <w:r w:rsidR="00467D18" w:rsidRPr="00754CC2">
          <w:rPr>
            <w:rStyle w:val="Hyperlink"/>
            <w:lang w:val="fr-FR"/>
          </w:rPr>
          <w:t>base de données PLUTO sur les variétés végétales</w:t>
        </w:r>
      </w:hyperlink>
      <w:r w:rsidR="00467D18" w:rsidRPr="00754CC2">
        <w:rPr>
          <w:lang w:val="fr-FR"/>
        </w:rPr>
        <w:t xml:space="preserve"> apportent une aide en particulier dans le cadre de l</w:t>
      </w:r>
      <w:r w:rsidR="00FD700E" w:rsidRPr="00754CC2">
        <w:rPr>
          <w:lang w:val="fr-FR"/>
        </w:rPr>
        <w:t>’</w:t>
      </w:r>
      <w:r w:rsidR="00467D18" w:rsidRPr="00754CC2">
        <w:rPr>
          <w:lang w:val="fr-FR"/>
        </w:rPr>
        <w:t>examen des dénominations variétales.</w:t>
      </w:r>
    </w:p>
    <w:p w:rsidR="00C36DD4" w:rsidRPr="00754CC2" w:rsidRDefault="00C36DD4" w:rsidP="00467D18">
      <w:pPr>
        <w:rPr>
          <w:lang w:val="fr-FR"/>
        </w:rPr>
      </w:pPr>
    </w:p>
    <w:p w:rsidR="00C36DD4" w:rsidRPr="00754CC2" w:rsidRDefault="00147AC6" w:rsidP="00147AC6">
      <w:pPr>
        <w:rPr>
          <w:lang w:val="fr-FR"/>
        </w:rPr>
      </w:pPr>
      <w:r w:rsidRPr="00754CC2">
        <w:rPr>
          <w:lang w:val="fr-FR"/>
        </w:rPr>
        <w:t>25.</w:t>
      </w:r>
      <w:r w:rsidR="00467D18" w:rsidRPr="00754CC2">
        <w:rPr>
          <w:lang w:val="fr-FR"/>
        </w:rPr>
        <w:tab/>
        <w:t>Les membres de l</w:t>
      </w:r>
      <w:r w:rsidR="00FD700E" w:rsidRPr="00754CC2">
        <w:rPr>
          <w:lang w:val="fr-FR"/>
        </w:rPr>
        <w:t>’</w:t>
      </w:r>
      <w:r w:rsidR="00467D18" w:rsidRPr="00754CC2">
        <w:rPr>
          <w:lang w:val="fr-FR"/>
        </w:rPr>
        <w:t xml:space="preserve">Union </w:t>
      </w:r>
      <w:r w:rsidR="00C36DD4" w:rsidRPr="00754CC2">
        <w:rPr>
          <w:strike/>
          <w:highlight w:val="lightGray"/>
          <w:lang w:val="fr-FR"/>
        </w:rPr>
        <w:t xml:space="preserve">sont invités à fournir des données pour chaque nouvelle mise à jour de la base de données PLUTO sur les variétés végétales </w:t>
      </w:r>
      <w:r w:rsidR="00C36DD4" w:rsidRPr="00754CC2">
        <w:rPr>
          <w:strike/>
          <w:color w:val="000000"/>
          <w:highlight w:val="lightGray"/>
          <w:lang w:val="fr-FR"/>
        </w:rPr>
        <w:t xml:space="preserve">[on compte actuellement six mises à jour par année] </w:t>
      </w:r>
      <w:r w:rsidR="00467D18" w:rsidRPr="00754CC2">
        <w:rPr>
          <w:highlight w:val="lightGray"/>
          <w:u w:val="single"/>
          <w:lang w:val="fr-FR"/>
        </w:rPr>
        <w:t xml:space="preserve">sont </w:t>
      </w:r>
      <w:r w:rsidRPr="00754CC2">
        <w:rPr>
          <w:highlight w:val="lightGray"/>
          <w:u w:val="single"/>
          <w:lang w:val="fr-FR"/>
        </w:rPr>
        <w:t>encouragés</w:t>
      </w:r>
      <w:r w:rsidR="00467D18" w:rsidRPr="00754CC2">
        <w:rPr>
          <w:highlight w:val="lightGray"/>
          <w:u w:val="single"/>
          <w:lang w:val="fr-FR"/>
        </w:rPr>
        <w:t xml:space="preserve"> à fournir des données </w:t>
      </w:r>
      <w:r w:rsidRPr="00754CC2">
        <w:rPr>
          <w:highlight w:val="lightGray"/>
          <w:u w:val="single"/>
          <w:lang w:val="fr-FR"/>
        </w:rPr>
        <w:t>dès que possible après leur publication par l</w:t>
      </w:r>
      <w:r w:rsidR="00FD700E" w:rsidRPr="00754CC2">
        <w:rPr>
          <w:highlight w:val="lightGray"/>
          <w:u w:val="single"/>
          <w:lang w:val="fr-FR"/>
        </w:rPr>
        <w:t>’</w:t>
      </w:r>
      <w:r w:rsidRPr="00754CC2">
        <w:rPr>
          <w:highlight w:val="lightGray"/>
          <w:u w:val="single"/>
          <w:lang w:val="fr-FR"/>
        </w:rPr>
        <w:t>(les) autorité(s) concernée(s).  La base de données PLUTO sera mise à jour avec de nouvelles données aussi rapidement que possible après leur réception, conformément à la procédure de téléchargement.  La base de données PLUTO peut, au besoin, être mise à jour à l</w:t>
      </w:r>
      <w:r w:rsidR="00FD700E" w:rsidRPr="00754CC2">
        <w:rPr>
          <w:highlight w:val="lightGray"/>
          <w:u w:val="single"/>
          <w:lang w:val="fr-FR"/>
        </w:rPr>
        <w:t>’</w:t>
      </w:r>
      <w:r w:rsidRPr="00754CC2">
        <w:rPr>
          <w:highlight w:val="lightGray"/>
          <w:u w:val="single"/>
          <w:lang w:val="fr-FR"/>
        </w:rPr>
        <w:t>aide de données corrigées, conformément à la procédure de téléchargement.</w:t>
      </w:r>
    </w:p>
    <w:p w:rsidR="00C36DD4" w:rsidRPr="00754CC2" w:rsidRDefault="00C36DD4" w:rsidP="00467D18">
      <w:pPr>
        <w:rPr>
          <w:lang w:val="fr-FR"/>
        </w:rPr>
      </w:pPr>
    </w:p>
    <w:p w:rsidR="00C36DD4" w:rsidRPr="00754CC2" w:rsidRDefault="00467D18" w:rsidP="00347556">
      <w:pPr>
        <w:pStyle w:val="Heading3"/>
      </w:pPr>
      <w:bookmarkStart w:id="31" w:name="_Toc355191730"/>
      <w:bookmarkStart w:id="32" w:name="_Toc412041925"/>
      <w:r w:rsidRPr="00754CC2">
        <w:rPr>
          <w:strike/>
          <w:highlight w:val="lightGray"/>
        </w:rPr>
        <w:t>Logiciels échangeables</w:t>
      </w:r>
      <w:bookmarkEnd w:id="31"/>
      <w:r w:rsidR="009C7451" w:rsidRPr="00754CC2">
        <w:t xml:space="preserve"> </w:t>
      </w:r>
      <w:r w:rsidR="00235F38" w:rsidRPr="00754CC2">
        <w:rPr>
          <w:rFonts w:cs="Arial"/>
          <w:highlight w:val="lightGray"/>
        </w:rPr>
        <w:t>É</w:t>
      </w:r>
      <w:r w:rsidR="006A369A" w:rsidRPr="00754CC2">
        <w:rPr>
          <w:highlight w:val="lightGray"/>
        </w:rPr>
        <w:t xml:space="preserve">change </w:t>
      </w:r>
      <w:r w:rsidR="00235F38" w:rsidRPr="00754CC2">
        <w:rPr>
          <w:highlight w:val="lightGray"/>
        </w:rPr>
        <w:t>et</w:t>
      </w:r>
      <w:r w:rsidR="006A369A" w:rsidRPr="00754CC2">
        <w:rPr>
          <w:highlight w:val="lightGray"/>
        </w:rPr>
        <w:t xml:space="preserve"> </w:t>
      </w:r>
      <w:r w:rsidR="00235F38" w:rsidRPr="00754CC2">
        <w:rPr>
          <w:highlight w:val="lightGray"/>
        </w:rPr>
        <w:t>utilisation de logiciel</w:t>
      </w:r>
      <w:r w:rsidR="006A369A" w:rsidRPr="00754CC2">
        <w:rPr>
          <w:highlight w:val="lightGray"/>
        </w:rPr>
        <w:t>s</w:t>
      </w:r>
      <w:r w:rsidR="00235F38" w:rsidRPr="00754CC2">
        <w:rPr>
          <w:highlight w:val="lightGray"/>
        </w:rPr>
        <w:t xml:space="preserve"> </w:t>
      </w:r>
      <w:r w:rsidR="006A369A" w:rsidRPr="00754CC2">
        <w:rPr>
          <w:highlight w:val="lightGray"/>
        </w:rPr>
        <w:t>e</w:t>
      </w:r>
      <w:r w:rsidR="00235F38" w:rsidRPr="00754CC2">
        <w:rPr>
          <w:highlight w:val="lightGray"/>
        </w:rPr>
        <w:t>t</w:t>
      </w:r>
      <w:r w:rsidR="006A369A" w:rsidRPr="00754CC2">
        <w:rPr>
          <w:highlight w:val="lightGray"/>
        </w:rPr>
        <w:t xml:space="preserve"> </w:t>
      </w:r>
      <w:r w:rsidR="006976A5" w:rsidRPr="00754CC2">
        <w:rPr>
          <w:highlight w:val="lightGray"/>
        </w:rPr>
        <w:t>d</w:t>
      </w:r>
      <w:r w:rsidR="00FD700E" w:rsidRPr="00754CC2">
        <w:rPr>
          <w:highlight w:val="lightGray"/>
        </w:rPr>
        <w:t>’</w:t>
      </w:r>
      <w:r w:rsidR="00235F38" w:rsidRPr="00754CC2">
        <w:rPr>
          <w:highlight w:val="lightGray"/>
        </w:rPr>
        <w:t>é</w:t>
      </w:r>
      <w:r w:rsidR="006A369A" w:rsidRPr="00754CC2">
        <w:rPr>
          <w:highlight w:val="lightGray"/>
        </w:rPr>
        <w:t>quip</w:t>
      </w:r>
      <w:r w:rsidR="00235F38" w:rsidRPr="00754CC2">
        <w:rPr>
          <w:highlight w:val="lightGray"/>
        </w:rPr>
        <w:t>e</w:t>
      </w:r>
      <w:r w:rsidR="006A369A" w:rsidRPr="00754CC2">
        <w:rPr>
          <w:highlight w:val="lightGray"/>
        </w:rPr>
        <w:t>ment</w:t>
      </w:r>
      <w:r w:rsidR="00235F38" w:rsidRPr="00754CC2">
        <w:rPr>
          <w:highlight w:val="lightGray"/>
        </w:rPr>
        <w:t>s</w:t>
      </w:r>
      <w:r w:rsidR="006A369A" w:rsidRPr="00754CC2">
        <w:rPr>
          <w:rStyle w:val="EndnoteReference"/>
          <w:b/>
        </w:rPr>
        <w:endnoteReference w:id="2"/>
      </w:r>
      <w:bookmarkEnd w:id="32"/>
    </w:p>
    <w:p w:rsidR="00C36DD4" w:rsidRPr="00754CC2" w:rsidRDefault="00C36DD4" w:rsidP="00467D18">
      <w:pPr>
        <w:rPr>
          <w:lang w:val="fr-FR"/>
        </w:rPr>
      </w:pPr>
    </w:p>
    <w:p w:rsidR="00C36DD4" w:rsidRPr="00754CC2" w:rsidRDefault="00147AC6" w:rsidP="00467D18">
      <w:pPr>
        <w:rPr>
          <w:lang w:val="fr-FR"/>
        </w:rPr>
      </w:pPr>
      <w:r w:rsidRPr="00754CC2">
        <w:rPr>
          <w:lang w:val="fr-FR"/>
        </w:rPr>
        <w:t>26.</w:t>
      </w:r>
      <w:r w:rsidR="00235F38" w:rsidRPr="00754CC2">
        <w:rPr>
          <w:lang w:val="fr-FR"/>
        </w:rPr>
        <w:tab/>
      </w:r>
      <w:r w:rsidR="00235F38" w:rsidRPr="00754CC2">
        <w:rPr>
          <w:strike/>
          <w:highlight w:val="lightGray"/>
          <w:lang w:val="fr-FR"/>
        </w:rPr>
        <w:t>Le p</w:t>
      </w:r>
      <w:r w:rsidR="00467D18" w:rsidRPr="00754CC2">
        <w:rPr>
          <w:strike/>
          <w:highlight w:val="lightGray"/>
          <w:lang w:val="fr-FR"/>
        </w:rPr>
        <w:t>artage de logiciels</w:t>
      </w:r>
      <w:r w:rsidR="00467D18" w:rsidRPr="00754CC2">
        <w:rPr>
          <w:lang w:val="fr-FR"/>
        </w:rPr>
        <w:t xml:space="preserve"> </w:t>
      </w:r>
      <w:r w:rsidR="00235F38" w:rsidRPr="00754CC2">
        <w:rPr>
          <w:highlight w:val="lightGray"/>
          <w:u w:val="single"/>
          <w:lang w:val="fr-FR"/>
        </w:rPr>
        <w:t>L</w:t>
      </w:r>
      <w:r w:rsidR="00FD700E" w:rsidRPr="00754CC2">
        <w:rPr>
          <w:highlight w:val="lightGray"/>
          <w:u w:val="single"/>
          <w:lang w:val="fr-FR"/>
        </w:rPr>
        <w:t>’</w:t>
      </w:r>
      <w:r w:rsidR="00235F38" w:rsidRPr="00754CC2">
        <w:rPr>
          <w:highlight w:val="lightGray"/>
          <w:u w:val="single"/>
          <w:lang w:val="fr-FR"/>
        </w:rPr>
        <w:t>é</w:t>
      </w:r>
      <w:r w:rsidR="006A369A" w:rsidRPr="00754CC2">
        <w:rPr>
          <w:highlight w:val="lightGray"/>
          <w:u w:val="single"/>
          <w:lang w:val="fr-FR"/>
        </w:rPr>
        <w:t xml:space="preserve">change </w:t>
      </w:r>
      <w:r w:rsidR="00235F38" w:rsidRPr="00754CC2">
        <w:rPr>
          <w:highlight w:val="lightGray"/>
          <w:u w:val="single"/>
          <w:lang w:val="fr-FR"/>
        </w:rPr>
        <w:t>et</w:t>
      </w:r>
      <w:r w:rsidR="006A369A" w:rsidRPr="00754CC2">
        <w:rPr>
          <w:highlight w:val="lightGray"/>
          <w:u w:val="single"/>
          <w:lang w:val="fr-FR"/>
        </w:rPr>
        <w:t xml:space="preserve"> </w:t>
      </w:r>
      <w:r w:rsidR="00235F38" w:rsidRPr="00754CC2">
        <w:rPr>
          <w:highlight w:val="lightGray"/>
          <w:u w:val="single"/>
          <w:lang w:val="fr-FR"/>
        </w:rPr>
        <w:t>l</w:t>
      </w:r>
      <w:r w:rsidR="00FD700E" w:rsidRPr="00754CC2">
        <w:rPr>
          <w:highlight w:val="lightGray"/>
          <w:u w:val="single"/>
          <w:lang w:val="fr-FR"/>
        </w:rPr>
        <w:t>’</w:t>
      </w:r>
      <w:r w:rsidR="006A369A" w:rsidRPr="00754CC2">
        <w:rPr>
          <w:highlight w:val="lightGray"/>
          <w:u w:val="single"/>
          <w:lang w:val="fr-FR"/>
        </w:rPr>
        <w:t>u</w:t>
      </w:r>
      <w:r w:rsidR="00235F38" w:rsidRPr="00754CC2">
        <w:rPr>
          <w:highlight w:val="lightGray"/>
          <w:u w:val="single"/>
          <w:lang w:val="fr-FR"/>
        </w:rPr>
        <w:t>tilisation</w:t>
      </w:r>
      <w:r w:rsidR="006A369A" w:rsidRPr="00754CC2">
        <w:rPr>
          <w:highlight w:val="lightGray"/>
          <w:u w:val="single"/>
          <w:lang w:val="fr-FR"/>
        </w:rPr>
        <w:t xml:space="preserve"> </w:t>
      </w:r>
      <w:r w:rsidR="00235F38" w:rsidRPr="00754CC2">
        <w:rPr>
          <w:highlight w:val="lightGray"/>
          <w:u w:val="single"/>
          <w:lang w:val="fr-FR"/>
        </w:rPr>
        <w:t>de</w:t>
      </w:r>
      <w:r w:rsidR="006A369A" w:rsidRPr="00754CC2">
        <w:rPr>
          <w:highlight w:val="lightGray"/>
          <w:u w:val="single"/>
          <w:lang w:val="fr-FR"/>
        </w:rPr>
        <w:t xml:space="preserve"> </w:t>
      </w:r>
      <w:r w:rsidR="00235F38" w:rsidRPr="00754CC2">
        <w:rPr>
          <w:highlight w:val="lightGray"/>
          <w:u w:val="single"/>
          <w:lang w:val="fr-FR"/>
        </w:rPr>
        <w:t>logiciels</w:t>
      </w:r>
      <w:r w:rsidR="006A369A" w:rsidRPr="00754CC2">
        <w:rPr>
          <w:highlight w:val="lightGray"/>
          <w:u w:val="single"/>
          <w:lang w:val="fr-FR"/>
        </w:rPr>
        <w:t xml:space="preserve"> </w:t>
      </w:r>
      <w:r w:rsidR="00235F38" w:rsidRPr="00754CC2">
        <w:rPr>
          <w:highlight w:val="lightGray"/>
          <w:u w:val="single"/>
          <w:lang w:val="fr-FR"/>
        </w:rPr>
        <w:t xml:space="preserve">et </w:t>
      </w:r>
      <w:r w:rsidR="006A369A" w:rsidRPr="00754CC2">
        <w:rPr>
          <w:highlight w:val="lightGray"/>
          <w:u w:val="single"/>
          <w:lang w:val="fr-FR"/>
        </w:rPr>
        <w:t>d</w:t>
      </w:r>
      <w:r w:rsidR="00FD700E" w:rsidRPr="00754CC2">
        <w:rPr>
          <w:highlight w:val="lightGray"/>
          <w:u w:val="single"/>
          <w:lang w:val="fr-FR"/>
        </w:rPr>
        <w:t>’</w:t>
      </w:r>
      <w:r w:rsidR="00235F38" w:rsidRPr="00754CC2">
        <w:rPr>
          <w:highlight w:val="lightGray"/>
          <w:u w:val="single"/>
          <w:lang w:val="fr-FR"/>
        </w:rPr>
        <w:t>é</w:t>
      </w:r>
      <w:r w:rsidR="006A369A" w:rsidRPr="00754CC2">
        <w:rPr>
          <w:highlight w:val="lightGray"/>
          <w:u w:val="single"/>
          <w:lang w:val="fr-FR"/>
        </w:rPr>
        <w:t>quip</w:t>
      </w:r>
      <w:r w:rsidR="00235F38" w:rsidRPr="00754CC2">
        <w:rPr>
          <w:highlight w:val="lightGray"/>
          <w:u w:val="single"/>
          <w:lang w:val="fr-FR"/>
        </w:rPr>
        <w:t>e</w:t>
      </w:r>
      <w:r w:rsidR="006A369A" w:rsidRPr="00754CC2">
        <w:rPr>
          <w:highlight w:val="lightGray"/>
          <w:u w:val="single"/>
          <w:lang w:val="fr-FR"/>
        </w:rPr>
        <w:t>men</w:t>
      </w:r>
      <w:r w:rsidR="00235F38" w:rsidRPr="00754CC2">
        <w:rPr>
          <w:highlight w:val="lightGray"/>
          <w:u w:val="single"/>
          <w:lang w:val="fr-FR"/>
        </w:rPr>
        <w:t>ts</w:t>
      </w:r>
      <w:r w:rsidR="006A369A" w:rsidRPr="00754CC2">
        <w:rPr>
          <w:lang w:val="fr-FR"/>
        </w:rPr>
        <w:t xml:space="preserve"> </w:t>
      </w:r>
      <w:r w:rsidR="00467D18" w:rsidRPr="00754CC2">
        <w:rPr>
          <w:lang w:val="fr-FR"/>
        </w:rPr>
        <w:t>par les membres de l</w:t>
      </w:r>
      <w:r w:rsidR="00FD700E" w:rsidRPr="00754CC2">
        <w:rPr>
          <w:lang w:val="fr-FR"/>
        </w:rPr>
        <w:t>’</w:t>
      </w:r>
      <w:r w:rsidR="00467D18" w:rsidRPr="00754CC2">
        <w:rPr>
          <w:lang w:val="fr-FR"/>
        </w:rPr>
        <w:t>Union constitue un moyen important d</w:t>
      </w:r>
      <w:r w:rsidR="00FD700E" w:rsidRPr="00754CC2">
        <w:rPr>
          <w:lang w:val="fr-FR"/>
        </w:rPr>
        <w:t>’</w:t>
      </w:r>
      <w:r w:rsidR="00467D18" w:rsidRPr="00754CC2">
        <w:rPr>
          <w:lang w:val="fr-FR"/>
        </w:rPr>
        <w:t>appui à l</w:t>
      </w:r>
      <w:r w:rsidR="00FD700E" w:rsidRPr="00754CC2">
        <w:rPr>
          <w:lang w:val="fr-FR"/>
        </w:rPr>
        <w:t>’</w:t>
      </w:r>
      <w:r w:rsidR="00467D18" w:rsidRPr="00754CC2">
        <w:rPr>
          <w:lang w:val="fr-FR"/>
        </w:rPr>
        <w:t>examen des v</w:t>
      </w:r>
      <w:r w:rsidR="00235F38" w:rsidRPr="00754CC2">
        <w:rPr>
          <w:lang w:val="fr-FR"/>
        </w:rPr>
        <w:t xml:space="preserve">ariétés.  Les informations sur </w:t>
      </w:r>
      <w:r w:rsidR="00235F38" w:rsidRPr="00754CC2">
        <w:rPr>
          <w:strike/>
          <w:highlight w:val="lightGray"/>
          <w:lang w:val="fr-FR"/>
        </w:rPr>
        <w:t>le p</w:t>
      </w:r>
      <w:r w:rsidR="00467D18" w:rsidRPr="00754CC2">
        <w:rPr>
          <w:strike/>
          <w:highlight w:val="lightGray"/>
          <w:lang w:val="fr-FR"/>
        </w:rPr>
        <w:t>artage de logiciels</w:t>
      </w:r>
      <w:r w:rsidR="00467D18" w:rsidRPr="00754CC2">
        <w:rPr>
          <w:lang w:val="fr-FR"/>
        </w:rPr>
        <w:t xml:space="preserve"> </w:t>
      </w:r>
      <w:r w:rsidR="00235F38" w:rsidRPr="00754CC2">
        <w:rPr>
          <w:highlight w:val="lightGray"/>
          <w:u w:val="single"/>
          <w:lang w:val="fr-FR"/>
        </w:rPr>
        <w:t>l</w:t>
      </w:r>
      <w:r w:rsidR="00FD700E" w:rsidRPr="00754CC2">
        <w:rPr>
          <w:highlight w:val="lightGray"/>
          <w:u w:val="single"/>
          <w:lang w:val="fr-FR"/>
        </w:rPr>
        <w:t>’</w:t>
      </w:r>
      <w:r w:rsidR="00235F38" w:rsidRPr="00754CC2">
        <w:rPr>
          <w:highlight w:val="lightGray"/>
          <w:u w:val="single"/>
          <w:lang w:val="fr-FR"/>
        </w:rPr>
        <w:t>é</w:t>
      </w:r>
      <w:r w:rsidR="006A369A" w:rsidRPr="00754CC2">
        <w:rPr>
          <w:highlight w:val="lightGray"/>
          <w:u w:val="single"/>
          <w:lang w:val="fr-FR"/>
        </w:rPr>
        <w:t xml:space="preserve">change </w:t>
      </w:r>
      <w:r w:rsidR="00235F38" w:rsidRPr="00754CC2">
        <w:rPr>
          <w:highlight w:val="lightGray"/>
          <w:u w:val="single"/>
          <w:lang w:val="fr-FR"/>
        </w:rPr>
        <w:t>et l</w:t>
      </w:r>
      <w:r w:rsidR="00FD700E" w:rsidRPr="00754CC2">
        <w:rPr>
          <w:highlight w:val="lightGray"/>
          <w:u w:val="single"/>
          <w:lang w:val="fr-FR"/>
        </w:rPr>
        <w:t>’</w:t>
      </w:r>
      <w:r w:rsidR="006A369A" w:rsidRPr="00754CC2">
        <w:rPr>
          <w:highlight w:val="lightGray"/>
          <w:u w:val="single"/>
          <w:lang w:val="fr-FR"/>
        </w:rPr>
        <w:t>u</w:t>
      </w:r>
      <w:r w:rsidR="00235F38" w:rsidRPr="00754CC2">
        <w:rPr>
          <w:highlight w:val="lightGray"/>
          <w:u w:val="single"/>
          <w:lang w:val="fr-FR"/>
        </w:rPr>
        <w:t>tili</w:t>
      </w:r>
      <w:r w:rsidR="006A369A" w:rsidRPr="00754CC2">
        <w:rPr>
          <w:highlight w:val="lightGray"/>
          <w:u w:val="single"/>
          <w:lang w:val="fr-FR"/>
        </w:rPr>
        <w:t>s</w:t>
      </w:r>
      <w:r w:rsidR="00235F38" w:rsidRPr="00754CC2">
        <w:rPr>
          <w:highlight w:val="lightGray"/>
          <w:u w:val="single"/>
          <w:lang w:val="fr-FR"/>
        </w:rPr>
        <w:t>ation d</w:t>
      </w:r>
      <w:r w:rsidR="006A369A" w:rsidRPr="00754CC2">
        <w:rPr>
          <w:highlight w:val="lightGray"/>
          <w:u w:val="single"/>
          <w:lang w:val="fr-FR"/>
        </w:rPr>
        <w:t xml:space="preserve">e </w:t>
      </w:r>
      <w:r w:rsidR="00235F38" w:rsidRPr="00754CC2">
        <w:rPr>
          <w:highlight w:val="lightGray"/>
          <w:u w:val="single"/>
          <w:lang w:val="fr-FR"/>
        </w:rPr>
        <w:t>l</w:t>
      </w:r>
      <w:r w:rsidR="006A369A" w:rsidRPr="00754CC2">
        <w:rPr>
          <w:highlight w:val="lightGray"/>
          <w:u w:val="single"/>
          <w:lang w:val="fr-FR"/>
        </w:rPr>
        <w:t>o</w:t>
      </w:r>
      <w:r w:rsidR="00235F38" w:rsidRPr="00754CC2">
        <w:rPr>
          <w:highlight w:val="lightGray"/>
          <w:u w:val="single"/>
          <w:lang w:val="fr-FR"/>
        </w:rPr>
        <w:t>giciels et d</w:t>
      </w:r>
      <w:r w:rsidR="00FD700E" w:rsidRPr="00754CC2">
        <w:rPr>
          <w:highlight w:val="lightGray"/>
          <w:u w:val="single"/>
          <w:lang w:val="fr-FR"/>
        </w:rPr>
        <w:t>’</w:t>
      </w:r>
      <w:r w:rsidR="00235F38" w:rsidRPr="00754CC2">
        <w:rPr>
          <w:highlight w:val="lightGray"/>
          <w:u w:val="single"/>
          <w:lang w:val="fr-FR"/>
        </w:rPr>
        <w:t>é</w:t>
      </w:r>
      <w:r w:rsidR="006A369A" w:rsidRPr="00754CC2">
        <w:rPr>
          <w:highlight w:val="lightGray"/>
          <w:u w:val="single"/>
          <w:lang w:val="fr-FR"/>
        </w:rPr>
        <w:t>quip</w:t>
      </w:r>
      <w:r w:rsidR="00235F38" w:rsidRPr="00754CC2">
        <w:rPr>
          <w:highlight w:val="lightGray"/>
          <w:u w:val="single"/>
          <w:lang w:val="fr-FR"/>
        </w:rPr>
        <w:t>e</w:t>
      </w:r>
      <w:r w:rsidR="006A369A" w:rsidRPr="00754CC2">
        <w:rPr>
          <w:highlight w:val="lightGray"/>
          <w:u w:val="single"/>
          <w:lang w:val="fr-FR"/>
        </w:rPr>
        <w:t>men</w:t>
      </w:r>
      <w:r w:rsidR="00235F38" w:rsidRPr="00754CC2">
        <w:rPr>
          <w:highlight w:val="lightGray"/>
          <w:u w:val="single"/>
          <w:lang w:val="fr-FR"/>
        </w:rPr>
        <w:t>ts</w:t>
      </w:r>
      <w:r w:rsidR="006A369A" w:rsidRPr="00754CC2">
        <w:rPr>
          <w:lang w:val="fr-FR"/>
        </w:rPr>
        <w:t xml:space="preserve"> </w:t>
      </w:r>
      <w:r w:rsidR="00467D18" w:rsidRPr="00754CC2">
        <w:rPr>
          <w:lang w:val="fr-FR"/>
        </w:rPr>
        <w:t>figurent dans le</w:t>
      </w:r>
      <w:r w:rsidR="009C7451" w:rsidRPr="00754CC2">
        <w:rPr>
          <w:highlight w:val="lightGray"/>
          <w:u w:val="single"/>
          <w:lang w:val="fr-FR"/>
        </w:rPr>
        <w:t>s</w:t>
      </w:r>
      <w:r w:rsidR="00467D18" w:rsidRPr="00754CC2">
        <w:rPr>
          <w:lang w:val="fr-FR"/>
        </w:rPr>
        <w:t xml:space="preserve"> document</w:t>
      </w:r>
      <w:r w:rsidR="009C7451" w:rsidRPr="00754CC2">
        <w:rPr>
          <w:highlight w:val="lightGray"/>
          <w:u w:val="single"/>
          <w:lang w:val="fr-FR"/>
        </w:rPr>
        <w:t>s</w:t>
      </w:r>
      <w:r w:rsidR="00467D18" w:rsidRPr="00754CC2">
        <w:rPr>
          <w:lang w:val="fr-FR"/>
        </w:rPr>
        <w:t xml:space="preserve"> </w:t>
      </w:r>
      <w:hyperlink r:id="rId35" w:history="1">
        <w:r w:rsidR="00467D18" w:rsidRPr="00754CC2">
          <w:rPr>
            <w:rStyle w:val="Hyperlink"/>
            <w:lang w:val="fr-FR"/>
          </w:rPr>
          <w:t>UPOV/INF/16</w:t>
        </w:r>
      </w:hyperlink>
      <w:r w:rsidR="00467D18" w:rsidRPr="00754CC2">
        <w:rPr>
          <w:lang w:val="fr-FR"/>
        </w:rPr>
        <w:t xml:space="preserve"> “Logiciels échangeables”</w:t>
      </w:r>
      <w:r w:rsidR="009C7451" w:rsidRPr="00754CC2">
        <w:rPr>
          <w:lang w:val="fr-FR"/>
        </w:rPr>
        <w:t xml:space="preserve"> </w:t>
      </w:r>
      <w:r w:rsidR="009C7451" w:rsidRPr="00754CC2">
        <w:rPr>
          <w:highlight w:val="lightGray"/>
          <w:u w:val="single"/>
          <w:lang w:val="fr-FR"/>
        </w:rPr>
        <w:t xml:space="preserve">et </w:t>
      </w:r>
      <w:hyperlink r:id="rId36" w:history="1">
        <w:r w:rsidR="009C7451" w:rsidRPr="00754CC2">
          <w:rPr>
            <w:rStyle w:val="Hyperlink"/>
            <w:highlight w:val="lightGray"/>
            <w:lang w:val="fr-FR"/>
          </w:rPr>
          <w:t>UPOV/INF/22</w:t>
        </w:r>
      </w:hyperlink>
      <w:r w:rsidR="009C7451" w:rsidRPr="00754CC2">
        <w:rPr>
          <w:highlight w:val="lightGray"/>
          <w:u w:val="single"/>
          <w:lang w:val="fr-FR"/>
        </w:rPr>
        <w:t xml:space="preserve"> </w:t>
      </w:r>
      <w:r w:rsidR="009C7451" w:rsidRPr="00754CC2">
        <w:rPr>
          <w:color w:val="000000"/>
          <w:szCs w:val="18"/>
          <w:highlight w:val="lightGray"/>
          <w:u w:val="single"/>
          <w:lang w:val="fr-FR"/>
        </w:rPr>
        <w:t>“Logiciels et équipements utilisés par les membres de l</w:t>
      </w:r>
      <w:r w:rsidR="00FD700E" w:rsidRPr="00754CC2">
        <w:rPr>
          <w:color w:val="000000"/>
          <w:szCs w:val="18"/>
          <w:highlight w:val="lightGray"/>
          <w:u w:val="single"/>
          <w:lang w:val="fr-FR"/>
        </w:rPr>
        <w:t>’</w:t>
      </w:r>
      <w:r w:rsidR="009C7451" w:rsidRPr="00754CC2">
        <w:rPr>
          <w:color w:val="000000"/>
          <w:szCs w:val="18"/>
          <w:highlight w:val="lightGray"/>
          <w:u w:val="single"/>
          <w:lang w:val="fr-FR"/>
        </w:rPr>
        <w:t>Union”</w:t>
      </w:r>
      <w:r w:rsidR="00467D18" w:rsidRPr="00754CC2">
        <w:rPr>
          <w:lang w:val="fr-FR"/>
        </w:rPr>
        <w:t>.</w:t>
      </w:r>
    </w:p>
    <w:p w:rsidR="00C36DD4" w:rsidRPr="00754CC2" w:rsidRDefault="00C36DD4" w:rsidP="00467D18">
      <w:pPr>
        <w:rPr>
          <w:lang w:val="fr-FR"/>
        </w:rPr>
      </w:pPr>
    </w:p>
    <w:p w:rsidR="00556163" w:rsidRPr="00754CC2" w:rsidRDefault="00147AC6" w:rsidP="00467D18">
      <w:pPr>
        <w:rPr>
          <w:lang w:val="fr-FR"/>
        </w:rPr>
      </w:pPr>
      <w:r w:rsidRPr="00754CC2">
        <w:rPr>
          <w:lang w:val="fr-FR"/>
        </w:rPr>
        <w:t>27.</w:t>
      </w:r>
      <w:r w:rsidR="00467D18" w:rsidRPr="00754CC2">
        <w:rPr>
          <w:lang w:val="fr-FR"/>
        </w:rPr>
        <w:tab/>
        <w:t>Les logiciels qu</w:t>
      </w:r>
      <w:r w:rsidR="00FD700E" w:rsidRPr="00754CC2">
        <w:rPr>
          <w:lang w:val="fr-FR"/>
        </w:rPr>
        <w:t>’</w:t>
      </w:r>
      <w:r w:rsidR="00467D18" w:rsidRPr="00754CC2">
        <w:rPr>
          <w:lang w:val="fr-FR"/>
        </w:rPr>
        <w:t>il est proposé d</w:t>
      </w:r>
      <w:r w:rsidR="00FD700E" w:rsidRPr="00754CC2">
        <w:rPr>
          <w:lang w:val="fr-FR"/>
        </w:rPr>
        <w:t>’</w:t>
      </w:r>
      <w:r w:rsidR="00467D18" w:rsidRPr="00754CC2">
        <w:rPr>
          <w:lang w:val="fr-FR"/>
        </w:rPr>
        <w:t>inclure dans le document UPOV/INF/16 par les membres de l</w:t>
      </w:r>
      <w:r w:rsidR="00FD700E" w:rsidRPr="00754CC2">
        <w:rPr>
          <w:lang w:val="fr-FR"/>
        </w:rPr>
        <w:t>’</w:t>
      </w:r>
      <w:r w:rsidR="00467D18" w:rsidRPr="00754CC2">
        <w:rPr>
          <w:lang w:val="fr-FR"/>
        </w:rPr>
        <w:t>Union sont tout d</w:t>
      </w:r>
      <w:r w:rsidR="00FD700E" w:rsidRPr="00754CC2">
        <w:rPr>
          <w:lang w:val="fr-FR"/>
        </w:rPr>
        <w:t>’</w:t>
      </w:r>
      <w:r w:rsidR="00467D18" w:rsidRPr="00754CC2">
        <w:rPr>
          <w:lang w:val="fr-FR"/>
        </w:rPr>
        <w:t>abord soumis pour examen au Groupe de travail technique sur les systèmes d</w:t>
      </w:r>
      <w:r w:rsidR="00FD700E" w:rsidRPr="00754CC2">
        <w:rPr>
          <w:lang w:val="fr-FR"/>
        </w:rPr>
        <w:t>’</w:t>
      </w:r>
      <w:r w:rsidR="00467D18" w:rsidRPr="00754CC2">
        <w:rPr>
          <w:lang w:val="fr-FR"/>
        </w:rPr>
        <w:t>automatisation et les programmes d</w:t>
      </w:r>
      <w:r w:rsidR="00FD700E" w:rsidRPr="00754CC2">
        <w:rPr>
          <w:lang w:val="fr-FR"/>
        </w:rPr>
        <w:t>’</w:t>
      </w:r>
      <w:r w:rsidR="00467D18" w:rsidRPr="00754CC2">
        <w:rPr>
          <w:lang w:val="fr-FR"/>
        </w:rPr>
        <w:t>ordinateur (TWC).  En fonction des logiciels présentés et de l</w:t>
      </w:r>
      <w:r w:rsidR="00FD700E" w:rsidRPr="00754CC2">
        <w:rPr>
          <w:lang w:val="fr-FR"/>
        </w:rPr>
        <w:t>’</w:t>
      </w:r>
      <w:r w:rsidR="00467D18" w:rsidRPr="00754CC2">
        <w:rPr>
          <w:lang w:val="fr-FR"/>
        </w:rPr>
        <w:t>expérience des membres de l</w:t>
      </w:r>
      <w:r w:rsidR="00FD700E" w:rsidRPr="00754CC2">
        <w:rPr>
          <w:lang w:val="fr-FR"/>
        </w:rPr>
        <w:t>’</w:t>
      </w:r>
      <w:r w:rsidR="00467D18" w:rsidRPr="00754CC2">
        <w:rPr>
          <w:lang w:val="fr-FR"/>
        </w:rPr>
        <w:t>Union, le TWC formule une recommandation au</w:t>
      </w:r>
      <w:r w:rsidR="00FD700E" w:rsidRPr="00754CC2">
        <w:rPr>
          <w:lang w:val="fr-FR"/>
        </w:rPr>
        <w:t> TC</w:t>
      </w:r>
      <w:r w:rsidR="00467D18" w:rsidRPr="00754CC2">
        <w:rPr>
          <w:lang w:val="fr-FR"/>
        </w:rPr>
        <w:t xml:space="preserve"> en ce qui concerne la mention éventuelle de ces logiciels dans le document UPOV/INF/16.  Si le</w:t>
      </w:r>
      <w:r w:rsidR="00FD700E" w:rsidRPr="00754CC2">
        <w:rPr>
          <w:lang w:val="fr-FR"/>
        </w:rPr>
        <w:t> TC</w:t>
      </w:r>
      <w:r w:rsidR="00467D18" w:rsidRPr="00754CC2">
        <w:rPr>
          <w:lang w:val="fr-FR"/>
        </w:rPr>
        <w:t xml:space="preserve"> et</w:t>
      </w:r>
      <w:r w:rsidR="00556163" w:rsidRPr="00754CC2">
        <w:rPr>
          <w:lang w:val="fr-FR"/>
        </w:rPr>
        <w:t xml:space="preserve"> le CAJ</w:t>
      </w:r>
      <w:r w:rsidR="00467D18" w:rsidRPr="00754CC2">
        <w:rPr>
          <w:lang w:val="fr-FR"/>
        </w:rPr>
        <w:t xml:space="preserve"> formulent une recommandation positive, les logiciels seront mentionnés dans un projet de document UPOV/INF/16, qui sera </w:t>
      </w:r>
      <w:r w:rsidR="00467D18" w:rsidRPr="00754CC2">
        <w:rPr>
          <w:strike/>
          <w:highlight w:val="lightGray"/>
          <w:lang w:val="fr-FR"/>
        </w:rPr>
        <w:t>adopté</w:t>
      </w:r>
      <w:r w:rsidR="00467D18" w:rsidRPr="00754CC2">
        <w:rPr>
          <w:lang w:val="fr-FR"/>
        </w:rPr>
        <w:t xml:space="preserve"> </w:t>
      </w:r>
      <w:r w:rsidR="00235F38" w:rsidRPr="00754CC2">
        <w:rPr>
          <w:highlight w:val="lightGray"/>
          <w:u w:val="single"/>
          <w:lang w:val="fr-FR"/>
        </w:rPr>
        <w:t>examiné</w:t>
      </w:r>
      <w:r w:rsidR="006A369A" w:rsidRPr="00754CC2">
        <w:rPr>
          <w:lang w:val="fr-FR"/>
        </w:rPr>
        <w:t xml:space="preserve"> </w:t>
      </w:r>
      <w:r w:rsidR="00467D18" w:rsidRPr="00754CC2">
        <w:rPr>
          <w:lang w:val="fr-FR"/>
        </w:rPr>
        <w:t>par le Conseil</w:t>
      </w:r>
      <w:r w:rsidR="00235F38" w:rsidRPr="00754CC2">
        <w:rPr>
          <w:lang w:val="fr-FR"/>
        </w:rPr>
        <w:t xml:space="preserve"> </w:t>
      </w:r>
      <w:r w:rsidR="00235F38" w:rsidRPr="00754CC2">
        <w:rPr>
          <w:highlight w:val="lightGray"/>
          <w:u w:val="single"/>
          <w:lang w:val="fr-FR"/>
        </w:rPr>
        <w:t>en vue de son adoption</w:t>
      </w:r>
      <w:r w:rsidR="00467D18" w:rsidRPr="00754CC2">
        <w:rPr>
          <w:lang w:val="fr-FR"/>
        </w:rPr>
        <w:t>.</w:t>
      </w:r>
    </w:p>
    <w:p w:rsidR="00C36DD4" w:rsidRPr="00754CC2" w:rsidRDefault="00C36DD4" w:rsidP="00467D18">
      <w:pPr>
        <w:rPr>
          <w:lang w:val="fr-FR"/>
        </w:rPr>
      </w:pPr>
    </w:p>
    <w:p w:rsidR="00FD700E" w:rsidRPr="00754CC2" w:rsidRDefault="009C7451" w:rsidP="00C65B23">
      <w:pPr>
        <w:pStyle w:val="ListParagraph"/>
        <w:autoSpaceDE w:val="0"/>
        <w:autoSpaceDN w:val="0"/>
        <w:adjustRightInd w:val="0"/>
        <w:ind w:left="34"/>
        <w:rPr>
          <w:rFonts w:cs="Arial"/>
          <w:highlight w:val="lightGray"/>
          <w:u w:val="single"/>
          <w:lang w:val="fr-FR"/>
        </w:rPr>
      </w:pPr>
      <w:r w:rsidRPr="00754CC2">
        <w:rPr>
          <w:snapToGrid w:val="0"/>
          <w:highlight w:val="lightGray"/>
          <w:u w:val="single"/>
          <w:lang w:val="fr-FR"/>
        </w:rPr>
        <w:t>28.</w:t>
      </w:r>
      <w:r w:rsidRPr="00754CC2">
        <w:rPr>
          <w:snapToGrid w:val="0"/>
          <w:highlight w:val="lightGray"/>
          <w:u w:val="single"/>
          <w:lang w:val="fr-FR"/>
        </w:rPr>
        <w:tab/>
      </w:r>
      <w:r w:rsidR="00235F38" w:rsidRPr="00754CC2">
        <w:rPr>
          <w:snapToGrid w:val="0"/>
          <w:highlight w:val="lightGray"/>
          <w:u w:val="single"/>
          <w:lang w:val="fr-FR"/>
        </w:rPr>
        <w:t>Les logiciels/é</w:t>
      </w:r>
      <w:r w:rsidRPr="00754CC2">
        <w:rPr>
          <w:rFonts w:cs="Arial"/>
          <w:highlight w:val="lightGray"/>
          <w:u w:val="single"/>
          <w:lang w:val="fr-FR"/>
        </w:rPr>
        <w:t>quip</w:t>
      </w:r>
      <w:r w:rsidR="00235F38" w:rsidRPr="00754CC2">
        <w:rPr>
          <w:rFonts w:cs="Arial"/>
          <w:highlight w:val="lightGray"/>
          <w:u w:val="single"/>
          <w:lang w:val="fr-FR"/>
        </w:rPr>
        <w:t>e</w:t>
      </w:r>
      <w:r w:rsidRPr="00754CC2">
        <w:rPr>
          <w:rFonts w:cs="Arial"/>
          <w:highlight w:val="lightGray"/>
          <w:u w:val="single"/>
          <w:lang w:val="fr-FR"/>
        </w:rPr>
        <w:t>ment</w:t>
      </w:r>
      <w:r w:rsidR="00235F38" w:rsidRPr="00754CC2">
        <w:rPr>
          <w:rFonts w:cs="Arial"/>
          <w:highlight w:val="lightGray"/>
          <w:u w:val="single"/>
          <w:lang w:val="fr-FR"/>
        </w:rPr>
        <w:t>s</w:t>
      </w:r>
      <w:r w:rsidRPr="00754CC2">
        <w:rPr>
          <w:rFonts w:cs="Arial"/>
          <w:highlight w:val="lightGray"/>
          <w:u w:val="single"/>
          <w:lang w:val="fr-FR"/>
        </w:rPr>
        <w:t xml:space="preserve"> </w:t>
      </w:r>
      <w:r w:rsidR="00235F38" w:rsidRPr="00754CC2">
        <w:rPr>
          <w:rFonts w:cs="Arial"/>
          <w:highlight w:val="lightGray"/>
          <w:u w:val="single"/>
          <w:lang w:val="fr-FR"/>
        </w:rPr>
        <w:t>qu</w:t>
      </w:r>
      <w:r w:rsidR="00FD700E" w:rsidRPr="00754CC2">
        <w:rPr>
          <w:rFonts w:cs="Arial"/>
          <w:highlight w:val="lightGray"/>
          <w:u w:val="single"/>
          <w:lang w:val="fr-FR"/>
        </w:rPr>
        <w:t>’</w:t>
      </w:r>
      <w:r w:rsidR="00235F38" w:rsidRPr="00754CC2">
        <w:rPr>
          <w:rFonts w:cs="Arial"/>
          <w:highlight w:val="lightGray"/>
          <w:u w:val="single"/>
          <w:lang w:val="fr-FR"/>
        </w:rPr>
        <w:t xml:space="preserve">il est </w:t>
      </w:r>
      <w:r w:rsidRPr="00754CC2">
        <w:rPr>
          <w:rFonts w:cs="Arial"/>
          <w:highlight w:val="lightGray"/>
          <w:u w:val="single"/>
          <w:lang w:val="fr-FR"/>
        </w:rPr>
        <w:t>propos</w:t>
      </w:r>
      <w:r w:rsidR="00235F38" w:rsidRPr="00754CC2">
        <w:rPr>
          <w:rFonts w:cs="Arial"/>
          <w:highlight w:val="lightGray"/>
          <w:u w:val="single"/>
          <w:lang w:val="fr-FR"/>
        </w:rPr>
        <w:t>é</w:t>
      </w:r>
      <w:r w:rsidRPr="00754CC2">
        <w:rPr>
          <w:rFonts w:cs="Arial"/>
          <w:highlight w:val="lightGray"/>
          <w:u w:val="single"/>
          <w:lang w:val="fr-FR"/>
        </w:rPr>
        <w:t xml:space="preserve"> </w:t>
      </w:r>
      <w:r w:rsidR="00235F38" w:rsidRPr="00754CC2">
        <w:rPr>
          <w:rFonts w:cs="Arial"/>
          <w:highlight w:val="lightGray"/>
          <w:u w:val="single"/>
          <w:lang w:val="fr-FR"/>
        </w:rPr>
        <w:t>d</w:t>
      </w:r>
      <w:r w:rsidR="00FD700E" w:rsidRPr="00754CC2">
        <w:rPr>
          <w:rFonts w:cs="Arial"/>
          <w:highlight w:val="lightGray"/>
          <w:u w:val="single"/>
          <w:lang w:val="fr-FR"/>
        </w:rPr>
        <w:t>’</w:t>
      </w:r>
      <w:r w:rsidRPr="00754CC2">
        <w:rPr>
          <w:rFonts w:cs="Arial"/>
          <w:highlight w:val="lightGray"/>
          <w:u w:val="single"/>
          <w:lang w:val="fr-FR"/>
        </w:rPr>
        <w:t>inclu</w:t>
      </w:r>
      <w:r w:rsidR="00235F38" w:rsidRPr="00754CC2">
        <w:rPr>
          <w:rFonts w:cs="Arial"/>
          <w:highlight w:val="lightGray"/>
          <w:u w:val="single"/>
          <w:lang w:val="fr-FR"/>
        </w:rPr>
        <w:t>re dans le</w:t>
      </w:r>
      <w:r w:rsidRPr="00754CC2">
        <w:rPr>
          <w:rFonts w:cs="Arial"/>
          <w:highlight w:val="lightGray"/>
          <w:u w:val="single"/>
          <w:lang w:val="fr-FR"/>
        </w:rPr>
        <w:t xml:space="preserve"> document UPOV/INF/22 </w:t>
      </w:r>
      <w:r w:rsidR="00441051" w:rsidRPr="00754CC2">
        <w:rPr>
          <w:rFonts w:cs="Arial"/>
          <w:highlight w:val="lightGray"/>
          <w:u w:val="single"/>
          <w:lang w:val="fr-FR"/>
        </w:rPr>
        <w:t>par les membres de l</w:t>
      </w:r>
      <w:r w:rsidR="00FD700E" w:rsidRPr="00754CC2">
        <w:rPr>
          <w:rFonts w:cs="Arial"/>
          <w:highlight w:val="lightGray"/>
          <w:u w:val="single"/>
          <w:lang w:val="fr-FR"/>
        </w:rPr>
        <w:t>’</w:t>
      </w:r>
      <w:r w:rsidR="00441051" w:rsidRPr="00754CC2">
        <w:rPr>
          <w:rFonts w:cs="Arial"/>
          <w:highlight w:val="lightGray"/>
          <w:u w:val="single"/>
          <w:lang w:val="fr-FR"/>
        </w:rPr>
        <w:t xml:space="preserve">Union </w:t>
      </w:r>
      <w:r w:rsidR="00235F38" w:rsidRPr="00754CC2">
        <w:rPr>
          <w:rFonts w:cs="Arial"/>
          <w:highlight w:val="lightGray"/>
          <w:u w:val="single"/>
          <w:lang w:val="fr-FR"/>
        </w:rPr>
        <w:t>sont</w:t>
      </w:r>
      <w:r w:rsidRPr="00754CC2">
        <w:rPr>
          <w:rFonts w:cs="Arial"/>
          <w:highlight w:val="lightGray"/>
          <w:u w:val="single"/>
          <w:lang w:val="fr-FR"/>
        </w:rPr>
        <w:t xml:space="preserve">, </w:t>
      </w:r>
      <w:r w:rsidR="00441051" w:rsidRPr="00754CC2">
        <w:rPr>
          <w:rFonts w:cs="Arial"/>
          <w:highlight w:val="lightGray"/>
          <w:u w:val="single"/>
          <w:lang w:val="fr-FR"/>
        </w:rPr>
        <w:t>dans u</w:t>
      </w:r>
      <w:r w:rsidR="00235F38" w:rsidRPr="00754CC2">
        <w:rPr>
          <w:rFonts w:cs="Arial"/>
          <w:highlight w:val="lightGray"/>
          <w:u w:val="single"/>
          <w:lang w:val="fr-FR"/>
        </w:rPr>
        <w:t>n premie</w:t>
      </w:r>
      <w:r w:rsidR="00441051" w:rsidRPr="00754CC2">
        <w:rPr>
          <w:rFonts w:cs="Arial"/>
          <w:highlight w:val="lightGray"/>
          <w:u w:val="single"/>
          <w:lang w:val="fr-FR"/>
        </w:rPr>
        <w:t>r</w:t>
      </w:r>
      <w:r w:rsidR="006976A5" w:rsidRPr="00754CC2">
        <w:rPr>
          <w:rFonts w:cs="Arial"/>
          <w:highlight w:val="lightGray"/>
          <w:u w:val="single"/>
          <w:lang w:val="fr-FR"/>
        </w:rPr>
        <w:t> </w:t>
      </w:r>
      <w:r w:rsidR="00441051" w:rsidRPr="00754CC2">
        <w:rPr>
          <w:rFonts w:cs="Arial"/>
          <w:highlight w:val="lightGray"/>
          <w:u w:val="single"/>
          <w:lang w:val="fr-FR"/>
        </w:rPr>
        <w:t>temps, présentés au</w:t>
      </w:r>
      <w:r w:rsidR="00FD700E" w:rsidRPr="00754CC2">
        <w:rPr>
          <w:rFonts w:cs="Arial"/>
          <w:highlight w:val="lightGray"/>
          <w:u w:val="single"/>
          <w:lang w:val="fr-FR"/>
        </w:rPr>
        <w:t> TC</w:t>
      </w:r>
      <w:r w:rsidRPr="00754CC2">
        <w:rPr>
          <w:rFonts w:cs="Arial"/>
          <w:highlight w:val="lightGray"/>
          <w:u w:val="single"/>
          <w:lang w:val="fr-FR"/>
        </w:rPr>
        <w:t xml:space="preserve">.  </w:t>
      </w:r>
      <w:r w:rsidR="00441051" w:rsidRPr="00754CC2">
        <w:rPr>
          <w:rFonts w:cs="Arial"/>
          <w:highlight w:val="lightGray"/>
          <w:u w:val="single"/>
          <w:lang w:val="fr-FR"/>
        </w:rPr>
        <w:t>L</w:t>
      </w:r>
      <w:r w:rsidRPr="00754CC2">
        <w:rPr>
          <w:rFonts w:cs="Arial"/>
          <w:highlight w:val="lightGray"/>
          <w:u w:val="single"/>
          <w:lang w:val="fr-FR"/>
        </w:rPr>
        <w:t>e</w:t>
      </w:r>
      <w:r w:rsidR="00FD700E" w:rsidRPr="00754CC2">
        <w:rPr>
          <w:rFonts w:cs="Arial"/>
          <w:highlight w:val="lightGray"/>
          <w:u w:val="single"/>
          <w:lang w:val="fr-FR"/>
        </w:rPr>
        <w:t> TC</w:t>
      </w:r>
      <w:r w:rsidRPr="00754CC2">
        <w:rPr>
          <w:rFonts w:cs="Arial"/>
          <w:highlight w:val="lightGray"/>
          <w:u w:val="single"/>
          <w:lang w:val="fr-FR"/>
        </w:rPr>
        <w:t xml:space="preserve"> </w:t>
      </w:r>
      <w:r w:rsidR="00441051" w:rsidRPr="00754CC2">
        <w:rPr>
          <w:rFonts w:cs="Arial"/>
          <w:highlight w:val="lightGray"/>
          <w:u w:val="single"/>
          <w:lang w:val="fr-FR"/>
        </w:rPr>
        <w:t>décidera s</w:t>
      </w:r>
      <w:r w:rsidR="00FD700E" w:rsidRPr="00754CC2">
        <w:rPr>
          <w:rFonts w:cs="Arial"/>
          <w:highlight w:val="lightGray"/>
          <w:u w:val="single"/>
          <w:lang w:val="fr-FR"/>
        </w:rPr>
        <w:t>’</w:t>
      </w:r>
      <w:r w:rsidR="00441051" w:rsidRPr="00754CC2">
        <w:rPr>
          <w:rFonts w:cs="Arial"/>
          <w:highlight w:val="lightGray"/>
          <w:u w:val="single"/>
          <w:lang w:val="fr-FR"/>
        </w:rPr>
        <w:t>il convient de </w:t>
      </w:r>
      <w:r w:rsidRPr="00754CC2">
        <w:rPr>
          <w:rFonts w:cs="Arial"/>
          <w:highlight w:val="lightGray"/>
          <w:u w:val="single"/>
          <w:lang w:val="fr-FR"/>
        </w:rPr>
        <w:t>:</w:t>
      </w:r>
    </w:p>
    <w:p w:rsidR="009C7451" w:rsidRPr="00754CC2" w:rsidRDefault="009C7451" w:rsidP="00C65B23">
      <w:pPr>
        <w:pStyle w:val="ListParagraph"/>
        <w:autoSpaceDE w:val="0"/>
        <w:autoSpaceDN w:val="0"/>
        <w:adjustRightInd w:val="0"/>
        <w:ind w:left="34"/>
        <w:rPr>
          <w:rFonts w:eastAsiaTheme="minorEastAsia" w:cs="Arial"/>
          <w:highlight w:val="lightGray"/>
          <w:u w:val="single"/>
          <w:lang w:val="fr-FR" w:eastAsia="ja-JP"/>
        </w:rPr>
      </w:pPr>
    </w:p>
    <w:p w:rsidR="009C7451" w:rsidRPr="00754CC2" w:rsidRDefault="00441051" w:rsidP="00C65B23">
      <w:pPr>
        <w:pStyle w:val="ListParagraph"/>
        <w:numPr>
          <w:ilvl w:val="0"/>
          <w:numId w:val="6"/>
        </w:numPr>
        <w:autoSpaceDE w:val="0"/>
        <w:autoSpaceDN w:val="0"/>
        <w:adjustRightInd w:val="0"/>
        <w:ind w:left="1134" w:hanging="594"/>
        <w:rPr>
          <w:rFonts w:cs="Arial"/>
          <w:highlight w:val="lightGray"/>
          <w:u w:val="single"/>
          <w:lang w:val="fr-FR"/>
        </w:rPr>
      </w:pPr>
      <w:r w:rsidRPr="00754CC2">
        <w:rPr>
          <w:rFonts w:cs="Arial"/>
          <w:highlight w:val="lightGray"/>
          <w:u w:val="single"/>
          <w:lang w:val="fr-FR"/>
        </w:rPr>
        <w:t>p</w:t>
      </w:r>
      <w:r w:rsidR="009C7451" w:rsidRPr="00754CC2">
        <w:rPr>
          <w:rFonts w:cs="Arial"/>
          <w:highlight w:val="lightGray"/>
          <w:u w:val="single"/>
          <w:lang w:val="fr-FR"/>
        </w:rPr>
        <w:t>ropose</w:t>
      </w:r>
      <w:r w:rsidRPr="00754CC2">
        <w:rPr>
          <w:rFonts w:cs="Arial"/>
          <w:highlight w:val="lightGray"/>
          <w:u w:val="single"/>
          <w:lang w:val="fr-FR"/>
        </w:rPr>
        <w:t>r</w:t>
      </w:r>
      <w:r w:rsidR="009C7451" w:rsidRPr="00754CC2">
        <w:rPr>
          <w:rFonts w:cs="Arial"/>
          <w:highlight w:val="lightGray"/>
          <w:u w:val="single"/>
          <w:lang w:val="fr-FR"/>
        </w:rPr>
        <w:t xml:space="preserve"> </w:t>
      </w:r>
      <w:r w:rsidRPr="00754CC2">
        <w:rPr>
          <w:rFonts w:cs="Arial"/>
          <w:highlight w:val="lightGray"/>
          <w:u w:val="single"/>
          <w:lang w:val="fr-FR"/>
        </w:rPr>
        <w:t>d</w:t>
      </w:r>
      <w:r w:rsidR="00FD700E" w:rsidRPr="00754CC2">
        <w:rPr>
          <w:rFonts w:cs="Arial"/>
          <w:highlight w:val="lightGray"/>
          <w:u w:val="single"/>
          <w:lang w:val="fr-FR"/>
        </w:rPr>
        <w:t>’</w:t>
      </w:r>
      <w:r w:rsidR="009C7451" w:rsidRPr="00754CC2">
        <w:rPr>
          <w:rFonts w:cs="Arial"/>
          <w:highlight w:val="lightGray"/>
          <w:u w:val="single"/>
          <w:lang w:val="fr-FR"/>
        </w:rPr>
        <w:t>inclu</w:t>
      </w:r>
      <w:r w:rsidRPr="00754CC2">
        <w:rPr>
          <w:rFonts w:cs="Arial"/>
          <w:highlight w:val="lightGray"/>
          <w:u w:val="single"/>
          <w:lang w:val="fr-FR"/>
        </w:rPr>
        <w:t>r</w:t>
      </w:r>
      <w:r w:rsidR="009C7451" w:rsidRPr="00754CC2">
        <w:rPr>
          <w:rFonts w:cs="Arial"/>
          <w:highlight w:val="lightGray"/>
          <w:u w:val="single"/>
          <w:lang w:val="fr-FR"/>
        </w:rPr>
        <w:t xml:space="preserve">e </w:t>
      </w:r>
      <w:r w:rsidRPr="00754CC2">
        <w:rPr>
          <w:rFonts w:cs="Arial"/>
          <w:highlight w:val="lightGray"/>
          <w:u w:val="single"/>
          <w:lang w:val="fr-FR"/>
        </w:rPr>
        <w:t>les renseignements</w:t>
      </w:r>
      <w:r w:rsidR="009C7451" w:rsidRPr="00754CC2">
        <w:rPr>
          <w:rFonts w:cs="Arial"/>
          <w:highlight w:val="lightGray"/>
          <w:u w:val="single"/>
          <w:lang w:val="fr-FR"/>
        </w:rPr>
        <w:t xml:space="preserve"> </w:t>
      </w:r>
      <w:r w:rsidRPr="00754CC2">
        <w:rPr>
          <w:rFonts w:cs="Arial"/>
          <w:highlight w:val="lightGray"/>
          <w:u w:val="single"/>
          <w:lang w:val="fr-FR"/>
        </w:rPr>
        <w:t>da</w:t>
      </w:r>
      <w:r w:rsidR="009C7451" w:rsidRPr="00754CC2">
        <w:rPr>
          <w:rFonts w:cs="Arial"/>
          <w:highlight w:val="lightGray"/>
          <w:u w:val="single"/>
          <w:lang w:val="fr-FR"/>
        </w:rPr>
        <w:t>n</w:t>
      </w:r>
      <w:r w:rsidRPr="00754CC2">
        <w:rPr>
          <w:rFonts w:cs="Arial"/>
          <w:highlight w:val="lightGray"/>
          <w:u w:val="single"/>
          <w:lang w:val="fr-FR"/>
        </w:rPr>
        <w:t>s</w:t>
      </w:r>
      <w:r w:rsidR="009C7451" w:rsidRPr="00754CC2">
        <w:rPr>
          <w:rFonts w:cs="Arial"/>
          <w:highlight w:val="lightGray"/>
          <w:u w:val="single"/>
          <w:lang w:val="fr-FR"/>
        </w:rPr>
        <w:t xml:space="preserve"> </w:t>
      </w:r>
      <w:r w:rsidRPr="00754CC2">
        <w:rPr>
          <w:rFonts w:cs="Arial"/>
          <w:highlight w:val="lightGray"/>
          <w:u w:val="single"/>
          <w:lang w:val="fr-FR"/>
        </w:rPr>
        <w:t>l</w:t>
      </w:r>
      <w:r w:rsidR="009C7451" w:rsidRPr="00754CC2">
        <w:rPr>
          <w:rFonts w:cs="Arial"/>
          <w:highlight w:val="lightGray"/>
          <w:u w:val="single"/>
          <w:lang w:val="fr-FR"/>
        </w:rPr>
        <w:t>e document;</w:t>
      </w:r>
    </w:p>
    <w:p w:rsidR="009C7451" w:rsidRPr="00754CC2" w:rsidRDefault="00441051" w:rsidP="00C65B23">
      <w:pPr>
        <w:pStyle w:val="ListParagraph"/>
        <w:numPr>
          <w:ilvl w:val="0"/>
          <w:numId w:val="6"/>
        </w:numPr>
        <w:autoSpaceDE w:val="0"/>
        <w:autoSpaceDN w:val="0"/>
        <w:adjustRightInd w:val="0"/>
        <w:ind w:left="1134" w:hanging="594"/>
        <w:rPr>
          <w:rFonts w:cs="Arial"/>
          <w:highlight w:val="lightGray"/>
          <w:u w:val="single"/>
          <w:lang w:val="fr-FR"/>
        </w:rPr>
      </w:pPr>
      <w:r w:rsidRPr="00754CC2">
        <w:rPr>
          <w:rFonts w:cs="Arial"/>
          <w:highlight w:val="lightGray"/>
          <w:u w:val="single"/>
          <w:lang w:val="fr-FR"/>
        </w:rPr>
        <w:t>solliciter des orientations supplémentaires à d</w:t>
      </w:r>
      <w:r w:rsidR="00FD700E" w:rsidRPr="00754CC2">
        <w:rPr>
          <w:rFonts w:cs="Arial"/>
          <w:highlight w:val="lightGray"/>
          <w:u w:val="single"/>
          <w:lang w:val="fr-FR"/>
        </w:rPr>
        <w:t>’</w:t>
      </w:r>
      <w:r w:rsidRPr="00754CC2">
        <w:rPr>
          <w:rFonts w:cs="Arial"/>
          <w:highlight w:val="lightGray"/>
          <w:u w:val="single"/>
          <w:lang w:val="fr-FR"/>
        </w:rPr>
        <w:t>autres organes concernés</w:t>
      </w:r>
      <w:r w:rsidR="009C7451" w:rsidRPr="00754CC2">
        <w:rPr>
          <w:rFonts w:cs="Arial"/>
          <w:highlight w:val="lightGray"/>
          <w:u w:val="single"/>
          <w:lang w:val="fr-FR"/>
        </w:rPr>
        <w:t xml:space="preserve"> (</w:t>
      </w:r>
      <w:r w:rsidRPr="00754CC2">
        <w:rPr>
          <w:rFonts w:cs="Arial"/>
          <w:highlight w:val="lightGray"/>
          <w:u w:val="single"/>
          <w:lang w:val="fr-FR"/>
        </w:rPr>
        <w:t>comm</w:t>
      </w:r>
      <w:r w:rsidR="009C7451" w:rsidRPr="00754CC2">
        <w:rPr>
          <w:rFonts w:cs="Arial"/>
          <w:highlight w:val="lightGray"/>
          <w:u w:val="single"/>
          <w:lang w:val="fr-FR"/>
        </w:rPr>
        <w:t>e</w:t>
      </w:r>
      <w:r w:rsidR="00FD700E" w:rsidRPr="00754CC2">
        <w:rPr>
          <w:rFonts w:cs="Arial"/>
          <w:highlight w:val="lightGray"/>
          <w:u w:val="single"/>
          <w:lang w:val="fr-FR"/>
        </w:rPr>
        <w:t xml:space="preserve"> le CAJ</w:t>
      </w:r>
      <w:r w:rsidR="009C7451" w:rsidRPr="00754CC2">
        <w:rPr>
          <w:rFonts w:cs="Arial"/>
          <w:highlight w:val="lightGray"/>
          <w:u w:val="single"/>
          <w:lang w:val="fr-FR"/>
        </w:rPr>
        <w:t xml:space="preserve"> </w:t>
      </w:r>
      <w:r w:rsidRPr="00754CC2">
        <w:rPr>
          <w:rFonts w:cs="Arial"/>
          <w:highlight w:val="lightGray"/>
          <w:u w:val="single"/>
          <w:lang w:val="fr-FR"/>
        </w:rPr>
        <w:t>et</w:t>
      </w:r>
      <w:r w:rsidR="00FD700E" w:rsidRPr="00754CC2">
        <w:rPr>
          <w:rFonts w:cs="Arial"/>
          <w:highlight w:val="lightGray"/>
          <w:u w:val="single"/>
          <w:lang w:val="fr-FR"/>
        </w:rPr>
        <w:t xml:space="preserve"> les TWP</w:t>
      </w:r>
      <w:r w:rsidR="009C7451" w:rsidRPr="00754CC2">
        <w:rPr>
          <w:rFonts w:cs="Arial"/>
          <w:highlight w:val="lightGray"/>
          <w:u w:val="single"/>
          <w:lang w:val="fr-FR"/>
        </w:rPr>
        <w:t>);  o</w:t>
      </w:r>
      <w:r w:rsidRPr="00754CC2">
        <w:rPr>
          <w:rFonts w:cs="Arial"/>
          <w:highlight w:val="lightGray"/>
          <w:u w:val="single"/>
          <w:lang w:val="fr-FR"/>
        </w:rPr>
        <w:t>u</w:t>
      </w:r>
    </w:p>
    <w:p w:rsidR="009C7451" w:rsidRPr="00754CC2" w:rsidRDefault="009C7451" w:rsidP="00C65B23">
      <w:pPr>
        <w:pStyle w:val="ListParagraph"/>
        <w:numPr>
          <w:ilvl w:val="0"/>
          <w:numId w:val="6"/>
        </w:numPr>
        <w:autoSpaceDE w:val="0"/>
        <w:autoSpaceDN w:val="0"/>
        <w:adjustRightInd w:val="0"/>
        <w:ind w:left="1134" w:hanging="594"/>
        <w:rPr>
          <w:rFonts w:cs="Arial"/>
          <w:highlight w:val="lightGray"/>
          <w:u w:val="single"/>
          <w:lang w:val="fr-FR"/>
        </w:rPr>
      </w:pPr>
      <w:r w:rsidRPr="00754CC2">
        <w:rPr>
          <w:rFonts w:cs="Arial"/>
          <w:highlight w:val="lightGray"/>
          <w:u w:val="single"/>
          <w:lang w:val="fr-FR"/>
        </w:rPr>
        <w:t>propose</w:t>
      </w:r>
      <w:r w:rsidR="00441051" w:rsidRPr="00754CC2">
        <w:rPr>
          <w:rFonts w:cs="Arial"/>
          <w:highlight w:val="lightGray"/>
          <w:u w:val="single"/>
          <w:lang w:val="fr-FR"/>
        </w:rPr>
        <w:t>r</w:t>
      </w:r>
      <w:r w:rsidRPr="00754CC2">
        <w:rPr>
          <w:rFonts w:cs="Arial"/>
          <w:highlight w:val="lightGray"/>
          <w:u w:val="single"/>
          <w:lang w:val="fr-FR"/>
        </w:rPr>
        <w:t xml:space="preserve"> </w:t>
      </w:r>
      <w:r w:rsidR="00441051" w:rsidRPr="00754CC2">
        <w:rPr>
          <w:rFonts w:cs="Arial"/>
          <w:highlight w:val="lightGray"/>
          <w:u w:val="single"/>
          <w:lang w:val="fr-FR"/>
        </w:rPr>
        <w:t>de ne pas</w:t>
      </w:r>
      <w:r w:rsidRPr="00754CC2">
        <w:rPr>
          <w:rFonts w:cs="Arial"/>
          <w:highlight w:val="lightGray"/>
          <w:u w:val="single"/>
          <w:lang w:val="fr-FR"/>
        </w:rPr>
        <w:t xml:space="preserve"> inclu</w:t>
      </w:r>
      <w:r w:rsidR="00441051" w:rsidRPr="00754CC2">
        <w:rPr>
          <w:rFonts w:cs="Arial"/>
          <w:highlight w:val="lightGray"/>
          <w:u w:val="single"/>
          <w:lang w:val="fr-FR"/>
        </w:rPr>
        <w:t>r</w:t>
      </w:r>
      <w:r w:rsidRPr="00754CC2">
        <w:rPr>
          <w:rFonts w:cs="Arial"/>
          <w:highlight w:val="lightGray"/>
          <w:u w:val="single"/>
          <w:lang w:val="fr-FR"/>
        </w:rPr>
        <w:t xml:space="preserve">e </w:t>
      </w:r>
      <w:r w:rsidR="00441051" w:rsidRPr="00754CC2">
        <w:rPr>
          <w:rFonts w:cs="Arial"/>
          <w:highlight w:val="lightGray"/>
          <w:u w:val="single"/>
          <w:lang w:val="fr-FR"/>
        </w:rPr>
        <w:t>les renseignements dans l</w:t>
      </w:r>
      <w:r w:rsidRPr="00754CC2">
        <w:rPr>
          <w:rFonts w:cs="Arial"/>
          <w:highlight w:val="lightGray"/>
          <w:u w:val="single"/>
          <w:lang w:val="fr-FR"/>
        </w:rPr>
        <w:t>e document.</w:t>
      </w:r>
    </w:p>
    <w:p w:rsidR="009C7451" w:rsidRPr="00754CC2" w:rsidRDefault="009C7451" w:rsidP="00C65B23">
      <w:pPr>
        <w:pStyle w:val="ListParagraph"/>
        <w:autoSpaceDE w:val="0"/>
        <w:autoSpaceDN w:val="0"/>
        <w:adjustRightInd w:val="0"/>
        <w:ind w:left="34"/>
        <w:rPr>
          <w:rFonts w:cs="Arial"/>
          <w:highlight w:val="lightGray"/>
          <w:u w:val="single"/>
          <w:lang w:val="fr-FR"/>
        </w:rPr>
      </w:pPr>
    </w:p>
    <w:p w:rsidR="009C7451" w:rsidRPr="00754CC2" w:rsidRDefault="00441051" w:rsidP="00C65B23">
      <w:pPr>
        <w:pStyle w:val="ListParagraph"/>
        <w:autoSpaceDE w:val="0"/>
        <w:autoSpaceDN w:val="0"/>
        <w:adjustRightInd w:val="0"/>
        <w:ind w:left="34"/>
        <w:rPr>
          <w:rFonts w:cs="Arial"/>
          <w:u w:val="single"/>
          <w:lang w:val="fr-FR"/>
        </w:rPr>
      </w:pPr>
      <w:r w:rsidRPr="00754CC2">
        <w:rPr>
          <w:rFonts w:cs="Arial"/>
          <w:highlight w:val="lightGray"/>
          <w:u w:val="single"/>
          <w:lang w:val="fr-FR"/>
        </w:rPr>
        <w:t>Au cas où le</w:t>
      </w:r>
      <w:r w:rsidR="00FD700E" w:rsidRPr="00754CC2">
        <w:rPr>
          <w:rFonts w:cs="Arial"/>
          <w:highlight w:val="lightGray"/>
          <w:u w:val="single"/>
          <w:lang w:val="fr-FR"/>
        </w:rPr>
        <w:t> TC</w:t>
      </w:r>
      <w:r w:rsidRPr="00754CC2">
        <w:rPr>
          <w:rFonts w:cs="Arial"/>
          <w:highlight w:val="lightGray"/>
          <w:u w:val="single"/>
          <w:lang w:val="fr-FR"/>
        </w:rPr>
        <w:t xml:space="preserve"> et, ultérieurement,</w:t>
      </w:r>
      <w:r w:rsidR="00FD700E" w:rsidRPr="00754CC2">
        <w:rPr>
          <w:rFonts w:cs="Arial"/>
          <w:highlight w:val="lightGray"/>
          <w:u w:val="single"/>
          <w:lang w:val="fr-FR"/>
        </w:rPr>
        <w:t xml:space="preserve"> le CAJ</w:t>
      </w:r>
      <w:r w:rsidRPr="00754CC2">
        <w:rPr>
          <w:rFonts w:cs="Arial"/>
          <w:highlight w:val="lightGray"/>
          <w:u w:val="single"/>
          <w:lang w:val="fr-FR"/>
        </w:rPr>
        <w:t xml:space="preserve"> font une recommandation positive, la liste des logiciels/équipements sera incorporée dans un projet d</w:t>
      </w:r>
      <w:r w:rsidR="009E1E92" w:rsidRPr="00754CC2">
        <w:rPr>
          <w:rFonts w:cs="Arial"/>
          <w:highlight w:val="lightGray"/>
          <w:u w:val="single"/>
          <w:lang w:val="fr-FR"/>
        </w:rPr>
        <w:t>e</w:t>
      </w:r>
      <w:r w:rsidRPr="00754CC2">
        <w:rPr>
          <w:rFonts w:cs="Arial"/>
          <w:highlight w:val="lightGray"/>
          <w:u w:val="single"/>
          <w:lang w:val="fr-FR"/>
        </w:rPr>
        <w:t xml:space="preserve"> document UPOV/INF/22, pour adoption éventuelle par le Conseil</w:t>
      </w:r>
      <w:r w:rsidR="009C7451" w:rsidRPr="00754CC2">
        <w:rPr>
          <w:snapToGrid w:val="0"/>
          <w:highlight w:val="lightGray"/>
          <w:u w:val="single"/>
          <w:lang w:val="fr-FR"/>
        </w:rPr>
        <w:t>.</w:t>
      </w:r>
    </w:p>
    <w:p w:rsidR="009C7451" w:rsidRPr="00754CC2" w:rsidRDefault="009C7451" w:rsidP="009C7451">
      <w:pPr>
        <w:rPr>
          <w:lang w:val="fr-FR"/>
        </w:rPr>
      </w:pPr>
    </w:p>
    <w:p w:rsidR="00C36DD4" w:rsidRPr="00754CC2" w:rsidRDefault="00147AC6" w:rsidP="00467D18">
      <w:pPr>
        <w:rPr>
          <w:lang w:val="fr-FR"/>
        </w:rPr>
      </w:pPr>
      <w:r w:rsidRPr="00754CC2">
        <w:rPr>
          <w:lang w:val="fr-FR"/>
        </w:rPr>
        <w:t>2</w:t>
      </w:r>
      <w:r w:rsidR="009C7451" w:rsidRPr="00754CC2">
        <w:rPr>
          <w:lang w:val="fr-FR"/>
        </w:rPr>
        <w:t>9</w:t>
      </w:r>
      <w:r w:rsidRPr="00754CC2">
        <w:rPr>
          <w:lang w:val="fr-FR"/>
        </w:rPr>
        <w:t>.</w:t>
      </w:r>
      <w:r w:rsidR="00467D18" w:rsidRPr="00754CC2">
        <w:rPr>
          <w:lang w:val="fr-FR"/>
        </w:rPr>
        <w:tab/>
        <w:t xml:space="preserve">Une circulaire </w:t>
      </w:r>
      <w:r w:rsidR="009E1E92" w:rsidRPr="00754CC2">
        <w:rPr>
          <w:lang w:val="fr-FR"/>
        </w:rPr>
        <w:t>du</w:t>
      </w:r>
      <w:r w:rsidR="00FD700E" w:rsidRPr="00754CC2">
        <w:rPr>
          <w:lang w:val="fr-FR"/>
        </w:rPr>
        <w:t> TC</w:t>
      </w:r>
      <w:r w:rsidR="009E1E92" w:rsidRPr="00754CC2">
        <w:rPr>
          <w:lang w:val="fr-FR"/>
        </w:rPr>
        <w:t xml:space="preserve"> </w:t>
      </w:r>
      <w:r w:rsidR="00467D18" w:rsidRPr="00754CC2">
        <w:rPr>
          <w:lang w:val="fr-FR"/>
        </w:rPr>
        <w:t>est diffusée aux membres de l</w:t>
      </w:r>
      <w:r w:rsidR="00FD700E" w:rsidRPr="00754CC2">
        <w:rPr>
          <w:lang w:val="fr-FR"/>
        </w:rPr>
        <w:t>’</w:t>
      </w:r>
      <w:r w:rsidR="00467D18" w:rsidRPr="00754CC2">
        <w:rPr>
          <w:lang w:val="fr-FR"/>
        </w:rPr>
        <w:t xml:space="preserve">Union chaque année, en vue de les inviter à donner des renseignements sur leur utilisation des logiciels </w:t>
      </w:r>
      <w:r w:rsidR="009E1E92" w:rsidRPr="00754CC2">
        <w:rPr>
          <w:highlight w:val="lightGray"/>
          <w:u w:val="single"/>
          <w:lang w:val="fr-FR"/>
        </w:rPr>
        <w:t>et</w:t>
      </w:r>
      <w:r w:rsidR="009C7451" w:rsidRPr="00754CC2">
        <w:rPr>
          <w:highlight w:val="lightGray"/>
          <w:u w:val="single"/>
          <w:lang w:val="fr-FR"/>
        </w:rPr>
        <w:t xml:space="preserve"> </w:t>
      </w:r>
      <w:r w:rsidR="009E1E92" w:rsidRPr="00754CC2">
        <w:rPr>
          <w:highlight w:val="lightGray"/>
          <w:u w:val="single"/>
          <w:lang w:val="fr-FR"/>
        </w:rPr>
        <w:t>é</w:t>
      </w:r>
      <w:r w:rsidR="009C7451" w:rsidRPr="00754CC2">
        <w:rPr>
          <w:highlight w:val="lightGray"/>
          <w:u w:val="single"/>
          <w:lang w:val="fr-FR"/>
        </w:rPr>
        <w:t>quip</w:t>
      </w:r>
      <w:r w:rsidR="009E1E92" w:rsidRPr="00754CC2">
        <w:rPr>
          <w:highlight w:val="lightGray"/>
          <w:u w:val="single"/>
          <w:lang w:val="fr-FR"/>
        </w:rPr>
        <w:t>e</w:t>
      </w:r>
      <w:r w:rsidR="009C7451" w:rsidRPr="00754CC2">
        <w:rPr>
          <w:highlight w:val="lightGray"/>
          <w:u w:val="single"/>
          <w:lang w:val="fr-FR"/>
        </w:rPr>
        <w:t>men</w:t>
      </w:r>
      <w:r w:rsidR="009E1E92" w:rsidRPr="00754CC2">
        <w:rPr>
          <w:highlight w:val="lightGray"/>
          <w:u w:val="single"/>
          <w:lang w:val="fr-FR"/>
        </w:rPr>
        <w:t>ts</w:t>
      </w:r>
      <w:r w:rsidR="009C7451" w:rsidRPr="00754CC2">
        <w:rPr>
          <w:lang w:val="fr-FR"/>
        </w:rPr>
        <w:t xml:space="preserve"> </w:t>
      </w:r>
      <w:r w:rsidR="00467D18" w:rsidRPr="00754CC2">
        <w:rPr>
          <w:lang w:val="fr-FR"/>
        </w:rPr>
        <w:t>figurant dans le</w:t>
      </w:r>
      <w:r w:rsidR="009C7451" w:rsidRPr="00754CC2">
        <w:rPr>
          <w:highlight w:val="lightGray"/>
          <w:u w:val="single"/>
          <w:lang w:val="fr-FR"/>
        </w:rPr>
        <w:t>s</w:t>
      </w:r>
      <w:r w:rsidR="00467D18" w:rsidRPr="00754CC2">
        <w:rPr>
          <w:lang w:val="fr-FR"/>
        </w:rPr>
        <w:t xml:space="preserve"> document</w:t>
      </w:r>
      <w:r w:rsidR="009C7451" w:rsidRPr="00754CC2">
        <w:rPr>
          <w:highlight w:val="lightGray"/>
          <w:u w:val="single"/>
          <w:lang w:val="fr-FR"/>
        </w:rPr>
        <w:t>s</w:t>
      </w:r>
      <w:r w:rsidR="00467D18" w:rsidRPr="00754CC2">
        <w:rPr>
          <w:lang w:val="fr-FR"/>
        </w:rPr>
        <w:t xml:space="preserve"> UPOV/INF/16</w:t>
      </w:r>
      <w:r w:rsidR="009C7451" w:rsidRPr="00754CC2">
        <w:rPr>
          <w:lang w:val="fr-FR"/>
        </w:rPr>
        <w:t xml:space="preserve"> </w:t>
      </w:r>
      <w:r w:rsidR="009C7451" w:rsidRPr="00754CC2">
        <w:rPr>
          <w:highlight w:val="lightGray"/>
          <w:u w:val="single"/>
          <w:lang w:val="fr-FR"/>
        </w:rPr>
        <w:t>et UPOV/INF/22</w:t>
      </w:r>
      <w:r w:rsidR="00467D18" w:rsidRPr="00754CC2">
        <w:rPr>
          <w:lang w:val="fr-FR"/>
        </w:rPr>
        <w:t>.</w:t>
      </w:r>
    </w:p>
    <w:p w:rsidR="00C36DD4" w:rsidRPr="00754CC2" w:rsidRDefault="00C36DD4" w:rsidP="00467D18">
      <w:pPr>
        <w:rPr>
          <w:lang w:val="fr-FR"/>
        </w:rPr>
      </w:pPr>
    </w:p>
    <w:p w:rsidR="00C36DD4" w:rsidRPr="00754CC2" w:rsidRDefault="00467D18" w:rsidP="00347556">
      <w:pPr>
        <w:pStyle w:val="Heading3"/>
      </w:pPr>
      <w:bookmarkStart w:id="33" w:name="_Toc355191731"/>
      <w:bookmarkStart w:id="34" w:name="_Toc412041926"/>
      <w:r w:rsidRPr="00754CC2">
        <w:t>Statistiques sur la protection des obtentions végétales</w:t>
      </w:r>
      <w:bookmarkEnd w:id="33"/>
      <w:bookmarkEnd w:id="34"/>
    </w:p>
    <w:p w:rsidR="00C36DD4" w:rsidRPr="00754CC2" w:rsidRDefault="00C36DD4" w:rsidP="006C6491">
      <w:pPr>
        <w:keepNext/>
        <w:rPr>
          <w:lang w:val="fr-FR"/>
        </w:rPr>
      </w:pPr>
    </w:p>
    <w:p w:rsidR="00C36DD4" w:rsidRPr="00754CC2" w:rsidRDefault="009C7451" w:rsidP="006C6491">
      <w:pPr>
        <w:keepNext/>
        <w:rPr>
          <w:lang w:val="fr-FR"/>
        </w:rPr>
      </w:pPr>
      <w:r w:rsidRPr="00754CC2">
        <w:rPr>
          <w:lang w:val="fr-FR"/>
        </w:rPr>
        <w:t>30</w:t>
      </w:r>
      <w:r w:rsidR="00147AC6" w:rsidRPr="00754CC2">
        <w:rPr>
          <w:lang w:val="fr-FR"/>
        </w:rPr>
        <w:t>.</w:t>
      </w:r>
      <w:r w:rsidR="00467D18" w:rsidRPr="00754CC2">
        <w:rPr>
          <w:lang w:val="fr-FR"/>
        </w:rPr>
        <w:tab/>
        <w:t>Les membres de l</w:t>
      </w:r>
      <w:r w:rsidR="00FD700E" w:rsidRPr="00754CC2">
        <w:rPr>
          <w:lang w:val="fr-FR"/>
        </w:rPr>
        <w:t>’</w:t>
      </w:r>
      <w:r w:rsidR="00467D18" w:rsidRPr="00754CC2">
        <w:rPr>
          <w:lang w:val="fr-FR"/>
        </w:rPr>
        <w:t>Union sont tenus de fournir des statistiques annuelles concernant</w:t>
      </w:r>
    </w:p>
    <w:p w:rsidR="00C36DD4" w:rsidRPr="00754CC2" w:rsidRDefault="00C36DD4" w:rsidP="006C6491">
      <w:pPr>
        <w:keepNext/>
        <w:rPr>
          <w:lang w:val="fr-FR"/>
        </w:rPr>
      </w:pPr>
    </w:p>
    <w:p w:rsidR="00C36DD4" w:rsidRPr="00754CC2" w:rsidRDefault="00525D73" w:rsidP="00467D18">
      <w:pPr>
        <w:ind w:left="567"/>
        <w:rPr>
          <w:lang w:val="fr-FR"/>
        </w:rPr>
      </w:pPr>
      <w:r w:rsidRPr="00754CC2">
        <w:rPr>
          <w:lang w:val="fr-FR"/>
        </w:rPr>
        <w:t>a)</w:t>
      </w:r>
      <w:r w:rsidR="00467D18" w:rsidRPr="00754CC2">
        <w:rPr>
          <w:lang w:val="fr-FR"/>
        </w:rPr>
        <w:tab/>
        <w:t>les demandes de protection déposées, par origine;</w:t>
      </w:r>
    </w:p>
    <w:p w:rsidR="00C36DD4" w:rsidRPr="00754CC2" w:rsidRDefault="00525D73" w:rsidP="00467D18">
      <w:pPr>
        <w:ind w:left="567"/>
        <w:rPr>
          <w:lang w:val="fr-FR"/>
        </w:rPr>
      </w:pPr>
      <w:r w:rsidRPr="00754CC2">
        <w:rPr>
          <w:lang w:val="fr-FR"/>
        </w:rPr>
        <w:lastRenderedPageBreak/>
        <w:t>b)</w:t>
      </w:r>
      <w:r w:rsidR="00467D18" w:rsidRPr="00754CC2">
        <w:rPr>
          <w:lang w:val="fr-FR"/>
        </w:rPr>
        <w:tab/>
        <w:t>les titres de protection délivrés, par origine;  et</w:t>
      </w:r>
    </w:p>
    <w:p w:rsidR="00C36DD4" w:rsidRPr="00754CC2" w:rsidRDefault="00467D18" w:rsidP="00467D18">
      <w:pPr>
        <w:ind w:left="567"/>
        <w:rPr>
          <w:lang w:val="fr-FR"/>
        </w:rPr>
      </w:pPr>
      <w:r w:rsidRPr="00754CC2">
        <w:rPr>
          <w:lang w:val="fr-FR"/>
        </w:rPr>
        <w:t>c)</w:t>
      </w:r>
      <w:r w:rsidRPr="00754CC2">
        <w:rPr>
          <w:lang w:val="fr-FR"/>
        </w:rPr>
        <w:tab/>
        <w:t>les titres de protection en vigueur.</w:t>
      </w:r>
    </w:p>
    <w:p w:rsidR="00C36DD4" w:rsidRPr="00754CC2" w:rsidRDefault="00C36DD4" w:rsidP="00467D18">
      <w:pPr>
        <w:ind w:left="567"/>
        <w:rPr>
          <w:lang w:val="fr-FR"/>
        </w:rPr>
      </w:pPr>
    </w:p>
    <w:p w:rsidR="00C36DD4" w:rsidRPr="00754CC2" w:rsidRDefault="00147AC6" w:rsidP="00467D18">
      <w:pPr>
        <w:rPr>
          <w:lang w:val="fr-FR"/>
        </w:rPr>
      </w:pPr>
      <w:r w:rsidRPr="00754CC2">
        <w:rPr>
          <w:lang w:val="fr-FR"/>
        </w:rPr>
        <w:t>3</w:t>
      </w:r>
      <w:r w:rsidR="009C7451" w:rsidRPr="00754CC2">
        <w:rPr>
          <w:lang w:val="fr-FR"/>
        </w:rPr>
        <w:t>1</w:t>
      </w:r>
      <w:r w:rsidRPr="00754CC2">
        <w:rPr>
          <w:lang w:val="fr-FR"/>
        </w:rPr>
        <w:t>.</w:t>
      </w:r>
      <w:r w:rsidR="00467D18" w:rsidRPr="00754CC2">
        <w:rPr>
          <w:lang w:val="fr-FR"/>
        </w:rPr>
        <w:tab/>
        <w:t>Les membres de l</w:t>
      </w:r>
      <w:r w:rsidR="00FD700E" w:rsidRPr="00754CC2">
        <w:rPr>
          <w:lang w:val="fr-FR"/>
        </w:rPr>
        <w:t>’</w:t>
      </w:r>
      <w:r w:rsidR="00467D18" w:rsidRPr="00754CC2">
        <w:rPr>
          <w:lang w:val="fr-FR"/>
        </w:rPr>
        <w:t xml:space="preserve">Union reçoivent une circulaire du Conseil les invitant à fournir des informations pour actualiser le </w:t>
      </w:r>
      <w:r w:rsidR="00447EC9" w:rsidRPr="00754CC2">
        <w:rPr>
          <w:lang w:val="fr-FR"/>
        </w:rPr>
        <w:t>document </w:t>
      </w:r>
      <w:r w:rsidR="00467D18" w:rsidRPr="00754CC2">
        <w:rPr>
          <w:lang w:val="fr-FR"/>
        </w:rPr>
        <w:t xml:space="preserve">C/[session]/7 “Statistiques sur la protection des obtentions végétales pour la période [période de </w:t>
      </w:r>
      <w:r w:rsidR="00447EC9" w:rsidRPr="00754CC2">
        <w:rPr>
          <w:lang w:val="fr-FR"/>
        </w:rPr>
        <w:t>5 </w:t>
      </w:r>
      <w:r w:rsidR="00467D18" w:rsidRPr="00754CC2">
        <w:rPr>
          <w:lang w:val="fr-FR"/>
        </w:rPr>
        <w:t>ans]”.</w:t>
      </w:r>
    </w:p>
    <w:p w:rsidR="00C36DD4" w:rsidRPr="00754CC2" w:rsidRDefault="00C36DD4" w:rsidP="00467D18">
      <w:pPr>
        <w:rPr>
          <w:lang w:val="fr-FR"/>
        </w:rPr>
      </w:pPr>
    </w:p>
    <w:p w:rsidR="00C36DD4" w:rsidRPr="00754CC2" w:rsidRDefault="00467D18" w:rsidP="00347556">
      <w:pPr>
        <w:pStyle w:val="Heading3"/>
      </w:pPr>
      <w:bookmarkStart w:id="35" w:name="_Toc355191732"/>
      <w:bookmarkStart w:id="36" w:name="_Toc412041927"/>
      <w:r w:rsidRPr="00754CC2">
        <w:t>Autres faits nouveaux intervenus au sein des membres de l</w:t>
      </w:r>
      <w:r w:rsidR="00FD700E" w:rsidRPr="00754CC2">
        <w:t>’</w:t>
      </w:r>
      <w:r w:rsidRPr="00754CC2">
        <w:t>Union</w:t>
      </w:r>
      <w:bookmarkEnd w:id="35"/>
      <w:bookmarkEnd w:id="36"/>
    </w:p>
    <w:p w:rsidR="00C36DD4" w:rsidRPr="00754CC2" w:rsidRDefault="00C36DD4" w:rsidP="00467D18">
      <w:pPr>
        <w:rPr>
          <w:lang w:val="fr-FR"/>
        </w:rPr>
      </w:pPr>
    </w:p>
    <w:p w:rsidR="00C36DD4" w:rsidRPr="00754CC2" w:rsidRDefault="00147AC6" w:rsidP="00467D18">
      <w:pPr>
        <w:rPr>
          <w:lang w:val="fr-FR"/>
        </w:rPr>
      </w:pPr>
      <w:r w:rsidRPr="00754CC2">
        <w:rPr>
          <w:lang w:val="fr-FR"/>
        </w:rPr>
        <w:t>3</w:t>
      </w:r>
      <w:r w:rsidR="009C7451" w:rsidRPr="00754CC2">
        <w:rPr>
          <w:lang w:val="fr-FR"/>
        </w:rPr>
        <w:t>2</w:t>
      </w:r>
      <w:r w:rsidRPr="00754CC2">
        <w:rPr>
          <w:lang w:val="fr-FR"/>
        </w:rPr>
        <w:t>.</w:t>
      </w:r>
      <w:r w:rsidR="00467D18" w:rsidRPr="00754CC2">
        <w:rPr>
          <w:lang w:val="fr-FR"/>
        </w:rPr>
        <w:tab/>
        <w:t>Les membres de l</w:t>
      </w:r>
      <w:r w:rsidR="00FD700E" w:rsidRPr="00754CC2">
        <w:rPr>
          <w:lang w:val="fr-FR"/>
        </w:rPr>
        <w:t>’</w:t>
      </w:r>
      <w:r w:rsidR="00467D18" w:rsidRPr="00754CC2">
        <w:rPr>
          <w:lang w:val="fr-FR"/>
        </w:rPr>
        <w:t>Union sont invités, au moyen d</w:t>
      </w:r>
      <w:r w:rsidR="00FD700E" w:rsidRPr="00754CC2">
        <w:rPr>
          <w:lang w:val="fr-FR"/>
        </w:rPr>
        <w:t>’</w:t>
      </w:r>
      <w:r w:rsidR="00467D18" w:rsidRPr="00754CC2">
        <w:rPr>
          <w:lang w:val="fr-FR"/>
        </w:rPr>
        <w:t>une circulaire du Conseil, à rendre compte de tout autre fait nouveau pertinent dans un document du Conseil intitulé “Rapports des représentants des membres et des observateurs”.</w:t>
      </w:r>
    </w:p>
    <w:p w:rsidR="00C36DD4" w:rsidRPr="00754CC2" w:rsidRDefault="00C36DD4" w:rsidP="00467D18">
      <w:pPr>
        <w:rPr>
          <w:lang w:val="fr-FR"/>
        </w:rPr>
      </w:pPr>
    </w:p>
    <w:p w:rsidR="006F724A" w:rsidRPr="00754CC2" w:rsidRDefault="006F724A" w:rsidP="00467D18">
      <w:pPr>
        <w:rPr>
          <w:lang w:val="fr-FR"/>
        </w:rPr>
      </w:pPr>
    </w:p>
    <w:p w:rsidR="00525D73" w:rsidRPr="00754CC2" w:rsidRDefault="00525D73">
      <w:pPr>
        <w:jc w:val="left"/>
        <w:rPr>
          <w:caps/>
          <w:highlight w:val="lightGray"/>
          <w:lang w:val="fr-FR"/>
        </w:rPr>
      </w:pPr>
      <w:r w:rsidRPr="00754CC2">
        <w:rPr>
          <w:highlight w:val="lightGray"/>
          <w:lang w:val="fr-FR"/>
        </w:rPr>
        <w:br w:type="page"/>
      </w:r>
    </w:p>
    <w:p w:rsidR="00556163" w:rsidRPr="00754CC2" w:rsidRDefault="002204F0" w:rsidP="002D3E39">
      <w:pPr>
        <w:pStyle w:val="Heading1"/>
        <w:rPr>
          <w:highlight w:val="lightGray"/>
        </w:rPr>
      </w:pPr>
      <w:bookmarkStart w:id="37" w:name="_Toc412041928"/>
      <w:r w:rsidRPr="00754CC2">
        <w:rPr>
          <w:highlight w:val="lightGray"/>
        </w:rPr>
        <w:lastRenderedPageBreak/>
        <w:t xml:space="preserve">Deuxième </w:t>
      </w:r>
      <w:r w:rsidR="002D3E39" w:rsidRPr="00754CC2">
        <w:rPr>
          <w:highlight w:val="lightGray"/>
        </w:rPr>
        <w:t>Partie : Fonctionnement du système de protection des obtentions végétales de l</w:t>
      </w:r>
      <w:r w:rsidR="00FD700E" w:rsidRPr="00754CC2">
        <w:rPr>
          <w:highlight w:val="lightGray"/>
        </w:rPr>
        <w:t>’</w:t>
      </w:r>
      <w:r w:rsidR="002D3E39" w:rsidRPr="00754CC2">
        <w:rPr>
          <w:highlight w:val="lightGray"/>
        </w:rPr>
        <w:t>UPOV</w:t>
      </w:r>
      <w:bookmarkEnd w:id="37"/>
    </w:p>
    <w:p w:rsidR="00C36DD4" w:rsidRPr="00754CC2" w:rsidRDefault="00C36DD4" w:rsidP="00D318A3">
      <w:pPr>
        <w:pStyle w:val="Heading1"/>
        <w:rPr>
          <w:highlight w:val="lightGray"/>
        </w:rPr>
      </w:pPr>
    </w:p>
    <w:p w:rsidR="00C36DD4" w:rsidRPr="00754CC2" w:rsidRDefault="006A5B2B" w:rsidP="006A5B2B">
      <w:pPr>
        <w:rPr>
          <w:highlight w:val="lightGray"/>
          <w:lang w:val="fr-FR"/>
        </w:rPr>
      </w:pPr>
      <w:r w:rsidRPr="00754CC2">
        <w:rPr>
          <w:iCs/>
          <w:highlight w:val="lightGray"/>
          <w:lang w:val="fr-FR"/>
        </w:rPr>
        <w:t>3</w:t>
      </w:r>
      <w:r w:rsidR="009C7451" w:rsidRPr="00754CC2">
        <w:rPr>
          <w:iCs/>
          <w:highlight w:val="lightGray"/>
          <w:lang w:val="fr-FR"/>
        </w:rPr>
        <w:t>3</w:t>
      </w:r>
      <w:r w:rsidRPr="00754CC2">
        <w:rPr>
          <w:iCs/>
          <w:highlight w:val="lightGray"/>
          <w:lang w:val="fr-FR"/>
        </w:rPr>
        <w:t>.</w:t>
      </w:r>
      <w:r w:rsidRPr="00754CC2">
        <w:rPr>
          <w:iCs/>
          <w:highlight w:val="lightGray"/>
          <w:lang w:val="fr-FR"/>
        </w:rPr>
        <w:tab/>
        <w:t xml:space="preserve">La deuxième partie du </w:t>
      </w:r>
      <w:r w:rsidR="001554EC" w:rsidRPr="00754CC2">
        <w:rPr>
          <w:iCs/>
          <w:highlight w:val="lightGray"/>
          <w:lang w:val="fr-FR"/>
        </w:rPr>
        <w:t xml:space="preserve">module </w:t>
      </w:r>
      <w:r w:rsidRPr="00754CC2">
        <w:rPr>
          <w:iCs/>
          <w:highlight w:val="lightGray"/>
          <w:lang w:val="fr-FR"/>
        </w:rPr>
        <w:t>document</w:t>
      </w:r>
      <w:r w:rsidR="001554EC" w:rsidRPr="00754CC2">
        <w:rPr>
          <w:iCs/>
          <w:highlight w:val="lightGray"/>
          <w:lang w:val="fr-FR"/>
        </w:rPr>
        <w:t xml:space="preserve"> donne un aperçu général de la structure et des fonctions d</w:t>
      </w:r>
      <w:r w:rsidR="00FD700E" w:rsidRPr="00754CC2">
        <w:rPr>
          <w:iCs/>
          <w:highlight w:val="lightGray"/>
          <w:lang w:val="fr-FR"/>
        </w:rPr>
        <w:t>’</w:t>
      </w:r>
      <w:r w:rsidR="001554EC" w:rsidRPr="00754CC2">
        <w:rPr>
          <w:iCs/>
          <w:highlight w:val="lightGray"/>
          <w:lang w:val="fr-FR"/>
        </w:rPr>
        <w:t>un service d</w:t>
      </w:r>
      <w:r w:rsidR="00FD700E" w:rsidRPr="00754CC2">
        <w:rPr>
          <w:iCs/>
          <w:highlight w:val="lightGray"/>
          <w:lang w:val="fr-FR"/>
        </w:rPr>
        <w:t>’</w:t>
      </w:r>
      <w:r w:rsidR="001554EC" w:rsidRPr="00754CC2">
        <w:rPr>
          <w:iCs/>
          <w:highlight w:val="lightGray"/>
          <w:lang w:val="fr-FR"/>
        </w:rPr>
        <w:t>octroi des droits d</w:t>
      </w:r>
      <w:r w:rsidR="00FD700E" w:rsidRPr="00754CC2">
        <w:rPr>
          <w:iCs/>
          <w:highlight w:val="lightGray"/>
          <w:lang w:val="fr-FR"/>
        </w:rPr>
        <w:t>’</w:t>
      </w:r>
      <w:r w:rsidR="001554EC" w:rsidRPr="00754CC2">
        <w:rPr>
          <w:iCs/>
          <w:highlight w:val="lightGray"/>
          <w:lang w:val="fr-FR"/>
        </w:rPr>
        <w:t>obtenteur</w:t>
      </w:r>
      <w:r w:rsidRPr="00754CC2">
        <w:rPr>
          <w:iCs/>
          <w:highlight w:val="lightGray"/>
          <w:lang w:val="fr-FR"/>
        </w:rPr>
        <w:t xml:space="preserve"> </w:t>
      </w:r>
      <w:r w:rsidRPr="00754CC2">
        <w:rPr>
          <w:iCs/>
          <w:color w:val="000000"/>
          <w:highlight w:val="lightGray"/>
          <w:lang w:val="fr-FR"/>
        </w:rPr>
        <w:t>et donne des précisions sur les principales questions relatives à l</w:t>
      </w:r>
      <w:r w:rsidR="00FD700E" w:rsidRPr="00754CC2">
        <w:rPr>
          <w:iCs/>
          <w:color w:val="000000"/>
          <w:highlight w:val="lightGray"/>
          <w:lang w:val="fr-FR"/>
        </w:rPr>
        <w:t>’</w:t>
      </w:r>
      <w:r w:rsidRPr="00754CC2">
        <w:rPr>
          <w:iCs/>
          <w:color w:val="000000"/>
          <w:highlight w:val="lightGray"/>
          <w:lang w:val="fr-FR"/>
        </w:rPr>
        <w:t>administration des demandes.</w:t>
      </w:r>
      <w:r w:rsidRPr="00754CC2">
        <w:rPr>
          <w:color w:val="000000"/>
          <w:highlight w:val="lightGray"/>
          <w:lang w:val="fr-FR"/>
        </w:rPr>
        <w:t xml:space="preserve">  La deuxième partie comprend deux</w:t>
      </w:r>
      <w:r w:rsidR="00175F7E" w:rsidRPr="00754CC2">
        <w:rPr>
          <w:color w:val="000000"/>
          <w:highlight w:val="lightGray"/>
          <w:lang w:val="fr-FR"/>
        </w:rPr>
        <w:t> </w:t>
      </w:r>
      <w:r w:rsidRPr="00754CC2">
        <w:rPr>
          <w:color w:val="000000"/>
          <w:highlight w:val="lightGray"/>
          <w:lang w:val="fr-FR"/>
        </w:rPr>
        <w:t xml:space="preserve">sections, la première intitulée </w:t>
      </w:r>
      <w:r w:rsidR="00175F7E" w:rsidRPr="00754CC2">
        <w:rPr>
          <w:color w:val="000000"/>
          <w:highlight w:val="lightGray"/>
          <w:lang w:val="fr-FR"/>
        </w:rPr>
        <w:t>“</w:t>
      </w:r>
      <w:r w:rsidRPr="00754CC2">
        <w:rPr>
          <w:color w:val="000000"/>
          <w:highlight w:val="lightGray"/>
          <w:lang w:val="fr-FR"/>
        </w:rPr>
        <w:t>Service d</w:t>
      </w:r>
      <w:r w:rsidR="00FD700E" w:rsidRPr="00754CC2">
        <w:rPr>
          <w:color w:val="000000"/>
          <w:highlight w:val="lightGray"/>
          <w:lang w:val="fr-FR"/>
        </w:rPr>
        <w:t>’</w:t>
      </w:r>
      <w:r w:rsidRPr="00754CC2">
        <w:rPr>
          <w:color w:val="000000"/>
          <w:highlight w:val="lightGray"/>
          <w:lang w:val="fr-FR"/>
        </w:rPr>
        <w:t>octroi des droits d</w:t>
      </w:r>
      <w:r w:rsidR="00FD700E" w:rsidRPr="00754CC2">
        <w:rPr>
          <w:color w:val="000000"/>
          <w:highlight w:val="lightGray"/>
          <w:lang w:val="fr-FR"/>
        </w:rPr>
        <w:t>’</w:t>
      </w:r>
      <w:r w:rsidRPr="00754CC2">
        <w:rPr>
          <w:color w:val="000000"/>
          <w:highlight w:val="lightGray"/>
          <w:lang w:val="fr-FR"/>
        </w:rPr>
        <w:t>obtenteur</w:t>
      </w:r>
      <w:r w:rsidR="00175F7E" w:rsidRPr="00754CC2">
        <w:rPr>
          <w:color w:val="000000"/>
          <w:highlight w:val="lightGray"/>
          <w:lang w:val="fr-FR"/>
        </w:rPr>
        <w:t>”</w:t>
      </w:r>
      <w:r w:rsidRPr="00754CC2">
        <w:rPr>
          <w:color w:val="000000"/>
          <w:highlight w:val="lightGray"/>
          <w:lang w:val="fr-FR"/>
        </w:rPr>
        <w:t xml:space="preserve"> et la seconde </w:t>
      </w:r>
      <w:r w:rsidR="00175F7E" w:rsidRPr="00754CC2">
        <w:rPr>
          <w:color w:val="000000"/>
          <w:highlight w:val="lightGray"/>
          <w:lang w:val="fr-FR"/>
        </w:rPr>
        <w:t>“</w:t>
      </w:r>
      <w:r w:rsidRPr="00754CC2">
        <w:rPr>
          <w:color w:val="000000"/>
          <w:highlight w:val="lightGray"/>
          <w:lang w:val="fr-FR"/>
        </w:rPr>
        <w:t>Administration des demandes</w:t>
      </w:r>
      <w:r w:rsidR="00175F7E" w:rsidRPr="00754CC2">
        <w:rPr>
          <w:color w:val="000000"/>
          <w:highlight w:val="lightGray"/>
          <w:lang w:val="fr-FR"/>
        </w:rPr>
        <w:t>”</w:t>
      </w:r>
      <w:r w:rsidRPr="00754CC2">
        <w:rPr>
          <w:color w:val="000000"/>
          <w:highlight w:val="lightGray"/>
          <w:lang w:val="fr-FR"/>
        </w:rPr>
        <w:t>.</w:t>
      </w:r>
    </w:p>
    <w:p w:rsidR="00C36DD4" w:rsidRPr="00754CC2" w:rsidRDefault="00C36DD4" w:rsidP="00C12BBE">
      <w:pPr>
        <w:rPr>
          <w:highlight w:val="lightGray"/>
          <w:lang w:val="fr-FR"/>
        </w:rPr>
      </w:pPr>
    </w:p>
    <w:p w:rsidR="006C6491" w:rsidRPr="00754CC2" w:rsidRDefault="006C6491" w:rsidP="00C12BBE">
      <w:pPr>
        <w:rPr>
          <w:highlight w:val="lightGray"/>
          <w:lang w:val="fr-FR"/>
        </w:rPr>
      </w:pPr>
    </w:p>
    <w:p w:rsidR="00C36DD4" w:rsidRPr="00754CC2" w:rsidRDefault="006A5B2B" w:rsidP="002D3E39">
      <w:pPr>
        <w:pStyle w:val="Heading2"/>
        <w:rPr>
          <w:iCs/>
          <w:highlight w:val="lightGray"/>
          <w:lang w:val="fr-FR"/>
        </w:rPr>
      </w:pPr>
      <w:bookmarkStart w:id="38" w:name="_Toc412041929"/>
      <w:r w:rsidRPr="00754CC2">
        <w:rPr>
          <w:iCs/>
          <w:highlight w:val="lightGray"/>
          <w:lang w:val="fr-FR"/>
        </w:rPr>
        <w:t>Section</w:t>
      </w:r>
      <w:r w:rsidR="00175F7E" w:rsidRPr="00754CC2">
        <w:rPr>
          <w:iCs/>
          <w:highlight w:val="lightGray"/>
          <w:lang w:val="fr-FR"/>
        </w:rPr>
        <w:t> </w:t>
      </w:r>
      <w:r w:rsidRPr="00754CC2">
        <w:rPr>
          <w:iCs/>
          <w:highlight w:val="lightGray"/>
          <w:lang w:val="fr-FR"/>
        </w:rPr>
        <w:t xml:space="preserve">1 : </w:t>
      </w:r>
      <w:r w:rsidRPr="00754CC2">
        <w:rPr>
          <w:highlight w:val="lightGray"/>
          <w:lang w:val="fr-FR"/>
        </w:rPr>
        <w:t>Service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w:t>
      </w:r>
      <w:bookmarkEnd w:id="38"/>
    </w:p>
    <w:p w:rsidR="00C36DD4" w:rsidRPr="00754CC2" w:rsidRDefault="00C36DD4" w:rsidP="00347556">
      <w:pPr>
        <w:rPr>
          <w:highlight w:val="lightGray"/>
          <w:lang w:val="fr-FR"/>
        </w:rPr>
      </w:pPr>
    </w:p>
    <w:p w:rsidR="00C36DD4" w:rsidRPr="00754CC2" w:rsidRDefault="006A5B2B" w:rsidP="00347556">
      <w:pPr>
        <w:pStyle w:val="Heading3"/>
        <w:rPr>
          <w:highlight w:val="lightGray"/>
        </w:rPr>
      </w:pPr>
      <w:bookmarkStart w:id="39" w:name="_Toc396826651"/>
      <w:bookmarkStart w:id="40" w:name="_Toc412041930"/>
      <w:r w:rsidRPr="00754CC2">
        <w:rPr>
          <w:highlight w:val="lightGray"/>
        </w:rPr>
        <w:t>Introduction</w:t>
      </w:r>
      <w:bookmarkEnd w:id="39"/>
      <w:bookmarkEnd w:id="40"/>
    </w:p>
    <w:p w:rsidR="00C36DD4" w:rsidRPr="00754CC2" w:rsidRDefault="00C36DD4" w:rsidP="00467D18">
      <w:pPr>
        <w:rPr>
          <w:highlight w:val="lightGray"/>
          <w:lang w:val="fr-FR"/>
        </w:rPr>
      </w:pPr>
    </w:p>
    <w:p w:rsidR="00C36DD4" w:rsidRPr="00754CC2" w:rsidRDefault="006A369A" w:rsidP="006A5B2B">
      <w:pPr>
        <w:rPr>
          <w:highlight w:val="lightGray"/>
          <w:lang w:val="fr-FR"/>
        </w:rPr>
      </w:pPr>
      <w:r w:rsidRPr="00754CC2">
        <w:rPr>
          <w:highlight w:val="lightGray"/>
          <w:lang w:val="fr-FR"/>
        </w:rPr>
        <w:t>34</w:t>
      </w:r>
      <w:r w:rsidR="006A5B2B" w:rsidRPr="00754CC2">
        <w:rPr>
          <w:highlight w:val="lightGray"/>
          <w:lang w:val="fr-FR"/>
        </w:rPr>
        <w:t>.</w:t>
      </w:r>
      <w:r w:rsidR="006A5B2B" w:rsidRPr="00754CC2">
        <w:rPr>
          <w:i/>
          <w:highlight w:val="lightGray"/>
          <w:lang w:val="fr-FR"/>
        </w:rPr>
        <w:tab/>
      </w:r>
      <w:r w:rsidR="006A5B2B" w:rsidRPr="00754CC2">
        <w:rPr>
          <w:highlight w:val="lightGray"/>
          <w:lang w:val="fr-FR"/>
        </w:rPr>
        <w:t>Les demandes de droits d</w:t>
      </w:r>
      <w:r w:rsidR="00FD700E" w:rsidRPr="00754CC2">
        <w:rPr>
          <w:highlight w:val="lightGray"/>
          <w:lang w:val="fr-FR"/>
        </w:rPr>
        <w:t>’</w:t>
      </w:r>
      <w:r w:rsidR="006A5B2B" w:rsidRPr="00754CC2">
        <w:rPr>
          <w:highlight w:val="lightGray"/>
          <w:lang w:val="fr-FR"/>
        </w:rPr>
        <w:t>obtenteur sont soumises à l</w:t>
      </w:r>
      <w:r w:rsidR="00FD700E" w:rsidRPr="00754CC2">
        <w:rPr>
          <w:highlight w:val="lightGray"/>
          <w:lang w:val="fr-FR"/>
        </w:rPr>
        <w:t>’</w:t>
      </w:r>
      <w:r w:rsidR="006A5B2B" w:rsidRPr="00754CC2">
        <w:rPr>
          <w:highlight w:val="lightGray"/>
          <w:lang w:val="fr-FR"/>
        </w:rPr>
        <w:t>examen du service établi sur le territoire du membre de l</w:t>
      </w:r>
      <w:r w:rsidR="00FD700E" w:rsidRPr="00754CC2">
        <w:rPr>
          <w:highlight w:val="lightGray"/>
          <w:lang w:val="fr-FR"/>
        </w:rPr>
        <w:t>’</w:t>
      </w:r>
      <w:r w:rsidR="006A5B2B" w:rsidRPr="00754CC2">
        <w:rPr>
          <w:highlight w:val="lightGray"/>
          <w:lang w:val="fr-FR"/>
        </w:rPr>
        <w:t>UPOV concerné.  Conformément à l</w:t>
      </w:r>
      <w:r w:rsidR="00FD700E" w:rsidRPr="00754CC2">
        <w:rPr>
          <w:highlight w:val="lightGray"/>
          <w:lang w:val="fr-FR"/>
        </w:rPr>
        <w:t>’</w:t>
      </w:r>
      <w:r w:rsidR="006A5B2B" w:rsidRPr="00754CC2">
        <w:rPr>
          <w:highlight w:val="lightGray"/>
          <w:lang w:val="fr-FR"/>
        </w:rPr>
        <w:t>article 30 de l</w:t>
      </w:r>
      <w:r w:rsidR="00FD700E" w:rsidRPr="00754CC2">
        <w:rPr>
          <w:highlight w:val="lightGray"/>
          <w:lang w:val="fr-FR"/>
        </w:rPr>
        <w:t>’</w:t>
      </w:r>
      <w:r w:rsidR="006A5B2B" w:rsidRPr="00754CC2">
        <w:rPr>
          <w:highlight w:val="lightGray"/>
          <w:lang w:val="fr-FR"/>
        </w:rPr>
        <w:t>Acte de</w:t>
      </w:r>
      <w:r w:rsidR="00175F7E" w:rsidRPr="00754CC2">
        <w:rPr>
          <w:highlight w:val="lightGray"/>
          <w:lang w:val="fr-FR"/>
        </w:rPr>
        <w:t> </w:t>
      </w:r>
      <w:r w:rsidR="006A5B2B" w:rsidRPr="00754CC2">
        <w:rPr>
          <w:highlight w:val="lightGray"/>
          <w:lang w:val="fr-FR"/>
        </w:rPr>
        <w:t>1991 et à l</w:t>
      </w:r>
      <w:r w:rsidR="00FD700E" w:rsidRPr="00754CC2">
        <w:rPr>
          <w:highlight w:val="lightGray"/>
          <w:lang w:val="fr-FR"/>
        </w:rPr>
        <w:t>’</w:t>
      </w:r>
      <w:r w:rsidR="006A5B2B" w:rsidRPr="00754CC2">
        <w:rPr>
          <w:highlight w:val="lightGray"/>
          <w:lang w:val="fr-FR"/>
        </w:rPr>
        <w:t>article 7 de l</w:t>
      </w:r>
      <w:r w:rsidR="00FD700E" w:rsidRPr="00754CC2">
        <w:rPr>
          <w:highlight w:val="lightGray"/>
          <w:lang w:val="fr-FR"/>
        </w:rPr>
        <w:t>’</w:t>
      </w:r>
      <w:r w:rsidR="006A5B2B" w:rsidRPr="00754CC2">
        <w:rPr>
          <w:highlight w:val="lightGray"/>
          <w:lang w:val="fr-FR"/>
        </w:rPr>
        <w:t>Acte de</w:t>
      </w:r>
      <w:r w:rsidR="00175F7E" w:rsidRPr="00754CC2">
        <w:rPr>
          <w:highlight w:val="lightGray"/>
          <w:lang w:val="fr-FR"/>
        </w:rPr>
        <w:t> </w:t>
      </w:r>
      <w:r w:rsidR="006A5B2B" w:rsidRPr="00754CC2">
        <w:rPr>
          <w:highlight w:val="lightGray"/>
          <w:lang w:val="fr-FR"/>
        </w:rPr>
        <w:t>1978 de la </w:t>
      </w:r>
      <w:r w:rsidR="00FD700E" w:rsidRPr="00754CC2">
        <w:rPr>
          <w:highlight w:val="lightGray"/>
          <w:lang w:val="fr-FR"/>
        </w:rPr>
        <w:t>Convention UPOV</w:t>
      </w:r>
      <w:r w:rsidR="006A5B2B" w:rsidRPr="00754CC2">
        <w:rPr>
          <w:highlight w:val="lightGray"/>
          <w:lang w:val="fr-FR"/>
        </w:rPr>
        <w:t>, les membres de l</w:t>
      </w:r>
      <w:r w:rsidR="00FD700E" w:rsidRPr="00754CC2">
        <w:rPr>
          <w:highlight w:val="lightGray"/>
          <w:lang w:val="fr-FR"/>
        </w:rPr>
        <w:t>’</w:t>
      </w:r>
      <w:r w:rsidR="006A5B2B" w:rsidRPr="00754CC2">
        <w:rPr>
          <w:highlight w:val="lightGray"/>
          <w:lang w:val="fr-FR"/>
        </w:rPr>
        <w:t>UPOV établissent un service chargé d</w:t>
      </w:r>
      <w:r w:rsidR="00FD700E" w:rsidRPr="00754CC2">
        <w:rPr>
          <w:highlight w:val="lightGray"/>
          <w:lang w:val="fr-FR"/>
        </w:rPr>
        <w:t>’</w:t>
      </w:r>
      <w:r w:rsidR="006A5B2B" w:rsidRPr="00754CC2">
        <w:rPr>
          <w:highlight w:val="lightGray"/>
          <w:lang w:val="fr-FR"/>
        </w:rPr>
        <w:t>octroyer des droits d</w:t>
      </w:r>
      <w:r w:rsidR="00FD700E" w:rsidRPr="00754CC2">
        <w:rPr>
          <w:highlight w:val="lightGray"/>
          <w:lang w:val="fr-FR"/>
        </w:rPr>
        <w:t>’</w:t>
      </w:r>
      <w:r w:rsidR="006A5B2B" w:rsidRPr="00754CC2">
        <w:rPr>
          <w:highlight w:val="lightGray"/>
          <w:lang w:val="fr-FR"/>
        </w:rPr>
        <w:t>obtenteur.  Ils veillent également à ce que le public soit informé des demandes de droit d</w:t>
      </w:r>
      <w:r w:rsidR="00FD700E" w:rsidRPr="00754CC2">
        <w:rPr>
          <w:highlight w:val="lightGray"/>
          <w:lang w:val="fr-FR"/>
        </w:rPr>
        <w:t>’</w:t>
      </w:r>
      <w:r w:rsidR="006A5B2B" w:rsidRPr="00754CC2">
        <w:rPr>
          <w:highlight w:val="lightGray"/>
          <w:lang w:val="fr-FR"/>
        </w:rPr>
        <w:t>obtenteur et des droits d</w:t>
      </w:r>
      <w:r w:rsidR="00FD700E" w:rsidRPr="00754CC2">
        <w:rPr>
          <w:highlight w:val="lightGray"/>
          <w:lang w:val="fr-FR"/>
        </w:rPr>
        <w:t>’</w:t>
      </w:r>
      <w:r w:rsidR="006A5B2B" w:rsidRPr="00754CC2">
        <w:rPr>
          <w:highlight w:val="lightGray"/>
          <w:lang w:val="fr-FR"/>
        </w:rPr>
        <w:t>obtenteur délivrés ainsi que des dénominations proposées et approuvées.</w:t>
      </w:r>
    </w:p>
    <w:p w:rsidR="00C36DD4" w:rsidRPr="00754CC2" w:rsidRDefault="00C36DD4" w:rsidP="006A5B2B">
      <w:pPr>
        <w:rPr>
          <w:highlight w:val="lightGray"/>
          <w:lang w:val="fr-FR"/>
        </w:rPr>
      </w:pPr>
    </w:p>
    <w:p w:rsidR="00C36DD4" w:rsidRPr="00754CC2" w:rsidRDefault="006A5B2B" w:rsidP="006A5B2B">
      <w:pPr>
        <w:ind w:left="1134" w:right="1134"/>
        <w:rPr>
          <w:highlight w:val="lightGray"/>
          <w:lang w:val="fr-FR"/>
        </w:rPr>
      </w:pPr>
      <w:r w:rsidRPr="00754CC2">
        <w:rPr>
          <w:highlight w:val="lightGray"/>
          <w:lang w:val="fr-FR"/>
        </w:rPr>
        <w:t>“</w:t>
      </w:r>
      <w:r w:rsidRPr="00754CC2">
        <w:rPr>
          <w:b/>
          <w:bCs/>
          <w:highlight w:val="lightGray"/>
          <w:lang w:val="fr-FR"/>
        </w:rPr>
        <w:t xml:space="preserve">Article 30 Application de la Convention </w:t>
      </w:r>
      <w:r w:rsidR="006F724A" w:rsidRPr="00754CC2">
        <w:rPr>
          <w:highlight w:val="lightGray"/>
          <w:lang w:val="fr-FR"/>
        </w:rPr>
        <w:t>1) </w:t>
      </w:r>
      <w:r w:rsidRPr="00754CC2">
        <w:rPr>
          <w:highlight w:val="lightGray"/>
          <w:lang w:val="fr-FR"/>
        </w:rPr>
        <w:t>Chaque Partie contractante prend toutes mesures nécessaires pour l</w:t>
      </w:r>
      <w:r w:rsidR="00FD700E" w:rsidRPr="00754CC2">
        <w:rPr>
          <w:highlight w:val="lightGray"/>
          <w:lang w:val="fr-FR"/>
        </w:rPr>
        <w:t>’</w:t>
      </w:r>
      <w:r w:rsidRPr="00754CC2">
        <w:rPr>
          <w:highlight w:val="lightGray"/>
          <w:lang w:val="fr-FR"/>
        </w:rPr>
        <w:t>application de la présente Convention et, notamment </w:t>
      </w:r>
      <w:r w:rsidR="00447EC9" w:rsidRPr="00754CC2">
        <w:rPr>
          <w:highlight w:val="lightGray"/>
          <w:lang w:val="fr-FR"/>
        </w:rPr>
        <w:t xml:space="preserve">: </w:t>
      </w:r>
      <w:r w:rsidRPr="00754CC2">
        <w:rPr>
          <w:highlight w:val="lightGray"/>
          <w:lang w:val="fr-FR"/>
        </w:rPr>
        <w:t>[…] ii) établit un service chargé d</w:t>
      </w:r>
      <w:r w:rsidR="00FD700E" w:rsidRPr="00754CC2">
        <w:rPr>
          <w:highlight w:val="lightGray"/>
          <w:lang w:val="fr-FR"/>
        </w:rPr>
        <w:t>’</w:t>
      </w:r>
      <w:r w:rsidRPr="00754CC2">
        <w:rPr>
          <w:highlight w:val="lightGray"/>
          <w:lang w:val="fr-FR"/>
        </w:rPr>
        <w:t>octroyer des droits d</w:t>
      </w:r>
      <w:r w:rsidR="00FD700E" w:rsidRPr="00754CC2">
        <w:rPr>
          <w:highlight w:val="lightGray"/>
          <w:lang w:val="fr-FR"/>
        </w:rPr>
        <w:t>’</w:t>
      </w:r>
      <w:r w:rsidRPr="00754CC2">
        <w:rPr>
          <w:highlight w:val="lightGray"/>
          <w:lang w:val="fr-FR"/>
        </w:rPr>
        <w:t>obtenteur ou charge le service établi par une autre Partie contractante d</w:t>
      </w:r>
      <w:r w:rsidR="00FD700E" w:rsidRPr="00754CC2">
        <w:rPr>
          <w:highlight w:val="lightGray"/>
          <w:lang w:val="fr-FR"/>
        </w:rPr>
        <w:t>’</w:t>
      </w:r>
      <w:r w:rsidRPr="00754CC2">
        <w:rPr>
          <w:highlight w:val="lightGray"/>
          <w:lang w:val="fr-FR"/>
        </w:rPr>
        <w:t>octroyer de tels droits;  iii) assure l</w:t>
      </w:r>
      <w:r w:rsidR="00FD700E" w:rsidRPr="00754CC2">
        <w:rPr>
          <w:highlight w:val="lightGray"/>
          <w:lang w:val="fr-FR"/>
        </w:rPr>
        <w:t>’</w:t>
      </w:r>
      <w:r w:rsidRPr="00754CC2">
        <w:rPr>
          <w:highlight w:val="lightGray"/>
          <w:lang w:val="fr-FR"/>
        </w:rPr>
        <w:t>information du public par la publication périodique de renseignements sur – les demandes de droits d</w:t>
      </w:r>
      <w:r w:rsidR="00FD700E" w:rsidRPr="00754CC2">
        <w:rPr>
          <w:highlight w:val="lightGray"/>
          <w:lang w:val="fr-FR"/>
        </w:rPr>
        <w:t>’</w:t>
      </w:r>
      <w:r w:rsidRPr="00754CC2">
        <w:rPr>
          <w:highlight w:val="lightGray"/>
          <w:lang w:val="fr-FR"/>
        </w:rPr>
        <w:t>obtenteur et les droits d</w:t>
      </w:r>
      <w:r w:rsidR="00FD700E" w:rsidRPr="00754CC2">
        <w:rPr>
          <w:highlight w:val="lightGray"/>
          <w:lang w:val="fr-FR"/>
        </w:rPr>
        <w:t>’</w:t>
      </w:r>
      <w:r w:rsidRPr="00754CC2">
        <w:rPr>
          <w:highlight w:val="lightGray"/>
          <w:lang w:val="fr-FR"/>
        </w:rPr>
        <w:t>obtenteur délivrés, et – les dénominations proposées et approuvées</w:t>
      </w:r>
      <w:r w:rsidR="006F724A" w:rsidRPr="00754CC2">
        <w:rPr>
          <w:highlight w:val="lightGray"/>
          <w:lang w:val="fr-FR"/>
        </w:rPr>
        <w:t>.</w:t>
      </w:r>
      <w:r w:rsidRPr="00754CC2">
        <w:rPr>
          <w:highlight w:val="lightGray"/>
          <w:lang w:val="fr-FR"/>
        </w:rPr>
        <w:t>”</w:t>
      </w:r>
    </w:p>
    <w:p w:rsidR="00C36DD4" w:rsidRPr="00754CC2" w:rsidRDefault="00C36DD4" w:rsidP="006A5B2B">
      <w:pPr>
        <w:rPr>
          <w:highlight w:val="lightGray"/>
          <w:lang w:val="fr-FR"/>
        </w:rPr>
      </w:pPr>
    </w:p>
    <w:p w:rsidR="00C36DD4" w:rsidRPr="00754CC2" w:rsidRDefault="006A5B2B" w:rsidP="006A5B2B">
      <w:pPr>
        <w:rPr>
          <w:highlight w:val="lightGray"/>
          <w:lang w:val="fr-FR"/>
        </w:rPr>
      </w:pPr>
      <w:r w:rsidRPr="00754CC2">
        <w:rPr>
          <w:highlight w:val="lightGray"/>
          <w:lang w:val="fr-FR"/>
        </w:rPr>
        <w:t>3</w:t>
      </w:r>
      <w:r w:rsidR="006A369A" w:rsidRPr="00754CC2">
        <w:rPr>
          <w:highlight w:val="lightGray"/>
          <w:lang w:val="fr-FR"/>
        </w:rPr>
        <w:t>5</w:t>
      </w:r>
      <w:r w:rsidRPr="00754CC2">
        <w:rPr>
          <w:highlight w:val="lightGray"/>
          <w:lang w:val="fr-FR"/>
        </w:rPr>
        <w:t>.</w:t>
      </w:r>
      <w:r w:rsidRPr="00754CC2">
        <w:rPr>
          <w:highlight w:val="lightGray"/>
          <w:lang w:val="fr-FR"/>
        </w:rPr>
        <w:tab/>
        <w:t>La taille et la structure du service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 varient en fonction de la manière dont chaque membre de l</w:t>
      </w:r>
      <w:r w:rsidR="00FD700E" w:rsidRPr="00754CC2">
        <w:rPr>
          <w:highlight w:val="lightGray"/>
          <w:lang w:val="fr-FR"/>
        </w:rPr>
        <w:t>’</w:t>
      </w:r>
      <w:r w:rsidRPr="00754CC2">
        <w:rPr>
          <w:highlight w:val="lightGray"/>
          <w:lang w:val="fr-FR"/>
        </w:rPr>
        <w:t>UPOV prévoit l</w:t>
      </w:r>
      <w:r w:rsidR="00FD700E" w:rsidRPr="00754CC2">
        <w:rPr>
          <w:highlight w:val="lightGray"/>
          <w:lang w:val="fr-FR"/>
        </w:rPr>
        <w:t>’</w:t>
      </w:r>
      <w:r w:rsidRPr="00754CC2">
        <w:rPr>
          <w:highlight w:val="lightGray"/>
          <w:lang w:val="fr-FR"/>
        </w:rPr>
        <w:t xml:space="preserve">application de la </w:t>
      </w:r>
      <w:r w:rsidR="00FD700E" w:rsidRPr="00754CC2">
        <w:rPr>
          <w:highlight w:val="lightGray"/>
          <w:lang w:val="fr-FR"/>
        </w:rPr>
        <w:t>Convention UPOV</w:t>
      </w:r>
      <w:r w:rsidRPr="00754CC2">
        <w:rPr>
          <w:highlight w:val="lightGray"/>
          <w:lang w:val="fr-FR"/>
        </w:rPr>
        <w:t xml:space="preserve"> et l</w:t>
      </w:r>
      <w:r w:rsidR="00FD700E" w:rsidRPr="00754CC2">
        <w:rPr>
          <w:highlight w:val="lightGray"/>
          <w:lang w:val="fr-FR"/>
        </w:rPr>
        <w:t>’</w:t>
      </w:r>
      <w:r w:rsidRPr="00754CC2">
        <w:rPr>
          <w:highlight w:val="lightGray"/>
          <w:lang w:val="fr-FR"/>
        </w:rPr>
        <w:t>examen des demandes de droits d</w:t>
      </w:r>
      <w:r w:rsidR="00FD700E" w:rsidRPr="00754CC2">
        <w:rPr>
          <w:highlight w:val="lightGray"/>
          <w:lang w:val="fr-FR"/>
        </w:rPr>
        <w:t>’</w:t>
      </w:r>
      <w:r w:rsidRPr="00754CC2">
        <w:rPr>
          <w:highlight w:val="lightGray"/>
          <w:lang w:val="fr-FR"/>
        </w:rPr>
        <w:t>obtenteur en particulier.</w:t>
      </w:r>
    </w:p>
    <w:p w:rsidR="00C36DD4" w:rsidRPr="00754CC2" w:rsidRDefault="00C36DD4" w:rsidP="006A5B2B">
      <w:pPr>
        <w:rPr>
          <w:highlight w:val="lightGray"/>
          <w:lang w:val="fr-FR"/>
        </w:rPr>
      </w:pPr>
    </w:p>
    <w:p w:rsidR="00C36DD4" w:rsidRPr="00754CC2" w:rsidRDefault="006A5B2B" w:rsidP="006A5B2B">
      <w:pPr>
        <w:rPr>
          <w:highlight w:val="lightGray"/>
          <w:lang w:val="fr-FR"/>
        </w:rPr>
      </w:pPr>
      <w:r w:rsidRPr="00754CC2">
        <w:rPr>
          <w:highlight w:val="lightGray"/>
          <w:lang w:val="fr-FR"/>
        </w:rPr>
        <w:t>3</w:t>
      </w:r>
      <w:r w:rsidR="006A369A" w:rsidRPr="00754CC2">
        <w:rPr>
          <w:highlight w:val="lightGray"/>
          <w:lang w:val="fr-FR"/>
        </w:rPr>
        <w:t>6</w:t>
      </w:r>
      <w:r w:rsidRPr="00754CC2">
        <w:rPr>
          <w:highlight w:val="lightGray"/>
          <w:lang w:val="fr-FR"/>
        </w:rPr>
        <w:t>.</w:t>
      </w:r>
      <w:r w:rsidRPr="00754CC2">
        <w:rPr>
          <w:highlight w:val="lightGray"/>
          <w:lang w:val="fr-FR"/>
        </w:rPr>
        <w:tab/>
        <w:t>L</w:t>
      </w:r>
      <w:r w:rsidR="00FD700E" w:rsidRPr="00754CC2">
        <w:rPr>
          <w:highlight w:val="lightGray"/>
          <w:lang w:val="fr-FR"/>
        </w:rPr>
        <w:t>’</w:t>
      </w:r>
      <w:r w:rsidRPr="00754CC2">
        <w:rPr>
          <w:highlight w:val="lightGray"/>
          <w:lang w:val="fr-FR"/>
        </w:rPr>
        <w:t>examen des demandes de droits d</w:t>
      </w:r>
      <w:r w:rsidR="00FD700E" w:rsidRPr="00754CC2">
        <w:rPr>
          <w:highlight w:val="lightGray"/>
          <w:lang w:val="fr-FR"/>
        </w:rPr>
        <w:t>’</w:t>
      </w:r>
      <w:r w:rsidRPr="00754CC2">
        <w:rPr>
          <w:highlight w:val="lightGray"/>
          <w:lang w:val="fr-FR"/>
        </w:rPr>
        <w:t>obtenteur est exigé dans l</w:t>
      </w:r>
      <w:r w:rsidR="00FD700E" w:rsidRPr="00754CC2">
        <w:rPr>
          <w:highlight w:val="lightGray"/>
          <w:lang w:val="fr-FR"/>
        </w:rPr>
        <w:t>’</w:t>
      </w:r>
      <w:r w:rsidRPr="00754CC2">
        <w:rPr>
          <w:highlight w:val="lightGray"/>
          <w:lang w:val="fr-FR"/>
        </w:rPr>
        <w:t>article 12 de l</w:t>
      </w:r>
      <w:r w:rsidR="00FD700E" w:rsidRPr="00754CC2">
        <w:rPr>
          <w:highlight w:val="lightGray"/>
          <w:lang w:val="fr-FR"/>
        </w:rPr>
        <w:t>’</w:t>
      </w:r>
      <w:r w:rsidRPr="00754CC2">
        <w:rPr>
          <w:highlight w:val="lightGray"/>
          <w:lang w:val="fr-FR"/>
        </w:rPr>
        <w:t>Acte de</w:t>
      </w:r>
      <w:r w:rsidR="00175F7E" w:rsidRPr="00754CC2">
        <w:rPr>
          <w:highlight w:val="lightGray"/>
          <w:lang w:val="fr-FR"/>
        </w:rPr>
        <w:t> </w:t>
      </w:r>
      <w:r w:rsidRPr="00754CC2">
        <w:rPr>
          <w:highlight w:val="lightGray"/>
          <w:lang w:val="fr-FR"/>
        </w:rPr>
        <w:t>1991 et dans l</w:t>
      </w:r>
      <w:r w:rsidR="00FD700E" w:rsidRPr="00754CC2">
        <w:rPr>
          <w:highlight w:val="lightGray"/>
          <w:lang w:val="fr-FR"/>
        </w:rPr>
        <w:t>’</w:t>
      </w:r>
      <w:r w:rsidRPr="00754CC2">
        <w:rPr>
          <w:highlight w:val="lightGray"/>
          <w:lang w:val="fr-FR"/>
        </w:rPr>
        <w:t>article 7 de l</w:t>
      </w:r>
      <w:r w:rsidR="00FD700E" w:rsidRPr="00754CC2">
        <w:rPr>
          <w:highlight w:val="lightGray"/>
          <w:lang w:val="fr-FR"/>
        </w:rPr>
        <w:t>’</w:t>
      </w:r>
      <w:r w:rsidRPr="00754CC2">
        <w:rPr>
          <w:highlight w:val="lightGray"/>
          <w:lang w:val="fr-FR"/>
        </w:rPr>
        <w:t>Acte de</w:t>
      </w:r>
      <w:r w:rsidR="00175F7E" w:rsidRPr="00754CC2">
        <w:rPr>
          <w:highlight w:val="lightGray"/>
          <w:lang w:val="fr-FR"/>
        </w:rPr>
        <w:t> </w:t>
      </w:r>
      <w:r w:rsidRPr="00754CC2">
        <w:rPr>
          <w:highlight w:val="lightGray"/>
          <w:lang w:val="fr-FR"/>
        </w:rPr>
        <w:t xml:space="preserve">1978 de la </w:t>
      </w:r>
      <w:r w:rsidR="00FD700E" w:rsidRPr="00754CC2">
        <w:rPr>
          <w:highlight w:val="lightGray"/>
          <w:lang w:val="fr-FR"/>
        </w:rPr>
        <w:t>Convention UPOV</w:t>
      </w:r>
      <w:r w:rsidRPr="00754CC2">
        <w:rPr>
          <w:highlight w:val="lightGray"/>
          <w:lang w:val="fr-FR"/>
        </w:rPr>
        <w:t>.</w:t>
      </w:r>
      <w:r w:rsidR="00175F7E" w:rsidRPr="00754CC2">
        <w:rPr>
          <w:highlight w:val="lightGray"/>
          <w:lang w:val="fr-FR"/>
        </w:rPr>
        <w:t xml:space="preserve"> </w:t>
      </w:r>
      <w:r w:rsidRPr="00754CC2">
        <w:rPr>
          <w:highlight w:val="lightGray"/>
          <w:lang w:val="fr-FR"/>
        </w:rPr>
        <w:t xml:space="preserve"> La décision d</w:t>
      </w:r>
      <w:r w:rsidR="00FD700E" w:rsidRPr="00754CC2">
        <w:rPr>
          <w:highlight w:val="lightGray"/>
          <w:lang w:val="fr-FR"/>
        </w:rPr>
        <w:t>’</w:t>
      </w:r>
      <w:r w:rsidRPr="00754CC2">
        <w:rPr>
          <w:highlight w:val="lightGray"/>
          <w:lang w:val="fr-FR"/>
        </w:rPr>
        <w:t>octroyer un droit d</w:t>
      </w:r>
      <w:r w:rsidR="00FD700E" w:rsidRPr="00754CC2">
        <w:rPr>
          <w:highlight w:val="lightGray"/>
          <w:lang w:val="fr-FR"/>
        </w:rPr>
        <w:t>’</w:t>
      </w:r>
      <w:r w:rsidRPr="00754CC2">
        <w:rPr>
          <w:highlight w:val="lightGray"/>
          <w:lang w:val="fr-FR"/>
        </w:rPr>
        <w:t>obtenteur exige un examen de la conformité aux conditions de protection, telles qu</w:t>
      </w:r>
      <w:r w:rsidR="00FD700E" w:rsidRPr="00754CC2">
        <w:rPr>
          <w:highlight w:val="lightGray"/>
          <w:lang w:val="fr-FR"/>
        </w:rPr>
        <w:t>’</w:t>
      </w:r>
      <w:r w:rsidRPr="00754CC2">
        <w:rPr>
          <w:highlight w:val="lightGray"/>
          <w:lang w:val="fr-FR"/>
        </w:rPr>
        <w:t>elles figurent dans les articles 5 à 9 de l</w:t>
      </w:r>
      <w:r w:rsidR="00FD700E" w:rsidRPr="00754CC2">
        <w:rPr>
          <w:highlight w:val="lightGray"/>
          <w:lang w:val="fr-FR"/>
        </w:rPr>
        <w:t>’</w:t>
      </w:r>
      <w:r w:rsidRPr="00754CC2">
        <w:rPr>
          <w:highlight w:val="lightGray"/>
          <w:lang w:val="fr-FR"/>
        </w:rPr>
        <w:t>Acte de</w:t>
      </w:r>
      <w:r w:rsidR="00175F7E" w:rsidRPr="00754CC2">
        <w:rPr>
          <w:highlight w:val="lightGray"/>
          <w:lang w:val="fr-FR"/>
        </w:rPr>
        <w:t> </w:t>
      </w:r>
      <w:r w:rsidRPr="00754CC2">
        <w:rPr>
          <w:highlight w:val="lightGray"/>
          <w:lang w:val="fr-FR"/>
        </w:rPr>
        <w:t>1991 et l</w:t>
      </w:r>
      <w:r w:rsidR="00FD700E" w:rsidRPr="00754CC2">
        <w:rPr>
          <w:highlight w:val="lightGray"/>
          <w:lang w:val="fr-FR"/>
        </w:rPr>
        <w:t>’</w:t>
      </w:r>
      <w:r w:rsidRPr="00754CC2">
        <w:rPr>
          <w:highlight w:val="lightGray"/>
          <w:lang w:val="fr-FR"/>
        </w:rPr>
        <w:t>article 6 de l</w:t>
      </w:r>
      <w:r w:rsidR="00FD700E" w:rsidRPr="00754CC2">
        <w:rPr>
          <w:highlight w:val="lightGray"/>
          <w:lang w:val="fr-FR"/>
        </w:rPr>
        <w:t>’</w:t>
      </w:r>
      <w:r w:rsidRPr="00754CC2">
        <w:rPr>
          <w:highlight w:val="lightGray"/>
          <w:lang w:val="fr-FR"/>
        </w:rPr>
        <w:t>Acte de</w:t>
      </w:r>
      <w:r w:rsidR="00175F7E" w:rsidRPr="00754CC2">
        <w:rPr>
          <w:highlight w:val="lightGray"/>
          <w:lang w:val="fr-FR"/>
        </w:rPr>
        <w:t> </w:t>
      </w:r>
      <w:r w:rsidRPr="00754CC2">
        <w:rPr>
          <w:highlight w:val="lightGray"/>
          <w:lang w:val="fr-FR"/>
        </w:rPr>
        <w:t xml:space="preserve">1978 de la </w:t>
      </w:r>
      <w:r w:rsidR="00FD700E" w:rsidRPr="00754CC2">
        <w:rPr>
          <w:highlight w:val="lightGray"/>
          <w:lang w:val="fr-FR"/>
        </w:rPr>
        <w:t>Convention UPOV</w:t>
      </w:r>
      <w:r w:rsidRPr="00754CC2">
        <w:rPr>
          <w:highlight w:val="lightGray"/>
          <w:lang w:val="fr-FR"/>
        </w:rPr>
        <w:t xml:space="preserve">, </w:t>
      </w:r>
      <w:r w:rsidR="00FD700E" w:rsidRPr="00754CC2">
        <w:rPr>
          <w:highlight w:val="lightGray"/>
          <w:lang w:val="fr-FR"/>
        </w:rPr>
        <w:t>à savoir</w:t>
      </w:r>
      <w:r w:rsidRPr="00754CC2">
        <w:rPr>
          <w:highlight w:val="lightGray"/>
          <w:lang w:val="fr-FR"/>
        </w:rPr>
        <w:t xml:space="preserve"> les conditions de nouveauté, de distinction, d</w:t>
      </w:r>
      <w:r w:rsidR="00FD700E" w:rsidRPr="00754CC2">
        <w:rPr>
          <w:highlight w:val="lightGray"/>
          <w:lang w:val="fr-FR"/>
        </w:rPr>
        <w:t>’</w:t>
      </w:r>
      <w:r w:rsidRPr="00754CC2">
        <w:rPr>
          <w:highlight w:val="lightGray"/>
          <w:lang w:val="fr-FR"/>
        </w:rPr>
        <w:t>homogénéité et de stabilité (DHS), une dénomination appropriée et les formalités applicables.</w:t>
      </w:r>
    </w:p>
    <w:p w:rsidR="00C36DD4" w:rsidRPr="00754CC2" w:rsidRDefault="00C36DD4" w:rsidP="006A5B2B">
      <w:pPr>
        <w:rPr>
          <w:highlight w:val="lightGray"/>
          <w:lang w:val="fr-FR"/>
        </w:rPr>
      </w:pPr>
    </w:p>
    <w:p w:rsidR="00C36DD4" w:rsidRPr="00754CC2" w:rsidRDefault="006A5B2B" w:rsidP="006A5B2B">
      <w:pPr>
        <w:tabs>
          <w:tab w:val="left" w:pos="7371"/>
        </w:tabs>
        <w:ind w:left="1134" w:right="1134"/>
        <w:rPr>
          <w:highlight w:val="lightGray"/>
          <w:lang w:val="fr-FR"/>
        </w:rPr>
      </w:pPr>
      <w:r w:rsidRPr="00754CC2">
        <w:rPr>
          <w:highlight w:val="lightGray"/>
          <w:lang w:val="fr-FR"/>
        </w:rPr>
        <w:t>“</w:t>
      </w:r>
      <w:r w:rsidRPr="00754CC2">
        <w:rPr>
          <w:b/>
          <w:bCs/>
          <w:highlight w:val="lightGray"/>
          <w:lang w:val="fr-FR"/>
        </w:rPr>
        <w:t>Article 12 Examen de la demande</w:t>
      </w:r>
      <w:r w:rsidRPr="00754CC2">
        <w:rPr>
          <w:highlight w:val="lightGray"/>
          <w:lang w:val="fr-FR"/>
        </w:rPr>
        <w:t xml:space="preserve"> La décision d</w:t>
      </w:r>
      <w:r w:rsidR="00FD700E" w:rsidRPr="00754CC2">
        <w:rPr>
          <w:highlight w:val="lightGray"/>
          <w:lang w:val="fr-FR"/>
        </w:rPr>
        <w:t>’</w:t>
      </w:r>
      <w:r w:rsidRPr="00754CC2">
        <w:rPr>
          <w:highlight w:val="lightGray"/>
          <w:lang w:val="fr-FR"/>
        </w:rPr>
        <w:t>octroyer un droit d</w:t>
      </w:r>
      <w:r w:rsidR="00FD700E" w:rsidRPr="00754CC2">
        <w:rPr>
          <w:highlight w:val="lightGray"/>
          <w:lang w:val="fr-FR"/>
        </w:rPr>
        <w:t>’</w:t>
      </w:r>
      <w:r w:rsidRPr="00754CC2">
        <w:rPr>
          <w:highlight w:val="lightGray"/>
          <w:lang w:val="fr-FR"/>
        </w:rPr>
        <w:t>obtenteur exige un examen de la conformité aux conditions prévues aux articles 5 à 9.  Dans le cadre de cet examen, le service peut mettre la variété en culture ou effectuer les autres essais nécessaires, faire effectuer la mise en culture ou les autres essais nécessaires, ou prendre en compte les résultats des essais en culture ou d</w:t>
      </w:r>
      <w:r w:rsidR="00FD700E" w:rsidRPr="00754CC2">
        <w:rPr>
          <w:highlight w:val="lightGray"/>
          <w:lang w:val="fr-FR"/>
        </w:rPr>
        <w:t>’</w:t>
      </w:r>
      <w:r w:rsidRPr="00754CC2">
        <w:rPr>
          <w:highlight w:val="lightGray"/>
          <w:lang w:val="fr-FR"/>
        </w:rPr>
        <w:t>autres essais déjà effectués.  En vue de cet examen, le service peut exiger de l</w:t>
      </w:r>
      <w:r w:rsidR="00FD700E" w:rsidRPr="00754CC2">
        <w:rPr>
          <w:highlight w:val="lightGray"/>
          <w:lang w:val="fr-FR"/>
        </w:rPr>
        <w:t>’</w:t>
      </w:r>
      <w:r w:rsidRPr="00754CC2">
        <w:rPr>
          <w:highlight w:val="lightGray"/>
          <w:lang w:val="fr-FR"/>
        </w:rPr>
        <w:t>obtenteur tout renseignement, document ou matériel nécessaire</w:t>
      </w:r>
      <w:r w:rsidR="006F724A" w:rsidRPr="00754CC2">
        <w:rPr>
          <w:highlight w:val="lightGray"/>
          <w:lang w:val="fr-FR"/>
        </w:rPr>
        <w:t>.</w:t>
      </w:r>
      <w:r w:rsidRPr="00754CC2">
        <w:rPr>
          <w:highlight w:val="lightGray"/>
          <w:lang w:val="fr-FR"/>
        </w:rPr>
        <w:t>”</w:t>
      </w:r>
    </w:p>
    <w:p w:rsidR="00C36DD4" w:rsidRPr="00754CC2" w:rsidRDefault="00C36DD4" w:rsidP="006A5B2B">
      <w:pPr>
        <w:tabs>
          <w:tab w:val="left" w:pos="7371"/>
        </w:tabs>
        <w:ind w:left="1701" w:right="1702"/>
        <w:rPr>
          <w:highlight w:val="lightGray"/>
          <w:lang w:val="fr-FR"/>
        </w:rPr>
      </w:pPr>
    </w:p>
    <w:p w:rsidR="00C36DD4" w:rsidRPr="00754CC2" w:rsidRDefault="006A5B2B" w:rsidP="006A5B2B">
      <w:pPr>
        <w:autoSpaceDE w:val="0"/>
        <w:autoSpaceDN w:val="0"/>
        <w:adjustRightInd w:val="0"/>
        <w:rPr>
          <w:highlight w:val="lightGray"/>
          <w:lang w:val="fr-FR"/>
        </w:rPr>
      </w:pPr>
      <w:r w:rsidRPr="00754CC2">
        <w:rPr>
          <w:highlight w:val="lightGray"/>
          <w:lang w:val="fr-FR"/>
        </w:rPr>
        <w:t>3</w:t>
      </w:r>
      <w:r w:rsidR="006A369A" w:rsidRPr="00754CC2">
        <w:rPr>
          <w:highlight w:val="lightGray"/>
          <w:lang w:val="fr-FR"/>
        </w:rPr>
        <w:t>7</w:t>
      </w:r>
      <w:r w:rsidRPr="00754CC2">
        <w:rPr>
          <w:highlight w:val="lightGray"/>
          <w:lang w:val="fr-FR"/>
        </w:rPr>
        <w:t>.</w:t>
      </w:r>
      <w:r w:rsidRPr="00754CC2">
        <w:rPr>
          <w:highlight w:val="lightGray"/>
          <w:lang w:val="fr-FR"/>
        </w:rPr>
        <w:tab/>
        <w:t>Les services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 doivent prendre les mesures nécessaires pour sauvegarder les intérêts de l</w:t>
      </w:r>
      <w:r w:rsidR="00FD700E" w:rsidRPr="00754CC2">
        <w:rPr>
          <w:highlight w:val="lightGray"/>
          <w:lang w:val="fr-FR"/>
        </w:rPr>
        <w:t>’</w:t>
      </w:r>
      <w:r w:rsidRPr="00754CC2">
        <w:rPr>
          <w:highlight w:val="lightGray"/>
          <w:lang w:val="fr-FR"/>
        </w:rPr>
        <w:t>obtenteur quant aux documents, renseignements et matériel fournis dans le cadre de la demande.</w:t>
      </w:r>
    </w:p>
    <w:p w:rsidR="00AB5F29" w:rsidRPr="00754CC2" w:rsidRDefault="00AB5F29" w:rsidP="006A5B2B">
      <w:pPr>
        <w:autoSpaceDE w:val="0"/>
        <w:autoSpaceDN w:val="0"/>
        <w:adjustRightInd w:val="0"/>
        <w:rPr>
          <w:highlight w:val="lightGray"/>
          <w:lang w:val="fr-FR"/>
        </w:rPr>
      </w:pPr>
    </w:p>
    <w:p w:rsidR="00AB5F29" w:rsidRPr="00754CC2" w:rsidRDefault="00AB5F29" w:rsidP="006A5B2B">
      <w:pPr>
        <w:autoSpaceDE w:val="0"/>
        <w:autoSpaceDN w:val="0"/>
        <w:adjustRightInd w:val="0"/>
        <w:rPr>
          <w:highlight w:val="lightGray"/>
          <w:lang w:val="fr-FR"/>
        </w:rPr>
      </w:pPr>
      <w:r w:rsidRPr="00754CC2">
        <w:rPr>
          <w:highlight w:val="lightGray"/>
          <w:lang w:val="fr-FR"/>
        </w:rPr>
        <w:t>38.</w:t>
      </w:r>
      <w:r w:rsidRPr="00754CC2">
        <w:rPr>
          <w:highlight w:val="lightGray"/>
          <w:lang w:val="fr-FR"/>
        </w:rPr>
        <w:tab/>
        <w:t>Ainsi qu</w:t>
      </w:r>
      <w:r w:rsidR="00FD700E" w:rsidRPr="00754CC2">
        <w:rPr>
          <w:highlight w:val="lightGray"/>
          <w:lang w:val="fr-FR"/>
        </w:rPr>
        <w:t>’</w:t>
      </w:r>
      <w:r w:rsidRPr="00754CC2">
        <w:rPr>
          <w:highlight w:val="lightGray"/>
          <w:lang w:val="fr-FR"/>
        </w:rPr>
        <w:t>il est indiqué dans l</w:t>
      </w:r>
      <w:r w:rsidR="00FD700E" w:rsidRPr="00754CC2">
        <w:rPr>
          <w:highlight w:val="lightGray"/>
          <w:lang w:val="fr-FR"/>
        </w:rPr>
        <w:t>’</w:t>
      </w:r>
      <w:r w:rsidRPr="00754CC2">
        <w:rPr>
          <w:highlight w:val="lightGray"/>
          <w:lang w:val="fr-FR"/>
        </w:rPr>
        <w:t>article 12, aux fins de l</w:t>
      </w:r>
      <w:r w:rsidR="00FD700E" w:rsidRPr="00754CC2">
        <w:rPr>
          <w:highlight w:val="lightGray"/>
          <w:lang w:val="fr-FR"/>
        </w:rPr>
        <w:t>’</w:t>
      </w:r>
      <w:r w:rsidRPr="00754CC2">
        <w:rPr>
          <w:highlight w:val="lightGray"/>
          <w:lang w:val="fr-FR"/>
        </w:rPr>
        <w:t>examen, le service peut exiger de l</w:t>
      </w:r>
      <w:r w:rsidR="00FD700E" w:rsidRPr="00754CC2">
        <w:rPr>
          <w:highlight w:val="lightGray"/>
          <w:lang w:val="fr-FR"/>
        </w:rPr>
        <w:t>’</w:t>
      </w:r>
      <w:r w:rsidRPr="00754CC2">
        <w:rPr>
          <w:highlight w:val="lightGray"/>
          <w:lang w:val="fr-FR"/>
        </w:rPr>
        <w:t>obtenteur qu</w:t>
      </w:r>
      <w:r w:rsidR="00FD700E" w:rsidRPr="00754CC2">
        <w:rPr>
          <w:highlight w:val="lightGray"/>
          <w:lang w:val="fr-FR"/>
        </w:rPr>
        <w:t>’</w:t>
      </w:r>
      <w:r w:rsidRPr="00754CC2">
        <w:rPr>
          <w:highlight w:val="lightGray"/>
          <w:lang w:val="fr-FR"/>
        </w:rPr>
        <w:t>il fournisse tous les renseignements, documents ou matériel nécessaires.  À cet égard, le service devrait tenir compte des mesures appropriées relatives à la confidentialité, par exemple pour ce qui concerne l</w:t>
      </w:r>
      <w:r w:rsidR="00FD700E" w:rsidRPr="00754CC2">
        <w:rPr>
          <w:highlight w:val="lightGray"/>
          <w:lang w:val="fr-FR"/>
        </w:rPr>
        <w:t>’</w:t>
      </w:r>
      <w:r w:rsidRPr="00754CC2">
        <w:rPr>
          <w:highlight w:val="lightGray"/>
          <w:lang w:val="fr-FR"/>
        </w:rPr>
        <w:t>information généalogique.</w:t>
      </w:r>
    </w:p>
    <w:p w:rsidR="00C36DD4" w:rsidRPr="00754CC2" w:rsidRDefault="00C36DD4" w:rsidP="002D3E39">
      <w:pPr>
        <w:ind w:right="34"/>
        <w:rPr>
          <w:rFonts w:cs="Arial"/>
          <w:sz w:val="18"/>
          <w:szCs w:val="18"/>
          <w:highlight w:val="lightGray"/>
          <w:lang w:val="fr-FR"/>
        </w:rPr>
      </w:pPr>
    </w:p>
    <w:p w:rsidR="00C36DD4" w:rsidRPr="00754CC2" w:rsidRDefault="00904477" w:rsidP="006A5B2B">
      <w:pPr>
        <w:rPr>
          <w:highlight w:val="lightGray"/>
          <w:lang w:val="fr-FR"/>
        </w:rPr>
      </w:pPr>
      <w:r w:rsidRPr="00754CC2">
        <w:rPr>
          <w:highlight w:val="lightGray"/>
          <w:lang w:val="fr-FR"/>
        </w:rPr>
        <w:t>3</w:t>
      </w:r>
      <w:r w:rsidR="00AB5F29" w:rsidRPr="00754CC2">
        <w:rPr>
          <w:highlight w:val="lightGray"/>
          <w:lang w:val="fr-FR"/>
        </w:rPr>
        <w:t>9</w:t>
      </w:r>
      <w:r w:rsidRPr="00754CC2">
        <w:rPr>
          <w:highlight w:val="lightGray"/>
          <w:lang w:val="fr-FR"/>
        </w:rPr>
        <w:t>.</w:t>
      </w:r>
      <w:r w:rsidRPr="00754CC2">
        <w:rPr>
          <w:highlight w:val="lightGray"/>
          <w:lang w:val="fr-FR"/>
        </w:rPr>
        <w:tab/>
      </w:r>
      <w:r w:rsidR="006A5B2B" w:rsidRPr="00754CC2">
        <w:rPr>
          <w:highlight w:val="lightGray"/>
          <w:lang w:val="fr-FR"/>
        </w:rPr>
        <w:t>L</w:t>
      </w:r>
      <w:r w:rsidR="00FD700E" w:rsidRPr="00754CC2">
        <w:rPr>
          <w:highlight w:val="lightGray"/>
          <w:lang w:val="fr-FR"/>
        </w:rPr>
        <w:t>’</w:t>
      </w:r>
      <w:r w:rsidR="006A5B2B" w:rsidRPr="00754CC2">
        <w:rPr>
          <w:highlight w:val="lightGray"/>
          <w:lang w:val="fr-FR"/>
        </w:rPr>
        <w:t>UPOV a élaboré la “Collection UPOV” de matériels d</w:t>
      </w:r>
      <w:r w:rsidR="00FD700E" w:rsidRPr="00754CC2">
        <w:rPr>
          <w:highlight w:val="lightGray"/>
          <w:lang w:val="fr-FR"/>
        </w:rPr>
        <w:t>’</w:t>
      </w:r>
      <w:r w:rsidR="006A5B2B" w:rsidRPr="00754CC2">
        <w:rPr>
          <w:highlight w:val="lightGray"/>
          <w:lang w:val="fr-FR"/>
        </w:rPr>
        <w:t>orientation et d</w:t>
      </w:r>
      <w:r w:rsidR="00FD700E" w:rsidRPr="00754CC2">
        <w:rPr>
          <w:highlight w:val="lightGray"/>
          <w:lang w:val="fr-FR"/>
        </w:rPr>
        <w:t>’</w:t>
      </w:r>
      <w:r w:rsidR="006A5B2B" w:rsidRPr="00754CC2">
        <w:rPr>
          <w:highlight w:val="lightGray"/>
          <w:lang w:val="fr-FR"/>
        </w:rPr>
        <w:t>information sur la protection des obtentions végétales</w:t>
      </w:r>
      <w:r w:rsidRPr="00754CC2">
        <w:rPr>
          <w:highlight w:val="lightGray"/>
          <w:lang w:val="fr-FR"/>
        </w:rPr>
        <w:t xml:space="preserve"> en vertu de la </w:t>
      </w:r>
      <w:r w:rsidR="00FD700E" w:rsidRPr="00754CC2">
        <w:rPr>
          <w:highlight w:val="lightGray"/>
          <w:lang w:val="fr-FR"/>
        </w:rPr>
        <w:t>Convention UPOV</w:t>
      </w:r>
      <w:r w:rsidR="006A5B2B" w:rsidRPr="00754CC2">
        <w:rPr>
          <w:highlight w:val="lightGray"/>
          <w:lang w:val="fr-FR"/>
        </w:rPr>
        <w:t xml:space="preserve">. </w:t>
      </w:r>
      <w:r w:rsidR="00175F7E" w:rsidRPr="00754CC2">
        <w:rPr>
          <w:highlight w:val="lightGray"/>
          <w:lang w:val="fr-FR"/>
        </w:rPr>
        <w:t xml:space="preserve"> </w:t>
      </w:r>
      <w:r w:rsidR="006A5B2B" w:rsidRPr="00754CC2">
        <w:rPr>
          <w:highlight w:val="lightGray"/>
          <w:lang w:val="fr-FR"/>
        </w:rPr>
        <w:t>Il sied cependant de rappeler que les seules obligations à caractère contraignant auxquelles sont soumis les membres de l</w:t>
      </w:r>
      <w:r w:rsidR="00FD700E" w:rsidRPr="00754CC2">
        <w:rPr>
          <w:highlight w:val="lightGray"/>
          <w:lang w:val="fr-FR"/>
        </w:rPr>
        <w:t>’</w:t>
      </w:r>
      <w:r w:rsidR="006A5B2B" w:rsidRPr="00754CC2">
        <w:rPr>
          <w:highlight w:val="lightGray"/>
          <w:lang w:val="fr-FR"/>
        </w:rPr>
        <w:t xml:space="preserve">Union sont celles prévues dans la </w:t>
      </w:r>
      <w:r w:rsidR="00FD700E" w:rsidRPr="00754CC2">
        <w:rPr>
          <w:highlight w:val="lightGray"/>
          <w:lang w:val="fr-FR"/>
        </w:rPr>
        <w:t>Convention UPOV</w:t>
      </w:r>
      <w:r w:rsidR="006A5B2B" w:rsidRPr="00754CC2">
        <w:rPr>
          <w:highlight w:val="lightGray"/>
          <w:lang w:val="fr-FR"/>
        </w:rPr>
        <w:t xml:space="preserve"> elle</w:t>
      </w:r>
      <w:r w:rsidR="00B66F35" w:rsidRPr="00754CC2">
        <w:rPr>
          <w:highlight w:val="lightGray"/>
          <w:lang w:val="fr-FR"/>
        </w:rPr>
        <w:noBreakHyphen/>
      </w:r>
      <w:r w:rsidR="006A5B2B" w:rsidRPr="00754CC2">
        <w:rPr>
          <w:highlight w:val="lightGray"/>
          <w:lang w:val="fr-FR"/>
        </w:rPr>
        <w:t>même, et les matériels ne doivent pas être interprétés d</w:t>
      </w:r>
      <w:r w:rsidR="00FD700E" w:rsidRPr="00754CC2">
        <w:rPr>
          <w:highlight w:val="lightGray"/>
          <w:lang w:val="fr-FR"/>
        </w:rPr>
        <w:t>’</w:t>
      </w:r>
      <w:r w:rsidR="006A5B2B" w:rsidRPr="00754CC2">
        <w:rPr>
          <w:highlight w:val="lightGray"/>
          <w:lang w:val="fr-FR"/>
        </w:rPr>
        <w:t>une manière incompatible avec l</w:t>
      </w:r>
      <w:r w:rsidR="00FD700E" w:rsidRPr="00754CC2">
        <w:rPr>
          <w:highlight w:val="lightGray"/>
          <w:lang w:val="fr-FR"/>
        </w:rPr>
        <w:t>’</w:t>
      </w:r>
      <w:r w:rsidR="006A5B2B" w:rsidRPr="00754CC2">
        <w:rPr>
          <w:highlight w:val="lightGray"/>
          <w:lang w:val="fr-FR"/>
        </w:rPr>
        <w:t>Acte pertinent par le membre de l</w:t>
      </w:r>
      <w:r w:rsidR="00FD700E" w:rsidRPr="00754CC2">
        <w:rPr>
          <w:highlight w:val="lightGray"/>
          <w:lang w:val="fr-FR"/>
        </w:rPr>
        <w:t>’</w:t>
      </w:r>
      <w:r w:rsidR="006A5B2B" w:rsidRPr="00754CC2">
        <w:rPr>
          <w:highlight w:val="lightGray"/>
          <w:lang w:val="fr-FR"/>
        </w:rPr>
        <w:t>Union concerné.</w:t>
      </w:r>
    </w:p>
    <w:p w:rsidR="00C36DD4" w:rsidRPr="00754CC2" w:rsidRDefault="00C36DD4" w:rsidP="006A5B2B">
      <w:pPr>
        <w:rPr>
          <w:highlight w:val="lightGray"/>
          <w:lang w:val="fr-FR"/>
        </w:rPr>
      </w:pPr>
    </w:p>
    <w:p w:rsidR="00C36DD4" w:rsidRPr="00754CC2" w:rsidRDefault="00AB5F29" w:rsidP="006A5B2B">
      <w:pPr>
        <w:rPr>
          <w:spacing w:val="-2"/>
          <w:highlight w:val="lightGray"/>
          <w:lang w:val="fr-FR"/>
        </w:rPr>
      </w:pPr>
      <w:r w:rsidRPr="00754CC2">
        <w:rPr>
          <w:spacing w:val="-2"/>
          <w:highlight w:val="lightGray"/>
          <w:lang w:val="fr-FR"/>
        </w:rPr>
        <w:lastRenderedPageBreak/>
        <w:t>40</w:t>
      </w:r>
      <w:r w:rsidR="00904477" w:rsidRPr="00754CC2">
        <w:rPr>
          <w:spacing w:val="-2"/>
          <w:highlight w:val="lightGray"/>
          <w:lang w:val="fr-FR"/>
        </w:rPr>
        <w:t>.</w:t>
      </w:r>
      <w:r w:rsidR="00904477" w:rsidRPr="00754CC2">
        <w:rPr>
          <w:spacing w:val="-2"/>
          <w:highlight w:val="lightGray"/>
          <w:lang w:val="fr-FR"/>
        </w:rPr>
        <w:tab/>
      </w:r>
      <w:r w:rsidR="006A5B2B" w:rsidRPr="00754CC2">
        <w:rPr>
          <w:spacing w:val="-2"/>
          <w:highlight w:val="lightGray"/>
          <w:lang w:val="fr-FR"/>
        </w:rPr>
        <w:t>Une liste actualisée du contenu et de l</w:t>
      </w:r>
      <w:r w:rsidR="00FD700E" w:rsidRPr="00754CC2">
        <w:rPr>
          <w:spacing w:val="-2"/>
          <w:highlight w:val="lightGray"/>
          <w:lang w:val="fr-FR"/>
        </w:rPr>
        <w:t>’</w:t>
      </w:r>
      <w:r w:rsidR="006A5B2B" w:rsidRPr="00754CC2">
        <w:rPr>
          <w:spacing w:val="-2"/>
          <w:highlight w:val="lightGray"/>
          <w:lang w:val="fr-FR"/>
        </w:rPr>
        <w:t>état d</w:t>
      </w:r>
      <w:r w:rsidR="00FD700E" w:rsidRPr="00754CC2">
        <w:rPr>
          <w:spacing w:val="-2"/>
          <w:highlight w:val="lightGray"/>
          <w:lang w:val="fr-FR"/>
        </w:rPr>
        <w:t>’</w:t>
      </w:r>
      <w:r w:rsidR="006A5B2B" w:rsidRPr="00754CC2">
        <w:rPr>
          <w:spacing w:val="-2"/>
          <w:highlight w:val="lightGray"/>
          <w:lang w:val="fr-FR"/>
        </w:rPr>
        <w:t>avancement des matériels figurant dans la Collection UPOV est affichée dans la</w:t>
      </w:r>
      <w:r w:rsidR="00400921" w:rsidRPr="00754CC2">
        <w:rPr>
          <w:spacing w:val="-2"/>
          <w:highlight w:val="lightGray"/>
          <w:lang w:val="fr-FR"/>
        </w:rPr>
        <w:t xml:space="preserve"> </w:t>
      </w:r>
      <w:hyperlink r:id="rId37" w:anchor="toc" w:history="1">
        <w:r w:rsidR="006A5B2B" w:rsidRPr="00754CC2">
          <w:rPr>
            <w:color w:val="0000FF"/>
            <w:spacing w:val="-2"/>
            <w:highlight w:val="lightGray"/>
            <w:u w:val="single"/>
            <w:lang w:val="fr-FR"/>
          </w:rPr>
          <w:t>table des matières</w:t>
        </w:r>
      </w:hyperlink>
      <w:r w:rsidR="006A5B2B" w:rsidRPr="00754CC2">
        <w:rPr>
          <w:spacing w:val="-2"/>
          <w:highlight w:val="lightGray"/>
          <w:lang w:val="fr-FR"/>
        </w:rPr>
        <w:t xml:space="preserve"> publiée sur le site Web de l</w:t>
      </w:r>
      <w:r w:rsidR="00FD700E" w:rsidRPr="00754CC2">
        <w:rPr>
          <w:spacing w:val="-2"/>
          <w:highlight w:val="lightGray"/>
          <w:lang w:val="fr-FR"/>
        </w:rPr>
        <w:t>’</w:t>
      </w:r>
      <w:r w:rsidR="006A5B2B" w:rsidRPr="00754CC2">
        <w:rPr>
          <w:spacing w:val="-2"/>
          <w:highlight w:val="lightGray"/>
          <w:lang w:val="fr-FR"/>
        </w:rPr>
        <w:t>UPOV et illustrée ci</w:t>
      </w:r>
      <w:r w:rsidR="00B66F35" w:rsidRPr="00754CC2">
        <w:rPr>
          <w:spacing w:val="-2"/>
          <w:highlight w:val="lightGray"/>
          <w:lang w:val="fr-FR"/>
        </w:rPr>
        <w:noBreakHyphen/>
      </w:r>
      <w:r w:rsidR="006A5B2B" w:rsidRPr="00754CC2">
        <w:rPr>
          <w:spacing w:val="-2"/>
          <w:highlight w:val="lightGray"/>
          <w:lang w:val="fr-FR"/>
        </w:rPr>
        <w:t>dessous</w:t>
      </w:r>
      <w:r w:rsidR="006A5B2B" w:rsidRPr="00754CC2">
        <w:rPr>
          <w:spacing w:val="-2"/>
          <w:highlight w:val="lightGray"/>
          <w:vertAlign w:val="superscript"/>
          <w:lang w:val="fr-FR"/>
        </w:rPr>
        <w:footnoteReference w:id="9"/>
      </w:r>
      <w:r w:rsidR="006A5B2B" w:rsidRPr="00754CC2">
        <w:rPr>
          <w:spacing w:val="-2"/>
          <w:highlight w:val="lightGray"/>
          <w:lang w:val="fr-FR"/>
        </w:rPr>
        <w:t xml:space="preserve">. </w:t>
      </w:r>
      <w:r w:rsidR="00175F7E" w:rsidRPr="00754CC2">
        <w:rPr>
          <w:spacing w:val="-2"/>
          <w:highlight w:val="lightGray"/>
          <w:lang w:val="fr-FR"/>
        </w:rPr>
        <w:t xml:space="preserve"> </w:t>
      </w:r>
      <w:r w:rsidR="006A5B2B" w:rsidRPr="00754CC2">
        <w:rPr>
          <w:spacing w:val="-2"/>
          <w:highlight w:val="lightGray"/>
          <w:lang w:val="fr-FR"/>
        </w:rPr>
        <w:t>Les membres de l</w:t>
      </w:r>
      <w:r w:rsidR="00FD700E" w:rsidRPr="00754CC2">
        <w:rPr>
          <w:spacing w:val="-2"/>
          <w:highlight w:val="lightGray"/>
          <w:lang w:val="fr-FR"/>
        </w:rPr>
        <w:t>’</w:t>
      </w:r>
      <w:r w:rsidR="006A5B2B" w:rsidRPr="00754CC2">
        <w:rPr>
          <w:spacing w:val="-2"/>
          <w:highlight w:val="lightGray"/>
          <w:lang w:val="fr-FR"/>
        </w:rPr>
        <w:t>Union (deux jeux par membre de l</w:t>
      </w:r>
      <w:r w:rsidR="00FD700E" w:rsidRPr="00754CC2">
        <w:rPr>
          <w:spacing w:val="-2"/>
          <w:highlight w:val="lightGray"/>
          <w:lang w:val="fr-FR"/>
        </w:rPr>
        <w:t>’</w:t>
      </w:r>
      <w:r w:rsidR="006A5B2B" w:rsidRPr="00754CC2">
        <w:rPr>
          <w:spacing w:val="-2"/>
          <w:highlight w:val="lightGray"/>
          <w:lang w:val="fr-FR"/>
        </w:rPr>
        <w:t>Union) de même que les États et les organisations ayant le statut d</w:t>
      </w:r>
      <w:r w:rsidR="00FD700E" w:rsidRPr="00754CC2">
        <w:rPr>
          <w:spacing w:val="-2"/>
          <w:highlight w:val="lightGray"/>
          <w:lang w:val="fr-FR"/>
        </w:rPr>
        <w:t>’</w:t>
      </w:r>
      <w:r w:rsidR="006A5B2B" w:rsidRPr="00754CC2">
        <w:rPr>
          <w:spacing w:val="-2"/>
          <w:highlight w:val="lightGray"/>
          <w:lang w:val="fr-FR"/>
        </w:rPr>
        <w:t>observateur (un jeu par État ou organisation) reçoivent des classeurs destinés à contenir la “Collection UPOV”.  Dans un premier temps, des versions imprimées de tous les documents de la “Collection UPOV”, à l</w:t>
      </w:r>
      <w:r w:rsidR="00FD700E" w:rsidRPr="00754CC2">
        <w:rPr>
          <w:spacing w:val="-2"/>
          <w:highlight w:val="lightGray"/>
          <w:lang w:val="fr-FR"/>
        </w:rPr>
        <w:t>’</w:t>
      </w:r>
      <w:r w:rsidR="006A5B2B" w:rsidRPr="00754CC2">
        <w:rPr>
          <w:spacing w:val="-2"/>
          <w:highlight w:val="lightGray"/>
          <w:lang w:val="fr-FR"/>
        </w:rPr>
        <w:t>exception des principes directeurs d</w:t>
      </w:r>
      <w:r w:rsidR="00FD700E" w:rsidRPr="00754CC2">
        <w:rPr>
          <w:spacing w:val="-2"/>
          <w:highlight w:val="lightGray"/>
          <w:lang w:val="fr-FR"/>
        </w:rPr>
        <w:t>’</w:t>
      </w:r>
      <w:r w:rsidR="006A5B2B" w:rsidRPr="00754CC2">
        <w:rPr>
          <w:spacing w:val="-2"/>
          <w:highlight w:val="lightGray"/>
          <w:lang w:val="fr-FR"/>
        </w:rPr>
        <w:t>examen, sont fournies avec les dossiers.  Une fois distribués les dossiers de la “Collection UPOV” accompagnés d</w:t>
      </w:r>
      <w:r w:rsidR="00FD700E" w:rsidRPr="00754CC2">
        <w:rPr>
          <w:spacing w:val="-2"/>
          <w:highlight w:val="lightGray"/>
          <w:lang w:val="fr-FR"/>
        </w:rPr>
        <w:t>’</w:t>
      </w:r>
      <w:r w:rsidR="006A5B2B" w:rsidRPr="00754CC2">
        <w:rPr>
          <w:spacing w:val="-2"/>
          <w:highlight w:val="lightGray"/>
          <w:lang w:val="fr-FR"/>
        </w:rPr>
        <w:t>un jeu de documents imprimés, le Bureau de l</w:t>
      </w:r>
      <w:r w:rsidR="00FD700E" w:rsidRPr="00754CC2">
        <w:rPr>
          <w:spacing w:val="-2"/>
          <w:highlight w:val="lightGray"/>
          <w:lang w:val="fr-FR"/>
        </w:rPr>
        <w:t>’</w:t>
      </w:r>
      <w:r w:rsidR="006A5B2B" w:rsidRPr="00754CC2">
        <w:rPr>
          <w:spacing w:val="-2"/>
          <w:highlight w:val="lightGray"/>
          <w:lang w:val="fr-FR"/>
        </w:rPr>
        <w:t xml:space="preserve">Union ne fournit plus aucun autre document imprimé. </w:t>
      </w:r>
      <w:r w:rsidR="00175F7E" w:rsidRPr="00754CC2">
        <w:rPr>
          <w:spacing w:val="-2"/>
          <w:highlight w:val="lightGray"/>
          <w:lang w:val="fr-FR"/>
        </w:rPr>
        <w:t xml:space="preserve"> </w:t>
      </w:r>
      <w:r w:rsidR="006A5B2B" w:rsidRPr="00754CC2">
        <w:rPr>
          <w:spacing w:val="-2"/>
          <w:highlight w:val="lightGray"/>
          <w:lang w:val="fr-FR"/>
        </w:rPr>
        <w:t>Toutes les personnes désignées des organes de l</w:t>
      </w:r>
      <w:r w:rsidR="00FD700E" w:rsidRPr="00754CC2">
        <w:rPr>
          <w:spacing w:val="-2"/>
          <w:highlight w:val="lightGray"/>
          <w:lang w:val="fr-FR"/>
        </w:rPr>
        <w:t>’</w:t>
      </w:r>
      <w:r w:rsidR="006A5B2B" w:rsidRPr="00754CC2">
        <w:rPr>
          <w:spacing w:val="-2"/>
          <w:highlight w:val="lightGray"/>
          <w:lang w:val="fr-FR"/>
        </w:rPr>
        <w:t xml:space="preserve">UPOV recevront une notification par voie électronique à chaque mise à jour de la Collection UPOV. </w:t>
      </w:r>
      <w:r w:rsidR="00175F7E" w:rsidRPr="00754CC2">
        <w:rPr>
          <w:spacing w:val="-2"/>
          <w:highlight w:val="lightGray"/>
          <w:lang w:val="fr-FR"/>
        </w:rPr>
        <w:t xml:space="preserve"> </w:t>
      </w:r>
      <w:r w:rsidR="006A5B2B" w:rsidRPr="00754CC2">
        <w:rPr>
          <w:spacing w:val="-2"/>
          <w:highlight w:val="lightGray"/>
          <w:lang w:val="fr-FR"/>
        </w:rPr>
        <w:t>S</w:t>
      </w:r>
      <w:r w:rsidR="00FD700E" w:rsidRPr="00754CC2">
        <w:rPr>
          <w:spacing w:val="-2"/>
          <w:highlight w:val="lightGray"/>
          <w:lang w:val="fr-FR"/>
        </w:rPr>
        <w:t>’</w:t>
      </w:r>
      <w:r w:rsidR="006A5B2B" w:rsidRPr="00754CC2">
        <w:rPr>
          <w:spacing w:val="-2"/>
          <w:highlight w:val="lightGray"/>
          <w:lang w:val="fr-FR"/>
        </w:rPr>
        <w:t>agissant des personnes ayant reçu les dossiers, cette notification sert à leur indiquer d</w:t>
      </w:r>
      <w:r w:rsidR="00FD700E" w:rsidRPr="00754CC2">
        <w:rPr>
          <w:spacing w:val="-2"/>
          <w:highlight w:val="lightGray"/>
          <w:lang w:val="fr-FR"/>
        </w:rPr>
        <w:t>’</w:t>
      </w:r>
      <w:r w:rsidR="006A5B2B" w:rsidRPr="00754CC2">
        <w:rPr>
          <w:spacing w:val="-2"/>
          <w:highlight w:val="lightGray"/>
          <w:lang w:val="fr-FR"/>
        </w:rPr>
        <w:t xml:space="preserve">imprimer les nouvelles versions et à remplacer les versions précédentes des documents concernés. </w:t>
      </w:r>
      <w:r w:rsidR="00175F7E" w:rsidRPr="00754CC2">
        <w:rPr>
          <w:spacing w:val="-2"/>
          <w:highlight w:val="lightGray"/>
          <w:lang w:val="fr-FR"/>
        </w:rPr>
        <w:t xml:space="preserve"> </w:t>
      </w:r>
      <w:r w:rsidR="006A5B2B" w:rsidRPr="00754CC2">
        <w:rPr>
          <w:spacing w:val="-2"/>
          <w:highlight w:val="lightGray"/>
          <w:lang w:val="fr-FR"/>
        </w:rPr>
        <w:t xml:space="preserve">Les autres utilisateurs pourront </w:t>
      </w:r>
      <w:hyperlink r:id="rId38" w:history="1">
        <w:r w:rsidR="006A5B2B" w:rsidRPr="00754CC2">
          <w:rPr>
            <w:color w:val="0000FF"/>
            <w:spacing w:val="-2"/>
            <w:highlight w:val="lightGray"/>
            <w:u w:val="single"/>
            <w:lang w:val="fr-FR"/>
          </w:rPr>
          <w:t>s</w:t>
        </w:r>
        <w:r w:rsidR="00FD700E" w:rsidRPr="00754CC2">
          <w:rPr>
            <w:color w:val="0000FF"/>
            <w:spacing w:val="-2"/>
            <w:highlight w:val="lightGray"/>
            <w:u w:val="single"/>
            <w:lang w:val="fr-FR"/>
          </w:rPr>
          <w:t>’</w:t>
        </w:r>
        <w:r w:rsidR="006A5B2B" w:rsidRPr="00754CC2">
          <w:rPr>
            <w:color w:val="0000FF"/>
            <w:spacing w:val="-2"/>
            <w:highlight w:val="lightGray"/>
            <w:u w:val="single"/>
            <w:lang w:val="fr-FR"/>
          </w:rPr>
          <w:t>inscrire</w:t>
        </w:r>
      </w:hyperlink>
      <w:r w:rsidR="006A5B2B" w:rsidRPr="00754CC2">
        <w:rPr>
          <w:spacing w:val="-2"/>
          <w:highlight w:val="lightGray"/>
          <w:lang w:val="fr-FR"/>
        </w:rPr>
        <w:t xml:space="preserve"> afin de recevoir une notification par voie électronique à chaque mise à jour de ladite collection.</w:t>
      </w:r>
    </w:p>
    <w:p w:rsidR="00C36DD4" w:rsidRPr="00754CC2" w:rsidRDefault="00C36DD4" w:rsidP="00347556">
      <w:pPr>
        <w:spacing w:line="360" w:lineRule="auto"/>
        <w:rPr>
          <w:highlight w:val="lightGray"/>
          <w:lang w:val="fr-FR"/>
        </w:rPr>
      </w:pPr>
    </w:p>
    <w:p w:rsidR="00C36DD4" w:rsidRPr="00754CC2" w:rsidRDefault="006A5B2B" w:rsidP="00347556">
      <w:pPr>
        <w:pStyle w:val="Heading3"/>
        <w:rPr>
          <w:highlight w:val="lightGray"/>
        </w:rPr>
      </w:pPr>
      <w:bookmarkStart w:id="41" w:name="_Toc412041931"/>
      <w:r w:rsidRPr="00754CC2">
        <w:rPr>
          <w:highlight w:val="lightGray"/>
        </w:rPr>
        <w:t>Table des matières</w:t>
      </w:r>
      <w:bookmarkEnd w:id="41"/>
    </w:p>
    <w:p w:rsidR="006A5B2B" w:rsidRPr="00754CC2" w:rsidRDefault="006A5B2B" w:rsidP="006A5B2B">
      <w:pPr>
        <w:keepNext/>
        <w:rPr>
          <w:highlight w:val="lightGray"/>
          <w:lang w:val="fr-FR"/>
        </w:rPr>
      </w:pPr>
    </w:p>
    <w:tbl>
      <w:tblPr>
        <w:tblW w:w="4975" w:type="pct"/>
        <w:tblCellSpacing w:w="7"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47"/>
        <w:gridCol w:w="9031"/>
      </w:tblGrid>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a) </w:t>
            </w:r>
          </w:p>
        </w:tc>
        <w:tc>
          <w:tcPr>
            <w:tcW w:w="4653" w:type="pct"/>
            <w:tcBorders>
              <w:top w:val="outset" w:sz="6" w:space="0" w:color="auto"/>
              <w:left w:val="outset" w:sz="6" w:space="0" w:color="auto"/>
              <w:bottom w:val="outset" w:sz="6" w:space="0" w:color="auto"/>
            </w:tcBorders>
          </w:tcPr>
          <w:p w:rsidR="006A5B2B" w:rsidRPr="00754CC2" w:rsidRDefault="00FD700E" w:rsidP="002D3E39">
            <w:pPr>
              <w:spacing w:after="60"/>
              <w:jc w:val="left"/>
              <w:rPr>
                <w:highlight w:val="lightGray"/>
                <w:lang w:val="fr-FR"/>
              </w:rPr>
            </w:pPr>
            <w:r w:rsidRPr="00754CC2">
              <w:rPr>
                <w:highlight w:val="lightGray"/>
                <w:lang w:val="fr-FR"/>
              </w:rPr>
              <w:t>Convention UPOV</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b)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Série de documents UPOV/INF</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c)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Notes explicatives sur la </w:t>
            </w:r>
            <w:r w:rsidR="00FD700E" w:rsidRPr="00754CC2">
              <w:rPr>
                <w:highlight w:val="lightGray"/>
                <w:lang w:val="fr-FR"/>
              </w:rPr>
              <w:t>Convention UPOV</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d)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Introduction générale à l</w:t>
            </w:r>
            <w:r w:rsidR="00FD700E" w:rsidRPr="00754CC2">
              <w:rPr>
                <w:highlight w:val="lightGray"/>
                <w:lang w:val="fr-FR"/>
              </w:rPr>
              <w:t>’</w:t>
            </w:r>
            <w:r w:rsidRPr="00754CC2">
              <w:rPr>
                <w:highlight w:val="lightGray"/>
                <w:lang w:val="fr-FR"/>
              </w:rPr>
              <w:t>examen de la distinction, de l</w:t>
            </w:r>
            <w:r w:rsidR="00FD700E" w:rsidRPr="00754CC2">
              <w:rPr>
                <w:highlight w:val="lightGray"/>
                <w:lang w:val="fr-FR"/>
              </w:rPr>
              <w:t>’</w:t>
            </w:r>
            <w:r w:rsidRPr="00754CC2">
              <w:rPr>
                <w:highlight w:val="lightGray"/>
                <w:lang w:val="fr-FR"/>
              </w:rPr>
              <w:t>homogénéité et de la stabilité et à l</w:t>
            </w:r>
            <w:r w:rsidR="00FD700E" w:rsidRPr="00754CC2">
              <w:rPr>
                <w:highlight w:val="lightGray"/>
                <w:lang w:val="fr-FR"/>
              </w:rPr>
              <w:t>’</w:t>
            </w:r>
            <w:r w:rsidRPr="00754CC2">
              <w:rPr>
                <w:highlight w:val="lightGray"/>
                <w:lang w:val="fr-FR"/>
              </w:rPr>
              <w:t>harmonisation des descriptions des obtentions végétales (document TG/1/3)</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e)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Documents TGP</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f)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Principes directeurs d</w:t>
            </w:r>
            <w:r w:rsidR="00FD700E" w:rsidRPr="00754CC2">
              <w:rPr>
                <w:highlight w:val="lightGray"/>
                <w:lang w:val="fr-FR"/>
              </w:rPr>
              <w:t>’</w:t>
            </w:r>
            <w:r w:rsidRPr="00754CC2">
              <w:rPr>
                <w:highlight w:val="lightGray"/>
                <w:lang w:val="fr-FR"/>
              </w:rPr>
              <w:t>examen</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g)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Collection UPOV de lois et traités (UPOVLex)</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h)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Liste des membres de l</w:t>
            </w:r>
            <w:r w:rsidR="00FD700E" w:rsidRPr="00754CC2">
              <w:rPr>
                <w:highlight w:val="lightGray"/>
                <w:lang w:val="fr-FR"/>
              </w:rPr>
              <w:t>’</w:t>
            </w:r>
            <w:r w:rsidRPr="00754CC2">
              <w:rPr>
                <w:highlight w:val="lightGray"/>
                <w:lang w:val="fr-FR"/>
              </w:rPr>
              <w:t>UPOV</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i)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Répertoire des services de protection des obtentions végétales</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j)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Organigramme de l</w:t>
            </w:r>
            <w:r w:rsidR="00FD700E" w:rsidRPr="00754CC2">
              <w:rPr>
                <w:highlight w:val="lightGray"/>
                <w:lang w:val="fr-FR"/>
              </w:rPr>
              <w:t>’</w:t>
            </w:r>
            <w:r w:rsidRPr="00754CC2">
              <w:rPr>
                <w:highlight w:val="lightGray"/>
                <w:lang w:val="fr-FR"/>
              </w:rPr>
              <w:t>UPOV</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pStyle w:val="NormalWeb"/>
              <w:spacing w:before="0" w:beforeAutospacing="0" w:after="60" w:afterAutospacing="0"/>
              <w:rPr>
                <w:rFonts w:cs="Arial"/>
                <w:szCs w:val="20"/>
                <w:highlight w:val="lightGray"/>
                <w:lang w:val="fr-FR"/>
              </w:rPr>
            </w:pPr>
            <w:r w:rsidRPr="00754CC2">
              <w:rPr>
                <w:rFonts w:cs="Arial"/>
                <w:szCs w:val="20"/>
                <w:highlight w:val="lightGray"/>
                <w:lang w:val="fr-FR"/>
              </w:rPr>
              <w:t xml:space="preserve">k) </w:t>
            </w:r>
          </w:p>
        </w:tc>
        <w:tc>
          <w:tcPr>
            <w:tcW w:w="4653" w:type="pct"/>
            <w:tcBorders>
              <w:top w:val="outset" w:sz="6" w:space="0" w:color="auto"/>
              <w:left w:val="outset" w:sz="6" w:space="0" w:color="auto"/>
              <w:bottom w:val="outset" w:sz="6" w:space="0" w:color="auto"/>
            </w:tcBorders>
          </w:tcPr>
          <w:p w:rsidR="00C36DD4" w:rsidRPr="00754CC2" w:rsidRDefault="006A5B2B" w:rsidP="002D3E39">
            <w:pPr>
              <w:spacing w:after="60"/>
              <w:jc w:val="left"/>
              <w:rPr>
                <w:highlight w:val="lightGray"/>
                <w:lang w:val="fr-FR"/>
              </w:rPr>
            </w:pPr>
            <w:r w:rsidRPr="00754CC2">
              <w:rPr>
                <w:highlight w:val="lightGray"/>
                <w:lang w:val="fr-FR"/>
              </w:rPr>
              <w:t>Bases de données et informations</w:t>
            </w:r>
          </w:p>
          <w:p w:rsidR="00C36DD4" w:rsidRPr="00754CC2" w:rsidRDefault="006A5B2B" w:rsidP="002D3E39">
            <w:pPr>
              <w:numPr>
                <w:ilvl w:val="0"/>
                <w:numId w:val="3"/>
              </w:numPr>
              <w:tabs>
                <w:tab w:val="clear" w:pos="720"/>
              </w:tabs>
              <w:spacing w:after="60"/>
              <w:ind w:left="530" w:hanging="530"/>
              <w:jc w:val="left"/>
              <w:rPr>
                <w:highlight w:val="lightGray"/>
                <w:lang w:val="fr-FR"/>
              </w:rPr>
            </w:pPr>
            <w:r w:rsidRPr="00754CC2">
              <w:rPr>
                <w:highlight w:val="lightGray"/>
                <w:lang w:val="fr-FR"/>
              </w:rPr>
              <w:t>Liste des taxons protégés par les membres de l</w:t>
            </w:r>
            <w:r w:rsidR="00FD700E" w:rsidRPr="00754CC2">
              <w:rPr>
                <w:highlight w:val="lightGray"/>
                <w:lang w:val="fr-FR"/>
              </w:rPr>
              <w:t>’</w:t>
            </w:r>
            <w:r w:rsidRPr="00754CC2">
              <w:rPr>
                <w:highlight w:val="lightGray"/>
                <w:lang w:val="fr-FR"/>
              </w:rPr>
              <w:t>Union</w:t>
            </w:r>
          </w:p>
          <w:p w:rsidR="00C36DD4" w:rsidRPr="00754CC2" w:rsidRDefault="006A5B2B" w:rsidP="002D3E39">
            <w:pPr>
              <w:numPr>
                <w:ilvl w:val="0"/>
                <w:numId w:val="3"/>
              </w:numPr>
              <w:tabs>
                <w:tab w:val="clear" w:pos="720"/>
              </w:tabs>
              <w:spacing w:after="60"/>
              <w:ind w:left="530" w:hanging="530"/>
              <w:jc w:val="left"/>
              <w:rPr>
                <w:highlight w:val="lightGray"/>
                <w:lang w:val="fr-FR"/>
              </w:rPr>
            </w:pPr>
            <w:r w:rsidRPr="00754CC2">
              <w:rPr>
                <w:highlight w:val="lightGray"/>
                <w:lang w:val="fr-FR"/>
              </w:rPr>
              <w:t>Coopération en matière d</w:t>
            </w:r>
            <w:r w:rsidR="00FD700E" w:rsidRPr="00754CC2">
              <w:rPr>
                <w:highlight w:val="lightGray"/>
                <w:lang w:val="fr-FR"/>
              </w:rPr>
              <w:t>’</w:t>
            </w:r>
            <w:r w:rsidRPr="00754CC2">
              <w:rPr>
                <w:highlight w:val="lightGray"/>
                <w:lang w:val="fr-FR"/>
              </w:rPr>
              <w:t>examen</w:t>
            </w:r>
          </w:p>
          <w:p w:rsidR="006A5B2B" w:rsidRPr="00754CC2" w:rsidRDefault="006A5B2B" w:rsidP="002D3E39">
            <w:pPr>
              <w:numPr>
                <w:ilvl w:val="0"/>
                <w:numId w:val="3"/>
              </w:numPr>
              <w:tabs>
                <w:tab w:val="clear" w:pos="720"/>
              </w:tabs>
              <w:spacing w:after="60"/>
              <w:ind w:left="530" w:hanging="530"/>
              <w:jc w:val="left"/>
              <w:rPr>
                <w:highlight w:val="lightGray"/>
                <w:lang w:val="fr-FR"/>
              </w:rPr>
            </w:pPr>
            <w:r w:rsidRPr="00754CC2">
              <w:rPr>
                <w:highlight w:val="lightGray"/>
                <w:lang w:val="fr-FR"/>
              </w:rPr>
              <w:t>Liste des genres et espèces pour lesquels les services ont une expérience pratique en matière d</w:t>
            </w:r>
            <w:r w:rsidR="00FD700E" w:rsidRPr="00754CC2">
              <w:rPr>
                <w:highlight w:val="lightGray"/>
                <w:lang w:val="fr-FR"/>
              </w:rPr>
              <w:t>’</w:t>
            </w:r>
            <w:r w:rsidRPr="00754CC2">
              <w:rPr>
                <w:highlight w:val="lightGray"/>
                <w:lang w:val="fr-FR"/>
              </w:rPr>
              <w:t>examen de la distinction, de l</w:t>
            </w:r>
            <w:r w:rsidR="00FD700E" w:rsidRPr="00754CC2">
              <w:rPr>
                <w:highlight w:val="lightGray"/>
                <w:lang w:val="fr-FR"/>
              </w:rPr>
              <w:t>’</w:t>
            </w:r>
            <w:r w:rsidRPr="00754CC2">
              <w:rPr>
                <w:highlight w:val="lightGray"/>
                <w:lang w:val="fr-FR"/>
              </w:rPr>
              <w:t>homogénéité et de la stabilité</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l)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Base de données sur les variétés végétales</w:t>
            </w:r>
          </w:p>
        </w:tc>
      </w:tr>
      <w:tr w:rsidR="006A5B2B" w:rsidRPr="00754CC2" w:rsidTr="002C548B">
        <w:trPr>
          <w:tblCellSpacing w:w="7" w:type="dxa"/>
        </w:trPr>
        <w:tc>
          <w:tcPr>
            <w:tcW w:w="324" w:type="pct"/>
            <w:tcBorders>
              <w:top w:val="outset" w:sz="6" w:space="0" w:color="auto"/>
              <w:bottom w:val="outset" w:sz="6" w:space="0" w:color="auto"/>
              <w:right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 xml:space="preserve">m) </w:t>
            </w:r>
          </w:p>
        </w:tc>
        <w:tc>
          <w:tcPr>
            <w:tcW w:w="4653" w:type="pct"/>
            <w:tcBorders>
              <w:top w:val="outset" w:sz="6" w:space="0" w:color="auto"/>
              <w:left w:val="outset" w:sz="6" w:space="0" w:color="auto"/>
              <w:bottom w:val="outset" w:sz="6" w:space="0" w:color="auto"/>
            </w:tcBorders>
          </w:tcPr>
          <w:p w:rsidR="006A5B2B" w:rsidRPr="00754CC2" w:rsidRDefault="006A5B2B" w:rsidP="002D3E39">
            <w:pPr>
              <w:spacing w:after="60"/>
              <w:jc w:val="left"/>
              <w:rPr>
                <w:highlight w:val="lightGray"/>
                <w:lang w:val="fr-FR"/>
              </w:rPr>
            </w:pPr>
            <w:r w:rsidRPr="00754CC2">
              <w:rPr>
                <w:highlight w:val="lightGray"/>
                <w:lang w:val="fr-FR"/>
              </w:rPr>
              <w:t>Base de données Genie</w:t>
            </w:r>
          </w:p>
        </w:tc>
      </w:tr>
    </w:tbl>
    <w:p w:rsidR="00C36DD4" w:rsidRPr="00754CC2" w:rsidRDefault="00C36DD4" w:rsidP="006A5B2B">
      <w:pPr>
        <w:rPr>
          <w:highlight w:val="lightGray"/>
          <w:lang w:val="fr-FR"/>
        </w:rPr>
      </w:pPr>
    </w:p>
    <w:p w:rsidR="00C36DD4" w:rsidRPr="00754CC2" w:rsidRDefault="00AB5F29" w:rsidP="006A5B2B">
      <w:pPr>
        <w:rPr>
          <w:highlight w:val="lightGray"/>
          <w:lang w:val="fr-FR"/>
        </w:rPr>
      </w:pPr>
      <w:r w:rsidRPr="00754CC2">
        <w:rPr>
          <w:highlight w:val="lightGray"/>
          <w:lang w:val="fr-FR"/>
        </w:rPr>
        <w:t>41</w:t>
      </w:r>
      <w:r w:rsidR="00904477" w:rsidRPr="00754CC2">
        <w:rPr>
          <w:highlight w:val="lightGray"/>
          <w:lang w:val="fr-FR"/>
        </w:rPr>
        <w:t>.</w:t>
      </w:r>
      <w:r w:rsidR="00904477" w:rsidRPr="00754CC2">
        <w:rPr>
          <w:highlight w:val="lightGray"/>
          <w:lang w:val="fr-FR"/>
        </w:rPr>
        <w:tab/>
      </w:r>
      <w:r w:rsidR="006A5B2B" w:rsidRPr="00754CC2">
        <w:rPr>
          <w:highlight w:val="lightGray"/>
          <w:lang w:val="fr-FR"/>
        </w:rPr>
        <w:t>Des renvois aux matériels que contient la Collection UPOV seront effectués d</w:t>
      </w:r>
      <w:r w:rsidR="00FD700E" w:rsidRPr="00754CC2">
        <w:rPr>
          <w:highlight w:val="lightGray"/>
          <w:lang w:val="fr-FR"/>
        </w:rPr>
        <w:t>’</w:t>
      </w:r>
      <w:r w:rsidR="006A5B2B" w:rsidRPr="00754CC2">
        <w:rPr>
          <w:highlight w:val="lightGray"/>
          <w:lang w:val="fr-FR"/>
        </w:rPr>
        <w:t>un bout à l</w:t>
      </w:r>
      <w:r w:rsidR="00FD700E" w:rsidRPr="00754CC2">
        <w:rPr>
          <w:highlight w:val="lightGray"/>
          <w:lang w:val="fr-FR"/>
        </w:rPr>
        <w:t>’</w:t>
      </w:r>
      <w:r w:rsidR="006A5B2B" w:rsidRPr="00754CC2">
        <w:rPr>
          <w:highlight w:val="lightGray"/>
          <w:lang w:val="fr-FR"/>
        </w:rPr>
        <w:t xml:space="preserve">autre du </w:t>
      </w:r>
      <w:r w:rsidR="00904477" w:rsidRPr="00754CC2">
        <w:rPr>
          <w:highlight w:val="lightGray"/>
          <w:lang w:val="fr-FR"/>
        </w:rPr>
        <w:t>présent document afin qu</w:t>
      </w:r>
      <w:r w:rsidR="00FD700E" w:rsidRPr="00754CC2">
        <w:rPr>
          <w:highlight w:val="lightGray"/>
          <w:lang w:val="fr-FR"/>
        </w:rPr>
        <w:t>’</w:t>
      </w:r>
      <w:r w:rsidR="00904477" w:rsidRPr="00754CC2">
        <w:rPr>
          <w:highlight w:val="lightGray"/>
          <w:lang w:val="fr-FR"/>
        </w:rPr>
        <w:t>il soit possible d</w:t>
      </w:r>
      <w:r w:rsidR="00FD700E" w:rsidRPr="00754CC2">
        <w:rPr>
          <w:highlight w:val="lightGray"/>
          <w:lang w:val="fr-FR"/>
        </w:rPr>
        <w:t>’</w:t>
      </w:r>
      <w:r w:rsidR="006A5B2B" w:rsidRPr="00754CC2">
        <w:rPr>
          <w:highlight w:val="lightGray"/>
          <w:lang w:val="fr-FR"/>
        </w:rPr>
        <w:t>obtenir de plus amples informations sur des sujets pertinents.</w:t>
      </w:r>
    </w:p>
    <w:p w:rsidR="00C36DD4" w:rsidRPr="00754CC2" w:rsidRDefault="00C36DD4" w:rsidP="00347556">
      <w:pPr>
        <w:spacing w:line="360" w:lineRule="auto"/>
        <w:rPr>
          <w:highlight w:val="lightGray"/>
          <w:lang w:val="fr-FR"/>
        </w:rPr>
      </w:pPr>
    </w:p>
    <w:p w:rsidR="00C36DD4" w:rsidRPr="00754CC2" w:rsidRDefault="006A5B2B" w:rsidP="00347556">
      <w:pPr>
        <w:pStyle w:val="Heading3"/>
        <w:rPr>
          <w:highlight w:val="lightGray"/>
        </w:rPr>
      </w:pPr>
      <w:bookmarkStart w:id="42" w:name="_Toc394488749"/>
      <w:bookmarkStart w:id="43" w:name="_Toc412041932"/>
      <w:r w:rsidRPr="00754CC2">
        <w:rPr>
          <w:highlight w:val="lightGray"/>
        </w:rPr>
        <w:t>C</w:t>
      </w:r>
      <w:r w:rsidR="00904477" w:rsidRPr="00754CC2">
        <w:rPr>
          <w:highlight w:val="lightGray"/>
        </w:rPr>
        <w:t>réation</w:t>
      </w:r>
      <w:r w:rsidRPr="00754CC2">
        <w:rPr>
          <w:highlight w:val="lightGray"/>
        </w:rPr>
        <w:t xml:space="preserve"> d</w:t>
      </w:r>
      <w:r w:rsidR="00FD700E" w:rsidRPr="00754CC2">
        <w:rPr>
          <w:highlight w:val="lightGray"/>
        </w:rPr>
        <w:t>’</w:t>
      </w:r>
      <w:r w:rsidRPr="00754CC2">
        <w:rPr>
          <w:highlight w:val="lightGray"/>
        </w:rPr>
        <w:t xml:space="preserve">un </w:t>
      </w:r>
      <w:r w:rsidR="00904477" w:rsidRPr="00754CC2">
        <w:rPr>
          <w:highlight w:val="lightGray"/>
        </w:rPr>
        <w:t>service d</w:t>
      </w:r>
      <w:r w:rsidR="00FD700E" w:rsidRPr="00754CC2">
        <w:rPr>
          <w:highlight w:val="lightGray"/>
        </w:rPr>
        <w:t>’</w:t>
      </w:r>
      <w:r w:rsidR="00904477" w:rsidRPr="00754CC2">
        <w:rPr>
          <w:highlight w:val="lightGray"/>
        </w:rPr>
        <w:t>octroi</w:t>
      </w:r>
      <w:r w:rsidRPr="00754CC2">
        <w:rPr>
          <w:highlight w:val="lightGray"/>
        </w:rPr>
        <w:t xml:space="preserve"> des droits d</w:t>
      </w:r>
      <w:r w:rsidR="00FD700E" w:rsidRPr="00754CC2">
        <w:rPr>
          <w:highlight w:val="lightGray"/>
        </w:rPr>
        <w:t>’</w:t>
      </w:r>
      <w:r w:rsidRPr="00754CC2">
        <w:rPr>
          <w:highlight w:val="lightGray"/>
        </w:rPr>
        <w:t>obtenteur</w:t>
      </w:r>
      <w:bookmarkEnd w:id="42"/>
      <w:bookmarkEnd w:id="43"/>
    </w:p>
    <w:p w:rsidR="00C36DD4" w:rsidRPr="00754CC2" w:rsidRDefault="00C36DD4" w:rsidP="006A5B2B">
      <w:pPr>
        <w:rPr>
          <w:highlight w:val="lightGray"/>
          <w:lang w:val="fr-FR"/>
        </w:rPr>
      </w:pPr>
    </w:p>
    <w:p w:rsidR="00C36DD4" w:rsidRPr="00754CC2" w:rsidRDefault="00904477" w:rsidP="006A5B2B">
      <w:pPr>
        <w:rPr>
          <w:highlight w:val="lightGray"/>
          <w:lang w:val="fr-FR"/>
        </w:rPr>
      </w:pPr>
      <w:r w:rsidRPr="00754CC2">
        <w:rPr>
          <w:highlight w:val="lightGray"/>
          <w:lang w:val="fr-FR"/>
        </w:rPr>
        <w:t>4</w:t>
      </w:r>
      <w:r w:rsidR="00AB5F29" w:rsidRPr="00754CC2">
        <w:rPr>
          <w:highlight w:val="lightGray"/>
          <w:lang w:val="fr-FR"/>
        </w:rPr>
        <w:t>2</w:t>
      </w:r>
      <w:r w:rsidRPr="00754CC2">
        <w:rPr>
          <w:highlight w:val="lightGray"/>
          <w:lang w:val="fr-FR"/>
        </w:rPr>
        <w:t>.</w:t>
      </w:r>
      <w:r w:rsidRPr="00754CC2">
        <w:rPr>
          <w:highlight w:val="lightGray"/>
          <w:lang w:val="fr-FR"/>
        </w:rPr>
        <w:tab/>
      </w:r>
      <w:r w:rsidR="006A5B2B" w:rsidRPr="00754CC2">
        <w:rPr>
          <w:highlight w:val="lightGray"/>
          <w:lang w:val="fr-FR"/>
        </w:rPr>
        <w:t>Le service d</w:t>
      </w:r>
      <w:r w:rsidR="00FD700E" w:rsidRPr="00754CC2">
        <w:rPr>
          <w:highlight w:val="lightGray"/>
          <w:lang w:val="fr-FR"/>
        </w:rPr>
        <w:t>’</w:t>
      </w:r>
      <w:r w:rsidR="006A5B2B" w:rsidRPr="00754CC2">
        <w:rPr>
          <w:highlight w:val="lightGray"/>
          <w:lang w:val="fr-FR"/>
        </w:rPr>
        <w:t>octroi des droits d</w:t>
      </w:r>
      <w:r w:rsidR="00FD700E" w:rsidRPr="00754CC2">
        <w:rPr>
          <w:highlight w:val="lightGray"/>
          <w:lang w:val="fr-FR"/>
        </w:rPr>
        <w:t>’</w:t>
      </w:r>
      <w:r w:rsidR="006A5B2B" w:rsidRPr="00754CC2">
        <w:rPr>
          <w:highlight w:val="lightGray"/>
          <w:lang w:val="fr-FR"/>
        </w:rPr>
        <w:t>obtenteur est souvent placé sous la direction du ministère chargé de l</w:t>
      </w:r>
      <w:r w:rsidR="00FD700E" w:rsidRPr="00754CC2">
        <w:rPr>
          <w:highlight w:val="lightGray"/>
          <w:lang w:val="fr-FR"/>
        </w:rPr>
        <w:t>’</w:t>
      </w:r>
      <w:r w:rsidR="006A5B2B" w:rsidRPr="00754CC2">
        <w:rPr>
          <w:highlight w:val="lightGray"/>
          <w:lang w:val="fr-FR"/>
        </w:rPr>
        <w:t>agriculture ou de celui chargé de la propriété intellectuelle.  Les ministères chargés de l</w:t>
      </w:r>
      <w:r w:rsidR="00FD700E" w:rsidRPr="00754CC2">
        <w:rPr>
          <w:highlight w:val="lightGray"/>
          <w:lang w:val="fr-FR"/>
        </w:rPr>
        <w:t>’</w:t>
      </w:r>
      <w:r w:rsidR="006A5B2B" w:rsidRPr="00754CC2">
        <w:rPr>
          <w:highlight w:val="lightGray"/>
          <w:lang w:val="fr-FR"/>
        </w:rPr>
        <w:t>agriculture ont normalement une expérience des programmes liés aux variétés végétales comme la certification des semences et l</w:t>
      </w:r>
      <w:r w:rsidR="005942B0" w:rsidRPr="00754CC2">
        <w:rPr>
          <w:highlight w:val="lightGray"/>
          <w:lang w:val="fr-FR"/>
        </w:rPr>
        <w:t xml:space="preserve">’inscription au registre officiel de </w:t>
      </w:r>
      <w:r w:rsidR="006A5B2B" w:rsidRPr="00754CC2">
        <w:rPr>
          <w:highlight w:val="lightGray"/>
          <w:lang w:val="fr-FR"/>
        </w:rPr>
        <w:t xml:space="preserve">variétés. </w:t>
      </w:r>
      <w:r w:rsidR="00175F7E" w:rsidRPr="00754CC2">
        <w:rPr>
          <w:highlight w:val="lightGray"/>
          <w:lang w:val="fr-FR"/>
        </w:rPr>
        <w:t xml:space="preserve"> </w:t>
      </w:r>
      <w:r w:rsidR="006A5B2B" w:rsidRPr="00754CC2">
        <w:rPr>
          <w:highlight w:val="lightGray"/>
          <w:lang w:val="fr-FR"/>
        </w:rPr>
        <w:t>Toutefois, le service d</w:t>
      </w:r>
      <w:r w:rsidR="00FD700E" w:rsidRPr="00754CC2">
        <w:rPr>
          <w:highlight w:val="lightGray"/>
          <w:lang w:val="fr-FR"/>
        </w:rPr>
        <w:t>’</w:t>
      </w:r>
      <w:r w:rsidR="006A5B2B" w:rsidRPr="00754CC2">
        <w:rPr>
          <w:highlight w:val="lightGray"/>
          <w:lang w:val="fr-FR"/>
        </w:rPr>
        <w:t>octroi des droits d</w:t>
      </w:r>
      <w:r w:rsidR="00FD700E" w:rsidRPr="00754CC2">
        <w:rPr>
          <w:highlight w:val="lightGray"/>
          <w:lang w:val="fr-FR"/>
        </w:rPr>
        <w:t>’</w:t>
      </w:r>
      <w:r w:rsidR="006A5B2B" w:rsidRPr="00754CC2">
        <w:rPr>
          <w:highlight w:val="lightGray"/>
          <w:lang w:val="fr-FR"/>
        </w:rPr>
        <w:t>obtenteur peut par exemple être placé sous la direction d</w:t>
      </w:r>
      <w:r w:rsidR="00FD700E" w:rsidRPr="00754CC2">
        <w:rPr>
          <w:highlight w:val="lightGray"/>
          <w:lang w:val="fr-FR"/>
        </w:rPr>
        <w:t>’</w:t>
      </w:r>
      <w:r w:rsidR="006A5B2B" w:rsidRPr="00754CC2">
        <w:rPr>
          <w:highlight w:val="lightGray"/>
          <w:lang w:val="fr-FR"/>
        </w:rPr>
        <w:t>un ministère chargé de la propriété intellectuelle.</w:t>
      </w:r>
    </w:p>
    <w:p w:rsidR="00C36DD4" w:rsidRPr="00754CC2" w:rsidRDefault="00C36DD4" w:rsidP="006A5B2B">
      <w:pPr>
        <w:rPr>
          <w:highlight w:val="lightGray"/>
          <w:lang w:val="fr-FR"/>
        </w:rPr>
      </w:pPr>
    </w:p>
    <w:p w:rsidR="00C36DD4" w:rsidRPr="00754CC2" w:rsidRDefault="00904477" w:rsidP="00AB5F29">
      <w:pPr>
        <w:rPr>
          <w:highlight w:val="lightGray"/>
          <w:lang w:val="fr-FR"/>
        </w:rPr>
      </w:pPr>
      <w:r w:rsidRPr="00754CC2">
        <w:rPr>
          <w:highlight w:val="lightGray"/>
          <w:lang w:val="fr-FR"/>
        </w:rPr>
        <w:t>4</w:t>
      </w:r>
      <w:r w:rsidR="00AB5F29" w:rsidRPr="00754CC2">
        <w:rPr>
          <w:highlight w:val="lightGray"/>
          <w:lang w:val="fr-FR"/>
        </w:rPr>
        <w:t>3</w:t>
      </w:r>
      <w:r w:rsidRPr="00754CC2">
        <w:rPr>
          <w:highlight w:val="lightGray"/>
          <w:lang w:val="fr-FR"/>
        </w:rPr>
        <w:t>.</w:t>
      </w:r>
      <w:r w:rsidRPr="00754CC2">
        <w:rPr>
          <w:highlight w:val="lightGray"/>
          <w:lang w:val="fr-FR"/>
        </w:rPr>
        <w:tab/>
      </w:r>
      <w:r w:rsidR="006A5B2B" w:rsidRPr="00754CC2">
        <w:rPr>
          <w:highlight w:val="lightGray"/>
          <w:lang w:val="fr-FR"/>
        </w:rPr>
        <w:t>Un membre de l</w:t>
      </w:r>
      <w:r w:rsidR="00FD700E" w:rsidRPr="00754CC2">
        <w:rPr>
          <w:highlight w:val="lightGray"/>
          <w:lang w:val="fr-FR"/>
        </w:rPr>
        <w:t>’</w:t>
      </w:r>
      <w:r w:rsidR="006A5B2B" w:rsidRPr="00754CC2">
        <w:rPr>
          <w:highlight w:val="lightGray"/>
          <w:lang w:val="fr-FR"/>
        </w:rPr>
        <w:t>UPOV peut également décider de confier l</w:t>
      </w:r>
      <w:r w:rsidR="00FD700E" w:rsidRPr="00754CC2">
        <w:rPr>
          <w:highlight w:val="lightGray"/>
          <w:lang w:val="fr-FR"/>
        </w:rPr>
        <w:t>’</w:t>
      </w:r>
      <w:r w:rsidR="006A5B2B" w:rsidRPr="00754CC2">
        <w:rPr>
          <w:highlight w:val="lightGray"/>
          <w:lang w:val="fr-FR"/>
        </w:rPr>
        <w:t>octroi de droits d</w:t>
      </w:r>
      <w:r w:rsidR="00FD700E" w:rsidRPr="00754CC2">
        <w:rPr>
          <w:highlight w:val="lightGray"/>
          <w:lang w:val="fr-FR"/>
        </w:rPr>
        <w:t>’</w:t>
      </w:r>
      <w:r w:rsidR="006A5B2B" w:rsidRPr="00754CC2">
        <w:rPr>
          <w:highlight w:val="lightGray"/>
          <w:lang w:val="fr-FR"/>
        </w:rPr>
        <w:t>obtenteur au service d</w:t>
      </w:r>
      <w:r w:rsidR="00FD700E" w:rsidRPr="00754CC2">
        <w:rPr>
          <w:highlight w:val="lightGray"/>
          <w:lang w:val="fr-FR"/>
        </w:rPr>
        <w:t>’</w:t>
      </w:r>
      <w:r w:rsidR="006A5B2B" w:rsidRPr="00754CC2">
        <w:rPr>
          <w:highlight w:val="lightGray"/>
          <w:lang w:val="fr-FR"/>
        </w:rPr>
        <w:t>octroi d</w:t>
      </w:r>
      <w:r w:rsidR="00FD700E" w:rsidRPr="00754CC2">
        <w:rPr>
          <w:highlight w:val="lightGray"/>
          <w:lang w:val="fr-FR"/>
        </w:rPr>
        <w:t>’</w:t>
      </w:r>
      <w:r w:rsidR="006A5B2B" w:rsidRPr="00754CC2">
        <w:rPr>
          <w:highlight w:val="lightGray"/>
          <w:lang w:val="fr-FR"/>
        </w:rPr>
        <w:t>un autre membre comme une organisation intergouvernementale régionale ou supranationale.</w:t>
      </w:r>
    </w:p>
    <w:p w:rsidR="00AB5F29" w:rsidRPr="00754CC2" w:rsidRDefault="00AB5F29" w:rsidP="00AB5F29">
      <w:pPr>
        <w:rPr>
          <w:highlight w:val="lightGray"/>
          <w:lang w:val="fr-FR"/>
        </w:rPr>
      </w:pPr>
    </w:p>
    <w:p w:rsidR="00C36DD4" w:rsidRPr="00754CC2" w:rsidRDefault="002D3E39" w:rsidP="00347556">
      <w:pPr>
        <w:pStyle w:val="Heading3"/>
        <w:rPr>
          <w:highlight w:val="lightGray"/>
        </w:rPr>
      </w:pPr>
      <w:bookmarkStart w:id="44" w:name="_Toc394488750"/>
      <w:bookmarkStart w:id="45" w:name="_Toc412041933"/>
      <w:r w:rsidRPr="00754CC2">
        <w:rPr>
          <w:highlight w:val="lightGray"/>
        </w:rPr>
        <w:lastRenderedPageBreak/>
        <w:t>Fonctions et structure d</w:t>
      </w:r>
      <w:r w:rsidR="00FD700E" w:rsidRPr="00754CC2">
        <w:rPr>
          <w:highlight w:val="lightGray"/>
        </w:rPr>
        <w:t>’</w:t>
      </w:r>
      <w:r w:rsidRPr="00754CC2">
        <w:rPr>
          <w:highlight w:val="lightGray"/>
        </w:rPr>
        <w:t>un service d</w:t>
      </w:r>
      <w:r w:rsidR="00FD700E" w:rsidRPr="00754CC2">
        <w:rPr>
          <w:highlight w:val="lightGray"/>
        </w:rPr>
        <w:t>’</w:t>
      </w:r>
      <w:r w:rsidRPr="00754CC2">
        <w:rPr>
          <w:highlight w:val="lightGray"/>
        </w:rPr>
        <w:t>octroi des droits d</w:t>
      </w:r>
      <w:r w:rsidR="00FD700E" w:rsidRPr="00754CC2">
        <w:rPr>
          <w:highlight w:val="lightGray"/>
        </w:rPr>
        <w:t>’</w:t>
      </w:r>
      <w:r w:rsidRPr="00754CC2">
        <w:rPr>
          <w:highlight w:val="lightGray"/>
        </w:rPr>
        <w:t>obtenteur</w:t>
      </w:r>
      <w:bookmarkEnd w:id="44"/>
      <w:bookmarkEnd w:id="45"/>
    </w:p>
    <w:p w:rsidR="00C36DD4" w:rsidRPr="00754CC2" w:rsidRDefault="00C36DD4" w:rsidP="00AB5F29">
      <w:pPr>
        <w:keepNext/>
        <w:keepLines/>
        <w:rPr>
          <w:highlight w:val="lightGray"/>
          <w:lang w:val="fr-FR"/>
        </w:rPr>
      </w:pPr>
    </w:p>
    <w:p w:rsidR="00C36DD4" w:rsidRPr="00754CC2" w:rsidRDefault="00904477" w:rsidP="00AB5F29">
      <w:pPr>
        <w:keepNext/>
        <w:keepLines/>
        <w:rPr>
          <w:highlight w:val="lightGray"/>
          <w:lang w:val="fr-FR"/>
        </w:rPr>
      </w:pPr>
      <w:r w:rsidRPr="00754CC2">
        <w:rPr>
          <w:highlight w:val="lightGray"/>
          <w:lang w:val="fr-FR"/>
        </w:rPr>
        <w:t>4</w:t>
      </w:r>
      <w:r w:rsidR="00AB5F29" w:rsidRPr="00754CC2">
        <w:rPr>
          <w:highlight w:val="lightGray"/>
          <w:lang w:val="fr-FR"/>
        </w:rPr>
        <w:t>4</w:t>
      </w:r>
      <w:r w:rsidRPr="00754CC2">
        <w:rPr>
          <w:highlight w:val="lightGray"/>
          <w:lang w:val="fr-FR"/>
        </w:rPr>
        <w:t>.</w:t>
      </w:r>
      <w:r w:rsidRPr="00754CC2">
        <w:rPr>
          <w:highlight w:val="lightGray"/>
          <w:lang w:val="fr-FR"/>
        </w:rPr>
        <w:tab/>
      </w:r>
      <w:r w:rsidR="006A5B2B" w:rsidRPr="00754CC2">
        <w:rPr>
          <w:highlight w:val="lightGray"/>
          <w:lang w:val="fr-FR"/>
        </w:rPr>
        <w:t xml:space="preserve">La </w:t>
      </w:r>
      <w:r w:rsidR="00FD700E" w:rsidRPr="00754CC2">
        <w:rPr>
          <w:highlight w:val="lightGray"/>
          <w:lang w:val="fr-FR"/>
        </w:rPr>
        <w:t>Convention UPOV</w:t>
      </w:r>
      <w:r w:rsidR="006A5B2B" w:rsidRPr="00754CC2">
        <w:rPr>
          <w:highlight w:val="lightGray"/>
          <w:lang w:val="fr-FR"/>
        </w:rPr>
        <w:t xml:space="preserve"> définit les activités du service d</w:t>
      </w:r>
      <w:r w:rsidR="00FD700E" w:rsidRPr="00754CC2">
        <w:rPr>
          <w:highlight w:val="lightGray"/>
          <w:lang w:val="fr-FR"/>
        </w:rPr>
        <w:t>’</w:t>
      </w:r>
      <w:r w:rsidR="006A5B2B" w:rsidRPr="00754CC2">
        <w:rPr>
          <w:highlight w:val="lightGray"/>
          <w:lang w:val="fr-FR"/>
        </w:rPr>
        <w:t>octroi des droits d</w:t>
      </w:r>
      <w:r w:rsidR="00FD700E" w:rsidRPr="00754CC2">
        <w:rPr>
          <w:highlight w:val="lightGray"/>
          <w:lang w:val="fr-FR"/>
        </w:rPr>
        <w:t>’</w:t>
      </w:r>
      <w:r w:rsidR="006A5B2B" w:rsidRPr="00754CC2">
        <w:rPr>
          <w:highlight w:val="lightGray"/>
          <w:lang w:val="fr-FR"/>
        </w:rPr>
        <w:t>obtenteur, mais il n</w:t>
      </w:r>
      <w:r w:rsidR="00FD700E" w:rsidRPr="00754CC2">
        <w:rPr>
          <w:highlight w:val="lightGray"/>
          <w:lang w:val="fr-FR"/>
        </w:rPr>
        <w:t>’</w:t>
      </w:r>
      <w:r w:rsidR="006A5B2B" w:rsidRPr="00754CC2">
        <w:rPr>
          <w:highlight w:val="lightGray"/>
          <w:lang w:val="fr-FR"/>
        </w:rPr>
        <w:t xml:space="preserve">en définit pas un modèle en particulier. </w:t>
      </w:r>
      <w:r w:rsidR="00175F7E" w:rsidRPr="00754CC2">
        <w:rPr>
          <w:highlight w:val="lightGray"/>
          <w:lang w:val="fr-FR"/>
        </w:rPr>
        <w:t xml:space="preserve"> </w:t>
      </w:r>
      <w:r w:rsidR="006A5B2B" w:rsidRPr="00754CC2">
        <w:rPr>
          <w:highlight w:val="lightGray"/>
          <w:lang w:val="fr-FR"/>
        </w:rPr>
        <w:t>C</w:t>
      </w:r>
      <w:r w:rsidR="00FD700E" w:rsidRPr="00754CC2">
        <w:rPr>
          <w:highlight w:val="lightGray"/>
          <w:lang w:val="fr-FR"/>
        </w:rPr>
        <w:t>’</w:t>
      </w:r>
      <w:r w:rsidR="006A5B2B" w:rsidRPr="00754CC2">
        <w:rPr>
          <w:highlight w:val="lightGray"/>
          <w:lang w:val="fr-FR"/>
        </w:rPr>
        <w:t>est pourquoi les membres de l</w:t>
      </w:r>
      <w:r w:rsidR="00FD700E" w:rsidRPr="00754CC2">
        <w:rPr>
          <w:highlight w:val="lightGray"/>
          <w:lang w:val="fr-FR"/>
        </w:rPr>
        <w:t>’</w:t>
      </w:r>
      <w:r w:rsidR="006A5B2B" w:rsidRPr="00754CC2">
        <w:rPr>
          <w:highlight w:val="lightGray"/>
          <w:lang w:val="fr-FR"/>
        </w:rPr>
        <w:t>UPOV peuvent organiser le service d</w:t>
      </w:r>
      <w:r w:rsidR="00FD700E" w:rsidRPr="00754CC2">
        <w:rPr>
          <w:highlight w:val="lightGray"/>
          <w:lang w:val="fr-FR"/>
        </w:rPr>
        <w:t>’</w:t>
      </w:r>
      <w:r w:rsidR="006A5B2B" w:rsidRPr="00754CC2">
        <w:rPr>
          <w:highlight w:val="lightGray"/>
          <w:lang w:val="fr-FR"/>
        </w:rPr>
        <w:t>octroi en fonction de leur situation.</w:t>
      </w:r>
    </w:p>
    <w:p w:rsidR="00C36DD4" w:rsidRPr="00754CC2" w:rsidRDefault="00C36DD4" w:rsidP="006A5B2B">
      <w:pPr>
        <w:rPr>
          <w:highlight w:val="lightGray"/>
          <w:lang w:val="fr-FR"/>
        </w:rPr>
      </w:pPr>
    </w:p>
    <w:p w:rsidR="00C36DD4" w:rsidRPr="00754CC2" w:rsidRDefault="00904477" w:rsidP="006A5B2B">
      <w:pPr>
        <w:keepNext/>
        <w:rPr>
          <w:spacing w:val="-2"/>
          <w:highlight w:val="lightGray"/>
          <w:lang w:val="fr-FR"/>
        </w:rPr>
      </w:pPr>
      <w:r w:rsidRPr="00754CC2">
        <w:rPr>
          <w:spacing w:val="-2"/>
          <w:highlight w:val="lightGray"/>
          <w:lang w:val="fr-FR"/>
        </w:rPr>
        <w:t>4</w:t>
      </w:r>
      <w:r w:rsidR="00AB5F29" w:rsidRPr="00754CC2">
        <w:rPr>
          <w:spacing w:val="-2"/>
          <w:highlight w:val="lightGray"/>
          <w:lang w:val="fr-FR"/>
        </w:rPr>
        <w:t>5</w:t>
      </w:r>
      <w:r w:rsidRPr="00754CC2">
        <w:rPr>
          <w:spacing w:val="-2"/>
          <w:highlight w:val="lightGray"/>
          <w:lang w:val="fr-FR"/>
        </w:rPr>
        <w:t>.</w:t>
      </w:r>
      <w:r w:rsidRPr="00754CC2">
        <w:rPr>
          <w:spacing w:val="-2"/>
          <w:highlight w:val="lightGray"/>
          <w:lang w:val="fr-FR"/>
        </w:rPr>
        <w:tab/>
      </w:r>
      <w:r w:rsidR="006A5B2B" w:rsidRPr="00754CC2">
        <w:rPr>
          <w:spacing w:val="-2"/>
          <w:highlight w:val="lightGray"/>
          <w:lang w:val="fr-FR"/>
        </w:rPr>
        <w:t>L</w:t>
      </w:r>
      <w:r w:rsidR="00FD700E" w:rsidRPr="00754CC2">
        <w:rPr>
          <w:spacing w:val="-2"/>
          <w:highlight w:val="lightGray"/>
          <w:lang w:val="fr-FR"/>
        </w:rPr>
        <w:t>’</w:t>
      </w:r>
      <w:r w:rsidR="006A5B2B" w:rsidRPr="00754CC2">
        <w:rPr>
          <w:spacing w:val="-2"/>
          <w:highlight w:val="lightGray"/>
          <w:lang w:val="fr-FR"/>
        </w:rPr>
        <w:t>ordinogramme ci</w:t>
      </w:r>
      <w:r w:rsidR="00B66F35" w:rsidRPr="00754CC2">
        <w:rPr>
          <w:spacing w:val="-2"/>
          <w:highlight w:val="lightGray"/>
          <w:lang w:val="fr-FR"/>
        </w:rPr>
        <w:noBreakHyphen/>
      </w:r>
      <w:r w:rsidR="006A5B2B" w:rsidRPr="00754CC2">
        <w:rPr>
          <w:spacing w:val="-2"/>
          <w:highlight w:val="lightGray"/>
          <w:lang w:val="fr-FR"/>
        </w:rPr>
        <w:t>après illustre les tâches fondamentales d</w:t>
      </w:r>
      <w:r w:rsidR="00FD700E" w:rsidRPr="00754CC2">
        <w:rPr>
          <w:spacing w:val="-2"/>
          <w:highlight w:val="lightGray"/>
          <w:lang w:val="fr-FR"/>
        </w:rPr>
        <w:t>’</w:t>
      </w:r>
      <w:r w:rsidR="006A5B2B" w:rsidRPr="00754CC2">
        <w:rPr>
          <w:spacing w:val="-2"/>
          <w:highlight w:val="lightGray"/>
          <w:lang w:val="fr-FR"/>
        </w:rPr>
        <w:t>un service d</w:t>
      </w:r>
      <w:r w:rsidR="00FD700E" w:rsidRPr="00754CC2">
        <w:rPr>
          <w:spacing w:val="-2"/>
          <w:highlight w:val="lightGray"/>
          <w:lang w:val="fr-FR"/>
        </w:rPr>
        <w:t>’</w:t>
      </w:r>
      <w:r w:rsidR="006A5B2B" w:rsidRPr="00754CC2">
        <w:rPr>
          <w:spacing w:val="-2"/>
          <w:highlight w:val="lightGray"/>
          <w:lang w:val="fr-FR"/>
        </w:rPr>
        <w:t>octroi typique des droits d</w:t>
      </w:r>
      <w:r w:rsidR="00FD700E" w:rsidRPr="00754CC2">
        <w:rPr>
          <w:spacing w:val="-2"/>
          <w:highlight w:val="lightGray"/>
          <w:lang w:val="fr-FR"/>
        </w:rPr>
        <w:t>’</w:t>
      </w:r>
      <w:r w:rsidR="006A5B2B" w:rsidRPr="00754CC2">
        <w:rPr>
          <w:spacing w:val="-2"/>
          <w:highlight w:val="lightGray"/>
          <w:lang w:val="fr-FR"/>
        </w:rPr>
        <w:t xml:space="preserve">obtenteur. </w:t>
      </w:r>
      <w:r w:rsidR="00175F7E" w:rsidRPr="00754CC2">
        <w:rPr>
          <w:spacing w:val="-2"/>
          <w:highlight w:val="lightGray"/>
          <w:lang w:val="fr-FR"/>
        </w:rPr>
        <w:t xml:space="preserve"> </w:t>
      </w:r>
      <w:r w:rsidRPr="00754CC2">
        <w:rPr>
          <w:spacing w:val="-2"/>
          <w:highlight w:val="lightGray"/>
          <w:lang w:val="fr-FR"/>
        </w:rPr>
        <w:t>La section </w:t>
      </w:r>
      <w:r w:rsidR="006A5B2B" w:rsidRPr="00754CC2">
        <w:rPr>
          <w:spacing w:val="-2"/>
          <w:highlight w:val="lightGray"/>
          <w:lang w:val="fr-FR"/>
        </w:rPr>
        <w:t>2 : “Administration des demandes” donne de plus amples informations sur ces tâches.</w:t>
      </w:r>
    </w:p>
    <w:p w:rsidR="00C36DD4" w:rsidRPr="00754CC2" w:rsidRDefault="00C36DD4" w:rsidP="006A5B2B">
      <w:pPr>
        <w:rPr>
          <w:highlight w:val="lightGray"/>
          <w:lang w:val="fr-FR"/>
        </w:rPr>
      </w:pPr>
    </w:p>
    <w:p w:rsidR="00C36DD4" w:rsidRPr="00754CC2" w:rsidRDefault="006A5B2B" w:rsidP="00347556">
      <w:pPr>
        <w:pStyle w:val="Heading3"/>
        <w:rPr>
          <w:highlight w:val="lightGray"/>
        </w:rPr>
      </w:pPr>
      <w:bookmarkStart w:id="46" w:name="_Toc412041934"/>
      <w:r w:rsidRPr="00754CC2">
        <w:rPr>
          <w:highlight w:val="lightGray"/>
        </w:rPr>
        <w:t>Ordinogramme 1</w:t>
      </w:r>
      <w:r w:rsidRPr="00754CC2">
        <w:rPr>
          <w:highlight w:val="lightGray"/>
          <w:vertAlign w:val="superscript"/>
        </w:rPr>
        <w:footnoteReference w:id="10"/>
      </w:r>
      <w:r w:rsidRPr="00754CC2">
        <w:rPr>
          <w:highlight w:val="lightGray"/>
        </w:rPr>
        <w:t> : Tâches fondamentales du service d</w:t>
      </w:r>
      <w:r w:rsidR="00FD700E" w:rsidRPr="00754CC2">
        <w:rPr>
          <w:highlight w:val="lightGray"/>
        </w:rPr>
        <w:t>’</w:t>
      </w:r>
      <w:r w:rsidRPr="00754CC2">
        <w:rPr>
          <w:highlight w:val="lightGray"/>
        </w:rPr>
        <w:t>octroi des droits d</w:t>
      </w:r>
      <w:r w:rsidR="00FD700E" w:rsidRPr="00754CC2">
        <w:rPr>
          <w:highlight w:val="lightGray"/>
        </w:rPr>
        <w:t>’</w:t>
      </w:r>
      <w:r w:rsidRPr="00754CC2">
        <w:rPr>
          <w:highlight w:val="lightGray"/>
        </w:rPr>
        <w:t>obtenteur</w:t>
      </w:r>
      <w:bookmarkEnd w:id="46"/>
    </w:p>
    <w:p w:rsidR="00C36DD4" w:rsidRPr="00754CC2" w:rsidRDefault="00C36DD4" w:rsidP="006A5B2B">
      <w:pPr>
        <w:keepNext/>
        <w:rPr>
          <w:highlight w:val="lightGray"/>
          <w:lang w:val="fr-FR"/>
        </w:rPr>
      </w:pPr>
    </w:p>
    <w:p w:rsidR="00C36DD4" w:rsidRPr="00754CC2" w:rsidRDefault="006A5B2B" w:rsidP="006A5B2B">
      <w:pPr>
        <w:rPr>
          <w:highlight w:val="lightGray"/>
          <w:lang w:val="fr-FR"/>
        </w:rPr>
      </w:pPr>
      <w:r w:rsidRPr="00754CC2">
        <w:rPr>
          <w:lang w:val="fr-FR"/>
        </w:rPr>
        <w:object w:dxaOrig="13237" w:dyaOrig="10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85pt;height:412.6pt" o:ole="">
            <v:imagedata r:id="rId39" o:title=""/>
          </v:shape>
          <o:OLEObject Type="Embed" ProgID="Msxml2.SAXXMLReader.5.0" ShapeID="_x0000_i1025" DrawAspect="Content" ObjectID="_1485876771" r:id="rId40"/>
        </w:object>
      </w:r>
    </w:p>
    <w:p w:rsidR="00BA61FE" w:rsidRPr="00754CC2" w:rsidRDefault="00BA61FE">
      <w:pPr>
        <w:jc w:val="left"/>
        <w:rPr>
          <w:rStyle w:val="FootnoteTextChar"/>
          <w:sz w:val="20"/>
          <w:highlight w:val="lightGray"/>
          <w:u w:val="single"/>
          <w:lang w:val="fr-FR"/>
        </w:rPr>
      </w:pPr>
    </w:p>
    <w:p w:rsidR="006C6491" w:rsidRPr="00754CC2" w:rsidRDefault="006C6491">
      <w:pPr>
        <w:jc w:val="left"/>
        <w:rPr>
          <w:rStyle w:val="FootnoteTextChar"/>
          <w:sz w:val="20"/>
          <w:highlight w:val="lightGray"/>
          <w:u w:val="single"/>
          <w:lang w:val="fr-FR"/>
        </w:rPr>
      </w:pPr>
      <w:r w:rsidRPr="00754CC2">
        <w:rPr>
          <w:rStyle w:val="FootnoteTextChar"/>
          <w:sz w:val="20"/>
          <w:highlight w:val="lightGray"/>
          <w:lang w:val="fr-FR"/>
        </w:rPr>
        <w:br w:type="page"/>
      </w:r>
    </w:p>
    <w:p w:rsidR="00BA61FE" w:rsidRPr="00754CC2" w:rsidRDefault="00BA61FE" w:rsidP="00BA61FE">
      <w:pPr>
        <w:pStyle w:val="Heading2"/>
        <w:rPr>
          <w:rStyle w:val="FootnoteTextChar"/>
          <w:sz w:val="20"/>
          <w:highlight w:val="lightGray"/>
          <w:lang w:val="fr-FR"/>
        </w:rPr>
      </w:pPr>
      <w:bookmarkStart w:id="47" w:name="_Toc412041935"/>
      <w:r w:rsidRPr="00754CC2">
        <w:rPr>
          <w:rStyle w:val="FootnoteTextChar"/>
          <w:sz w:val="20"/>
          <w:highlight w:val="lightGray"/>
          <w:lang w:val="fr-FR"/>
        </w:rPr>
        <w:lastRenderedPageBreak/>
        <w:t>Section 2 : Administration des demandes</w:t>
      </w:r>
      <w:bookmarkEnd w:id="47"/>
    </w:p>
    <w:p w:rsidR="00BA61FE" w:rsidRPr="00754CC2" w:rsidRDefault="00BA61FE" w:rsidP="00BA61FE">
      <w:pPr>
        <w:rPr>
          <w:rStyle w:val="FootnoteTextChar"/>
          <w:sz w:val="20"/>
          <w:highlight w:val="lightGray"/>
          <w:lang w:val="fr-FR"/>
        </w:rPr>
      </w:pPr>
    </w:p>
    <w:p w:rsidR="00E234B6" w:rsidRPr="00754CC2" w:rsidRDefault="00BA61FE" w:rsidP="00BA61FE">
      <w:pPr>
        <w:rPr>
          <w:highlight w:val="lightGray"/>
          <w:lang w:val="fr-FR"/>
        </w:rPr>
      </w:pPr>
      <w:r w:rsidRPr="00754CC2">
        <w:rPr>
          <w:rStyle w:val="FootnoteTextChar"/>
          <w:sz w:val="20"/>
          <w:highlight w:val="lightGray"/>
          <w:lang w:val="fr-FR"/>
        </w:rPr>
        <w:t>4</w:t>
      </w:r>
      <w:r w:rsidR="00AB5F29" w:rsidRPr="00754CC2">
        <w:rPr>
          <w:rStyle w:val="FootnoteTextChar"/>
          <w:sz w:val="20"/>
          <w:highlight w:val="lightGray"/>
          <w:lang w:val="fr-FR"/>
        </w:rPr>
        <w:t>6</w:t>
      </w:r>
      <w:r w:rsidRPr="00754CC2">
        <w:rPr>
          <w:rStyle w:val="FootnoteTextChar"/>
          <w:sz w:val="20"/>
          <w:highlight w:val="lightGray"/>
          <w:lang w:val="fr-FR"/>
        </w:rPr>
        <w:t>.</w:t>
      </w:r>
      <w:r w:rsidRPr="00754CC2">
        <w:rPr>
          <w:rStyle w:val="FootnoteTextChar"/>
          <w:sz w:val="20"/>
          <w:highlight w:val="lightGray"/>
          <w:lang w:val="fr-FR"/>
        </w:rPr>
        <w:tab/>
      </w:r>
      <w:r w:rsidRPr="00754CC2">
        <w:rPr>
          <w:highlight w:val="lightGray"/>
          <w:lang w:val="fr-FR"/>
        </w:rPr>
        <w:t>La section 2 donne des explications sur les tâches de base dont est chargé le service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 en ce qui concerne l</w:t>
      </w:r>
      <w:r w:rsidR="00FD700E" w:rsidRPr="00754CC2">
        <w:rPr>
          <w:highlight w:val="lightGray"/>
          <w:lang w:val="fr-FR"/>
        </w:rPr>
        <w:t>’</w:t>
      </w:r>
      <w:r w:rsidRPr="00754CC2">
        <w:rPr>
          <w:highlight w:val="lightGray"/>
          <w:lang w:val="fr-FR"/>
        </w:rPr>
        <w:t>administration des demandes de droit d</w:t>
      </w:r>
      <w:r w:rsidR="00FD700E" w:rsidRPr="00754CC2">
        <w:rPr>
          <w:highlight w:val="lightGray"/>
          <w:lang w:val="fr-FR"/>
        </w:rPr>
        <w:t>’</w:t>
      </w:r>
      <w:r w:rsidRPr="00754CC2">
        <w:rPr>
          <w:highlight w:val="lightGray"/>
          <w:lang w:val="fr-FR"/>
        </w:rPr>
        <w:t>obtenteur, comme il ressort du diagramme figurant dans la section 1 intitulée “Le service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w:t>
      </w:r>
    </w:p>
    <w:p w:rsidR="00BA61FE" w:rsidRPr="00754CC2" w:rsidRDefault="00BA61FE" w:rsidP="00347556">
      <w:pPr>
        <w:spacing w:line="360" w:lineRule="auto"/>
        <w:ind w:left="567" w:hanging="567"/>
        <w:rPr>
          <w:highlight w:val="lightGray"/>
          <w:lang w:val="fr-FR"/>
        </w:rPr>
      </w:pPr>
    </w:p>
    <w:p w:rsidR="00BA61FE" w:rsidRPr="00754CC2" w:rsidRDefault="00BA61FE" w:rsidP="00347556">
      <w:pPr>
        <w:pStyle w:val="Heading3"/>
        <w:rPr>
          <w:highlight w:val="lightGray"/>
        </w:rPr>
      </w:pPr>
      <w:bookmarkStart w:id="48" w:name="_Toc382814017"/>
      <w:bookmarkStart w:id="49" w:name="_Toc378597572"/>
      <w:bookmarkStart w:id="50" w:name="_Toc412041936"/>
      <w:r w:rsidRPr="00754CC2">
        <w:rPr>
          <w:highlight w:val="lightGray"/>
        </w:rPr>
        <w:t>Demande de droits d</w:t>
      </w:r>
      <w:r w:rsidR="00FD700E" w:rsidRPr="00754CC2">
        <w:rPr>
          <w:highlight w:val="lightGray"/>
        </w:rPr>
        <w:t>’</w:t>
      </w:r>
      <w:r w:rsidRPr="00754CC2">
        <w:rPr>
          <w:highlight w:val="lightGray"/>
        </w:rPr>
        <w:t>obtenteur</w:t>
      </w:r>
      <w:bookmarkEnd w:id="48"/>
      <w:r w:rsidRPr="00754CC2">
        <w:rPr>
          <w:highlight w:val="lightGray"/>
        </w:rPr>
        <w:t xml:space="preserve"> (voir la note a du diagramme figurant dans la section 1</w:t>
      </w:r>
      <w:bookmarkEnd w:id="49"/>
      <w:r w:rsidR="00D933B7" w:rsidRPr="00754CC2">
        <w:rPr>
          <w:highlight w:val="lightGray"/>
        </w:rPr>
        <w:t>)</w:t>
      </w:r>
      <w:bookmarkEnd w:id="50"/>
    </w:p>
    <w:p w:rsidR="00BA61FE" w:rsidRPr="00754CC2" w:rsidRDefault="00BA61FE" w:rsidP="00BA61FE">
      <w:pPr>
        <w:rPr>
          <w:highlight w:val="lightGray"/>
          <w:lang w:val="fr-FR"/>
        </w:rPr>
      </w:pPr>
    </w:p>
    <w:p w:rsidR="00BA61FE" w:rsidRPr="00754CC2" w:rsidRDefault="00BA61FE" w:rsidP="00480111">
      <w:pPr>
        <w:pStyle w:val="Heading4"/>
        <w:rPr>
          <w:highlight w:val="lightGray"/>
        </w:rPr>
      </w:pPr>
      <w:bookmarkStart w:id="51" w:name="_Toc382814018"/>
      <w:r w:rsidRPr="00754CC2">
        <w:rPr>
          <w:highlight w:val="lightGray"/>
        </w:rPr>
        <w:t>Introduction</w:t>
      </w:r>
      <w:bookmarkEnd w:id="51"/>
    </w:p>
    <w:p w:rsidR="00BA61FE" w:rsidRPr="00754CC2" w:rsidRDefault="00BA61FE" w:rsidP="00BA61FE">
      <w:pPr>
        <w:rPr>
          <w:highlight w:val="lightGray"/>
          <w:lang w:val="fr-FR"/>
        </w:rPr>
      </w:pPr>
    </w:p>
    <w:p w:rsidR="00E234B6" w:rsidRPr="00754CC2" w:rsidRDefault="00BA61FE" w:rsidP="00BA61FE">
      <w:pPr>
        <w:rPr>
          <w:highlight w:val="yellow"/>
          <w:lang w:val="fr-FR"/>
        </w:rPr>
      </w:pPr>
      <w:r w:rsidRPr="00754CC2">
        <w:rPr>
          <w:highlight w:val="lightGray"/>
          <w:lang w:val="fr-FR"/>
        </w:rPr>
        <w:t>4</w:t>
      </w:r>
      <w:r w:rsidR="00AB5F29" w:rsidRPr="00754CC2">
        <w:rPr>
          <w:highlight w:val="lightGray"/>
          <w:lang w:val="fr-FR"/>
        </w:rPr>
        <w:t>7</w:t>
      </w:r>
      <w:r w:rsidRPr="00754CC2">
        <w:rPr>
          <w:highlight w:val="lightGray"/>
          <w:lang w:val="fr-FR"/>
        </w:rPr>
        <w:t>.</w:t>
      </w:r>
      <w:r w:rsidRPr="00754CC2">
        <w:rPr>
          <w:highlight w:val="lightGray"/>
          <w:lang w:val="fr-FR"/>
        </w:rPr>
        <w:tab/>
        <w:t>Avant de recevoir les demandes de droits d</w:t>
      </w:r>
      <w:r w:rsidR="00FD700E" w:rsidRPr="00754CC2">
        <w:rPr>
          <w:highlight w:val="lightGray"/>
          <w:lang w:val="fr-FR"/>
        </w:rPr>
        <w:t>’</w:t>
      </w:r>
      <w:r w:rsidRPr="00754CC2">
        <w:rPr>
          <w:highlight w:val="lightGray"/>
          <w:lang w:val="fr-FR"/>
        </w:rPr>
        <w:t>obtenteur, le service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 doit avoir établi les formulaires appropriés et être en mesure d</w:t>
      </w:r>
      <w:r w:rsidR="00FD700E" w:rsidRPr="00754CC2">
        <w:rPr>
          <w:highlight w:val="lightGray"/>
          <w:lang w:val="fr-FR"/>
        </w:rPr>
        <w:t>’</w:t>
      </w:r>
      <w:r w:rsidRPr="00754CC2">
        <w:rPr>
          <w:highlight w:val="lightGray"/>
          <w:lang w:val="fr-FR"/>
        </w:rPr>
        <w:t>attribuer une date et une heure de dépôt</w:t>
      </w:r>
      <w:r w:rsidR="00AB5F29" w:rsidRPr="00754CC2">
        <w:rPr>
          <w:highlight w:val="lightGray"/>
          <w:lang w:val="fr-FR"/>
        </w:rPr>
        <w:t xml:space="preserve"> </w:t>
      </w:r>
      <w:r w:rsidR="009E1E92" w:rsidRPr="00754CC2">
        <w:rPr>
          <w:highlight w:val="lightGray"/>
          <w:lang w:val="fr-FR"/>
        </w:rPr>
        <w:t>et</w:t>
      </w:r>
      <w:r w:rsidR="00AB5F29" w:rsidRPr="00754CC2">
        <w:rPr>
          <w:highlight w:val="lightGray"/>
          <w:lang w:val="fr-FR"/>
        </w:rPr>
        <w:t xml:space="preserve">, </w:t>
      </w:r>
      <w:r w:rsidR="009E1E92" w:rsidRPr="00754CC2">
        <w:rPr>
          <w:highlight w:val="lightGray"/>
          <w:lang w:val="fr-FR"/>
        </w:rPr>
        <w:t>le cas échéant</w:t>
      </w:r>
      <w:r w:rsidR="00AB5F29" w:rsidRPr="00754CC2">
        <w:rPr>
          <w:highlight w:val="lightGray"/>
          <w:lang w:val="fr-FR"/>
        </w:rPr>
        <w:t xml:space="preserve">, </w:t>
      </w:r>
      <w:r w:rsidR="009E1E92" w:rsidRPr="00754CC2">
        <w:rPr>
          <w:highlight w:val="lightGray"/>
          <w:lang w:val="fr-FR"/>
        </w:rPr>
        <w:t xml:space="preserve">un </w:t>
      </w:r>
      <w:r w:rsidR="00AB5F29" w:rsidRPr="00754CC2">
        <w:rPr>
          <w:highlight w:val="lightGray"/>
          <w:lang w:val="fr-FR"/>
        </w:rPr>
        <w:t>n</w:t>
      </w:r>
      <w:r w:rsidR="009E1E92" w:rsidRPr="00754CC2">
        <w:rPr>
          <w:highlight w:val="lightGray"/>
          <w:lang w:val="fr-FR"/>
        </w:rPr>
        <w:t>uméro de demande</w:t>
      </w:r>
      <w:r w:rsidR="00AB5F29" w:rsidRPr="00754CC2">
        <w:rPr>
          <w:highlight w:val="lightGray"/>
          <w:lang w:val="fr-FR"/>
        </w:rPr>
        <w:t>.</w:t>
      </w:r>
    </w:p>
    <w:p w:rsidR="00BA61FE" w:rsidRPr="00754CC2" w:rsidRDefault="00BA61FE" w:rsidP="00BA61FE">
      <w:pPr>
        <w:rPr>
          <w:highlight w:val="lightGray"/>
          <w:lang w:val="fr-FR"/>
        </w:rPr>
      </w:pPr>
    </w:p>
    <w:p w:rsidR="00167878" w:rsidRPr="00754CC2" w:rsidRDefault="00167878" w:rsidP="006976A5">
      <w:pPr>
        <w:rPr>
          <w:highlight w:val="lightGray"/>
          <w:lang w:val="fr-FR"/>
        </w:rPr>
      </w:pPr>
      <w:r w:rsidRPr="00754CC2">
        <w:rPr>
          <w:highlight w:val="lightGray"/>
          <w:lang w:val="fr-FR"/>
        </w:rPr>
        <w:t>48.</w:t>
      </w:r>
      <w:r w:rsidRPr="00754CC2">
        <w:rPr>
          <w:highlight w:val="lightGray"/>
          <w:lang w:val="fr-FR"/>
        </w:rPr>
        <w:tab/>
        <w:t>Pour obtenir la protection, l</w:t>
      </w:r>
      <w:r w:rsidR="00FD700E" w:rsidRPr="00754CC2">
        <w:rPr>
          <w:highlight w:val="lightGray"/>
          <w:lang w:val="fr-FR"/>
        </w:rPr>
        <w:t>’</w:t>
      </w:r>
      <w:r w:rsidRPr="00754CC2">
        <w:rPr>
          <w:highlight w:val="lightGray"/>
          <w:lang w:val="fr-FR"/>
        </w:rPr>
        <w:t>obtenteur doit déposer des demandes individuelles auprès des services des membres de l</w:t>
      </w:r>
      <w:r w:rsidR="00FD700E" w:rsidRPr="00754CC2">
        <w:rPr>
          <w:highlight w:val="lightGray"/>
          <w:lang w:val="fr-FR"/>
        </w:rPr>
        <w:t>’</w:t>
      </w:r>
      <w:r w:rsidRPr="00754CC2">
        <w:rPr>
          <w:highlight w:val="lightGray"/>
          <w:lang w:val="fr-FR"/>
        </w:rPr>
        <w:t>UPOV chargés d</w:t>
      </w:r>
      <w:r w:rsidR="00FD700E" w:rsidRPr="00754CC2">
        <w:rPr>
          <w:highlight w:val="lightGray"/>
          <w:lang w:val="fr-FR"/>
        </w:rPr>
        <w:t>’</w:t>
      </w:r>
      <w:r w:rsidRPr="00754CC2">
        <w:rPr>
          <w:highlight w:val="lightGray"/>
          <w:lang w:val="fr-FR"/>
        </w:rPr>
        <w:t>octroyer des droits d</w:t>
      </w:r>
      <w:r w:rsidR="00FD700E" w:rsidRPr="00754CC2">
        <w:rPr>
          <w:highlight w:val="lightGray"/>
          <w:lang w:val="fr-FR"/>
        </w:rPr>
        <w:t>’</w:t>
      </w:r>
      <w:r w:rsidRPr="00754CC2">
        <w:rPr>
          <w:highlight w:val="lightGray"/>
          <w:lang w:val="fr-FR"/>
        </w:rPr>
        <w:t xml:space="preserve">obtenteur (voir </w:t>
      </w:r>
      <w:hyperlink r:id="rId41" w:history="1">
        <w:r w:rsidRPr="00754CC2">
          <w:rPr>
            <w:rStyle w:val="Hyperlink"/>
            <w:highlight w:val="lightGray"/>
            <w:lang w:val="fr-FR"/>
          </w:rPr>
          <w:t>http://www.upov.int/members/fr/pvp_offices.html</w:t>
        </w:r>
      </w:hyperlink>
      <w:r w:rsidRPr="00754CC2">
        <w:rPr>
          <w:highlight w:val="lightGray"/>
          <w:lang w:val="fr-FR"/>
        </w:rPr>
        <w:t>).</w:t>
      </w:r>
    </w:p>
    <w:p w:rsidR="00BA61FE" w:rsidRPr="00754CC2" w:rsidRDefault="00BA61FE" w:rsidP="006976A5">
      <w:pPr>
        <w:rPr>
          <w:highlight w:val="lightGray"/>
          <w:lang w:val="fr-FR"/>
        </w:rPr>
      </w:pPr>
    </w:p>
    <w:p w:rsidR="00BA61FE" w:rsidRPr="00754CC2" w:rsidRDefault="00167878" w:rsidP="006976A5">
      <w:pPr>
        <w:rPr>
          <w:highlight w:val="lightGray"/>
          <w:lang w:val="fr-FR"/>
        </w:rPr>
      </w:pPr>
      <w:r w:rsidRPr="00754CC2">
        <w:rPr>
          <w:highlight w:val="lightGray"/>
          <w:lang w:val="fr-FR"/>
        </w:rPr>
        <w:t>49.</w:t>
      </w:r>
      <w:r w:rsidRPr="00754CC2">
        <w:rPr>
          <w:highlight w:val="lightGray"/>
          <w:lang w:val="fr-FR"/>
        </w:rPr>
        <w:tab/>
      </w:r>
      <w:r w:rsidR="00BA61FE" w:rsidRPr="00754CC2">
        <w:rPr>
          <w:highlight w:val="lightGray"/>
          <w:lang w:val="fr-FR"/>
        </w:rPr>
        <w:t>La possibilité de déposer des demandes à n</w:t>
      </w:r>
      <w:r w:rsidR="00FD700E" w:rsidRPr="00754CC2">
        <w:rPr>
          <w:highlight w:val="lightGray"/>
          <w:lang w:val="fr-FR"/>
        </w:rPr>
        <w:t>’</w:t>
      </w:r>
      <w:r w:rsidR="00BA61FE" w:rsidRPr="00754CC2">
        <w:rPr>
          <w:highlight w:val="lightGray"/>
          <w:lang w:val="fr-FR"/>
        </w:rPr>
        <w:t>importe quel moment facilite l</w:t>
      </w:r>
      <w:r w:rsidR="00FD700E" w:rsidRPr="00754CC2">
        <w:rPr>
          <w:highlight w:val="lightGray"/>
          <w:lang w:val="fr-FR"/>
        </w:rPr>
        <w:t>’</w:t>
      </w:r>
      <w:r w:rsidR="00BA61FE" w:rsidRPr="00754CC2">
        <w:rPr>
          <w:highlight w:val="lightGray"/>
          <w:lang w:val="fr-FR"/>
        </w:rPr>
        <w:t>utilisation de la protection des variétés végétales par les obtenteurs.  Cela étant, les services peuvent exiger que des échantillons de matériel végétal soient remis pendant des périodes spécifiques afin de faciliter la plantation de matériel au moment approprié pour la réalisation de l</w:t>
      </w:r>
      <w:r w:rsidR="00FD700E" w:rsidRPr="00754CC2">
        <w:rPr>
          <w:highlight w:val="lightGray"/>
          <w:lang w:val="fr-FR"/>
        </w:rPr>
        <w:t>’</w:t>
      </w:r>
      <w:r w:rsidR="00BA61FE" w:rsidRPr="00754CC2">
        <w:rPr>
          <w:highlight w:val="lightGray"/>
          <w:lang w:val="fr-FR"/>
        </w:rPr>
        <w:t>examen DHS.</w:t>
      </w:r>
    </w:p>
    <w:p w:rsidR="00BA61FE" w:rsidRPr="00754CC2" w:rsidRDefault="00BA61FE" w:rsidP="00BA61FE">
      <w:pPr>
        <w:rPr>
          <w:highlight w:val="lightGray"/>
          <w:lang w:val="fr-FR"/>
        </w:rPr>
      </w:pPr>
    </w:p>
    <w:p w:rsidR="00E234B6" w:rsidRPr="00754CC2" w:rsidRDefault="00167878" w:rsidP="00BA61FE">
      <w:pPr>
        <w:rPr>
          <w:highlight w:val="lightGray"/>
          <w:lang w:val="fr-FR"/>
        </w:rPr>
      </w:pPr>
      <w:r w:rsidRPr="00754CC2">
        <w:rPr>
          <w:highlight w:val="lightGray"/>
          <w:lang w:val="fr-FR"/>
        </w:rPr>
        <w:t>50</w:t>
      </w:r>
      <w:r w:rsidR="00BA61FE" w:rsidRPr="00754CC2">
        <w:rPr>
          <w:highlight w:val="lightGray"/>
          <w:lang w:val="fr-FR"/>
        </w:rPr>
        <w:t>.</w:t>
      </w:r>
      <w:r w:rsidR="00BA61FE" w:rsidRPr="00754CC2">
        <w:rPr>
          <w:highlight w:val="lightGray"/>
          <w:lang w:val="fr-FR"/>
        </w:rPr>
        <w:tab/>
        <w:t>Les dispositions juridiques en vigueur dans certains membres de l</w:t>
      </w:r>
      <w:r w:rsidR="00FD700E" w:rsidRPr="00754CC2">
        <w:rPr>
          <w:highlight w:val="lightGray"/>
          <w:lang w:val="fr-FR"/>
        </w:rPr>
        <w:t>’</w:t>
      </w:r>
      <w:r w:rsidR="00BA61FE" w:rsidRPr="00754CC2">
        <w:rPr>
          <w:highlight w:val="lightGray"/>
          <w:lang w:val="fr-FR"/>
        </w:rPr>
        <w:t>UPOV autorisent le dépôt de demandes sur papier uniquement.  L</w:t>
      </w:r>
      <w:r w:rsidR="00FD700E" w:rsidRPr="00754CC2">
        <w:rPr>
          <w:highlight w:val="lightGray"/>
          <w:lang w:val="fr-FR"/>
        </w:rPr>
        <w:t>’</w:t>
      </w:r>
      <w:r w:rsidR="00BA61FE" w:rsidRPr="00754CC2">
        <w:rPr>
          <w:highlight w:val="lightGray"/>
          <w:lang w:val="fr-FR"/>
        </w:rPr>
        <w:t>utilisation de formulaires de demande électroniques pour remplacer ou compléter les demandes sur papier facilite l</w:t>
      </w:r>
      <w:r w:rsidR="00FD700E" w:rsidRPr="00754CC2">
        <w:rPr>
          <w:highlight w:val="lightGray"/>
          <w:lang w:val="fr-FR"/>
        </w:rPr>
        <w:t>’</w:t>
      </w:r>
      <w:r w:rsidR="00BA61FE" w:rsidRPr="00754CC2">
        <w:rPr>
          <w:highlight w:val="lightGray"/>
          <w:lang w:val="fr-FR"/>
        </w:rPr>
        <w:t>utilisation des bases de données et la gestion de l</w:t>
      </w:r>
      <w:r w:rsidR="00FD700E" w:rsidRPr="00754CC2">
        <w:rPr>
          <w:highlight w:val="lightGray"/>
          <w:lang w:val="fr-FR"/>
        </w:rPr>
        <w:t>’</w:t>
      </w:r>
      <w:r w:rsidR="00BA61FE" w:rsidRPr="00754CC2">
        <w:rPr>
          <w:highlight w:val="lightGray"/>
          <w:lang w:val="fr-FR"/>
        </w:rPr>
        <w:t>information.  Afin de pouvoir accepter les demandes sous forme électronique, les membres de l</w:t>
      </w:r>
      <w:r w:rsidR="00FD700E" w:rsidRPr="00754CC2">
        <w:rPr>
          <w:highlight w:val="lightGray"/>
          <w:lang w:val="fr-FR"/>
        </w:rPr>
        <w:t>’</w:t>
      </w:r>
      <w:r w:rsidR="00BA61FE" w:rsidRPr="00754CC2">
        <w:rPr>
          <w:highlight w:val="lightGray"/>
          <w:lang w:val="fr-FR"/>
        </w:rPr>
        <w:t>UPOV devront peut</w:t>
      </w:r>
      <w:r w:rsidR="00B66F35" w:rsidRPr="00754CC2">
        <w:rPr>
          <w:highlight w:val="lightGray"/>
          <w:lang w:val="fr-FR"/>
        </w:rPr>
        <w:noBreakHyphen/>
      </w:r>
      <w:r w:rsidR="00BA61FE" w:rsidRPr="00754CC2">
        <w:rPr>
          <w:highlight w:val="lightGray"/>
          <w:lang w:val="fr-FR"/>
        </w:rPr>
        <w:t>être mettre en place des systèmes auxiliaires dédiés, par exemple, à la reconnaissance des signatures numériques, au paiement électronique ou à des questions de sécurité</w:t>
      </w:r>
      <w:r w:rsidRPr="00754CC2">
        <w:rPr>
          <w:rStyle w:val="EndnoteReference"/>
          <w:b/>
          <w:lang w:val="fr-FR"/>
        </w:rPr>
        <w:endnoteReference w:id="3"/>
      </w:r>
      <w:r w:rsidR="00926645" w:rsidRPr="00754CC2">
        <w:rPr>
          <w:highlight w:val="lightGray"/>
          <w:lang w:val="fr-FR"/>
        </w:rPr>
        <w:t>.</w:t>
      </w:r>
    </w:p>
    <w:p w:rsidR="00BA61FE" w:rsidRPr="00754CC2" w:rsidRDefault="00BA61FE" w:rsidP="00BA61FE">
      <w:pPr>
        <w:rPr>
          <w:highlight w:val="lightGray"/>
          <w:lang w:val="fr-FR"/>
        </w:rPr>
      </w:pPr>
    </w:p>
    <w:p w:rsidR="00BA61FE" w:rsidRPr="00754CC2" w:rsidRDefault="00167878" w:rsidP="006976A5">
      <w:pPr>
        <w:rPr>
          <w:rFonts w:cs="Arial"/>
          <w:highlight w:val="lightGray"/>
          <w:lang w:val="fr-FR"/>
        </w:rPr>
      </w:pPr>
      <w:r w:rsidRPr="00754CC2">
        <w:rPr>
          <w:rFonts w:cs="Arial"/>
          <w:highlight w:val="lightGray"/>
          <w:lang w:val="fr-FR"/>
        </w:rPr>
        <w:t>51.</w:t>
      </w:r>
      <w:r w:rsidRPr="00754CC2">
        <w:rPr>
          <w:rFonts w:cs="Arial"/>
          <w:highlight w:val="lightGray"/>
          <w:lang w:val="fr-FR"/>
        </w:rPr>
        <w:tab/>
      </w:r>
      <w:r w:rsidR="00BA61FE" w:rsidRPr="00754CC2">
        <w:rPr>
          <w:rFonts w:cs="Arial"/>
          <w:highlight w:val="lightGray"/>
          <w:lang w:val="fr-FR"/>
        </w:rPr>
        <w:t>L</w:t>
      </w:r>
      <w:r w:rsidR="00FD700E" w:rsidRPr="00754CC2">
        <w:rPr>
          <w:rFonts w:cs="Arial"/>
          <w:highlight w:val="lightGray"/>
          <w:lang w:val="fr-FR"/>
        </w:rPr>
        <w:t>’</w:t>
      </w:r>
      <w:r w:rsidR="00BA61FE" w:rsidRPr="00754CC2">
        <w:rPr>
          <w:rFonts w:cs="Arial"/>
          <w:highlight w:val="lightGray"/>
          <w:lang w:val="fr-FR"/>
        </w:rPr>
        <w:t>obligation de veiller à ce que le public soit informé par la publication périodique de renseignements sur les demandes de droits d</w:t>
      </w:r>
      <w:r w:rsidR="00FD700E" w:rsidRPr="00754CC2">
        <w:rPr>
          <w:rFonts w:cs="Arial"/>
          <w:highlight w:val="lightGray"/>
          <w:lang w:val="fr-FR"/>
        </w:rPr>
        <w:t>’</w:t>
      </w:r>
      <w:r w:rsidR="00BA61FE" w:rsidRPr="00754CC2">
        <w:rPr>
          <w:rFonts w:cs="Arial"/>
          <w:highlight w:val="lightGray"/>
          <w:lang w:val="fr-FR"/>
        </w:rPr>
        <w:t>obtenteur et sur les droits d</w:t>
      </w:r>
      <w:r w:rsidR="00FD700E" w:rsidRPr="00754CC2">
        <w:rPr>
          <w:rFonts w:cs="Arial"/>
          <w:highlight w:val="lightGray"/>
          <w:lang w:val="fr-FR"/>
        </w:rPr>
        <w:t>’</w:t>
      </w:r>
      <w:r w:rsidR="00BA61FE" w:rsidRPr="00754CC2">
        <w:rPr>
          <w:rFonts w:cs="Arial"/>
          <w:highlight w:val="lightGray"/>
          <w:lang w:val="fr-FR"/>
        </w:rPr>
        <w:t xml:space="preserve">obtenteur octroyés, ainsi que sur les dénominations proposées et approuvées, a pour fondement la publication de bulletins officiels </w:t>
      </w:r>
      <w:r w:rsidR="00BA652B" w:rsidRPr="00754CC2">
        <w:rPr>
          <w:rFonts w:cs="Arial"/>
          <w:highlight w:val="lightGray"/>
          <w:lang w:val="fr-FR"/>
        </w:rPr>
        <w:t>(voir le document UPOV/INF/5 “Bulletin type de l</w:t>
      </w:r>
      <w:r w:rsidR="00FD700E" w:rsidRPr="00754CC2">
        <w:rPr>
          <w:rFonts w:cs="Arial"/>
          <w:highlight w:val="lightGray"/>
          <w:lang w:val="fr-FR"/>
        </w:rPr>
        <w:t>’</w:t>
      </w:r>
      <w:r w:rsidR="00BA652B" w:rsidRPr="00754CC2">
        <w:rPr>
          <w:rFonts w:cs="Arial"/>
          <w:highlight w:val="lightGray"/>
          <w:lang w:val="fr-FR"/>
        </w:rPr>
        <w:t>UPOV de la protection des obtentions végétales</w:t>
      </w:r>
      <w:r w:rsidR="00BA652B" w:rsidRPr="00754CC2">
        <w:rPr>
          <w:highlight w:val="lightGray"/>
          <w:lang w:val="fr-FR"/>
        </w:rPr>
        <w:t>”,</w:t>
      </w:r>
      <w:r w:rsidR="00BA652B" w:rsidRPr="00754CC2">
        <w:rPr>
          <w:rFonts w:cs="Arial"/>
          <w:highlight w:val="lightGray"/>
          <w:lang w:val="fr-FR"/>
        </w:rPr>
        <w:t xml:space="preserve"> d</w:t>
      </w:r>
      <w:r w:rsidR="00BA61FE" w:rsidRPr="00754CC2">
        <w:rPr>
          <w:rFonts w:cs="Arial"/>
          <w:highlight w:val="lightGray"/>
          <w:lang w:val="fr-FR"/>
        </w:rPr>
        <w:t xml:space="preserve">isponible </w:t>
      </w:r>
      <w:r w:rsidR="00BA652B" w:rsidRPr="00754CC2">
        <w:rPr>
          <w:rFonts w:cs="Arial"/>
          <w:highlight w:val="lightGray"/>
          <w:lang w:val="fr-FR"/>
        </w:rPr>
        <w:t>à l</w:t>
      </w:r>
      <w:r w:rsidR="00FD700E" w:rsidRPr="00754CC2">
        <w:rPr>
          <w:rFonts w:cs="Arial"/>
          <w:highlight w:val="lightGray"/>
          <w:lang w:val="fr-FR"/>
        </w:rPr>
        <w:t>’</w:t>
      </w:r>
      <w:r w:rsidR="00BA652B" w:rsidRPr="00754CC2">
        <w:rPr>
          <w:rFonts w:cs="Arial"/>
          <w:highlight w:val="lightGray"/>
          <w:lang w:val="fr-FR"/>
        </w:rPr>
        <w:t>adre</w:t>
      </w:r>
      <w:r w:rsidR="00BA61FE" w:rsidRPr="00754CC2">
        <w:rPr>
          <w:rFonts w:cs="Arial"/>
          <w:highlight w:val="lightGray"/>
          <w:lang w:val="fr-FR"/>
        </w:rPr>
        <w:t xml:space="preserve">sse </w:t>
      </w:r>
      <w:hyperlink r:id="rId42" w:history="1">
        <w:r w:rsidR="0091410E" w:rsidRPr="00754CC2">
          <w:rPr>
            <w:rStyle w:val="Hyperlink"/>
            <w:rFonts w:cs="Arial"/>
            <w:highlight w:val="lightGray"/>
            <w:lang w:val="fr-FR"/>
          </w:rPr>
          <w:t>http://www.upov.int/information_documents/fr</w:t>
        </w:r>
      </w:hyperlink>
      <w:r w:rsidR="00BA652B" w:rsidRPr="00754CC2">
        <w:rPr>
          <w:rStyle w:val="Hyperlink"/>
          <w:rFonts w:cs="Arial"/>
          <w:highlight w:val="lightGray"/>
          <w:lang w:val="fr-FR"/>
        </w:rPr>
        <w:t>/)</w:t>
      </w:r>
      <w:r w:rsidR="0091410E" w:rsidRPr="00754CC2">
        <w:rPr>
          <w:rFonts w:cs="Arial"/>
          <w:highlight w:val="lightGray"/>
          <w:lang w:val="fr-FR"/>
        </w:rPr>
        <w:t xml:space="preserve"> </w:t>
      </w:r>
      <w:r w:rsidR="00BA61FE" w:rsidRPr="00754CC2">
        <w:rPr>
          <w:rFonts w:cs="Arial"/>
          <w:highlight w:val="lightGray"/>
          <w:lang w:val="fr-FR"/>
        </w:rPr>
        <w:t>et d</w:t>
      </w:r>
      <w:r w:rsidR="00FD700E" w:rsidRPr="00754CC2">
        <w:rPr>
          <w:rFonts w:cs="Arial"/>
          <w:highlight w:val="lightGray"/>
          <w:lang w:val="fr-FR"/>
        </w:rPr>
        <w:t>’</w:t>
      </w:r>
      <w:r w:rsidR="00BA61FE" w:rsidRPr="00754CC2">
        <w:rPr>
          <w:rFonts w:cs="Arial"/>
          <w:highlight w:val="lightGray"/>
          <w:lang w:val="fr-FR"/>
        </w:rPr>
        <w:t>autres publications, comme les publications électroniques</w:t>
      </w:r>
      <w:r w:rsidR="00BA652B" w:rsidRPr="00754CC2">
        <w:rPr>
          <w:rFonts w:cs="Arial"/>
          <w:highlight w:val="lightGray"/>
          <w:lang w:val="fr-FR"/>
        </w:rPr>
        <w:t xml:space="preserve"> </w:t>
      </w:r>
      <w:r w:rsidR="00BA61FE" w:rsidRPr="00754CC2">
        <w:rPr>
          <w:rFonts w:cs="Arial"/>
          <w:highlight w:val="lightGray"/>
          <w:lang w:val="fr-FR"/>
        </w:rPr>
        <w:t>et les bases de données dans lesquelles des recherches sont possibles.  Vous trouverez des informations sur les publications officielles des membres de l</w:t>
      </w:r>
      <w:r w:rsidR="00FD700E" w:rsidRPr="00754CC2">
        <w:rPr>
          <w:rFonts w:cs="Arial"/>
          <w:highlight w:val="lightGray"/>
          <w:lang w:val="fr-FR"/>
        </w:rPr>
        <w:t>’</w:t>
      </w:r>
      <w:r w:rsidR="00BA61FE" w:rsidRPr="00754CC2">
        <w:rPr>
          <w:rFonts w:cs="Arial"/>
          <w:highlight w:val="lightGray"/>
          <w:lang w:val="fr-FR"/>
        </w:rPr>
        <w:t>UPOV sur le site Web de l</w:t>
      </w:r>
      <w:r w:rsidR="00FD700E" w:rsidRPr="00754CC2">
        <w:rPr>
          <w:rFonts w:cs="Arial"/>
          <w:highlight w:val="lightGray"/>
          <w:lang w:val="fr-FR"/>
        </w:rPr>
        <w:t>’</w:t>
      </w:r>
      <w:r w:rsidR="00BA61FE" w:rsidRPr="00754CC2">
        <w:rPr>
          <w:rFonts w:cs="Arial"/>
          <w:highlight w:val="lightGray"/>
          <w:lang w:val="fr-FR"/>
        </w:rPr>
        <w:t>UPOV à l</w:t>
      </w:r>
      <w:r w:rsidR="00FD700E" w:rsidRPr="00754CC2">
        <w:rPr>
          <w:rFonts w:cs="Arial"/>
          <w:highlight w:val="lightGray"/>
          <w:lang w:val="fr-FR"/>
        </w:rPr>
        <w:t>’</w:t>
      </w:r>
      <w:r w:rsidR="00BA61FE" w:rsidRPr="00754CC2">
        <w:rPr>
          <w:rFonts w:cs="Arial"/>
          <w:highlight w:val="lightGray"/>
          <w:lang w:val="fr-FR"/>
        </w:rPr>
        <w:t xml:space="preserve">adresse </w:t>
      </w:r>
      <w:hyperlink r:id="rId43" w:history="1">
        <w:r w:rsidR="00BA61FE" w:rsidRPr="00754CC2">
          <w:rPr>
            <w:rStyle w:val="Hyperlink"/>
            <w:rFonts w:cs="Arial"/>
            <w:highlight w:val="lightGray"/>
            <w:lang w:val="fr-FR"/>
          </w:rPr>
          <w:t>http://www.upov.int/members/fr/pvp_offices.html</w:t>
        </w:r>
      </w:hyperlink>
      <w:r w:rsidR="00BA61FE" w:rsidRPr="00754CC2">
        <w:rPr>
          <w:rFonts w:cs="Arial"/>
          <w:highlight w:val="lightGray"/>
          <w:lang w:val="fr-FR"/>
        </w:rPr>
        <w:t>.</w:t>
      </w:r>
    </w:p>
    <w:p w:rsidR="00BA61FE" w:rsidRPr="00754CC2" w:rsidRDefault="00BA61FE" w:rsidP="006976A5">
      <w:pPr>
        <w:rPr>
          <w:rFonts w:cs="Arial"/>
          <w:highlight w:val="lightGray"/>
          <w:lang w:val="fr-FR"/>
        </w:rPr>
      </w:pPr>
    </w:p>
    <w:p w:rsidR="00BA61FE" w:rsidRPr="00754CC2" w:rsidRDefault="00167878" w:rsidP="006976A5">
      <w:pPr>
        <w:rPr>
          <w:highlight w:val="lightGray"/>
          <w:lang w:val="fr-FR"/>
        </w:rPr>
      </w:pPr>
      <w:r w:rsidRPr="00754CC2">
        <w:rPr>
          <w:rFonts w:cs="Arial"/>
          <w:highlight w:val="lightGray"/>
          <w:lang w:val="fr-FR"/>
        </w:rPr>
        <w:t>52.</w:t>
      </w:r>
      <w:r w:rsidRPr="00754CC2">
        <w:rPr>
          <w:rFonts w:cs="Arial"/>
          <w:highlight w:val="lightGray"/>
          <w:lang w:val="fr-FR"/>
        </w:rPr>
        <w:tab/>
      </w:r>
      <w:r w:rsidR="00BA61FE" w:rsidRPr="00754CC2">
        <w:rPr>
          <w:rFonts w:cs="Arial"/>
          <w:highlight w:val="lightGray"/>
          <w:lang w:val="fr-FR"/>
        </w:rPr>
        <w:t>S</w:t>
      </w:r>
      <w:r w:rsidR="00FD700E" w:rsidRPr="00754CC2">
        <w:rPr>
          <w:rFonts w:cs="Arial"/>
          <w:highlight w:val="lightGray"/>
          <w:lang w:val="fr-FR"/>
        </w:rPr>
        <w:t>’</w:t>
      </w:r>
      <w:r w:rsidR="00BA61FE" w:rsidRPr="00754CC2">
        <w:rPr>
          <w:rFonts w:cs="Arial"/>
          <w:highlight w:val="lightGray"/>
          <w:lang w:val="fr-FR"/>
        </w:rPr>
        <w:t>agissant des publications électroniques</w:t>
      </w:r>
      <w:r w:rsidR="003626E7" w:rsidRPr="00754CC2">
        <w:rPr>
          <w:rFonts w:cs="Arial"/>
          <w:highlight w:val="lightGray"/>
          <w:lang w:val="fr-FR"/>
        </w:rPr>
        <w:t>,</w:t>
      </w:r>
      <w:r w:rsidR="00BA61FE" w:rsidRPr="00754CC2">
        <w:rPr>
          <w:rFonts w:cs="Arial"/>
          <w:highlight w:val="lightGray"/>
          <w:lang w:val="fr-FR"/>
        </w:rPr>
        <w:t xml:space="preserve"> </w:t>
      </w:r>
      <w:r w:rsidR="00FD700E" w:rsidRPr="00754CC2">
        <w:rPr>
          <w:rFonts w:cs="Arial"/>
          <w:highlight w:val="lightGray"/>
          <w:lang w:val="fr-FR"/>
        </w:rPr>
        <w:t>y compris</w:t>
      </w:r>
      <w:r w:rsidR="003626E7" w:rsidRPr="00754CC2">
        <w:rPr>
          <w:rFonts w:cs="Arial"/>
          <w:highlight w:val="lightGray"/>
          <w:lang w:val="fr-FR"/>
        </w:rPr>
        <w:t xml:space="preserve"> l</w:t>
      </w:r>
      <w:r w:rsidR="00BA61FE" w:rsidRPr="00754CC2">
        <w:rPr>
          <w:rFonts w:cs="Arial"/>
          <w:highlight w:val="lightGray"/>
          <w:lang w:val="fr-FR"/>
        </w:rPr>
        <w:t>es bases de données dans lesquelles des recherches sont possibles, il est particulièrement important de disposer d</w:t>
      </w:r>
      <w:r w:rsidR="00FD700E" w:rsidRPr="00754CC2">
        <w:rPr>
          <w:rFonts w:cs="Arial"/>
          <w:highlight w:val="lightGray"/>
          <w:lang w:val="fr-FR"/>
        </w:rPr>
        <w:t>’</w:t>
      </w:r>
      <w:r w:rsidR="00BA61FE" w:rsidRPr="00754CC2">
        <w:rPr>
          <w:rFonts w:cs="Arial"/>
          <w:highlight w:val="lightGray"/>
          <w:lang w:val="fr-FR"/>
        </w:rPr>
        <w:t>informations complètes et exactes.  Plus précisément, il est important que soient publiés des renseignements sur les demandes de droits d</w:t>
      </w:r>
      <w:r w:rsidR="00FD700E" w:rsidRPr="00754CC2">
        <w:rPr>
          <w:rFonts w:cs="Arial"/>
          <w:highlight w:val="lightGray"/>
          <w:lang w:val="fr-FR"/>
        </w:rPr>
        <w:t>’</w:t>
      </w:r>
      <w:r w:rsidR="00BA61FE" w:rsidRPr="00754CC2">
        <w:rPr>
          <w:rFonts w:cs="Arial"/>
          <w:highlight w:val="lightGray"/>
          <w:lang w:val="fr-FR"/>
        </w:rPr>
        <w:t>obtenteur et sur les droits d</w:t>
      </w:r>
      <w:r w:rsidR="00FD700E" w:rsidRPr="00754CC2">
        <w:rPr>
          <w:rFonts w:cs="Arial"/>
          <w:highlight w:val="lightGray"/>
          <w:lang w:val="fr-FR"/>
        </w:rPr>
        <w:t>’</w:t>
      </w:r>
      <w:r w:rsidR="00BA61FE" w:rsidRPr="00754CC2">
        <w:rPr>
          <w:rFonts w:cs="Arial"/>
          <w:highlight w:val="lightGray"/>
          <w:lang w:val="fr-FR"/>
        </w:rPr>
        <w:t>obtenteur octroyés, ainsi que sur les dénominations proposées et approuvées.</w:t>
      </w:r>
    </w:p>
    <w:p w:rsidR="00BA61FE" w:rsidRPr="00754CC2" w:rsidRDefault="00BA61FE" w:rsidP="00167878">
      <w:pPr>
        <w:ind w:right="567"/>
        <w:rPr>
          <w:highlight w:val="lightGray"/>
          <w:u w:val="single"/>
          <w:lang w:val="fr-FR"/>
        </w:rPr>
      </w:pPr>
    </w:p>
    <w:p w:rsidR="00BA61FE" w:rsidRPr="00754CC2" w:rsidRDefault="00167878" w:rsidP="00BA61FE">
      <w:pPr>
        <w:rPr>
          <w:highlight w:val="lightGray"/>
          <w:lang w:val="fr-FR"/>
        </w:rPr>
      </w:pPr>
      <w:r w:rsidRPr="00754CC2">
        <w:rPr>
          <w:highlight w:val="lightGray"/>
          <w:lang w:val="fr-FR"/>
        </w:rPr>
        <w:t>53</w:t>
      </w:r>
      <w:r w:rsidR="00BA61FE" w:rsidRPr="00754CC2">
        <w:rPr>
          <w:highlight w:val="lightGray"/>
          <w:lang w:val="fr-FR"/>
        </w:rPr>
        <w:t>.</w:t>
      </w:r>
      <w:r w:rsidR="00BA61FE" w:rsidRPr="00754CC2">
        <w:rPr>
          <w:highlight w:val="lightGray"/>
          <w:lang w:val="fr-FR"/>
        </w:rPr>
        <w:tab/>
        <w:t>Les demandes de protection doivent être administrées par le service d</w:t>
      </w:r>
      <w:r w:rsidR="00FD700E" w:rsidRPr="00754CC2">
        <w:rPr>
          <w:highlight w:val="lightGray"/>
          <w:lang w:val="fr-FR"/>
        </w:rPr>
        <w:t>’</w:t>
      </w:r>
      <w:r w:rsidR="00BA61FE" w:rsidRPr="00754CC2">
        <w:rPr>
          <w:highlight w:val="lightGray"/>
          <w:lang w:val="fr-FR"/>
        </w:rPr>
        <w:t>octroi des droits d</w:t>
      </w:r>
      <w:r w:rsidR="00FD700E" w:rsidRPr="00754CC2">
        <w:rPr>
          <w:highlight w:val="lightGray"/>
          <w:lang w:val="fr-FR"/>
        </w:rPr>
        <w:t>’</w:t>
      </w:r>
      <w:r w:rsidR="00BA61FE" w:rsidRPr="00754CC2">
        <w:rPr>
          <w:highlight w:val="lightGray"/>
          <w:lang w:val="fr-FR"/>
        </w:rPr>
        <w:t>obtenteur et leur gestion peut nécessiter l</w:t>
      </w:r>
      <w:r w:rsidR="00FD700E" w:rsidRPr="00754CC2">
        <w:rPr>
          <w:highlight w:val="lightGray"/>
          <w:lang w:val="fr-FR"/>
        </w:rPr>
        <w:t>’</w:t>
      </w:r>
      <w:r w:rsidR="00BA61FE" w:rsidRPr="00754CC2">
        <w:rPr>
          <w:highlight w:val="lightGray"/>
          <w:lang w:val="fr-FR"/>
        </w:rPr>
        <w:t>utilisation de logiciels précis.  Le partage de logiciels entre membres de l</w:t>
      </w:r>
      <w:r w:rsidR="00FD700E" w:rsidRPr="00754CC2">
        <w:rPr>
          <w:highlight w:val="lightGray"/>
          <w:lang w:val="fr-FR"/>
        </w:rPr>
        <w:t>’</w:t>
      </w:r>
      <w:r w:rsidR="00BA61FE" w:rsidRPr="00754CC2">
        <w:rPr>
          <w:highlight w:val="lightGray"/>
          <w:lang w:val="fr-FR"/>
        </w:rPr>
        <w:t>UPOV constitue un moyen essentiel d</w:t>
      </w:r>
      <w:r w:rsidR="00FD700E" w:rsidRPr="00754CC2">
        <w:rPr>
          <w:highlight w:val="lightGray"/>
          <w:lang w:val="fr-FR"/>
        </w:rPr>
        <w:t>’</w:t>
      </w:r>
      <w:r w:rsidR="00BA61FE" w:rsidRPr="00754CC2">
        <w:rPr>
          <w:highlight w:val="lightGray"/>
          <w:lang w:val="fr-FR"/>
        </w:rPr>
        <w:t>appui à l</w:t>
      </w:r>
      <w:r w:rsidR="00FD700E" w:rsidRPr="00754CC2">
        <w:rPr>
          <w:highlight w:val="lightGray"/>
          <w:lang w:val="fr-FR"/>
        </w:rPr>
        <w:t>’</w:t>
      </w:r>
      <w:r w:rsidR="00BA61FE" w:rsidRPr="00754CC2">
        <w:rPr>
          <w:highlight w:val="lightGray"/>
          <w:lang w:val="fr-FR"/>
        </w:rPr>
        <w:t>administration des demandes et à l</w:t>
      </w:r>
      <w:r w:rsidR="00FD700E" w:rsidRPr="00754CC2">
        <w:rPr>
          <w:highlight w:val="lightGray"/>
          <w:lang w:val="fr-FR"/>
        </w:rPr>
        <w:t>’</w:t>
      </w:r>
      <w:r w:rsidR="00BA61FE" w:rsidRPr="00754CC2">
        <w:rPr>
          <w:highlight w:val="lightGray"/>
          <w:lang w:val="fr-FR"/>
        </w:rPr>
        <w:t>examen des variétés.  Des informations sur le partage de logiciels entre membres de l</w:t>
      </w:r>
      <w:r w:rsidR="00FD700E" w:rsidRPr="00754CC2">
        <w:rPr>
          <w:highlight w:val="lightGray"/>
          <w:lang w:val="fr-FR"/>
        </w:rPr>
        <w:t>’</w:t>
      </w:r>
      <w:r w:rsidR="00BA61FE" w:rsidRPr="00754CC2">
        <w:rPr>
          <w:highlight w:val="lightGray"/>
          <w:lang w:val="fr-FR"/>
        </w:rPr>
        <w:t xml:space="preserve">UPOV figurent dans le </w:t>
      </w:r>
      <w:r w:rsidR="00FD700E" w:rsidRPr="00754CC2">
        <w:rPr>
          <w:highlight w:val="lightGray"/>
          <w:lang w:val="fr-FR"/>
        </w:rPr>
        <w:t>document UP</w:t>
      </w:r>
      <w:r w:rsidR="00BA61FE" w:rsidRPr="00754CC2">
        <w:rPr>
          <w:highlight w:val="lightGray"/>
          <w:lang w:val="fr-FR"/>
        </w:rPr>
        <w:t>OV/INF/16 “Logiciels échangeables” (disponible à l</w:t>
      </w:r>
      <w:r w:rsidR="00FD700E" w:rsidRPr="00754CC2">
        <w:rPr>
          <w:highlight w:val="lightGray"/>
          <w:lang w:val="fr-FR"/>
        </w:rPr>
        <w:t>’</w:t>
      </w:r>
      <w:r w:rsidR="00BA61FE" w:rsidRPr="00754CC2">
        <w:rPr>
          <w:highlight w:val="lightGray"/>
          <w:lang w:val="fr-FR"/>
        </w:rPr>
        <w:t xml:space="preserve">adresse </w:t>
      </w:r>
      <w:hyperlink r:id="rId44" w:history="1">
        <w:r w:rsidR="00BA61FE" w:rsidRPr="00754CC2">
          <w:rPr>
            <w:rStyle w:val="Hyperlink"/>
            <w:highlight w:val="lightGray"/>
            <w:lang w:val="fr-FR"/>
          </w:rPr>
          <w:t>http://www.upov.int/information_documents/fr/</w:t>
        </w:r>
      </w:hyperlink>
      <w:r w:rsidR="00BA61FE" w:rsidRPr="00754CC2">
        <w:rPr>
          <w:highlight w:val="lightGray"/>
          <w:lang w:val="fr-FR"/>
        </w:rPr>
        <w:t>).</w:t>
      </w:r>
    </w:p>
    <w:p w:rsidR="00BA61FE" w:rsidRPr="00754CC2" w:rsidRDefault="00BA61FE" w:rsidP="00347556">
      <w:pPr>
        <w:spacing w:line="360" w:lineRule="auto"/>
        <w:rPr>
          <w:highlight w:val="lightGray"/>
          <w:lang w:val="fr-FR"/>
        </w:rPr>
      </w:pPr>
    </w:p>
    <w:p w:rsidR="00BA61FE" w:rsidRPr="00754CC2" w:rsidRDefault="00BA61FE" w:rsidP="00347556">
      <w:pPr>
        <w:pStyle w:val="Heading3"/>
        <w:rPr>
          <w:highlight w:val="lightGray"/>
        </w:rPr>
      </w:pPr>
      <w:bookmarkStart w:id="52" w:name="_Toc378597573"/>
      <w:bookmarkStart w:id="53" w:name="_Toc382814019"/>
      <w:bookmarkStart w:id="54" w:name="_Toc412041937"/>
      <w:r w:rsidRPr="00754CC2">
        <w:rPr>
          <w:highlight w:val="lightGray"/>
        </w:rPr>
        <w:t>Élaboration de formulaires</w:t>
      </w:r>
      <w:bookmarkEnd w:id="52"/>
      <w:bookmarkEnd w:id="53"/>
      <w:bookmarkEnd w:id="54"/>
    </w:p>
    <w:p w:rsidR="00BA61FE" w:rsidRPr="00754CC2" w:rsidRDefault="00BA61FE" w:rsidP="00D05B37">
      <w:pPr>
        <w:keepNext/>
        <w:keepLines/>
        <w:rPr>
          <w:b/>
          <w:highlight w:val="lightGray"/>
          <w:lang w:val="fr-FR"/>
        </w:rPr>
      </w:pPr>
    </w:p>
    <w:p w:rsidR="00E234B6" w:rsidRPr="00754CC2" w:rsidRDefault="00167878" w:rsidP="00347556">
      <w:pPr>
        <w:keepLines/>
        <w:spacing w:after="240"/>
        <w:rPr>
          <w:highlight w:val="lightGray"/>
          <w:lang w:val="fr-FR"/>
        </w:rPr>
      </w:pPr>
      <w:r w:rsidRPr="00754CC2">
        <w:rPr>
          <w:highlight w:val="lightGray"/>
          <w:lang w:val="fr-FR"/>
        </w:rPr>
        <w:t>5</w:t>
      </w:r>
      <w:r w:rsidR="00BA61FE" w:rsidRPr="00754CC2">
        <w:rPr>
          <w:highlight w:val="lightGray"/>
          <w:lang w:val="fr-FR"/>
        </w:rPr>
        <w:t>4.</w:t>
      </w:r>
      <w:r w:rsidR="00BA61FE" w:rsidRPr="00754CC2">
        <w:rPr>
          <w:highlight w:val="lightGray"/>
          <w:lang w:val="fr-FR"/>
        </w:rPr>
        <w:tab/>
        <w:t>En vue de faciliter la mise en œuvre des procédures de dépôt des demandes de protection des obtentions végétales, l</w:t>
      </w:r>
      <w:r w:rsidR="00FD700E" w:rsidRPr="00754CC2">
        <w:rPr>
          <w:highlight w:val="lightGray"/>
          <w:lang w:val="fr-FR"/>
        </w:rPr>
        <w:t>’</w:t>
      </w:r>
      <w:r w:rsidR="00BA61FE" w:rsidRPr="00754CC2">
        <w:rPr>
          <w:highlight w:val="lightGray"/>
          <w:lang w:val="fr-FR"/>
        </w:rPr>
        <w:t>UPOV a établi des formulaires types qui peuvent être utilisés par les services d</w:t>
      </w:r>
      <w:r w:rsidR="00FD700E" w:rsidRPr="00754CC2">
        <w:rPr>
          <w:highlight w:val="lightGray"/>
          <w:lang w:val="fr-FR"/>
        </w:rPr>
        <w:t>’</w:t>
      </w:r>
      <w:r w:rsidR="00BA61FE" w:rsidRPr="00754CC2">
        <w:rPr>
          <w:highlight w:val="lightGray"/>
          <w:lang w:val="fr-FR"/>
        </w:rPr>
        <w:t>octroi des droits d</w:t>
      </w:r>
      <w:r w:rsidR="00FD700E" w:rsidRPr="00754CC2">
        <w:rPr>
          <w:highlight w:val="lightGray"/>
          <w:lang w:val="fr-FR"/>
        </w:rPr>
        <w:t>’</w:t>
      </w:r>
      <w:r w:rsidR="00BA61FE" w:rsidRPr="00754CC2">
        <w:rPr>
          <w:highlight w:val="lightGray"/>
          <w:lang w:val="fr-FR"/>
        </w:rPr>
        <w:t>obtenteur dans un cadre national ou régional.</w:t>
      </w:r>
    </w:p>
    <w:p w:rsidR="00BA61FE" w:rsidRPr="00754CC2" w:rsidRDefault="00BA61FE" w:rsidP="00D05B37">
      <w:pPr>
        <w:pStyle w:val="Heading4"/>
        <w:rPr>
          <w:highlight w:val="lightGray"/>
        </w:rPr>
      </w:pPr>
      <w:bookmarkStart w:id="55" w:name="_Toc378597574"/>
      <w:bookmarkStart w:id="56" w:name="_Toc382814020"/>
      <w:r w:rsidRPr="00754CC2">
        <w:rPr>
          <w:highlight w:val="lightGray"/>
        </w:rPr>
        <w:t>Formulaire type de demande élaboré par l</w:t>
      </w:r>
      <w:r w:rsidR="00FD700E" w:rsidRPr="00754CC2">
        <w:rPr>
          <w:highlight w:val="lightGray"/>
        </w:rPr>
        <w:t>’</w:t>
      </w:r>
      <w:r w:rsidRPr="00754CC2">
        <w:rPr>
          <w:highlight w:val="lightGray"/>
        </w:rPr>
        <w:t>UPOV</w:t>
      </w:r>
      <w:bookmarkEnd w:id="55"/>
      <w:bookmarkEnd w:id="56"/>
    </w:p>
    <w:p w:rsidR="00BA61FE" w:rsidRPr="00754CC2" w:rsidRDefault="00BA61FE" w:rsidP="006C6491">
      <w:pPr>
        <w:keepNext/>
        <w:rPr>
          <w:highlight w:val="lightGray"/>
          <w:u w:val="single"/>
          <w:lang w:val="fr-FR"/>
        </w:rPr>
      </w:pPr>
    </w:p>
    <w:p w:rsidR="00BA61FE" w:rsidRPr="00754CC2" w:rsidRDefault="00167878" w:rsidP="00347556">
      <w:pPr>
        <w:spacing w:after="240"/>
        <w:rPr>
          <w:highlight w:val="lightGray"/>
          <w:lang w:val="fr-FR"/>
        </w:rPr>
      </w:pPr>
      <w:r w:rsidRPr="00754CC2">
        <w:rPr>
          <w:highlight w:val="lightGray"/>
          <w:lang w:val="fr-FR"/>
        </w:rPr>
        <w:t>55</w:t>
      </w:r>
      <w:r w:rsidR="00BA61FE" w:rsidRPr="00754CC2">
        <w:rPr>
          <w:highlight w:val="lightGray"/>
          <w:lang w:val="fr-FR"/>
        </w:rPr>
        <w:t>.</w:t>
      </w:r>
      <w:r w:rsidR="00BA61FE" w:rsidRPr="00754CC2">
        <w:rPr>
          <w:highlight w:val="lightGray"/>
          <w:lang w:val="fr-FR"/>
        </w:rPr>
        <w:tab/>
        <w:t xml:space="preserve">Le </w:t>
      </w:r>
      <w:r w:rsidR="00FD700E" w:rsidRPr="00754CC2">
        <w:rPr>
          <w:highlight w:val="lightGray"/>
          <w:lang w:val="fr-FR"/>
        </w:rPr>
        <w:t>document TG</w:t>
      </w:r>
      <w:r w:rsidR="00BA61FE" w:rsidRPr="00754CC2">
        <w:rPr>
          <w:highlight w:val="lightGray"/>
          <w:lang w:val="fr-FR"/>
        </w:rPr>
        <w:t>P/5 intitulé “Expérience et coopération en matière d</w:t>
      </w:r>
      <w:r w:rsidR="00FD700E" w:rsidRPr="00754CC2">
        <w:rPr>
          <w:highlight w:val="lightGray"/>
          <w:lang w:val="fr-FR"/>
        </w:rPr>
        <w:t>’</w:t>
      </w:r>
      <w:r w:rsidR="00BA61FE" w:rsidRPr="00754CC2">
        <w:rPr>
          <w:highlight w:val="lightGray"/>
          <w:lang w:val="fr-FR"/>
        </w:rPr>
        <w:t>examen</w:t>
      </w:r>
      <w:r w:rsidR="001B0B2D" w:rsidRPr="00754CC2">
        <w:rPr>
          <w:highlight w:val="lightGray"/>
          <w:lang w:val="fr-FR"/>
        </w:rPr>
        <w:t> </w:t>
      </w:r>
      <w:r w:rsidR="00BA61FE" w:rsidRPr="00754CC2">
        <w:rPr>
          <w:highlight w:val="lightGray"/>
          <w:lang w:val="fr-FR"/>
        </w:rPr>
        <w:t>DHS” contient le “Formulaire type de l</w:t>
      </w:r>
      <w:r w:rsidR="00FD700E" w:rsidRPr="00754CC2">
        <w:rPr>
          <w:highlight w:val="lightGray"/>
          <w:lang w:val="fr-FR"/>
        </w:rPr>
        <w:t>’</w:t>
      </w:r>
      <w:r w:rsidR="00BA61FE" w:rsidRPr="00754CC2">
        <w:rPr>
          <w:highlight w:val="lightGray"/>
          <w:lang w:val="fr-FR"/>
        </w:rPr>
        <w:t>UPOV pour la demande de protection d</w:t>
      </w:r>
      <w:r w:rsidR="00FD700E" w:rsidRPr="00754CC2">
        <w:rPr>
          <w:highlight w:val="lightGray"/>
          <w:lang w:val="fr-FR"/>
        </w:rPr>
        <w:t>’</w:t>
      </w:r>
      <w:r w:rsidR="00BA61FE" w:rsidRPr="00754CC2">
        <w:rPr>
          <w:highlight w:val="lightGray"/>
          <w:lang w:val="fr-FR"/>
        </w:rPr>
        <w:t>une obtention végétale” (</w:t>
      </w:r>
      <w:hyperlink r:id="rId45" w:history="1">
        <w:r w:rsidR="00D05B37" w:rsidRPr="00754CC2">
          <w:rPr>
            <w:rFonts w:cs="Arial"/>
            <w:highlight w:val="lightGray"/>
            <w:lang w:val="fr-FR"/>
          </w:rPr>
          <w:t>TGP/5, Section </w:t>
        </w:r>
        <w:r w:rsidR="00BA61FE" w:rsidRPr="00754CC2">
          <w:rPr>
            <w:rFonts w:cs="Arial"/>
            <w:highlight w:val="lightGray"/>
            <w:lang w:val="fr-FR"/>
          </w:rPr>
          <w:t>2</w:t>
        </w:r>
      </w:hyperlink>
      <w:r w:rsidR="00BA61FE" w:rsidRPr="00754CC2">
        <w:rPr>
          <w:highlight w:val="lightGray"/>
          <w:lang w:val="fr-FR"/>
        </w:rPr>
        <w:t>).  Le</w:t>
      </w:r>
      <w:r w:rsidR="00D05B37" w:rsidRPr="00754CC2">
        <w:rPr>
          <w:highlight w:val="lightGray"/>
          <w:lang w:val="fr-FR"/>
        </w:rPr>
        <w:t> </w:t>
      </w:r>
      <w:r w:rsidR="00BA61FE" w:rsidRPr="00754CC2">
        <w:rPr>
          <w:highlight w:val="lightGray"/>
          <w:lang w:val="fr-FR"/>
        </w:rPr>
        <w:t>formulaire type de l</w:t>
      </w:r>
      <w:r w:rsidR="00FD700E" w:rsidRPr="00754CC2">
        <w:rPr>
          <w:highlight w:val="lightGray"/>
          <w:lang w:val="fr-FR"/>
        </w:rPr>
        <w:t>’</w:t>
      </w:r>
      <w:r w:rsidR="00BA61FE" w:rsidRPr="00754CC2">
        <w:rPr>
          <w:highlight w:val="lightGray"/>
          <w:lang w:val="fr-FR"/>
        </w:rPr>
        <w:t>UPOV se présente comme dans l</w:t>
      </w:r>
      <w:r w:rsidR="00FD700E" w:rsidRPr="00754CC2">
        <w:rPr>
          <w:highlight w:val="lightGray"/>
          <w:lang w:val="fr-FR"/>
        </w:rPr>
        <w:t>’</w:t>
      </w:r>
      <w:r w:rsidR="00BA61FE" w:rsidRPr="00754CC2">
        <w:rPr>
          <w:highlight w:val="lightGray"/>
          <w:lang w:val="fr-FR"/>
        </w:rPr>
        <w:t>extrait figurant à la page suivante (disponible à l</w:t>
      </w:r>
      <w:r w:rsidR="00FD700E" w:rsidRPr="00754CC2">
        <w:rPr>
          <w:highlight w:val="lightGray"/>
          <w:lang w:val="fr-FR"/>
        </w:rPr>
        <w:t>’</w:t>
      </w:r>
      <w:r w:rsidR="00BA61FE" w:rsidRPr="00754CC2">
        <w:rPr>
          <w:highlight w:val="lightGray"/>
          <w:lang w:val="fr-FR"/>
        </w:rPr>
        <w:t xml:space="preserve">adresse </w:t>
      </w:r>
      <w:hyperlink r:id="rId46" w:history="1">
        <w:r w:rsidR="00BA61FE" w:rsidRPr="00754CC2">
          <w:rPr>
            <w:rStyle w:val="Hyperlink"/>
            <w:highlight w:val="lightGray"/>
            <w:lang w:val="fr-FR"/>
          </w:rPr>
          <w:t>http://www.upov.int/tgp/fr/</w:t>
        </w:r>
      </w:hyperlink>
      <w:r w:rsidR="00BA61FE" w:rsidRPr="00754CC2">
        <w:rPr>
          <w:highlight w:val="lightGray"/>
          <w:lang w:val="fr-FR"/>
        </w:rPr>
        <w:t>).</w:t>
      </w:r>
    </w:p>
    <w:p w:rsidR="00E234B6" w:rsidRPr="00754CC2" w:rsidRDefault="00BA61FE" w:rsidP="00BA61FE">
      <w:pPr>
        <w:autoSpaceDE w:val="0"/>
        <w:autoSpaceDN w:val="0"/>
        <w:adjustRightInd w:val="0"/>
        <w:rPr>
          <w:highlight w:val="lightGray"/>
          <w:lang w:val="fr-FR"/>
        </w:rPr>
      </w:pPr>
      <w:r w:rsidRPr="00754CC2">
        <w:rPr>
          <w:highlight w:val="lightGray"/>
          <w:lang w:val="fr-FR"/>
        </w:rPr>
        <w:lastRenderedPageBreak/>
        <w:t>5</w:t>
      </w:r>
      <w:r w:rsidR="00167878" w:rsidRPr="00754CC2">
        <w:rPr>
          <w:highlight w:val="lightGray"/>
          <w:lang w:val="fr-FR"/>
        </w:rPr>
        <w:t>6</w:t>
      </w:r>
      <w:r w:rsidRPr="00754CC2">
        <w:rPr>
          <w:highlight w:val="lightGray"/>
          <w:lang w:val="fr-FR"/>
        </w:rPr>
        <w:t>.</w:t>
      </w:r>
      <w:r w:rsidRPr="00754CC2">
        <w:rPr>
          <w:highlight w:val="lightGray"/>
          <w:lang w:val="fr-FR"/>
        </w:rPr>
        <w:tab/>
        <w:t>Lors de la conversion du formulaire type de l</w:t>
      </w:r>
      <w:r w:rsidR="00FD700E" w:rsidRPr="00754CC2">
        <w:rPr>
          <w:highlight w:val="lightGray"/>
          <w:lang w:val="fr-FR"/>
        </w:rPr>
        <w:t>’</w:t>
      </w:r>
      <w:r w:rsidRPr="00754CC2">
        <w:rPr>
          <w:highlight w:val="lightGray"/>
          <w:lang w:val="fr-FR"/>
        </w:rPr>
        <w:t>UPOV en formulaire propre à un service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 et lors de l</w:t>
      </w:r>
      <w:r w:rsidR="00FD700E" w:rsidRPr="00754CC2">
        <w:rPr>
          <w:highlight w:val="lightGray"/>
          <w:lang w:val="fr-FR"/>
        </w:rPr>
        <w:t>’</w:t>
      </w:r>
      <w:r w:rsidRPr="00754CC2">
        <w:rPr>
          <w:highlight w:val="lightGray"/>
          <w:lang w:val="fr-FR"/>
        </w:rPr>
        <w:t>élaboration des instructions pour remplir le formulaire, la teneur de la législation applicable du membre de l</w:t>
      </w:r>
      <w:r w:rsidR="00FD700E" w:rsidRPr="00754CC2">
        <w:rPr>
          <w:highlight w:val="lightGray"/>
          <w:lang w:val="fr-FR"/>
        </w:rPr>
        <w:t>’</w:t>
      </w:r>
      <w:r w:rsidRPr="00754CC2">
        <w:rPr>
          <w:highlight w:val="lightGray"/>
          <w:lang w:val="fr-FR"/>
        </w:rPr>
        <w:t>UPOV, ainsi que la terminologie utilisée dans cette législation doivent être prises en considération.  Afin que le formulaire type puisse jouer son rôle, il est essentiel que la disposition, l</w:t>
      </w:r>
      <w:r w:rsidR="00FD700E" w:rsidRPr="00754CC2">
        <w:rPr>
          <w:highlight w:val="lightGray"/>
          <w:lang w:val="fr-FR"/>
        </w:rPr>
        <w:t>’</w:t>
      </w:r>
      <w:r w:rsidRPr="00754CC2">
        <w:rPr>
          <w:highlight w:val="lightGray"/>
          <w:lang w:val="fr-FR"/>
        </w:rPr>
        <w:t>objet et la numérotation des rubriques soient respectés dans les formulaires propres à un service donné.</w:t>
      </w:r>
    </w:p>
    <w:p w:rsidR="00BA61FE" w:rsidRPr="00754CC2" w:rsidRDefault="00BA61FE" w:rsidP="00BA61FE">
      <w:pPr>
        <w:autoSpaceDE w:val="0"/>
        <w:autoSpaceDN w:val="0"/>
        <w:adjustRightInd w:val="0"/>
        <w:rPr>
          <w:highlight w:val="lightGray"/>
          <w:lang w:val="fr-FR"/>
        </w:rPr>
      </w:pPr>
    </w:p>
    <w:p w:rsidR="00E234B6" w:rsidRPr="00754CC2" w:rsidRDefault="00BA61FE" w:rsidP="00BA61FE">
      <w:pPr>
        <w:autoSpaceDE w:val="0"/>
        <w:autoSpaceDN w:val="0"/>
        <w:adjustRightInd w:val="0"/>
        <w:rPr>
          <w:highlight w:val="lightGray"/>
          <w:lang w:val="fr-FR"/>
        </w:rPr>
      </w:pPr>
      <w:r w:rsidRPr="00754CC2">
        <w:rPr>
          <w:highlight w:val="lightGray"/>
          <w:lang w:val="fr-FR"/>
        </w:rPr>
        <w:t>5</w:t>
      </w:r>
      <w:r w:rsidR="00167878" w:rsidRPr="00754CC2">
        <w:rPr>
          <w:highlight w:val="lightGray"/>
          <w:lang w:val="fr-FR"/>
        </w:rPr>
        <w:t>7</w:t>
      </w:r>
      <w:r w:rsidRPr="00754CC2">
        <w:rPr>
          <w:highlight w:val="lightGray"/>
          <w:lang w:val="fr-FR"/>
        </w:rPr>
        <w:t>.</w:t>
      </w:r>
      <w:r w:rsidRPr="00754CC2">
        <w:rPr>
          <w:highlight w:val="lightGray"/>
          <w:lang w:val="fr-FR"/>
        </w:rPr>
        <w:tab/>
        <w:t>Un renvoi normalisé de l</w:t>
      </w:r>
      <w:r w:rsidR="00FD700E" w:rsidRPr="00754CC2">
        <w:rPr>
          <w:highlight w:val="lightGray"/>
          <w:lang w:val="fr-FR"/>
        </w:rPr>
        <w:t>’</w:t>
      </w:r>
      <w:r w:rsidRPr="00754CC2">
        <w:rPr>
          <w:highlight w:val="lightGray"/>
          <w:lang w:val="fr-FR"/>
        </w:rPr>
        <w:t>UPOV a été fourni pour chaque champ du formulaire type de l</w:t>
      </w:r>
      <w:r w:rsidR="00FD700E" w:rsidRPr="00754CC2">
        <w:rPr>
          <w:highlight w:val="lightGray"/>
          <w:lang w:val="fr-FR"/>
        </w:rPr>
        <w:t>’</w:t>
      </w:r>
      <w:r w:rsidRPr="00754CC2">
        <w:rPr>
          <w:highlight w:val="lightGray"/>
          <w:lang w:val="fr-FR"/>
        </w:rPr>
        <w:t>UPOV</w:t>
      </w:r>
      <w:r w:rsidR="00891DBD" w:rsidRPr="00754CC2">
        <w:rPr>
          <w:highlight w:val="lightGray"/>
          <w:lang w:val="fr-FR"/>
        </w:rPr>
        <w:t>.  Par exemple, pour le point 1</w:t>
      </w:r>
      <w:r w:rsidR="007E64B9" w:rsidRPr="00754CC2">
        <w:rPr>
          <w:highlight w:val="lightGray"/>
          <w:lang w:val="fr-FR"/>
        </w:rPr>
        <w:t>.</w:t>
      </w:r>
      <w:r w:rsidR="00891DBD" w:rsidRPr="00754CC2">
        <w:rPr>
          <w:highlight w:val="lightGray"/>
          <w:lang w:val="fr-FR"/>
        </w:rPr>
        <w:t>(</w:t>
      </w:r>
      <w:r w:rsidRPr="00754CC2">
        <w:rPr>
          <w:highlight w:val="lightGray"/>
          <w:lang w:val="fr-FR"/>
        </w:rPr>
        <w:t>a) “Demandeur(s) Nom(s)”, le renvoi normalisé de l</w:t>
      </w:r>
      <w:r w:rsidR="00FD700E" w:rsidRPr="00754CC2">
        <w:rPr>
          <w:highlight w:val="lightGray"/>
          <w:lang w:val="fr-FR"/>
        </w:rPr>
        <w:t>’</w:t>
      </w:r>
      <w:r w:rsidRPr="00754CC2">
        <w:rPr>
          <w:highlight w:val="lightGray"/>
          <w:lang w:val="fr-FR"/>
        </w:rPr>
        <w:t>UPOV est “UPOV A1</w:t>
      </w:r>
      <w:r w:rsidR="00926645" w:rsidRPr="00754CC2">
        <w:rPr>
          <w:highlight w:val="lightGray"/>
          <w:lang w:val="fr-FR"/>
        </w:rPr>
        <w:t> </w:t>
      </w:r>
      <w:r w:rsidRPr="00754CC2">
        <w:rPr>
          <w:highlight w:val="lightGray"/>
          <w:lang w:val="fr-FR"/>
        </w:rPr>
        <w:t>: 1</w:t>
      </w:r>
      <w:r w:rsidR="00891DBD" w:rsidRPr="00754CC2">
        <w:rPr>
          <w:highlight w:val="lightGray"/>
          <w:lang w:val="fr-FR"/>
        </w:rPr>
        <w:t>(</w:t>
      </w:r>
      <w:r w:rsidRPr="00754CC2">
        <w:rPr>
          <w:highlight w:val="lightGray"/>
          <w:lang w:val="fr-FR"/>
        </w:rPr>
        <w:t>a)</w:t>
      </w:r>
      <w:r w:rsidR="00891DBD" w:rsidRPr="00754CC2">
        <w:rPr>
          <w:highlight w:val="lightGray"/>
          <w:lang w:val="fr-FR"/>
        </w:rPr>
        <w:t>(</w:t>
      </w:r>
      <w:r w:rsidRPr="00754CC2">
        <w:rPr>
          <w:highlight w:val="lightGray"/>
          <w:lang w:val="fr-FR"/>
        </w:rPr>
        <w:t>i)”.  Pour faciliter l</w:t>
      </w:r>
      <w:r w:rsidR="00FD700E" w:rsidRPr="00754CC2">
        <w:rPr>
          <w:highlight w:val="lightGray"/>
          <w:lang w:val="fr-FR"/>
        </w:rPr>
        <w:t>’</w:t>
      </w:r>
      <w:r w:rsidRPr="00754CC2">
        <w:rPr>
          <w:highlight w:val="lightGray"/>
          <w:lang w:val="fr-FR"/>
        </w:rPr>
        <w:t>harmonisation et aider les déposants, un service peut inclure les renvois normalisés de l</w:t>
      </w:r>
      <w:r w:rsidR="00FD700E" w:rsidRPr="00754CC2">
        <w:rPr>
          <w:highlight w:val="lightGray"/>
          <w:lang w:val="fr-FR"/>
        </w:rPr>
        <w:t>’</w:t>
      </w:r>
      <w:r w:rsidRPr="00754CC2">
        <w:rPr>
          <w:highlight w:val="lightGray"/>
          <w:lang w:val="fr-FR"/>
        </w:rPr>
        <w:t>UPOV dans les champs correspondants dans ses propres formulaires.  Il appartient à chaque service de déterminer si les champs dans ses propres formulaires correspondent de manière suffisamment précise à ceux figurant dans le formulaire de demande type de l</w:t>
      </w:r>
      <w:r w:rsidR="00FD700E" w:rsidRPr="00754CC2">
        <w:rPr>
          <w:highlight w:val="lightGray"/>
          <w:lang w:val="fr-FR"/>
        </w:rPr>
        <w:t>’</w:t>
      </w:r>
      <w:r w:rsidRPr="00754CC2">
        <w:rPr>
          <w:highlight w:val="lightGray"/>
          <w:lang w:val="fr-FR"/>
        </w:rPr>
        <w:t>UPOV pour qu</w:t>
      </w:r>
      <w:r w:rsidR="00FD700E" w:rsidRPr="00754CC2">
        <w:rPr>
          <w:highlight w:val="lightGray"/>
          <w:lang w:val="fr-FR"/>
        </w:rPr>
        <w:t>’</w:t>
      </w:r>
      <w:r w:rsidRPr="00754CC2">
        <w:rPr>
          <w:highlight w:val="lightGray"/>
          <w:lang w:val="fr-FR"/>
        </w:rPr>
        <w:t>il soit possible d</w:t>
      </w:r>
      <w:r w:rsidR="00FD700E" w:rsidRPr="00754CC2">
        <w:rPr>
          <w:highlight w:val="lightGray"/>
          <w:lang w:val="fr-FR"/>
        </w:rPr>
        <w:t>’</w:t>
      </w:r>
      <w:r w:rsidRPr="00754CC2">
        <w:rPr>
          <w:highlight w:val="lightGray"/>
          <w:lang w:val="fr-FR"/>
        </w:rPr>
        <w:t>effectuer ces renvois.</w:t>
      </w:r>
    </w:p>
    <w:p w:rsidR="00BA61FE" w:rsidRPr="00754CC2" w:rsidRDefault="00BA61FE" w:rsidP="00BA61FE">
      <w:pPr>
        <w:autoSpaceDE w:val="0"/>
        <w:autoSpaceDN w:val="0"/>
        <w:adjustRightInd w:val="0"/>
        <w:rPr>
          <w:highlight w:val="lightGray"/>
          <w:lang w:val="fr-FR"/>
        </w:rPr>
      </w:pPr>
    </w:p>
    <w:p w:rsidR="00E234B6" w:rsidRPr="00754CC2" w:rsidRDefault="00BA61FE" w:rsidP="00BA61FE">
      <w:pPr>
        <w:autoSpaceDE w:val="0"/>
        <w:autoSpaceDN w:val="0"/>
        <w:adjustRightInd w:val="0"/>
        <w:rPr>
          <w:highlight w:val="lightGray"/>
          <w:lang w:val="fr-FR"/>
        </w:rPr>
      </w:pPr>
      <w:r w:rsidRPr="00754CC2">
        <w:rPr>
          <w:highlight w:val="lightGray"/>
          <w:lang w:val="fr-FR"/>
        </w:rPr>
        <w:t>5</w:t>
      </w:r>
      <w:r w:rsidR="00167878" w:rsidRPr="00754CC2">
        <w:rPr>
          <w:highlight w:val="lightGray"/>
          <w:lang w:val="fr-FR"/>
        </w:rPr>
        <w:t>8</w:t>
      </w:r>
      <w:r w:rsidRPr="00754CC2">
        <w:rPr>
          <w:highlight w:val="lightGray"/>
          <w:lang w:val="fr-FR"/>
        </w:rPr>
        <w:tab/>
        <w:t xml:space="preserve">Le document </w:t>
      </w:r>
      <w:hyperlink r:id="rId47" w:history="1">
        <w:r w:rsidRPr="00754CC2">
          <w:rPr>
            <w:rFonts w:cs="Arial"/>
            <w:highlight w:val="lightGray"/>
            <w:lang w:val="fr-FR"/>
          </w:rPr>
          <w:t>TGP/5, Section</w:t>
        </w:r>
        <w:r w:rsidR="00986219" w:rsidRPr="00754CC2">
          <w:rPr>
            <w:rFonts w:cs="Arial"/>
            <w:highlight w:val="lightGray"/>
            <w:lang w:val="fr-FR"/>
          </w:rPr>
          <w:t> </w:t>
        </w:r>
        <w:r w:rsidRPr="00754CC2">
          <w:rPr>
            <w:rFonts w:cs="Arial"/>
            <w:highlight w:val="lightGray"/>
            <w:lang w:val="fr-FR"/>
          </w:rPr>
          <w:t>2</w:t>
        </w:r>
      </w:hyperlink>
      <w:r w:rsidRPr="00754CC2">
        <w:rPr>
          <w:highlight w:val="lightGray"/>
          <w:lang w:val="fr-FR"/>
        </w:rPr>
        <w:t xml:space="preserve"> contient des informations plus détaillées sur les différentes rubriques du formulaire type de l</w:t>
      </w:r>
      <w:r w:rsidR="00FD700E" w:rsidRPr="00754CC2">
        <w:rPr>
          <w:highlight w:val="lightGray"/>
          <w:lang w:val="fr-FR"/>
        </w:rPr>
        <w:t>’</w:t>
      </w:r>
      <w:r w:rsidRPr="00754CC2">
        <w:rPr>
          <w:highlight w:val="lightGray"/>
          <w:lang w:val="fr-FR"/>
        </w:rPr>
        <w:t>UPOV.</w:t>
      </w:r>
    </w:p>
    <w:p w:rsidR="00BA61FE" w:rsidRPr="00754CC2" w:rsidRDefault="00BA61FE" w:rsidP="00BA61FE">
      <w:pPr>
        <w:rPr>
          <w:highlight w:val="lightGray"/>
          <w:lang w:val="fr-FR"/>
        </w:rPr>
      </w:pPr>
    </w:p>
    <w:p w:rsidR="00754CC2" w:rsidRPr="00754CC2" w:rsidRDefault="00754CC2">
      <w:pPr>
        <w:jc w:val="left"/>
        <w:rPr>
          <w:noProof/>
          <w:highlight w:val="lightGray"/>
          <w:lang w:val="fr-FR"/>
        </w:rPr>
      </w:pPr>
      <w:r w:rsidRPr="00754CC2">
        <w:rPr>
          <w:noProof/>
          <w:highlight w:val="lightGray"/>
          <w:lang w:val="fr-FR"/>
        </w:rPr>
        <w:br w:type="page"/>
      </w:r>
    </w:p>
    <w:p w:rsidR="00754CC2" w:rsidRPr="00754CC2" w:rsidRDefault="00754CC2" w:rsidP="00754CC2">
      <w:pPr>
        <w:jc w:val="center"/>
        <w:rPr>
          <w:noProof/>
          <w:highlight w:val="lightGray"/>
          <w:lang w:val="fr-FR"/>
        </w:rPr>
      </w:pPr>
      <w:r w:rsidRPr="00754CC2">
        <w:rPr>
          <w:noProof/>
          <w:highlight w:val="lightGray"/>
          <w:lang w:val="fr-FR"/>
        </w:rPr>
        <w:lastRenderedPageBreak/>
        <w:t xml:space="preserve">FORMULAIRE TYPE </w:t>
      </w:r>
      <w:r>
        <w:rPr>
          <w:noProof/>
          <w:highlight w:val="lightGray"/>
          <w:lang w:val="fr-FR"/>
        </w:rPr>
        <w:t xml:space="preserve">POUR </w:t>
      </w:r>
      <w:r w:rsidRPr="00754CC2">
        <w:rPr>
          <w:noProof/>
          <w:highlight w:val="lightGray"/>
          <w:lang w:val="fr-FR"/>
        </w:rPr>
        <w:t>LA DEMANDE DE PROTECTION D’UNE OBTENTION VÉGÉTALE</w:t>
      </w:r>
      <w:r>
        <w:rPr>
          <w:noProof/>
          <w:highlight w:val="lightGray"/>
          <w:lang w:val="fr-FR"/>
        </w:rPr>
        <w:br/>
      </w:r>
      <w:r>
        <w:rPr>
          <w:noProof/>
          <w:highlight w:val="lightGray"/>
          <w:lang w:val="fr-FR"/>
        </w:rPr>
        <w:br/>
        <w:t>(Extrait)</w:t>
      </w:r>
    </w:p>
    <w:p w:rsidR="00754CC2" w:rsidRPr="00754CC2" w:rsidRDefault="00754CC2">
      <w:pPr>
        <w:jc w:val="left"/>
        <w:rPr>
          <w:noProof/>
          <w:highlight w:val="lightGray"/>
          <w:lang w:val="fr-FR"/>
        </w:rPr>
      </w:pPr>
    </w:p>
    <w:p w:rsidR="00754CC2" w:rsidRDefault="00754CC2" w:rsidP="0091410E">
      <w:pPr>
        <w:rPr>
          <w:noProof/>
          <w:highlight w:val="lightGray"/>
          <w:lang w:val="fr-FR"/>
        </w:rPr>
      </w:pPr>
    </w:p>
    <w:p w:rsidR="00BA61FE" w:rsidRPr="00754CC2" w:rsidRDefault="00BA61FE" w:rsidP="0091410E">
      <w:pPr>
        <w:rPr>
          <w:highlight w:val="lightGray"/>
          <w:lang w:val="fr-FR"/>
        </w:rPr>
      </w:pPr>
      <w:r w:rsidRPr="00754CC2">
        <w:rPr>
          <w:noProof/>
          <w:highlight w:val="lightGray"/>
          <w:lang w:val="fr-FR"/>
        </w:rPr>
        <w:drawing>
          <wp:inline distT="0" distB="0" distL="0" distR="0" wp14:anchorId="433E8787" wp14:editId="50E21CCF">
            <wp:extent cx="6260123" cy="66997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t="5724" b="1425"/>
                    <a:stretch/>
                  </pic:blipFill>
                  <pic:spPr bwMode="auto">
                    <a:xfrm>
                      <a:off x="0" y="0"/>
                      <a:ext cx="6269187" cy="6709440"/>
                    </a:xfrm>
                    <a:prstGeom prst="rect">
                      <a:avLst/>
                    </a:prstGeom>
                    <a:noFill/>
                    <a:ln>
                      <a:noFill/>
                    </a:ln>
                    <a:extLst>
                      <a:ext uri="{53640926-AAD7-44D8-BBD7-CCE9431645EC}">
                        <a14:shadowObscured xmlns:a14="http://schemas.microsoft.com/office/drawing/2010/main"/>
                      </a:ext>
                    </a:extLst>
                  </pic:spPr>
                </pic:pic>
              </a:graphicData>
            </a:graphic>
          </wp:inline>
        </w:drawing>
      </w:r>
    </w:p>
    <w:p w:rsidR="00BA61FE" w:rsidRPr="00754CC2" w:rsidRDefault="00BA61FE" w:rsidP="00BA61FE">
      <w:pPr>
        <w:rPr>
          <w:highlight w:val="lightGray"/>
          <w:lang w:val="fr-FR"/>
        </w:rPr>
      </w:pPr>
    </w:p>
    <w:p w:rsidR="00BA61FE" w:rsidRPr="00754CC2" w:rsidRDefault="00BA61FE" w:rsidP="00D05B37">
      <w:pPr>
        <w:pStyle w:val="Heading4"/>
        <w:rPr>
          <w:highlight w:val="lightGray"/>
        </w:rPr>
      </w:pPr>
      <w:bookmarkStart w:id="57" w:name="_Toc378597575"/>
      <w:bookmarkStart w:id="58" w:name="_Toc382814021"/>
      <w:r w:rsidRPr="00754CC2">
        <w:rPr>
          <w:highlight w:val="lightGray"/>
        </w:rPr>
        <w:t>Questionnaire</w:t>
      </w:r>
      <w:bookmarkEnd w:id="57"/>
      <w:r w:rsidRPr="00754CC2">
        <w:rPr>
          <w:highlight w:val="lightGray"/>
        </w:rPr>
        <w:t xml:space="preserve"> technique</w:t>
      </w:r>
      <w:bookmarkEnd w:id="58"/>
    </w:p>
    <w:p w:rsidR="00BA61FE" w:rsidRPr="00754CC2" w:rsidRDefault="00BA61FE" w:rsidP="00BA61FE">
      <w:pPr>
        <w:rPr>
          <w:highlight w:val="lightGray"/>
          <w:lang w:val="fr-FR"/>
        </w:rPr>
      </w:pPr>
    </w:p>
    <w:p w:rsidR="00E234B6" w:rsidRPr="00754CC2" w:rsidRDefault="00BA61FE" w:rsidP="00D05B37">
      <w:pPr>
        <w:rPr>
          <w:highlight w:val="lightGray"/>
          <w:lang w:val="fr-FR"/>
        </w:rPr>
      </w:pPr>
      <w:r w:rsidRPr="00754CC2">
        <w:rPr>
          <w:highlight w:val="lightGray"/>
          <w:lang w:val="fr-FR"/>
        </w:rPr>
        <w:t>5</w:t>
      </w:r>
      <w:r w:rsidR="00167878" w:rsidRPr="00754CC2">
        <w:rPr>
          <w:highlight w:val="lightGray"/>
          <w:lang w:val="fr-FR"/>
        </w:rPr>
        <w:t>9</w:t>
      </w:r>
      <w:r w:rsidRPr="00754CC2">
        <w:rPr>
          <w:highlight w:val="lightGray"/>
          <w:lang w:val="fr-FR"/>
        </w:rPr>
        <w:t>.</w:t>
      </w:r>
      <w:r w:rsidRPr="00754CC2">
        <w:rPr>
          <w:highlight w:val="lightGray"/>
          <w:lang w:val="fr-FR"/>
        </w:rPr>
        <w:tab/>
        <w:t>Afin de faciliter le processus d</w:t>
      </w:r>
      <w:r w:rsidR="00FD700E" w:rsidRPr="00754CC2">
        <w:rPr>
          <w:highlight w:val="lightGray"/>
          <w:lang w:val="fr-FR"/>
        </w:rPr>
        <w:t>’</w:t>
      </w:r>
      <w:r w:rsidRPr="00754CC2">
        <w:rPr>
          <w:highlight w:val="lightGray"/>
          <w:lang w:val="fr-FR"/>
        </w:rPr>
        <w:t>examen des variétés, l</w:t>
      </w:r>
      <w:r w:rsidR="00FD700E" w:rsidRPr="00754CC2">
        <w:rPr>
          <w:highlight w:val="lightGray"/>
          <w:lang w:val="fr-FR"/>
        </w:rPr>
        <w:t>’</w:t>
      </w:r>
      <w:r w:rsidRPr="00754CC2">
        <w:rPr>
          <w:highlight w:val="lightGray"/>
          <w:lang w:val="fr-FR"/>
        </w:rPr>
        <w:t>obtenteur est prié de communiquer certains renseignements, généralement au moyen d</w:t>
      </w:r>
      <w:r w:rsidR="00FD700E" w:rsidRPr="00754CC2">
        <w:rPr>
          <w:highlight w:val="lightGray"/>
          <w:lang w:val="fr-FR"/>
        </w:rPr>
        <w:t>’</w:t>
      </w:r>
      <w:r w:rsidRPr="00754CC2">
        <w:rPr>
          <w:highlight w:val="lightGray"/>
          <w:lang w:val="fr-FR"/>
        </w:rPr>
        <w:t>un questionnaire technique à déposer avec la demande.  Les renseignements demandés dans le questionnaire technique portent sur des caractères précis qui sont importants pour distinguer les variétés, sur des informations concernant le schéma de sélection de la variété ainsi que sur toute autre donnée susceptible de contribuer à la distinction de la variété considérée.  Dans le questionnaire, il est également demandé à l</w:t>
      </w:r>
      <w:r w:rsidR="00FD700E" w:rsidRPr="00754CC2">
        <w:rPr>
          <w:highlight w:val="lightGray"/>
          <w:lang w:val="fr-FR"/>
        </w:rPr>
        <w:t>’</w:t>
      </w:r>
      <w:r w:rsidRPr="00754CC2">
        <w:rPr>
          <w:highlight w:val="lightGray"/>
          <w:lang w:val="fr-FR"/>
        </w:rPr>
        <w:t>obtenteur d</w:t>
      </w:r>
      <w:r w:rsidR="00FD700E" w:rsidRPr="00754CC2">
        <w:rPr>
          <w:highlight w:val="lightGray"/>
          <w:lang w:val="fr-FR"/>
        </w:rPr>
        <w:t>’</w:t>
      </w:r>
      <w:r w:rsidRPr="00754CC2">
        <w:rPr>
          <w:highlight w:val="lightGray"/>
          <w:lang w:val="fr-FR"/>
        </w:rPr>
        <w:t>indiquer des variétés similaires et les caractères par lesquels la variété candidate peut se distinguer de celles</w:t>
      </w:r>
      <w:r w:rsidR="00B66F35" w:rsidRPr="00754CC2">
        <w:rPr>
          <w:highlight w:val="lightGray"/>
          <w:lang w:val="fr-FR"/>
        </w:rPr>
        <w:noBreakHyphen/>
      </w:r>
      <w:r w:rsidRPr="00754CC2">
        <w:rPr>
          <w:highlight w:val="lightGray"/>
          <w:lang w:val="fr-FR"/>
        </w:rPr>
        <w:t>ci.  Lors de l</w:t>
      </w:r>
      <w:r w:rsidR="00FD700E" w:rsidRPr="00754CC2">
        <w:rPr>
          <w:highlight w:val="lightGray"/>
          <w:lang w:val="fr-FR"/>
        </w:rPr>
        <w:t>’</w:t>
      </w:r>
      <w:r w:rsidRPr="00754CC2">
        <w:rPr>
          <w:highlight w:val="lightGray"/>
          <w:lang w:val="fr-FR"/>
        </w:rPr>
        <w:t>établissement par l</w:t>
      </w:r>
      <w:r w:rsidR="00FD700E" w:rsidRPr="00754CC2">
        <w:rPr>
          <w:highlight w:val="lightGray"/>
          <w:lang w:val="fr-FR"/>
        </w:rPr>
        <w:t>’</w:t>
      </w:r>
      <w:r w:rsidRPr="00754CC2">
        <w:rPr>
          <w:highlight w:val="lightGray"/>
          <w:lang w:val="fr-FR"/>
        </w:rPr>
        <w:t>UPOV des “Principes directeurs pour la conduite de l</w:t>
      </w:r>
      <w:r w:rsidR="00FD700E" w:rsidRPr="00754CC2">
        <w:rPr>
          <w:highlight w:val="lightGray"/>
          <w:lang w:val="fr-FR"/>
        </w:rPr>
        <w:t>’</w:t>
      </w:r>
      <w:r w:rsidRPr="00754CC2">
        <w:rPr>
          <w:highlight w:val="lightGray"/>
          <w:lang w:val="fr-FR"/>
        </w:rPr>
        <w:t>examen des caractères distinctifs, de l</w:t>
      </w:r>
      <w:r w:rsidR="00FD700E" w:rsidRPr="00754CC2">
        <w:rPr>
          <w:highlight w:val="lightGray"/>
          <w:lang w:val="fr-FR"/>
        </w:rPr>
        <w:t>’</w:t>
      </w:r>
      <w:r w:rsidRPr="00754CC2">
        <w:rPr>
          <w:highlight w:val="lightGray"/>
          <w:lang w:val="fr-FR"/>
        </w:rPr>
        <w:t>homogénéité et de la stabilité”, ou “principes directeurs d</w:t>
      </w:r>
      <w:r w:rsidR="00FD700E" w:rsidRPr="00754CC2">
        <w:rPr>
          <w:highlight w:val="lightGray"/>
          <w:lang w:val="fr-FR"/>
        </w:rPr>
        <w:t>’</w:t>
      </w:r>
      <w:r w:rsidRPr="00754CC2">
        <w:rPr>
          <w:highlight w:val="lightGray"/>
          <w:lang w:val="fr-FR"/>
        </w:rPr>
        <w:t xml:space="preserve">examen” pour de nombreuses espèces ou autres groupements de </w:t>
      </w:r>
      <w:r w:rsidRPr="00754CC2">
        <w:rPr>
          <w:highlight w:val="lightGray"/>
          <w:lang w:val="fr-FR"/>
        </w:rPr>
        <w:lastRenderedPageBreak/>
        <w:t>variétés (voir à l</w:t>
      </w:r>
      <w:r w:rsidR="00FD700E" w:rsidRPr="00754CC2">
        <w:rPr>
          <w:highlight w:val="lightGray"/>
          <w:lang w:val="fr-FR"/>
        </w:rPr>
        <w:t>’</w:t>
      </w:r>
      <w:r w:rsidRPr="00754CC2">
        <w:rPr>
          <w:highlight w:val="lightGray"/>
          <w:lang w:val="fr-FR"/>
        </w:rPr>
        <w:t xml:space="preserve">adresse </w:t>
      </w:r>
      <w:hyperlink r:id="rId49" w:history="1">
        <w:r w:rsidRPr="00754CC2">
          <w:rPr>
            <w:rStyle w:val="Hyperlink"/>
            <w:rFonts w:cs="Arial"/>
            <w:highlight w:val="lightGray"/>
            <w:lang w:val="fr-FR"/>
          </w:rPr>
          <w:t>http://www.upov.int/test_guidelines/fr/</w:t>
        </w:r>
      </w:hyperlink>
      <w:r w:rsidRPr="00754CC2">
        <w:rPr>
          <w:highlight w:val="lightGray"/>
          <w:lang w:val="fr-FR"/>
        </w:rPr>
        <w:t>), un questionnaire technique type a été élaboré au chapitre 10.</w:t>
      </w:r>
    </w:p>
    <w:p w:rsidR="00E26935" w:rsidRPr="00754CC2" w:rsidRDefault="00E26935" w:rsidP="0091410E">
      <w:pPr>
        <w:spacing w:line="360" w:lineRule="auto"/>
        <w:rPr>
          <w:highlight w:val="lightGray"/>
          <w:lang w:val="fr-FR"/>
        </w:rPr>
      </w:pPr>
      <w:bookmarkStart w:id="59" w:name="_Toc378597576"/>
      <w:bookmarkStart w:id="60" w:name="_Toc382814022"/>
    </w:p>
    <w:p w:rsidR="00BA61FE" w:rsidRPr="00754CC2" w:rsidRDefault="00BA61FE" w:rsidP="00D05B37">
      <w:pPr>
        <w:pStyle w:val="Heading4"/>
        <w:rPr>
          <w:highlight w:val="lightGray"/>
        </w:rPr>
      </w:pPr>
      <w:r w:rsidRPr="00754CC2">
        <w:rPr>
          <w:highlight w:val="lightGray"/>
        </w:rPr>
        <w:t>Échantillon de la variété</w:t>
      </w:r>
      <w:bookmarkEnd w:id="59"/>
      <w:bookmarkEnd w:id="60"/>
    </w:p>
    <w:p w:rsidR="00BA61FE" w:rsidRPr="00754CC2" w:rsidRDefault="00BA61FE" w:rsidP="00BA61FE">
      <w:pPr>
        <w:keepNext/>
        <w:rPr>
          <w:highlight w:val="lightGray"/>
          <w:lang w:val="fr-FR"/>
        </w:rPr>
      </w:pPr>
    </w:p>
    <w:p w:rsidR="00BA61FE" w:rsidRPr="00754CC2" w:rsidRDefault="00167878" w:rsidP="00BA61FE">
      <w:pPr>
        <w:rPr>
          <w:highlight w:val="lightGray"/>
          <w:lang w:val="fr-FR"/>
        </w:rPr>
      </w:pPr>
      <w:r w:rsidRPr="00754CC2">
        <w:rPr>
          <w:highlight w:val="lightGray"/>
          <w:lang w:val="fr-FR"/>
        </w:rPr>
        <w:t>60</w:t>
      </w:r>
      <w:r w:rsidR="00BA61FE" w:rsidRPr="00754CC2">
        <w:rPr>
          <w:highlight w:val="lightGray"/>
          <w:lang w:val="fr-FR"/>
        </w:rPr>
        <w:t>.</w:t>
      </w:r>
      <w:r w:rsidR="00BA61FE" w:rsidRPr="00754CC2">
        <w:rPr>
          <w:highlight w:val="lightGray"/>
          <w:lang w:val="fr-FR"/>
        </w:rPr>
        <w:tab/>
        <w:t>Le document TGP/5 “Expérience et coopération en matière d</w:t>
      </w:r>
      <w:r w:rsidR="00FD700E" w:rsidRPr="00754CC2">
        <w:rPr>
          <w:highlight w:val="lightGray"/>
          <w:lang w:val="fr-FR"/>
        </w:rPr>
        <w:t>’</w:t>
      </w:r>
      <w:r w:rsidR="00BA61FE" w:rsidRPr="00754CC2">
        <w:rPr>
          <w:highlight w:val="lightGray"/>
          <w:lang w:val="fr-FR"/>
        </w:rPr>
        <w:t>examen</w:t>
      </w:r>
      <w:r w:rsidR="001B0B2D" w:rsidRPr="00754CC2">
        <w:rPr>
          <w:highlight w:val="lightGray"/>
          <w:lang w:val="fr-FR"/>
        </w:rPr>
        <w:t> </w:t>
      </w:r>
      <w:r w:rsidR="00BA61FE" w:rsidRPr="00754CC2">
        <w:rPr>
          <w:highlight w:val="lightGray"/>
          <w:lang w:val="fr-FR"/>
        </w:rPr>
        <w:t>DHS”, Section</w:t>
      </w:r>
      <w:r w:rsidR="00926645" w:rsidRPr="00754CC2">
        <w:rPr>
          <w:highlight w:val="lightGray"/>
          <w:lang w:val="fr-FR"/>
        </w:rPr>
        <w:t> </w:t>
      </w:r>
      <w:r w:rsidR="00BA61FE" w:rsidRPr="00754CC2">
        <w:rPr>
          <w:highlight w:val="lightGray"/>
          <w:lang w:val="fr-FR"/>
        </w:rPr>
        <w:t>4 “Formulaire type de l</w:t>
      </w:r>
      <w:r w:rsidR="00FD700E" w:rsidRPr="00754CC2">
        <w:rPr>
          <w:highlight w:val="lightGray"/>
          <w:lang w:val="fr-FR"/>
        </w:rPr>
        <w:t>’</w:t>
      </w:r>
      <w:r w:rsidR="00BA61FE" w:rsidRPr="00754CC2">
        <w:rPr>
          <w:highlight w:val="lightGray"/>
          <w:lang w:val="fr-FR"/>
        </w:rPr>
        <w:t>UPOV pour la désignation de l</w:t>
      </w:r>
      <w:r w:rsidR="00FD700E" w:rsidRPr="00754CC2">
        <w:rPr>
          <w:highlight w:val="lightGray"/>
          <w:lang w:val="fr-FR"/>
        </w:rPr>
        <w:t>’</w:t>
      </w:r>
      <w:r w:rsidR="00BA61FE" w:rsidRPr="00754CC2">
        <w:rPr>
          <w:highlight w:val="lightGray"/>
          <w:lang w:val="fr-FR"/>
        </w:rPr>
        <w:t>échantillon de la variété” contient un modèle à utiliser conjointement avec le matériel végétal fourni aux fins de l</w:t>
      </w:r>
      <w:r w:rsidR="00FD700E" w:rsidRPr="00754CC2">
        <w:rPr>
          <w:highlight w:val="lightGray"/>
          <w:lang w:val="fr-FR"/>
        </w:rPr>
        <w:t>’</w:t>
      </w:r>
      <w:r w:rsidR="00BA61FE" w:rsidRPr="00754CC2">
        <w:rPr>
          <w:highlight w:val="lightGray"/>
          <w:lang w:val="fr-FR"/>
        </w:rPr>
        <w:t>examen des variétés candidates.</w:t>
      </w:r>
    </w:p>
    <w:p w:rsidR="00BA61FE" w:rsidRPr="00754CC2" w:rsidRDefault="00BA61FE" w:rsidP="008F22A9">
      <w:pPr>
        <w:spacing w:line="360" w:lineRule="auto"/>
        <w:rPr>
          <w:highlight w:val="lightGray"/>
          <w:lang w:val="fr-FR"/>
        </w:rPr>
      </w:pPr>
    </w:p>
    <w:p w:rsidR="00BA61FE" w:rsidRPr="00754CC2" w:rsidRDefault="00BA61FE" w:rsidP="00347556">
      <w:pPr>
        <w:pStyle w:val="Heading3"/>
        <w:rPr>
          <w:highlight w:val="lightGray"/>
        </w:rPr>
      </w:pPr>
      <w:bookmarkStart w:id="61" w:name="_Toc378597578"/>
      <w:bookmarkStart w:id="62" w:name="_Toc382814023"/>
      <w:bookmarkStart w:id="63" w:name="_Toc412041938"/>
      <w:r w:rsidRPr="00754CC2">
        <w:rPr>
          <w:highlight w:val="lightGray"/>
        </w:rPr>
        <w:t>Attribution de la date de dépôt</w:t>
      </w:r>
      <w:bookmarkEnd w:id="61"/>
      <w:bookmarkEnd w:id="62"/>
      <w:bookmarkEnd w:id="63"/>
    </w:p>
    <w:p w:rsidR="00BA61FE" w:rsidRPr="00754CC2" w:rsidRDefault="00BA61FE" w:rsidP="00BA61FE">
      <w:pPr>
        <w:rPr>
          <w:highlight w:val="lightGray"/>
          <w:lang w:val="fr-FR"/>
        </w:rPr>
      </w:pPr>
    </w:p>
    <w:p w:rsidR="00E234B6" w:rsidRPr="00754CC2" w:rsidRDefault="00167878" w:rsidP="00BA61FE">
      <w:pPr>
        <w:rPr>
          <w:highlight w:val="lightGray"/>
          <w:lang w:val="fr-FR"/>
        </w:rPr>
      </w:pPr>
      <w:r w:rsidRPr="00754CC2">
        <w:rPr>
          <w:highlight w:val="lightGray"/>
          <w:lang w:val="fr-FR"/>
        </w:rPr>
        <w:t>61</w:t>
      </w:r>
      <w:r w:rsidR="00BA61FE" w:rsidRPr="00754CC2">
        <w:rPr>
          <w:highlight w:val="lightGray"/>
          <w:lang w:val="fr-FR"/>
        </w:rPr>
        <w:t>.</w:t>
      </w:r>
      <w:r w:rsidR="00BA61FE" w:rsidRPr="00754CC2">
        <w:rPr>
          <w:highlight w:val="lightGray"/>
          <w:lang w:val="fr-FR"/>
        </w:rPr>
        <w:tab/>
        <w:t>Les demandes reçues par le service d</w:t>
      </w:r>
      <w:r w:rsidR="00FD700E" w:rsidRPr="00754CC2">
        <w:rPr>
          <w:highlight w:val="lightGray"/>
          <w:lang w:val="fr-FR"/>
        </w:rPr>
        <w:t>’</w:t>
      </w:r>
      <w:r w:rsidR="00BA61FE" w:rsidRPr="00754CC2">
        <w:rPr>
          <w:highlight w:val="lightGray"/>
          <w:lang w:val="fr-FR"/>
        </w:rPr>
        <w:t>octroi des droits d</w:t>
      </w:r>
      <w:r w:rsidR="00FD700E" w:rsidRPr="00754CC2">
        <w:rPr>
          <w:highlight w:val="lightGray"/>
          <w:lang w:val="fr-FR"/>
        </w:rPr>
        <w:t>’</w:t>
      </w:r>
      <w:r w:rsidR="00BA61FE" w:rsidRPr="00754CC2">
        <w:rPr>
          <w:highlight w:val="lightGray"/>
          <w:lang w:val="fr-FR"/>
        </w:rPr>
        <w:t>obtenteur doivent se voir attribuer une date de dépôt.  Cette étape est nécessaire aux fins de l</w:t>
      </w:r>
      <w:r w:rsidR="00FD700E" w:rsidRPr="00754CC2">
        <w:rPr>
          <w:highlight w:val="lightGray"/>
          <w:lang w:val="fr-FR"/>
        </w:rPr>
        <w:t>’</w:t>
      </w:r>
      <w:r w:rsidR="00BA61FE" w:rsidRPr="00754CC2">
        <w:rPr>
          <w:highlight w:val="lightGray"/>
          <w:lang w:val="fr-FR"/>
        </w:rPr>
        <w:t>examen de la nouveauté (voir le module 5 intitulé “Examen de la nouveauté”) et de la distinction (voir le module 9 intitulé “Examen de la distinction”).</w:t>
      </w:r>
    </w:p>
    <w:p w:rsidR="00BA61FE" w:rsidRPr="00754CC2" w:rsidRDefault="00BA61FE" w:rsidP="00BA61FE">
      <w:pPr>
        <w:rPr>
          <w:highlight w:val="lightGray"/>
          <w:lang w:val="fr-FR"/>
        </w:rPr>
      </w:pPr>
    </w:p>
    <w:p w:rsidR="00BA61FE" w:rsidRPr="00754CC2" w:rsidRDefault="00167878" w:rsidP="00BA61FE">
      <w:pPr>
        <w:rPr>
          <w:highlight w:val="lightGray"/>
          <w:lang w:val="fr-FR"/>
        </w:rPr>
      </w:pPr>
      <w:r w:rsidRPr="00754CC2">
        <w:rPr>
          <w:szCs w:val="22"/>
          <w:highlight w:val="lightGray"/>
          <w:lang w:val="fr-FR"/>
        </w:rPr>
        <w:t>62</w:t>
      </w:r>
      <w:r w:rsidR="00BA61FE" w:rsidRPr="00754CC2">
        <w:rPr>
          <w:szCs w:val="22"/>
          <w:highlight w:val="lightGray"/>
          <w:lang w:val="fr-FR"/>
        </w:rPr>
        <w:t>.</w:t>
      </w:r>
      <w:r w:rsidR="00BA61FE" w:rsidRPr="00754CC2">
        <w:rPr>
          <w:szCs w:val="22"/>
          <w:highlight w:val="lightGray"/>
          <w:lang w:val="fr-FR"/>
        </w:rPr>
        <w:tab/>
        <w:t xml:space="preserve">La </w:t>
      </w:r>
      <w:r w:rsidR="00FD700E" w:rsidRPr="00754CC2">
        <w:rPr>
          <w:szCs w:val="22"/>
          <w:highlight w:val="lightGray"/>
          <w:lang w:val="fr-FR"/>
        </w:rPr>
        <w:t>Convention UPOV</w:t>
      </w:r>
      <w:r w:rsidR="00BA61FE" w:rsidRPr="00754CC2">
        <w:rPr>
          <w:szCs w:val="22"/>
          <w:highlight w:val="lightGray"/>
          <w:lang w:val="fr-FR"/>
        </w:rPr>
        <w:t xml:space="preserve"> prévoit un droit de priorité pendant un délai de 12 mois, fondé sur une demande antérieure de protection de la même variété déposée auprès d</w:t>
      </w:r>
      <w:r w:rsidR="00FD700E" w:rsidRPr="00754CC2">
        <w:rPr>
          <w:szCs w:val="22"/>
          <w:highlight w:val="lightGray"/>
          <w:lang w:val="fr-FR"/>
        </w:rPr>
        <w:t>’</w:t>
      </w:r>
      <w:r w:rsidR="00BA61FE" w:rsidRPr="00754CC2">
        <w:rPr>
          <w:szCs w:val="22"/>
          <w:highlight w:val="lightGray"/>
          <w:lang w:val="fr-FR"/>
        </w:rPr>
        <w:t>un autre membre de l</w:t>
      </w:r>
      <w:r w:rsidR="00FD700E" w:rsidRPr="00754CC2">
        <w:rPr>
          <w:szCs w:val="22"/>
          <w:highlight w:val="lightGray"/>
          <w:lang w:val="fr-FR"/>
        </w:rPr>
        <w:t>’</w:t>
      </w:r>
      <w:r w:rsidR="00BA61FE" w:rsidRPr="00754CC2">
        <w:rPr>
          <w:szCs w:val="22"/>
          <w:highlight w:val="lightGray"/>
          <w:lang w:val="fr-FR"/>
        </w:rPr>
        <w:t>UPOV, en vertu duquel une demande subséquente est traitée comme si elle avait été déposée à la date de dépôt de la première demande.  Le droit de priorité produit ses effets en ce qui concerne l</w:t>
      </w:r>
      <w:r w:rsidR="00FD700E" w:rsidRPr="00754CC2">
        <w:rPr>
          <w:szCs w:val="22"/>
          <w:highlight w:val="lightGray"/>
          <w:lang w:val="fr-FR"/>
        </w:rPr>
        <w:t>’</w:t>
      </w:r>
      <w:r w:rsidR="00BA61FE" w:rsidRPr="00754CC2">
        <w:rPr>
          <w:szCs w:val="22"/>
          <w:highlight w:val="lightGray"/>
          <w:lang w:val="fr-FR"/>
        </w:rPr>
        <w:t xml:space="preserve">examen des conditions relatives à la nouveauté et à la distinction et les dénominations proposées </w:t>
      </w:r>
      <w:r w:rsidR="00BA61FE" w:rsidRPr="00754CC2">
        <w:rPr>
          <w:highlight w:val="lightGray"/>
          <w:lang w:val="fr-FR"/>
        </w:rPr>
        <w:t>(voir le module 4 intitulé : “Demande d</w:t>
      </w:r>
      <w:r w:rsidR="00FD700E" w:rsidRPr="00754CC2">
        <w:rPr>
          <w:highlight w:val="lightGray"/>
          <w:lang w:val="fr-FR"/>
        </w:rPr>
        <w:t>’</w:t>
      </w:r>
      <w:r w:rsidR="00BA61FE" w:rsidRPr="00754CC2">
        <w:rPr>
          <w:highlight w:val="lightGray"/>
          <w:lang w:val="fr-FR"/>
        </w:rPr>
        <w:t>octroi du droit d</w:t>
      </w:r>
      <w:r w:rsidR="00FD700E" w:rsidRPr="00754CC2">
        <w:rPr>
          <w:highlight w:val="lightGray"/>
          <w:lang w:val="fr-FR"/>
        </w:rPr>
        <w:t>’</w:t>
      </w:r>
      <w:r w:rsidR="00BA61FE" w:rsidRPr="00754CC2">
        <w:rPr>
          <w:highlight w:val="lightGray"/>
          <w:lang w:val="fr-FR"/>
        </w:rPr>
        <w:t>obtenteur” du cours d</w:t>
      </w:r>
      <w:r w:rsidR="00FD700E" w:rsidRPr="00754CC2">
        <w:rPr>
          <w:highlight w:val="lightGray"/>
          <w:lang w:val="fr-FR"/>
        </w:rPr>
        <w:t>’</w:t>
      </w:r>
      <w:r w:rsidR="00BA61FE" w:rsidRPr="00754CC2">
        <w:rPr>
          <w:highlight w:val="lightGray"/>
          <w:lang w:val="fr-FR"/>
        </w:rPr>
        <w:t>enseignement à distance DL</w:t>
      </w:r>
      <w:r w:rsidR="00B66F35" w:rsidRPr="00754CC2">
        <w:rPr>
          <w:highlight w:val="lightGray"/>
          <w:lang w:val="fr-FR"/>
        </w:rPr>
        <w:noBreakHyphen/>
      </w:r>
      <w:r w:rsidR="00BA61FE" w:rsidRPr="00754CC2">
        <w:rPr>
          <w:highlight w:val="lightGray"/>
          <w:lang w:val="fr-FR"/>
        </w:rPr>
        <w:t xml:space="preserve">205 intitulé “Introduction au système UPOV de protection des variétés végétales selon la </w:t>
      </w:r>
      <w:r w:rsidR="00FD700E" w:rsidRPr="00754CC2">
        <w:rPr>
          <w:highlight w:val="lightGray"/>
          <w:lang w:val="fr-FR"/>
        </w:rPr>
        <w:t>Convention UPOV</w:t>
      </w:r>
      <w:r w:rsidR="00BA61FE" w:rsidRPr="00754CC2">
        <w:rPr>
          <w:highlight w:val="lightGray"/>
          <w:lang w:val="fr-FR"/>
        </w:rPr>
        <w:t xml:space="preserve">”, ainsi que le </w:t>
      </w:r>
      <w:r w:rsidR="00FD700E" w:rsidRPr="00754CC2">
        <w:rPr>
          <w:highlight w:val="lightGray"/>
          <w:lang w:val="fr-FR"/>
        </w:rPr>
        <w:t>document UP</w:t>
      </w:r>
      <w:r w:rsidR="00BA61FE" w:rsidRPr="00754CC2">
        <w:rPr>
          <w:highlight w:val="lightGray"/>
          <w:lang w:val="fr-FR"/>
        </w:rPr>
        <w:t xml:space="preserve">OV/EXN/PRI intitulé “Notes explicatives sur le droit de priorité selon la </w:t>
      </w:r>
      <w:r w:rsidR="00FD700E" w:rsidRPr="00754CC2">
        <w:rPr>
          <w:highlight w:val="lightGray"/>
          <w:lang w:val="fr-FR"/>
        </w:rPr>
        <w:t>Convention UPOV</w:t>
      </w:r>
      <w:r w:rsidR="00BA61FE" w:rsidRPr="00754CC2">
        <w:rPr>
          <w:highlight w:val="lightGray"/>
          <w:lang w:val="fr-FR"/>
        </w:rPr>
        <w:t>” qui peut être consulté à l</w:t>
      </w:r>
      <w:r w:rsidR="00FD700E" w:rsidRPr="00754CC2">
        <w:rPr>
          <w:highlight w:val="lightGray"/>
          <w:lang w:val="fr-FR"/>
        </w:rPr>
        <w:t>’</w:t>
      </w:r>
      <w:r w:rsidR="00BA61FE" w:rsidRPr="00754CC2">
        <w:rPr>
          <w:highlight w:val="lightGray"/>
          <w:lang w:val="fr-FR"/>
        </w:rPr>
        <w:t xml:space="preserve">adresse </w:t>
      </w:r>
      <w:hyperlink r:id="rId50" w:history="1">
        <w:r w:rsidR="00BA61FE" w:rsidRPr="00754CC2">
          <w:rPr>
            <w:rStyle w:val="Hyperlink"/>
            <w:highlight w:val="lightGray"/>
            <w:lang w:val="fr-FR"/>
          </w:rPr>
          <w:t>http://www.upov.int/explanatory_notes/fr/</w:t>
        </w:r>
      </w:hyperlink>
      <w:r w:rsidR="00BA61FE" w:rsidRPr="00754CC2">
        <w:rPr>
          <w:highlight w:val="lightGray"/>
          <w:lang w:val="fr-FR"/>
        </w:rPr>
        <w:t>).</w:t>
      </w:r>
    </w:p>
    <w:p w:rsidR="00BA61FE" w:rsidRPr="00754CC2" w:rsidRDefault="00BA61FE" w:rsidP="00347556">
      <w:pPr>
        <w:spacing w:line="360" w:lineRule="auto"/>
        <w:rPr>
          <w:highlight w:val="lightGray"/>
          <w:lang w:val="fr-FR"/>
        </w:rPr>
      </w:pPr>
    </w:p>
    <w:p w:rsidR="00D933B7" w:rsidRPr="00754CC2" w:rsidRDefault="00D05B37" w:rsidP="00347556">
      <w:pPr>
        <w:pStyle w:val="Heading3"/>
        <w:rPr>
          <w:highlight w:val="lightGray"/>
        </w:rPr>
      </w:pPr>
      <w:bookmarkStart w:id="64" w:name="_Toc382814024"/>
      <w:bookmarkStart w:id="65" w:name="_Toc378597579"/>
      <w:bookmarkStart w:id="66" w:name="_Toc412041939"/>
      <w:r w:rsidRPr="00754CC2">
        <w:rPr>
          <w:highlight w:val="lightGray"/>
        </w:rPr>
        <w:t>D</w:t>
      </w:r>
      <w:r w:rsidR="00BA61FE" w:rsidRPr="00754CC2">
        <w:rPr>
          <w:highlight w:val="lightGray"/>
        </w:rPr>
        <w:t>ép</w:t>
      </w:r>
      <w:r w:rsidRPr="00754CC2">
        <w:rPr>
          <w:highlight w:val="lightGray"/>
        </w:rPr>
        <w:t>ô</w:t>
      </w:r>
      <w:r w:rsidR="00BA61FE" w:rsidRPr="00754CC2">
        <w:rPr>
          <w:highlight w:val="lightGray"/>
        </w:rPr>
        <w:t>t de la d</w:t>
      </w:r>
      <w:r w:rsidRPr="00754CC2">
        <w:rPr>
          <w:highlight w:val="lightGray"/>
        </w:rPr>
        <w:t>e</w:t>
      </w:r>
      <w:r w:rsidR="00BA61FE" w:rsidRPr="00754CC2">
        <w:rPr>
          <w:highlight w:val="lightGray"/>
        </w:rPr>
        <w:t>mande en bonne et due forme</w:t>
      </w:r>
      <w:bookmarkEnd w:id="64"/>
      <w:r w:rsidR="00480111" w:rsidRPr="00754CC2">
        <w:rPr>
          <w:highlight w:val="lightGray"/>
        </w:rPr>
        <w:t xml:space="preserve"> </w:t>
      </w:r>
      <w:r w:rsidR="00BA61FE" w:rsidRPr="00754CC2">
        <w:rPr>
          <w:highlight w:val="lightGray"/>
        </w:rPr>
        <w:t>(voir la note b dans le diagramme figurant dans la section 1</w:t>
      </w:r>
      <w:bookmarkEnd w:id="65"/>
      <w:r w:rsidR="00D933B7" w:rsidRPr="00754CC2">
        <w:rPr>
          <w:highlight w:val="lightGray"/>
        </w:rPr>
        <w:t>)</w:t>
      </w:r>
      <w:bookmarkEnd w:id="66"/>
    </w:p>
    <w:p w:rsidR="00BA61FE" w:rsidRPr="00754CC2" w:rsidRDefault="00BA61FE" w:rsidP="00BA61FE">
      <w:pPr>
        <w:rPr>
          <w:highlight w:val="lightGray"/>
          <w:lang w:val="fr-FR"/>
        </w:rPr>
      </w:pPr>
    </w:p>
    <w:p w:rsidR="00BA61FE" w:rsidRPr="00754CC2" w:rsidRDefault="00167878" w:rsidP="00BA61FE">
      <w:pPr>
        <w:rPr>
          <w:highlight w:val="lightGray"/>
          <w:lang w:val="fr-FR"/>
        </w:rPr>
      </w:pPr>
      <w:r w:rsidRPr="00754CC2">
        <w:rPr>
          <w:highlight w:val="lightGray"/>
          <w:lang w:val="fr-FR"/>
        </w:rPr>
        <w:t>63</w:t>
      </w:r>
      <w:r w:rsidR="00BA61FE" w:rsidRPr="00754CC2">
        <w:rPr>
          <w:highlight w:val="lightGray"/>
          <w:lang w:val="fr-FR"/>
        </w:rPr>
        <w:t>.</w:t>
      </w:r>
      <w:r w:rsidR="00BA61FE" w:rsidRPr="00754CC2">
        <w:rPr>
          <w:highlight w:val="lightGray"/>
          <w:lang w:val="fr-FR"/>
        </w:rPr>
        <w:tab/>
        <w:t>Il convient de vérifier la conformité des demandes avec les conditions de forme applicables et les exigences en matière de taxes afin qu</w:t>
      </w:r>
      <w:r w:rsidR="00FD700E" w:rsidRPr="00754CC2">
        <w:rPr>
          <w:highlight w:val="lightGray"/>
          <w:lang w:val="fr-FR"/>
        </w:rPr>
        <w:t>’</w:t>
      </w:r>
      <w:r w:rsidR="00BA61FE" w:rsidRPr="00754CC2">
        <w:rPr>
          <w:highlight w:val="lightGray"/>
          <w:lang w:val="fr-FR"/>
        </w:rPr>
        <w:t>elles puissent être considérées comme ayant été déposées en bonne et due forme.  Pour qu</w:t>
      </w:r>
      <w:r w:rsidR="00FD700E" w:rsidRPr="00754CC2">
        <w:rPr>
          <w:highlight w:val="lightGray"/>
          <w:lang w:val="fr-FR"/>
        </w:rPr>
        <w:t>’</w:t>
      </w:r>
      <w:r w:rsidR="00BA61FE" w:rsidRPr="00754CC2">
        <w:rPr>
          <w:highlight w:val="lightGray"/>
          <w:lang w:val="fr-FR"/>
        </w:rPr>
        <w:t>une demande soit considérée comme ayant été déposée en bonne et due forme, elle doit être présentée par une personne pouvant prétendre au droit d</w:t>
      </w:r>
      <w:r w:rsidR="00FD700E" w:rsidRPr="00754CC2">
        <w:rPr>
          <w:highlight w:val="lightGray"/>
          <w:lang w:val="fr-FR"/>
        </w:rPr>
        <w:t>’</w:t>
      </w:r>
      <w:r w:rsidR="00BA61FE" w:rsidRPr="00754CC2">
        <w:rPr>
          <w:highlight w:val="lightGray"/>
          <w:lang w:val="fr-FR"/>
        </w:rPr>
        <w:t>obtenteur (voir le module 3 intitulé “Droit à présenter une demande”).</w:t>
      </w:r>
    </w:p>
    <w:p w:rsidR="00BA61FE" w:rsidRPr="00754CC2" w:rsidRDefault="00BA61FE" w:rsidP="00BA61FE">
      <w:pPr>
        <w:rPr>
          <w:highlight w:val="lightGray"/>
          <w:lang w:val="fr-FR"/>
        </w:rPr>
      </w:pPr>
    </w:p>
    <w:p w:rsidR="00E234B6" w:rsidRPr="00754CC2" w:rsidRDefault="00167878" w:rsidP="00BA61FE">
      <w:pPr>
        <w:rPr>
          <w:highlight w:val="lightGray"/>
          <w:lang w:val="fr-FR"/>
        </w:rPr>
      </w:pPr>
      <w:r w:rsidRPr="00754CC2">
        <w:rPr>
          <w:highlight w:val="lightGray"/>
          <w:lang w:val="fr-FR"/>
        </w:rPr>
        <w:t>64</w:t>
      </w:r>
      <w:r w:rsidR="00BA61FE" w:rsidRPr="00754CC2">
        <w:rPr>
          <w:highlight w:val="lightGray"/>
          <w:lang w:val="fr-FR"/>
        </w:rPr>
        <w:t>.</w:t>
      </w:r>
      <w:r w:rsidR="00BA61FE" w:rsidRPr="00754CC2">
        <w:rPr>
          <w:highlight w:val="lightGray"/>
          <w:lang w:val="fr-FR"/>
        </w:rPr>
        <w:tab/>
        <w:t>Les demandes déposées en bonne et due forme doivent être préparées aux fins de leur publication par l</w:t>
      </w:r>
      <w:r w:rsidR="00FD700E" w:rsidRPr="00754CC2">
        <w:rPr>
          <w:highlight w:val="lightGray"/>
          <w:lang w:val="fr-FR"/>
        </w:rPr>
        <w:t>’</w:t>
      </w:r>
      <w:r w:rsidR="00BA61FE" w:rsidRPr="00754CC2">
        <w:rPr>
          <w:highlight w:val="lightGray"/>
          <w:lang w:val="fr-FR"/>
        </w:rPr>
        <w:t>agent chargé du dossier ou la personne chargée du traitement initial des formulaires de demande.  Des informations doivent également être fournies aux autres agents concernés au sein du service afin de leur permettre de préparer les étapes suivantes de la procédure d</w:t>
      </w:r>
      <w:r w:rsidR="00FD700E" w:rsidRPr="00754CC2">
        <w:rPr>
          <w:highlight w:val="lightGray"/>
          <w:lang w:val="fr-FR"/>
        </w:rPr>
        <w:t>’</w:t>
      </w:r>
      <w:r w:rsidR="00BA61FE" w:rsidRPr="00754CC2">
        <w:rPr>
          <w:highlight w:val="lightGray"/>
          <w:lang w:val="fr-FR"/>
        </w:rPr>
        <w:t>examen.</w:t>
      </w:r>
    </w:p>
    <w:p w:rsidR="00BA61FE" w:rsidRPr="00754CC2" w:rsidRDefault="00BA61FE" w:rsidP="00347556">
      <w:pPr>
        <w:spacing w:line="360" w:lineRule="auto"/>
        <w:rPr>
          <w:highlight w:val="lightGray"/>
          <w:lang w:val="fr-FR"/>
        </w:rPr>
      </w:pPr>
    </w:p>
    <w:p w:rsidR="00BA61FE" w:rsidRPr="00754CC2" w:rsidRDefault="00BA61FE" w:rsidP="00347556">
      <w:pPr>
        <w:pStyle w:val="Heading3"/>
        <w:rPr>
          <w:highlight w:val="lightGray"/>
        </w:rPr>
      </w:pPr>
      <w:bookmarkStart w:id="67" w:name="_Toc382814025"/>
      <w:bookmarkStart w:id="68" w:name="_Toc378597580"/>
      <w:bookmarkStart w:id="69" w:name="_Toc412041940"/>
      <w:r w:rsidRPr="00754CC2">
        <w:rPr>
          <w:highlight w:val="lightGray"/>
        </w:rPr>
        <w:t>Publication</w:t>
      </w:r>
      <w:bookmarkEnd w:id="67"/>
      <w:r w:rsidR="00480111" w:rsidRPr="00754CC2">
        <w:rPr>
          <w:highlight w:val="lightGray"/>
        </w:rPr>
        <w:t xml:space="preserve"> </w:t>
      </w:r>
      <w:r w:rsidRPr="00754CC2">
        <w:rPr>
          <w:highlight w:val="lightGray"/>
        </w:rPr>
        <w:t>(voir la note c du diagramme figurant dans la section 1</w:t>
      </w:r>
      <w:bookmarkEnd w:id="68"/>
      <w:r w:rsidR="00D933B7" w:rsidRPr="00754CC2">
        <w:rPr>
          <w:highlight w:val="lightGray"/>
        </w:rPr>
        <w:t>)</w:t>
      </w:r>
      <w:bookmarkEnd w:id="69"/>
    </w:p>
    <w:p w:rsidR="00BA61FE" w:rsidRPr="00754CC2" w:rsidRDefault="00BA61FE" w:rsidP="00BA61FE">
      <w:pPr>
        <w:rPr>
          <w:highlight w:val="lightGray"/>
          <w:lang w:val="fr-FR"/>
        </w:rPr>
      </w:pPr>
    </w:p>
    <w:p w:rsidR="00BA61FE" w:rsidRPr="00754CC2" w:rsidRDefault="00BA61FE" w:rsidP="00BA61FE">
      <w:pPr>
        <w:rPr>
          <w:highlight w:val="lightGray"/>
          <w:lang w:val="fr-FR"/>
        </w:rPr>
      </w:pPr>
      <w:r w:rsidRPr="00754CC2">
        <w:rPr>
          <w:highlight w:val="lightGray"/>
          <w:lang w:val="fr-FR"/>
        </w:rPr>
        <w:t xml:space="preserve">Voir le document </w:t>
      </w:r>
      <w:hyperlink r:id="rId51" w:history="1">
        <w:r w:rsidRPr="00754CC2">
          <w:rPr>
            <w:rStyle w:val="Hyperlink"/>
            <w:highlight w:val="lightGray"/>
            <w:lang w:val="fr-FR"/>
          </w:rPr>
          <w:t>UPOV/INF/5</w:t>
        </w:r>
      </w:hyperlink>
      <w:r w:rsidRPr="00754CC2">
        <w:rPr>
          <w:highlight w:val="lightGray"/>
          <w:lang w:val="fr-FR"/>
        </w:rPr>
        <w:t xml:space="preserve"> intitulé “Bulletin type de l</w:t>
      </w:r>
      <w:r w:rsidR="00FD700E" w:rsidRPr="00754CC2">
        <w:rPr>
          <w:highlight w:val="lightGray"/>
          <w:lang w:val="fr-FR"/>
        </w:rPr>
        <w:t>’</w:t>
      </w:r>
      <w:r w:rsidRPr="00754CC2">
        <w:rPr>
          <w:highlight w:val="lightGray"/>
          <w:lang w:val="fr-FR"/>
        </w:rPr>
        <w:t>UPOV de la protection</w:t>
      </w:r>
      <w:r w:rsidR="006A1563" w:rsidRPr="00754CC2">
        <w:rPr>
          <w:highlight w:val="lightGray"/>
          <w:lang w:val="fr-FR"/>
        </w:rPr>
        <w:t xml:space="preserve"> </w:t>
      </w:r>
      <w:r w:rsidRPr="00754CC2">
        <w:rPr>
          <w:highlight w:val="lightGray"/>
          <w:lang w:val="fr-FR"/>
        </w:rPr>
        <w:t>des obtentions végétales”.</w:t>
      </w:r>
    </w:p>
    <w:p w:rsidR="00BA61FE" w:rsidRPr="00754CC2" w:rsidRDefault="00BA61FE" w:rsidP="00347556">
      <w:pPr>
        <w:spacing w:line="360" w:lineRule="auto"/>
        <w:rPr>
          <w:highlight w:val="lightGray"/>
          <w:lang w:val="fr-FR"/>
        </w:rPr>
      </w:pPr>
    </w:p>
    <w:p w:rsidR="00BA61FE" w:rsidRPr="00754CC2" w:rsidRDefault="00BA61FE" w:rsidP="00347556">
      <w:pPr>
        <w:pStyle w:val="Heading3"/>
        <w:rPr>
          <w:highlight w:val="lightGray"/>
        </w:rPr>
      </w:pPr>
      <w:bookmarkStart w:id="70" w:name="_Toc382814026"/>
      <w:bookmarkStart w:id="71" w:name="_Toc378597581"/>
      <w:bookmarkStart w:id="72" w:name="_Toc412041941"/>
      <w:r w:rsidRPr="00754CC2">
        <w:rPr>
          <w:highlight w:val="lightGray"/>
        </w:rPr>
        <w:t>Examen des conditions</w:t>
      </w:r>
      <w:bookmarkEnd w:id="70"/>
      <w:r w:rsidR="00480111" w:rsidRPr="00754CC2">
        <w:rPr>
          <w:highlight w:val="lightGray"/>
        </w:rPr>
        <w:t xml:space="preserve"> </w:t>
      </w:r>
      <w:r w:rsidRPr="00754CC2">
        <w:rPr>
          <w:highlight w:val="lightGray"/>
        </w:rPr>
        <w:t>(voir la note d du diagramme figurant dans la section 1</w:t>
      </w:r>
      <w:bookmarkEnd w:id="71"/>
      <w:r w:rsidR="00D933B7" w:rsidRPr="00754CC2">
        <w:rPr>
          <w:highlight w:val="lightGray"/>
        </w:rPr>
        <w:t>)</w:t>
      </w:r>
      <w:bookmarkEnd w:id="72"/>
    </w:p>
    <w:p w:rsidR="00BA61FE" w:rsidRPr="00754CC2" w:rsidRDefault="00BA61FE" w:rsidP="00BA61FE">
      <w:pPr>
        <w:rPr>
          <w:highlight w:val="lightGray"/>
          <w:lang w:val="fr-FR"/>
        </w:rPr>
      </w:pPr>
    </w:p>
    <w:p w:rsidR="00E234B6" w:rsidRPr="00754CC2" w:rsidRDefault="00167878" w:rsidP="00BA61FE">
      <w:pPr>
        <w:rPr>
          <w:highlight w:val="lightGray"/>
          <w:lang w:val="fr-FR"/>
        </w:rPr>
      </w:pPr>
      <w:r w:rsidRPr="00754CC2">
        <w:rPr>
          <w:highlight w:val="lightGray"/>
          <w:lang w:val="fr-FR"/>
        </w:rPr>
        <w:t>6</w:t>
      </w:r>
      <w:r w:rsidR="00BA61FE" w:rsidRPr="00754CC2">
        <w:rPr>
          <w:highlight w:val="lightGray"/>
          <w:lang w:val="fr-FR"/>
        </w:rPr>
        <w:t>5.</w:t>
      </w:r>
      <w:r w:rsidR="00BA61FE" w:rsidRPr="00754CC2">
        <w:rPr>
          <w:highlight w:val="lightGray"/>
          <w:lang w:val="fr-FR"/>
        </w:rPr>
        <w:tab/>
        <w:t>L</w:t>
      </w:r>
      <w:r w:rsidR="00FD700E" w:rsidRPr="00754CC2">
        <w:rPr>
          <w:highlight w:val="lightGray"/>
          <w:lang w:val="fr-FR"/>
        </w:rPr>
        <w:t>’</w:t>
      </w:r>
      <w:r w:rsidR="00BA61FE" w:rsidRPr="00754CC2">
        <w:rPr>
          <w:highlight w:val="lightGray"/>
          <w:lang w:val="fr-FR"/>
        </w:rPr>
        <w:t>examen de la nouveauté et de la dénomination proposée, ainsi que l</w:t>
      </w:r>
      <w:r w:rsidR="00FD700E" w:rsidRPr="00754CC2">
        <w:rPr>
          <w:highlight w:val="lightGray"/>
          <w:lang w:val="fr-FR"/>
        </w:rPr>
        <w:t>’</w:t>
      </w:r>
      <w:r w:rsidR="00BA61FE" w:rsidRPr="00754CC2">
        <w:rPr>
          <w:highlight w:val="lightGray"/>
          <w:lang w:val="fr-FR"/>
        </w:rPr>
        <w:t>examen DHS doivent être menés en parallèle, afin d</w:t>
      </w:r>
      <w:r w:rsidR="00FD700E" w:rsidRPr="00754CC2">
        <w:rPr>
          <w:highlight w:val="lightGray"/>
          <w:lang w:val="fr-FR"/>
        </w:rPr>
        <w:t>’</w:t>
      </w:r>
      <w:r w:rsidR="00BA61FE" w:rsidRPr="00754CC2">
        <w:rPr>
          <w:highlight w:val="lightGray"/>
          <w:lang w:val="fr-FR"/>
        </w:rPr>
        <w:t>éviter un retard dans l</w:t>
      </w:r>
      <w:r w:rsidR="00FD700E" w:rsidRPr="00754CC2">
        <w:rPr>
          <w:highlight w:val="lightGray"/>
          <w:lang w:val="fr-FR"/>
        </w:rPr>
        <w:t>’</w:t>
      </w:r>
      <w:r w:rsidR="00BA61FE" w:rsidRPr="00754CC2">
        <w:rPr>
          <w:highlight w:val="lightGray"/>
          <w:lang w:val="fr-FR"/>
        </w:rPr>
        <w:t>octroi des droits d</w:t>
      </w:r>
      <w:r w:rsidR="00FD700E" w:rsidRPr="00754CC2">
        <w:rPr>
          <w:highlight w:val="lightGray"/>
          <w:lang w:val="fr-FR"/>
        </w:rPr>
        <w:t>’</w:t>
      </w:r>
      <w:r w:rsidR="00BA61FE" w:rsidRPr="00754CC2">
        <w:rPr>
          <w:highlight w:val="lightGray"/>
          <w:lang w:val="fr-FR"/>
        </w:rPr>
        <w:t xml:space="preserve">obtenteur.  Plus précisément, la </w:t>
      </w:r>
      <w:r w:rsidR="00FD700E" w:rsidRPr="00754CC2">
        <w:rPr>
          <w:highlight w:val="lightGray"/>
          <w:lang w:val="fr-FR"/>
        </w:rPr>
        <w:t>Convention UPOV</w:t>
      </w:r>
      <w:r w:rsidR="00BA61FE" w:rsidRPr="00754CC2">
        <w:rPr>
          <w:highlight w:val="lightGray"/>
          <w:lang w:val="fr-FR"/>
        </w:rPr>
        <w:t xml:space="preserve"> exige que la dénomination soit enregistrée par le service en même temps qu</w:t>
      </w:r>
      <w:r w:rsidR="00FD700E" w:rsidRPr="00754CC2">
        <w:rPr>
          <w:highlight w:val="lightGray"/>
          <w:lang w:val="fr-FR"/>
        </w:rPr>
        <w:t>’</w:t>
      </w:r>
      <w:r w:rsidR="00BA61FE" w:rsidRPr="00754CC2">
        <w:rPr>
          <w:highlight w:val="lightGray"/>
          <w:lang w:val="fr-FR"/>
        </w:rPr>
        <w:t>est octroyé le droit d</w:t>
      </w:r>
      <w:r w:rsidR="00FD700E" w:rsidRPr="00754CC2">
        <w:rPr>
          <w:highlight w:val="lightGray"/>
          <w:lang w:val="fr-FR"/>
        </w:rPr>
        <w:t>’</w:t>
      </w:r>
      <w:r w:rsidR="00BA61FE" w:rsidRPr="00754CC2">
        <w:rPr>
          <w:highlight w:val="lightGray"/>
          <w:lang w:val="fr-FR"/>
        </w:rPr>
        <w:t>obtenteur (article 20.3) de l</w:t>
      </w:r>
      <w:r w:rsidR="00FD700E" w:rsidRPr="00754CC2">
        <w:rPr>
          <w:highlight w:val="lightGray"/>
          <w:lang w:val="fr-FR"/>
        </w:rPr>
        <w:t>’</w:t>
      </w:r>
      <w:r w:rsidR="00BA61FE" w:rsidRPr="00754CC2">
        <w:rPr>
          <w:highlight w:val="lightGray"/>
          <w:lang w:val="fr-FR"/>
        </w:rPr>
        <w:t>Acte de</w:t>
      </w:r>
      <w:r w:rsidR="00926645" w:rsidRPr="00754CC2">
        <w:rPr>
          <w:highlight w:val="lightGray"/>
          <w:lang w:val="fr-FR"/>
        </w:rPr>
        <w:t> </w:t>
      </w:r>
      <w:r w:rsidR="00BA61FE" w:rsidRPr="00754CC2">
        <w:rPr>
          <w:highlight w:val="lightGray"/>
          <w:lang w:val="fr-FR"/>
        </w:rPr>
        <w:t>1991 et article 13.3) de l</w:t>
      </w:r>
      <w:r w:rsidR="00FD700E" w:rsidRPr="00754CC2">
        <w:rPr>
          <w:highlight w:val="lightGray"/>
          <w:lang w:val="fr-FR"/>
        </w:rPr>
        <w:t>’</w:t>
      </w:r>
      <w:r w:rsidR="00BA61FE" w:rsidRPr="00754CC2">
        <w:rPr>
          <w:highlight w:val="lightGray"/>
          <w:lang w:val="fr-FR"/>
        </w:rPr>
        <w:t>Acte de</w:t>
      </w:r>
      <w:r w:rsidR="00926645" w:rsidRPr="00754CC2">
        <w:rPr>
          <w:highlight w:val="lightGray"/>
          <w:lang w:val="fr-FR"/>
        </w:rPr>
        <w:t> </w:t>
      </w:r>
      <w:r w:rsidR="00BA61FE" w:rsidRPr="00754CC2">
        <w:rPr>
          <w:highlight w:val="lightGray"/>
          <w:lang w:val="fr-FR"/>
        </w:rPr>
        <w:t>1978).  Différentes options existent s</w:t>
      </w:r>
      <w:r w:rsidR="00FD700E" w:rsidRPr="00754CC2">
        <w:rPr>
          <w:highlight w:val="lightGray"/>
          <w:lang w:val="fr-FR"/>
        </w:rPr>
        <w:t>’</w:t>
      </w:r>
      <w:r w:rsidR="00BA61FE" w:rsidRPr="00754CC2">
        <w:rPr>
          <w:highlight w:val="lightGray"/>
          <w:lang w:val="fr-FR"/>
        </w:rPr>
        <w:t>agissant de la procédure d</w:t>
      </w:r>
      <w:r w:rsidR="00FD700E" w:rsidRPr="00754CC2">
        <w:rPr>
          <w:highlight w:val="lightGray"/>
          <w:lang w:val="fr-FR"/>
        </w:rPr>
        <w:t>’</w:t>
      </w:r>
      <w:r w:rsidR="00BA61FE" w:rsidRPr="00754CC2">
        <w:rPr>
          <w:highlight w:val="lightGray"/>
          <w:lang w:val="fr-FR"/>
        </w:rPr>
        <w:t>examen.  Par exemple, une personne peut être désignée comme “agent chargé du dossier” et chargée de la gestion de tous les aspects de l</w:t>
      </w:r>
      <w:r w:rsidR="00FD700E" w:rsidRPr="00754CC2">
        <w:rPr>
          <w:highlight w:val="lightGray"/>
          <w:lang w:val="fr-FR"/>
        </w:rPr>
        <w:t>’</w:t>
      </w:r>
      <w:r w:rsidR="00BA61FE" w:rsidRPr="00754CC2">
        <w:rPr>
          <w:highlight w:val="lightGray"/>
          <w:lang w:val="fr-FR"/>
        </w:rPr>
        <w:t>examen susmentionnée, ou alors, différentes parties du travail peuvent être confiées à des spécialistes.</w:t>
      </w:r>
    </w:p>
    <w:p w:rsidR="00BA61FE" w:rsidRPr="00754CC2" w:rsidRDefault="00BA61FE" w:rsidP="00BA61FE">
      <w:pPr>
        <w:rPr>
          <w:highlight w:val="lightGray"/>
          <w:lang w:val="fr-FR"/>
        </w:rPr>
      </w:pPr>
    </w:p>
    <w:p w:rsidR="00BA61FE" w:rsidRPr="00754CC2" w:rsidRDefault="00BA61FE" w:rsidP="00E26935">
      <w:pPr>
        <w:rPr>
          <w:highlight w:val="lightGray"/>
          <w:lang w:val="fr-FR"/>
        </w:rPr>
      </w:pPr>
      <w:r w:rsidRPr="00754CC2">
        <w:rPr>
          <w:highlight w:val="lightGray"/>
          <w:lang w:val="fr-FR"/>
        </w:rPr>
        <w:t>6</w:t>
      </w:r>
      <w:r w:rsidR="00167878" w:rsidRPr="00754CC2">
        <w:rPr>
          <w:highlight w:val="lightGray"/>
          <w:lang w:val="fr-FR"/>
        </w:rPr>
        <w:t>6</w:t>
      </w:r>
      <w:r w:rsidRPr="00754CC2">
        <w:rPr>
          <w:highlight w:val="lightGray"/>
          <w:lang w:val="fr-FR"/>
        </w:rPr>
        <w:t>.</w:t>
      </w:r>
      <w:r w:rsidRPr="00754CC2">
        <w:rPr>
          <w:highlight w:val="lightGray"/>
          <w:lang w:val="fr-FR"/>
        </w:rPr>
        <w:tab/>
        <w:t>Pour l</w:t>
      </w:r>
      <w:r w:rsidR="00FD700E" w:rsidRPr="00754CC2">
        <w:rPr>
          <w:highlight w:val="lightGray"/>
          <w:lang w:val="fr-FR"/>
        </w:rPr>
        <w:t>’</w:t>
      </w:r>
      <w:r w:rsidRPr="00754CC2">
        <w:rPr>
          <w:highlight w:val="lightGray"/>
          <w:lang w:val="fr-FR"/>
        </w:rPr>
        <w:t xml:space="preserve">examen de la dénomination, voir le document intitulé “Notes explicatives concernant les dénominations variétales en vertu de la </w:t>
      </w:r>
      <w:r w:rsidR="00FD700E" w:rsidRPr="00754CC2">
        <w:rPr>
          <w:highlight w:val="lightGray"/>
          <w:lang w:val="fr-FR"/>
        </w:rPr>
        <w:t>Convention UPOV</w:t>
      </w:r>
      <w:r w:rsidRPr="00754CC2">
        <w:rPr>
          <w:highlight w:val="lightGray"/>
          <w:lang w:val="fr-FR"/>
        </w:rPr>
        <w:t xml:space="preserve">” (document </w:t>
      </w:r>
      <w:hyperlink r:id="rId52" w:history="1">
        <w:r w:rsidRPr="00754CC2">
          <w:rPr>
            <w:rStyle w:val="Hyperlink"/>
            <w:highlight w:val="lightGray"/>
            <w:lang w:val="fr-FR"/>
          </w:rPr>
          <w:t>UPOV/INF12</w:t>
        </w:r>
      </w:hyperlink>
      <w:r w:rsidRPr="00754CC2">
        <w:rPr>
          <w:highlight w:val="lightGray"/>
          <w:lang w:val="fr-FR"/>
        </w:rPr>
        <w:t>).  Pour l</w:t>
      </w:r>
      <w:r w:rsidR="00FD700E" w:rsidRPr="00754CC2">
        <w:rPr>
          <w:highlight w:val="lightGray"/>
          <w:lang w:val="fr-FR"/>
        </w:rPr>
        <w:t>’</w:t>
      </w:r>
      <w:r w:rsidRPr="00754CC2">
        <w:rPr>
          <w:highlight w:val="lightGray"/>
          <w:lang w:val="fr-FR"/>
        </w:rPr>
        <w:t xml:space="preserve">examen de la </w:t>
      </w:r>
      <w:bookmarkStart w:id="73" w:name="_GoBack"/>
      <w:bookmarkEnd w:id="73"/>
      <w:r w:rsidRPr="00754CC2">
        <w:rPr>
          <w:highlight w:val="lightGray"/>
          <w:lang w:val="fr-FR"/>
        </w:rPr>
        <w:t>nouveauté, voir le document intitulé “Notes explicatives concernant</w:t>
      </w:r>
      <w:r w:rsidRPr="00754CC2">
        <w:rPr>
          <w:rFonts w:cs="Arial"/>
          <w:sz w:val="19"/>
          <w:szCs w:val="19"/>
          <w:highlight w:val="lightGray"/>
          <w:lang w:val="fr-FR"/>
        </w:rPr>
        <w:t xml:space="preserve"> la nouveauté selon la </w:t>
      </w:r>
      <w:r w:rsidR="00FD700E" w:rsidRPr="00754CC2">
        <w:rPr>
          <w:rFonts w:cs="Arial"/>
          <w:sz w:val="19"/>
          <w:szCs w:val="19"/>
          <w:highlight w:val="lightGray"/>
          <w:lang w:val="fr-FR"/>
        </w:rPr>
        <w:t>Convention UPOV</w:t>
      </w:r>
      <w:r w:rsidRPr="00754CC2">
        <w:rPr>
          <w:highlight w:val="lightGray"/>
          <w:lang w:val="fr-FR"/>
        </w:rPr>
        <w:t xml:space="preserve">” (document </w:t>
      </w:r>
      <w:hyperlink r:id="rId53" w:history="1">
        <w:r w:rsidRPr="00754CC2">
          <w:rPr>
            <w:rStyle w:val="Hyperlink"/>
            <w:highlight w:val="lightGray"/>
            <w:lang w:val="fr-FR"/>
          </w:rPr>
          <w:t>UPOV/EXN/NOV</w:t>
        </w:r>
      </w:hyperlink>
      <w:r w:rsidRPr="00754CC2">
        <w:rPr>
          <w:highlight w:val="lightGray"/>
          <w:lang w:val="fr-FR"/>
        </w:rPr>
        <w:t>).</w:t>
      </w:r>
      <w:bookmarkStart w:id="74" w:name="_Toc378597582"/>
    </w:p>
    <w:p w:rsidR="00E26935" w:rsidRPr="00754CC2" w:rsidRDefault="00E26935" w:rsidP="00E26935">
      <w:pPr>
        <w:rPr>
          <w:highlight w:val="lightGray"/>
          <w:lang w:val="fr-FR"/>
        </w:rPr>
      </w:pPr>
    </w:p>
    <w:p w:rsidR="00525D73" w:rsidRPr="00754CC2" w:rsidRDefault="00525D73">
      <w:pPr>
        <w:jc w:val="left"/>
        <w:rPr>
          <w:highlight w:val="lightGray"/>
          <w:lang w:val="fr-FR"/>
        </w:rPr>
      </w:pPr>
      <w:r w:rsidRPr="00754CC2">
        <w:rPr>
          <w:highlight w:val="lightGray"/>
          <w:lang w:val="fr-FR"/>
        </w:rPr>
        <w:br w:type="page"/>
      </w:r>
    </w:p>
    <w:p w:rsidR="00BA61FE" w:rsidRPr="00754CC2" w:rsidRDefault="00BA61FE" w:rsidP="00BA61FE">
      <w:pPr>
        <w:rPr>
          <w:rFonts w:cs="Arial"/>
          <w:highlight w:val="lightGray"/>
          <w:u w:val="single"/>
          <w:lang w:val="fr-FR"/>
        </w:rPr>
      </w:pPr>
      <w:r w:rsidRPr="00754CC2">
        <w:rPr>
          <w:highlight w:val="lightGray"/>
          <w:lang w:val="fr-FR"/>
        </w:rPr>
        <w:lastRenderedPageBreak/>
        <w:t>6</w:t>
      </w:r>
      <w:r w:rsidR="00167878" w:rsidRPr="00754CC2">
        <w:rPr>
          <w:highlight w:val="lightGray"/>
          <w:lang w:val="fr-FR"/>
        </w:rPr>
        <w:t>7</w:t>
      </w:r>
      <w:r w:rsidRPr="00754CC2">
        <w:rPr>
          <w:highlight w:val="lightGray"/>
          <w:lang w:val="fr-FR"/>
        </w:rPr>
        <w:t>.</w:t>
      </w:r>
      <w:r w:rsidRPr="00754CC2">
        <w:rPr>
          <w:highlight w:val="lightGray"/>
          <w:lang w:val="fr-FR"/>
        </w:rPr>
        <w:tab/>
        <w:t>On trouvera des éléments d</w:t>
      </w:r>
      <w:r w:rsidR="00FD700E" w:rsidRPr="00754CC2">
        <w:rPr>
          <w:highlight w:val="lightGray"/>
          <w:lang w:val="fr-FR"/>
        </w:rPr>
        <w:t>’</w:t>
      </w:r>
      <w:r w:rsidRPr="00754CC2">
        <w:rPr>
          <w:highlight w:val="lightGray"/>
          <w:lang w:val="fr-FR"/>
        </w:rPr>
        <w:t>orientation pour la conduite de l</w:t>
      </w:r>
      <w:r w:rsidR="00FD700E" w:rsidRPr="00754CC2">
        <w:rPr>
          <w:highlight w:val="lightGray"/>
          <w:lang w:val="fr-FR"/>
        </w:rPr>
        <w:t>’</w:t>
      </w:r>
      <w:r w:rsidRPr="00754CC2">
        <w:rPr>
          <w:highlight w:val="lightGray"/>
          <w:lang w:val="fr-FR"/>
        </w:rPr>
        <w:t>examen de la distinction, de l</w:t>
      </w:r>
      <w:r w:rsidR="00FD700E" w:rsidRPr="00754CC2">
        <w:rPr>
          <w:highlight w:val="lightGray"/>
          <w:lang w:val="fr-FR"/>
        </w:rPr>
        <w:t>’</w:t>
      </w:r>
      <w:r w:rsidRPr="00754CC2">
        <w:rPr>
          <w:highlight w:val="lightGray"/>
          <w:lang w:val="fr-FR"/>
        </w:rPr>
        <w:t>homogénéité et de la stabilité (DHS) dans les documents suivants :</w:t>
      </w:r>
    </w:p>
    <w:p w:rsidR="00BA61FE" w:rsidRPr="00754CC2" w:rsidRDefault="00BA61FE" w:rsidP="00BA61FE">
      <w:pPr>
        <w:ind w:left="992" w:hanging="566"/>
        <w:rPr>
          <w:rFonts w:cs="Arial"/>
          <w:highlight w:val="lightGray"/>
          <w:u w:val="single"/>
          <w:lang w:val="fr-FR"/>
        </w:rPr>
      </w:pPr>
    </w:p>
    <w:p w:rsidR="00BA61FE" w:rsidRPr="00754CC2" w:rsidRDefault="00BA61FE" w:rsidP="006F724A">
      <w:pPr>
        <w:numPr>
          <w:ilvl w:val="0"/>
          <w:numId w:val="4"/>
        </w:numPr>
        <w:autoSpaceDE w:val="0"/>
        <w:autoSpaceDN w:val="0"/>
        <w:adjustRightInd w:val="0"/>
        <w:spacing w:after="120"/>
        <w:ind w:hanging="357"/>
        <w:rPr>
          <w:rFonts w:cs="Arial"/>
          <w:highlight w:val="lightGray"/>
          <w:lang w:val="fr-FR"/>
        </w:rPr>
      </w:pPr>
      <w:r w:rsidRPr="00754CC2">
        <w:rPr>
          <w:rFonts w:cs="Arial"/>
          <w:highlight w:val="lightGray"/>
          <w:lang w:val="fr-FR"/>
        </w:rPr>
        <w:t xml:space="preserve">Document </w:t>
      </w:r>
      <w:hyperlink r:id="rId54" w:history="1">
        <w:r w:rsidRPr="00754CC2">
          <w:rPr>
            <w:rStyle w:val="Hyperlink"/>
            <w:rFonts w:cs="Arial"/>
            <w:highlight w:val="lightGray"/>
            <w:lang w:val="fr-FR"/>
          </w:rPr>
          <w:t>TG/1/3</w:t>
        </w:r>
      </w:hyperlink>
      <w:r w:rsidRPr="00754CC2">
        <w:rPr>
          <w:rFonts w:cs="Arial"/>
          <w:highlight w:val="lightGray"/>
          <w:lang w:val="fr-FR"/>
        </w:rPr>
        <w:t xml:space="preserve"> </w:t>
      </w:r>
      <w:r w:rsidRPr="00754CC2">
        <w:rPr>
          <w:highlight w:val="lightGray"/>
          <w:lang w:val="fr-FR"/>
        </w:rPr>
        <w:t xml:space="preserve">intitulé </w:t>
      </w:r>
      <w:r w:rsidRPr="00754CC2">
        <w:rPr>
          <w:rFonts w:cs="Arial"/>
          <w:highlight w:val="lightGray"/>
          <w:lang w:val="fr-FR"/>
        </w:rPr>
        <w:t>“Introduction générale à l</w:t>
      </w:r>
      <w:r w:rsidR="00FD700E" w:rsidRPr="00754CC2">
        <w:rPr>
          <w:rFonts w:cs="Arial"/>
          <w:highlight w:val="lightGray"/>
          <w:lang w:val="fr-FR"/>
        </w:rPr>
        <w:t>’</w:t>
      </w:r>
      <w:r w:rsidRPr="00754CC2">
        <w:rPr>
          <w:rFonts w:cs="Arial"/>
          <w:highlight w:val="lightGray"/>
          <w:lang w:val="fr-FR"/>
        </w:rPr>
        <w:t xml:space="preserve">examen de </w:t>
      </w:r>
      <w:r w:rsidRPr="00754CC2">
        <w:rPr>
          <w:highlight w:val="lightGray"/>
          <w:lang w:val="fr-FR"/>
        </w:rPr>
        <w:t>la distinction, de l</w:t>
      </w:r>
      <w:r w:rsidR="00FD700E" w:rsidRPr="00754CC2">
        <w:rPr>
          <w:highlight w:val="lightGray"/>
          <w:lang w:val="fr-FR"/>
        </w:rPr>
        <w:t>’</w:t>
      </w:r>
      <w:r w:rsidRPr="00754CC2">
        <w:rPr>
          <w:highlight w:val="lightGray"/>
          <w:lang w:val="fr-FR"/>
        </w:rPr>
        <w:t>homogénéité et de la stabilité et à l</w:t>
      </w:r>
      <w:r w:rsidR="00FD700E" w:rsidRPr="00754CC2">
        <w:rPr>
          <w:highlight w:val="lightGray"/>
          <w:lang w:val="fr-FR"/>
        </w:rPr>
        <w:t>’</w:t>
      </w:r>
      <w:r w:rsidRPr="00754CC2">
        <w:rPr>
          <w:highlight w:val="lightGray"/>
          <w:lang w:val="fr-FR"/>
        </w:rPr>
        <w:t>harmonisation des descriptions des obtentions végétales</w:t>
      </w:r>
      <w:r w:rsidRPr="00754CC2">
        <w:rPr>
          <w:rFonts w:cs="Arial"/>
          <w:highlight w:val="lightGray"/>
          <w:lang w:val="fr-FR"/>
        </w:rPr>
        <w:t>”</w:t>
      </w:r>
    </w:p>
    <w:p w:rsidR="00BA61FE" w:rsidRPr="00754CC2" w:rsidRDefault="00BA61FE" w:rsidP="006F724A">
      <w:pPr>
        <w:numPr>
          <w:ilvl w:val="0"/>
          <w:numId w:val="4"/>
        </w:numPr>
        <w:autoSpaceDE w:val="0"/>
        <w:autoSpaceDN w:val="0"/>
        <w:adjustRightInd w:val="0"/>
        <w:spacing w:after="120"/>
        <w:ind w:hanging="357"/>
        <w:rPr>
          <w:rFonts w:cs="Arial"/>
          <w:highlight w:val="lightGray"/>
          <w:lang w:val="fr-FR"/>
        </w:rPr>
      </w:pPr>
      <w:r w:rsidRPr="00754CC2">
        <w:rPr>
          <w:rFonts w:cs="Arial"/>
          <w:highlight w:val="lightGray"/>
          <w:lang w:val="fr-FR"/>
        </w:rPr>
        <w:t xml:space="preserve">Document TGP/4 </w:t>
      </w:r>
      <w:r w:rsidRPr="00754CC2">
        <w:rPr>
          <w:highlight w:val="lightGray"/>
          <w:lang w:val="fr-FR"/>
        </w:rPr>
        <w:t xml:space="preserve">intitulé </w:t>
      </w:r>
      <w:r w:rsidRPr="00754CC2">
        <w:rPr>
          <w:rFonts w:cs="Arial"/>
          <w:highlight w:val="lightGray"/>
          <w:lang w:val="fr-FR"/>
        </w:rPr>
        <w:t>“</w:t>
      </w:r>
      <w:r w:rsidRPr="00754CC2">
        <w:rPr>
          <w:highlight w:val="lightGray"/>
          <w:lang w:val="fr-FR"/>
        </w:rPr>
        <w:t>Constitution et maintien des collections de variétés</w:t>
      </w:r>
      <w:r w:rsidRPr="00754CC2">
        <w:rPr>
          <w:rFonts w:cs="Arial"/>
          <w:highlight w:val="lightGray"/>
          <w:lang w:val="fr-FR"/>
        </w:rPr>
        <w:t>”</w:t>
      </w:r>
    </w:p>
    <w:p w:rsidR="00BA61FE" w:rsidRPr="00754CC2" w:rsidRDefault="00BA61FE" w:rsidP="006F724A">
      <w:pPr>
        <w:numPr>
          <w:ilvl w:val="0"/>
          <w:numId w:val="4"/>
        </w:numPr>
        <w:autoSpaceDE w:val="0"/>
        <w:autoSpaceDN w:val="0"/>
        <w:adjustRightInd w:val="0"/>
        <w:spacing w:after="120"/>
        <w:ind w:hanging="357"/>
        <w:rPr>
          <w:rFonts w:cs="Arial"/>
          <w:highlight w:val="lightGray"/>
          <w:lang w:val="fr-FR"/>
        </w:rPr>
      </w:pPr>
      <w:r w:rsidRPr="00754CC2">
        <w:rPr>
          <w:rFonts w:cs="Arial"/>
          <w:highlight w:val="lightGray"/>
          <w:lang w:val="fr-FR"/>
        </w:rPr>
        <w:t xml:space="preserve">Document TGP/9 </w:t>
      </w:r>
      <w:r w:rsidRPr="00754CC2">
        <w:rPr>
          <w:highlight w:val="lightGray"/>
          <w:lang w:val="fr-FR"/>
        </w:rPr>
        <w:t xml:space="preserve">intitulé </w:t>
      </w:r>
      <w:r w:rsidRPr="00754CC2">
        <w:rPr>
          <w:rFonts w:cs="Arial"/>
          <w:highlight w:val="lightGray"/>
          <w:lang w:val="fr-FR"/>
        </w:rPr>
        <w:t>“</w:t>
      </w:r>
      <w:r w:rsidRPr="00754CC2">
        <w:rPr>
          <w:highlight w:val="lightGray"/>
          <w:lang w:val="fr-FR"/>
        </w:rPr>
        <w:t>Examen de la distinction</w:t>
      </w:r>
      <w:r w:rsidRPr="00754CC2">
        <w:rPr>
          <w:rFonts w:cs="Arial"/>
          <w:highlight w:val="lightGray"/>
          <w:lang w:val="fr-FR"/>
        </w:rPr>
        <w:t>”</w:t>
      </w:r>
    </w:p>
    <w:p w:rsidR="00BA61FE" w:rsidRPr="00754CC2" w:rsidRDefault="00BA61FE" w:rsidP="006F724A">
      <w:pPr>
        <w:numPr>
          <w:ilvl w:val="0"/>
          <w:numId w:val="4"/>
        </w:numPr>
        <w:autoSpaceDE w:val="0"/>
        <w:autoSpaceDN w:val="0"/>
        <w:adjustRightInd w:val="0"/>
        <w:spacing w:after="120"/>
        <w:ind w:hanging="357"/>
        <w:rPr>
          <w:rFonts w:cs="Arial"/>
          <w:highlight w:val="lightGray"/>
          <w:lang w:val="fr-FR"/>
        </w:rPr>
      </w:pPr>
      <w:r w:rsidRPr="00754CC2">
        <w:rPr>
          <w:rFonts w:cs="Arial"/>
          <w:highlight w:val="lightGray"/>
          <w:lang w:val="fr-FR"/>
        </w:rPr>
        <w:t xml:space="preserve">Document </w:t>
      </w:r>
      <w:hyperlink r:id="rId55" w:history="1">
        <w:r w:rsidRPr="00754CC2">
          <w:rPr>
            <w:rStyle w:val="Hyperlink"/>
            <w:rFonts w:cs="Arial"/>
            <w:highlight w:val="lightGray"/>
            <w:lang w:val="fr-FR"/>
          </w:rPr>
          <w:t>TGP/10</w:t>
        </w:r>
      </w:hyperlink>
      <w:r w:rsidRPr="00754CC2">
        <w:rPr>
          <w:rFonts w:cs="Arial"/>
          <w:highlight w:val="lightGray"/>
          <w:lang w:val="fr-FR"/>
        </w:rPr>
        <w:t xml:space="preserve"> </w:t>
      </w:r>
      <w:r w:rsidRPr="00754CC2">
        <w:rPr>
          <w:highlight w:val="lightGray"/>
          <w:lang w:val="fr-FR"/>
        </w:rPr>
        <w:t xml:space="preserve">intitulé </w:t>
      </w:r>
      <w:r w:rsidRPr="00754CC2">
        <w:rPr>
          <w:rFonts w:cs="Arial"/>
          <w:highlight w:val="lightGray"/>
          <w:lang w:val="fr-FR"/>
        </w:rPr>
        <w:t>“</w:t>
      </w:r>
      <w:r w:rsidRPr="00754CC2">
        <w:rPr>
          <w:highlight w:val="lightGray"/>
          <w:lang w:val="fr-FR"/>
        </w:rPr>
        <w:t>Examen de l</w:t>
      </w:r>
      <w:r w:rsidR="00FD700E" w:rsidRPr="00754CC2">
        <w:rPr>
          <w:highlight w:val="lightGray"/>
          <w:lang w:val="fr-FR"/>
        </w:rPr>
        <w:t>’</w:t>
      </w:r>
      <w:r w:rsidRPr="00754CC2">
        <w:rPr>
          <w:highlight w:val="lightGray"/>
          <w:lang w:val="fr-FR"/>
        </w:rPr>
        <w:t>homogénéité</w:t>
      </w:r>
      <w:r w:rsidRPr="00754CC2">
        <w:rPr>
          <w:rFonts w:cs="Arial"/>
          <w:highlight w:val="lightGray"/>
          <w:lang w:val="fr-FR"/>
        </w:rPr>
        <w:t>”</w:t>
      </w:r>
    </w:p>
    <w:p w:rsidR="00BA61FE" w:rsidRPr="00754CC2" w:rsidRDefault="00BA61FE" w:rsidP="006F724A">
      <w:pPr>
        <w:numPr>
          <w:ilvl w:val="0"/>
          <w:numId w:val="4"/>
        </w:numPr>
        <w:autoSpaceDE w:val="0"/>
        <w:autoSpaceDN w:val="0"/>
        <w:adjustRightInd w:val="0"/>
        <w:spacing w:after="120"/>
        <w:ind w:hanging="357"/>
        <w:rPr>
          <w:rFonts w:cs="Arial"/>
          <w:highlight w:val="lightGray"/>
          <w:lang w:val="fr-FR"/>
        </w:rPr>
      </w:pPr>
      <w:r w:rsidRPr="00754CC2">
        <w:rPr>
          <w:rFonts w:cs="Arial"/>
          <w:highlight w:val="lightGray"/>
          <w:lang w:val="fr-FR"/>
        </w:rPr>
        <w:t xml:space="preserve">Document </w:t>
      </w:r>
      <w:hyperlink r:id="rId56" w:history="1">
        <w:r w:rsidRPr="00754CC2">
          <w:rPr>
            <w:rStyle w:val="Hyperlink"/>
            <w:rFonts w:cs="Arial"/>
            <w:highlight w:val="lightGray"/>
            <w:lang w:val="fr-FR"/>
          </w:rPr>
          <w:t>TGP/11</w:t>
        </w:r>
      </w:hyperlink>
      <w:r w:rsidRPr="00754CC2">
        <w:rPr>
          <w:rFonts w:cs="Arial"/>
          <w:highlight w:val="lightGray"/>
          <w:lang w:val="fr-FR"/>
        </w:rPr>
        <w:t xml:space="preserve"> </w:t>
      </w:r>
      <w:r w:rsidRPr="00754CC2">
        <w:rPr>
          <w:highlight w:val="lightGray"/>
          <w:lang w:val="fr-FR"/>
        </w:rPr>
        <w:t xml:space="preserve">intitulé </w:t>
      </w:r>
      <w:r w:rsidRPr="00754CC2">
        <w:rPr>
          <w:rFonts w:cs="Arial"/>
          <w:highlight w:val="lightGray"/>
          <w:lang w:val="fr-FR"/>
        </w:rPr>
        <w:t>“</w:t>
      </w:r>
      <w:r w:rsidRPr="00754CC2">
        <w:rPr>
          <w:highlight w:val="lightGray"/>
          <w:lang w:val="fr-FR"/>
        </w:rPr>
        <w:t>Examen de la stabilité</w:t>
      </w:r>
      <w:r w:rsidRPr="00754CC2">
        <w:rPr>
          <w:rFonts w:cs="Arial"/>
          <w:highlight w:val="lightGray"/>
          <w:lang w:val="fr-FR"/>
        </w:rPr>
        <w:t>”</w:t>
      </w:r>
    </w:p>
    <w:p w:rsidR="00895864" w:rsidRPr="00754CC2" w:rsidRDefault="00895864" w:rsidP="00BA61FE">
      <w:pPr>
        <w:rPr>
          <w:strike/>
          <w:highlight w:val="lightGray"/>
          <w:lang w:val="fr-FR"/>
        </w:rPr>
      </w:pPr>
    </w:p>
    <w:p w:rsidR="00BA61FE" w:rsidRPr="00754CC2" w:rsidRDefault="00BA61FE" w:rsidP="00347556">
      <w:pPr>
        <w:pStyle w:val="Heading3"/>
        <w:rPr>
          <w:highlight w:val="lightGray"/>
        </w:rPr>
      </w:pPr>
      <w:bookmarkStart w:id="75" w:name="_Toc382814027"/>
      <w:bookmarkStart w:id="76" w:name="_Toc412041942"/>
      <w:r w:rsidRPr="00754CC2">
        <w:rPr>
          <w:highlight w:val="lightGray"/>
        </w:rPr>
        <w:t xml:space="preserve">Examen </w:t>
      </w:r>
      <w:r w:rsidR="00895864" w:rsidRPr="00754CC2">
        <w:rPr>
          <w:highlight w:val="lightGray"/>
        </w:rPr>
        <w:t>DHS</w:t>
      </w:r>
      <w:bookmarkEnd w:id="75"/>
      <w:r w:rsidR="00480111" w:rsidRPr="00754CC2">
        <w:rPr>
          <w:highlight w:val="lightGray"/>
        </w:rPr>
        <w:t xml:space="preserve"> </w:t>
      </w:r>
      <w:r w:rsidRPr="00754CC2">
        <w:rPr>
          <w:highlight w:val="lightGray"/>
        </w:rPr>
        <w:t>(voir la note e du diagramme figurant dans la section 1</w:t>
      </w:r>
      <w:bookmarkEnd w:id="74"/>
      <w:r w:rsidR="00D933B7" w:rsidRPr="00754CC2">
        <w:rPr>
          <w:highlight w:val="lightGray"/>
        </w:rPr>
        <w:t>)</w:t>
      </w:r>
      <w:bookmarkEnd w:id="76"/>
    </w:p>
    <w:p w:rsidR="00BA61FE" w:rsidRPr="00754CC2" w:rsidRDefault="00BA61FE" w:rsidP="00BA61FE">
      <w:pPr>
        <w:keepNext/>
        <w:rPr>
          <w:highlight w:val="lightGray"/>
          <w:lang w:val="fr-FR"/>
        </w:rPr>
      </w:pPr>
    </w:p>
    <w:p w:rsidR="00E234B6" w:rsidRPr="00754CC2" w:rsidRDefault="00BA61FE" w:rsidP="00BA61FE">
      <w:pPr>
        <w:autoSpaceDE w:val="0"/>
        <w:autoSpaceDN w:val="0"/>
        <w:adjustRightInd w:val="0"/>
        <w:rPr>
          <w:highlight w:val="lightGray"/>
          <w:lang w:val="fr-FR"/>
        </w:rPr>
      </w:pPr>
      <w:r w:rsidRPr="00754CC2">
        <w:rPr>
          <w:highlight w:val="lightGray"/>
          <w:lang w:val="fr-FR"/>
        </w:rPr>
        <w:t>6</w:t>
      </w:r>
      <w:r w:rsidR="00167878" w:rsidRPr="00754CC2">
        <w:rPr>
          <w:highlight w:val="lightGray"/>
          <w:lang w:val="fr-FR"/>
        </w:rPr>
        <w:t>8</w:t>
      </w:r>
      <w:r w:rsidRPr="00754CC2">
        <w:rPr>
          <w:highlight w:val="lightGray"/>
          <w:lang w:val="fr-FR"/>
        </w:rPr>
        <w:t>.</w:t>
      </w:r>
      <w:r w:rsidRPr="00754CC2">
        <w:rPr>
          <w:highlight w:val="lightGray"/>
          <w:lang w:val="fr-FR"/>
        </w:rPr>
        <w:tab/>
        <w:t>La taille et la structure des services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 sont liées aux modalités d</w:t>
      </w:r>
      <w:r w:rsidR="00FD700E" w:rsidRPr="00754CC2">
        <w:rPr>
          <w:highlight w:val="lightGray"/>
          <w:lang w:val="fr-FR"/>
        </w:rPr>
        <w:t>’</w:t>
      </w:r>
      <w:r w:rsidRPr="00754CC2">
        <w:rPr>
          <w:highlight w:val="lightGray"/>
          <w:lang w:val="fr-FR"/>
        </w:rPr>
        <w:t>examen</w:t>
      </w:r>
      <w:r w:rsidR="001B0B2D" w:rsidRPr="00754CC2">
        <w:rPr>
          <w:highlight w:val="lightGray"/>
          <w:lang w:val="fr-FR"/>
        </w:rPr>
        <w:t> </w:t>
      </w:r>
      <w:r w:rsidRPr="00754CC2">
        <w:rPr>
          <w:highlight w:val="lightGray"/>
          <w:lang w:val="fr-FR"/>
        </w:rPr>
        <w:t>DHS.  Un service peut, par exemple, recourir à un ou plusieurs des systèmes suivants :</w:t>
      </w:r>
    </w:p>
    <w:p w:rsidR="00BA61FE" w:rsidRPr="00754CC2" w:rsidRDefault="00BA61FE" w:rsidP="00BA61FE">
      <w:pPr>
        <w:autoSpaceDE w:val="0"/>
        <w:autoSpaceDN w:val="0"/>
        <w:adjustRightInd w:val="0"/>
        <w:rPr>
          <w:highlight w:val="lightGray"/>
          <w:lang w:val="fr-FR"/>
        </w:rPr>
      </w:pPr>
    </w:p>
    <w:p w:rsidR="00BA61FE" w:rsidRPr="00754CC2" w:rsidRDefault="00BA61FE" w:rsidP="00E26935">
      <w:pPr>
        <w:numPr>
          <w:ilvl w:val="0"/>
          <w:numId w:val="4"/>
        </w:numPr>
        <w:autoSpaceDE w:val="0"/>
        <w:autoSpaceDN w:val="0"/>
        <w:adjustRightInd w:val="0"/>
        <w:spacing w:after="120"/>
        <w:ind w:hanging="357"/>
        <w:rPr>
          <w:spacing w:val="-2"/>
          <w:highlight w:val="lightGray"/>
          <w:lang w:val="fr-FR"/>
        </w:rPr>
      </w:pPr>
      <w:r w:rsidRPr="00754CC2">
        <w:rPr>
          <w:spacing w:val="-2"/>
          <w:highlight w:val="lightGray"/>
          <w:lang w:val="fr-FR"/>
        </w:rPr>
        <w:t>le service procède lui</w:t>
      </w:r>
      <w:r w:rsidR="00B66F35" w:rsidRPr="00754CC2">
        <w:rPr>
          <w:spacing w:val="-2"/>
          <w:highlight w:val="lightGray"/>
          <w:lang w:val="fr-FR"/>
        </w:rPr>
        <w:noBreakHyphen/>
      </w:r>
      <w:r w:rsidRPr="00754CC2">
        <w:rPr>
          <w:spacing w:val="-2"/>
          <w:highlight w:val="lightGray"/>
          <w:lang w:val="fr-FR"/>
        </w:rPr>
        <w:t>même à la mise en culture ou autres essais (examen effectué par le service)</w:t>
      </w:r>
      <w:r w:rsidR="00895864" w:rsidRPr="00754CC2">
        <w:rPr>
          <w:spacing w:val="-2"/>
          <w:highlight w:val="lightGray"/>
          <w:lang w:val="fr-FR"/>
        </w:rPr>
        <w:t>;</w:t>
      </w:r>
    </w:p>
    <w:p w:rsidR="00BA61FE" w:rsidRPr="00754CC2" w:rsidRDefault="00BA61FE" w:rsidP="00E26935">
      <w:pPr>
        <w:numPr>
          <w:ilvl w:val="0"/>
          <w:numId w:val="4"/>
        </w:numPr>
        <w:autoSpaceDE w:val="0"/>
        <w:autoSpaceDN w:val="0"/>
        <w:adjustRightInd w:val="0"/>
        <w:spacing w:after="120"/>
        <w:ind w:hanging="357"/>
        <w:rPr>
          <w:highlight w:val="lightGray"/>
          <w:lang w:val="fr-FR"/>
        </w:rPr>
      </w:pPr>
      <w:r w:rsidRPr="00754CC2">
        <w:rPr>
          <w:highlight w:val="lightGray"/>
          <w:lang w:val="fr-FR"/>
        </w:rPr>
        <w:t>le service prend les dispositions nécessaires pour qu</w:t>
      </w:r>
      <w:r w:rsidR="00FD700E" w:rsidRPr="00754CC2">
        <w:rPr>
          <w:highlight w:val="lightGray"/>
          <w:lang w:val="fr-FR"/>
        </w:rPr>
        <w:t>’</w:t>
      </w:r>
      <w:r w:rsidRPr="00754CC2">
        <w:rPr>
          <w:highlight w:val="lightGray"/>
          <w:lang w:val="fr-FR"/>
        </w:rPr>
        <w:t>une ou plusieurs tierces parties procèdent à la mise en culture ou autres essais (en dehors du service).  Dans ce dernier cas, la tierce partie peut être, par exemple, un autre service, un inst</w:t>
      </w:r>
      <w:r w:rsidR="00895864" w:rsidRPr="00754CC2">
        <w:rPr>
          <w:highlight w:val="lightGray"/>
          <w:lang w:val="fr-FR"/>
        </w:rPr>
        <w:t>itut indépendant ou l</w:t>
      </w:r>
      <w:r w:rsidR="00FD700E" w:rsidRPr="00754CC2">
        <w:rPr>
          <w:highlight w:val="lightGray"/>
          <w:lang w:val="fr-FR"/>
        </w:rPr>
        <w:t>’</w:t>
      </w:r>
      <w:r w:rsidR="00895864" w:rsidRPr="00754CC2">
        <w:rPr>
          <w:highlight w:val="lightGray"/>
          <w:lang w:val="fr-FR"/>
        </w:rPr>
        <w:t>obtenteur;</w:t>
      </w:r>
    </w:p>
    <w:p w:rsidR="00BA61FE" w:rsidRPr="00754CC2" w:rsidRDefault="00BA61FE" w:rsidP="00FF414C">
      <w:pPr>
        <w:numPr>
          <w:ilvl w:val="0"/>
          <w:numId w:val="4"/>
        </w:numPr>
        <w:autoSpaceDE w:val="0"/>
        <w:autoSpaceDN w:val="0"/>
        <w:adjustRightInd w:val="0"/>
        <w:ind w:hanging="357"/>
        <w:rPr>
          <w:highlight w:val="lightGray"/>
          <w:lang w:val="fr-FR"/>
        </w:rPr>
      </w:pPr>
      <w:r w:rsidRPr="00754CC2">
        <w:rPr>
          <w:highlight w:val="lightGray"/>
          <w:lang w:val="fr-FR"/>
        </w:rPr>
        <w:t>le service prend en considération les résultats des essais en culture ou autres essais qui ont déjà été effectués (en dehors du service).</w:t>
      </w:r>
    </w:p>
    <w:p w:rsidR="00167878" w:rsidRPr="00754CC2" w:rsidRDefault="00167878" w:rsidP="00167878">
      <w:pPr>
        <w:autoSpaceDE w:val="0"/>
        <w:autoSpaceDN w:val="0"/>
        <w:adjustRightInd w:val="0"/>
        <w:rPr>
          <w:highlight w:val="lightGray"/>
          <w:lang w:val="fr-FR"/>
        </w:rPr>
      </w:pPr>
    </w:p>
    <w:p w:rsidR="00895864" w:rsidRPr="00754CC2" w:rsidRDefault="00167878" w:rsidP="00895864">
      <w:pPr>
        <w:rPr>
          <w:highlight w:val="lightGray"/>
          <w:lang w:val="fr-FR"/>
        </w:rPr>
      </w:pPr>
      <w:r w:rsidRPr="00754CC2">
        <w:rPr>
          <w:highlight w:val="lightGray"/>
          <w:lang w:val="fr-FR"/>
        </w:rPr>
        <w:t>69.</w:t>
      </w:r>
      <w:r w:rsidRPr="00754CC2">
        <w:rPr>
          <w:highlight w:val="lightGray"/>
          <w:lang w:val="fr-FR"/>
        </w:rPr>
        <w:tab/>
        <w:t>Les services qui font effectuer la mise en culture ou les autres essais pour le compte des services concernés doivent prendre des mesures appropriées : a) pour que les essais de culture ou autres essais soient effectués de manière indépendante;  et b) de manière à sauvegarder les intérêts légitimes de l</w:t>
      </w:r>
      <w:r w:rsidR="00FD700E" w:rsidRPr="00754CC2">
        <w:rPr>
          <w:highlight w:val="lightGray"/>
          <w:lang w:val="fr-FR"/>
        </w:rPr>
        <w:t>’</w:t>
      </w:r>
      <w:r w:rsidRPr="00754CC2">
        <w:rPr>
          <w:highlight w:val="lightGray"/>
          <w:lang w:val="fr-FR"/>
        </w:rPr>
        <w:t>obtenteur.  En particulier, dans le cas de parties qui auraient des activités d</w:t>
      </w:r>
      <w:r w:rsidR="00FD700E" w:rsidRPr="00754CC2">
        <w:rPr>
          <w:highlight w:val="lightGray"/>
          <w:lang w:val="fr-FR"/>
        </w:rPr>
        <w:t>’</w:t>
      </w:r>
      <w:r w:rsidRPr="00754CC2">
        <w:rPr>
          <w:highlight w:val="lightGray"/>
          <w:lang w:val="fr-FR"/>
        </w:rPr>
        <w:t>amélioration des plantes ou associées à de telles activités, ces mesures doivent inclure des dispositions garantissant l</w:t>
      </w:r>
      <w:r w:rsidR="00FD700E" w:rsidRPr="00754CC2">
        <w:rPr>
          <w:highlight w:val="lightGray"/>
          <w:lang w:val="fr-FR"/>
        </w:rPr>
        <w:t>’</w:t>
      </w:r>
      <w:r w:rsidRPr="00754CC2">
        <w:rPr>
          <w:highlight w:val="lightGray"/>
          <w:lang w:val="fr-FR"/>
        </w:rPr>
        <w:t>objectivité et le traitement confidentiel des renseignements et du matériel fournis par l</w:t>
      </w:r>
      <w:r w:rsidR="00FD700E" w:rsidRPr="00754CC2">
        <w:rPr>
          <w:highlight w:val="lightGray"/>
          <w:lang w:val="fr-FR"/>
        </w:rPr>
        <w:t>’</w:t>
      </w:r>
      <w:r w:rsidRPr="00754CC2">
        <w:rPr>
          <w:highlight w:val="lightGray"/>
          <w:lang w:val="fr-FR"/>
        </w:rPr>
        <w:t>obtenteur.</w:t>
      </w:r>
    </w:p>
    <w:p w:rsidR="00BA61FE" w:rsidRPr="00754CC2" w:rsidRDefault="00BA61FE" w:rsidP="00BA61FE">
      <w:pPr>
        <w:autoSpaceDE w:val="0"/>
        <w:autoSpaceDN w:val="0"/>
        <w:adjustRightInd w:val="0"/>
        <w:rPr>
          <w:highlight w:val="lightGray"/>
          <w:lang w:val="fr-FR"/>
        </w:rPr>
      </w:pPr>
    </w:p>
    <w:p w:rsidR="00E234B6" w:rsidRPr="00754CC2" w:rsidRDefault="00167878" w:rsidP="00BA61FE">
      <w:pPr>
        <w:autoSpaceDE w:val="0"/>
        <w:autoSpaceDN w:val="0"/>
        <w:adjustRightInd w:val="0"/>
        <w:rPr>
          <w:highlight w:val="lightGray"/>
          <w:lang w:val="fr-FR"/>
        </w:rPr>
      </w:pPr>
      <w:r w:rsidRPr="00754CC2">
        <w:rPr>
          <w:highlight w:val="lightGray"/>
          <w:lang w:val="fr-FR"/>
        </w:rPr>
        <w:t>70</w:t>
      </w:r>
      <w:r w:rsidR="00BA61FE" w:rsidRPr="00754CC2">
        <w:rPr>
          <w:highlight w:val="lightGray"/>
          <w:lang w:val="fr-FR"/>
        </w:rPr>
        <w:t>.</w:t>
      </w:r>
      <w:r w:rsidR="00BA61FE" w:rsidRPr="00754CC2">
        <w:rPr>
          <w:highlight w:val="lightGray"/>
          <w:lang w:val="fr-FR"/>
        </w:rPr>
        <w:tab/>
        <w:t xml:space="preserve">Le </w:t>
      </w:r>
      <w:r w:rsidR="00FD700E" w:rsidRPr="00754CC2">
        <w:rPr>
          <w:highlight w:val="lightGray"/>
          <w:lang w:val="fr-FR"/>
        </w:rPr>
        <w:t>document TG</w:t>
      </w:r>
      <w:r w:rsidR="00BA61FE" w:rsidRPr="00754CC2">
        <w:rPr>
          <w:highlight w:val="lightGray"/>
          <w:lang w:val="fr-FR"/>
        </w:rPr>
        <w:t>P/5 intitulé “Expérience et coopération en matière d</w:t>
      </w:r>
      <w:r w:rsidR="00FD700E" w:rsidRPr="00754CC2">
        <w:rPr>
          <w:highlight w:val="lightGray"/>
          <w:lang w:val="fr-FR"/>
        </w:rPr>
        <w:t>’</w:t>
      </w:r>
      <w:r w:rsidR="00BA61FE" w:rsidRPr="00754CC2">
        <w:rPr>
          <w:highlight w:val="lightGray"/>
          <w:lang w:val="fr-FR"/>
        </w:rPr>
        <w:t>examen</w:t>
      </w:r>
      <w:r w:rsidR="001B0B2D" w:rsidRPr="00754CC2">
        <w:rPr>
          <w:highlight w:val="lightGray"/>
          <w:lang w:val="fr-FR"/>
        </w:rPr>
        <w:t> </w:t>
      </w:r>
      <w:r w:rsidR="00BA61FE" w:rsidRPr="00754CC2">
        <w:rPr>
          <w:highlight w:val="lightGray"/>
          <w:lang w:val="fr-FR"/>
        </w:rPr>
        <w:t>DHS”, Section 1 “Accord administratif type pour la coopération internationale en matière d</w:t>
      </w:r>
      <w:r w:rsidR="00FD700E" w:rsidRPr="00754CC2">
        <w:rPr>
          <w:highlight w:val="lightGray"/>
          <w:lang w:val="fr-FR"/>
        </w:rPr>
        <w:t>’</w:t>
      </w:r>
      <w:r w:rsidR="00BA61FE" w:rsidRPr="00754CC2">
        <w:rPr>
          <w:highlight w:val="lightGray"/>
          <w:lang w:val="fr-FR"/>
        </w:rPr>
        <w:t>examen des variétés” fournit des indications utiles dans le cadre d</w:t>
      </w:r>
      <w:r w:rsidR="00FD700E" w:rsidRPr="00754CC2">
        <w:rPr>
          <w:highlight w:val="lightGray"/>
          <w:lang w:val="fr-FR"/>
        </w:rPr>
        <w:t>’</w:t>
      </w:r>
      <w:r w:rsidR="00BA61FE" w:rsidRPr="00754CC2">
        <w:rPr>
          <w:highlight w:val="lightGray"/>
          <w:lang w:val="fr-FR"/>
        </w:rPr>
        <w:t>un accord administratif type pour la coopération internationale en matière d</w:t>
      </w:r>
      <w:r w:rsidR="00FD700E" w:rsidRPr="00754CC2">
        <w:rPr>
          <w:highlight w:val="lightGray"/>
          <w:lang w:val="fr-FR"/>
        </w:rPr>
        <w:t>’</w:t>
      </w:r>
      <w:r w:rsidR="00BA61FE" w:rsidRPr="00754CC2">
        <w:rPr>
          <w:highlight w:val="lightGray"/>
          <w:lang w:val="fr-FR"/>
        </w:rPr>
        <w:t>examen des variétés.</w:t>
      </w:r>
    </w:p>
    <w:p w:rsidR="00BA61FE" w:rsidRPr="00754CC2" w:rsidRDefault="00BA61FE" w:rsidP="00BA61FE">
      <w:pPr>
        <w:autoSpaceDE w:val="0"/>
        <w:autoSpaceDN w:val="0"/>
        <w:adjustRightInd w:val="0"/>
        <w:rPr>
          <w:highlight w:val="lightGray"/>
          <w:lang w:val="fr-FR"/>
        </w:rPr>
      </w:pPr>
    </w:p>
    <w:p w:rsidR="00E234B6" w:rsidRPr="00754CC2" w:rsidRDefault="00167878" w:rsidP="00E26935">
      <w:pPr>
        <w:keepNext/>
        <w:keepLines/>
        <w:autoSpaceDE w:val="0"/>
        <w:autoSpaceDN w:val="0"/>
        <w:adjustRightInd w:val="0"/>
        <w:rPr>
          <w:highlight w:val="lightGray"/>
          <w:lang w:val="fr-FR"/>
        </w:rPr>
      </w:pPr>
      <w:r w:rsidRPr="00754CC2">
        <w:rPr>
          <w:highlight w:val="lightGray"/>
          <w:lang w:val="fr-FR"/>
        </w:rPr>
        <w:t>71</w:t>
      </w:r>
      <w:r w:rsidR="00E26935" w:rsidRPr="00754CC2">
        <w:rPr>
          <w:highlight w:val="lightGray"/>
          <w:lang w:val="fr-FR"/>
        </w:rPr>
        <w:t>.</w:t>
      </w:r>
      <w:r w:rsidR="00E26935" w:rsidRPr="00754CC2">
        <w:rPr>
          <w:highlight w:val="lightGray"/>
          <w:lang w:val="fr-FR"/>
        </w:rPr>
        <w:tab/>
        <w:t>L</w:t>
      </w:r>
      <w:r w:rsidR="00FD700E" w:rsidRPr="00754CC2">
        <w:rPr>
          <w:highlight w:val="lightGray"/>
          <w:lang w:val="fr-FR"/>
        </w:rPr>
        <w:t>’</w:t>
      </w:r>
      <w:r w:rsidR="00895864" w:rsidRPr="00754CC2">
        <w:rPr>
          <w:highlight w:val="lightGray"/>
          <w:lang w:val="fr-FR"/>
        </w:rPr>
        <w:t>article </w:t>
      </w:r>
      <w:r w:rsidR="00BA61FE" w:rsidRPr="00754CC2">
        <w:rPr>
          <w:highlight w:val="lightGray"/>
          <w:lang w:val="fr-FR"/>
        </w:rPr>
        <w:t>4 de la section</w:t>
      </w:r>
      <w:r w:rsidR="00895864" w:rsidRPr="00754CC2">
        <w:rPr>
          <w:highlight w:val="lightGray"/>
          <w:lang w:val="fr-FR"/>
        </w:rPr>
        <w:t> </w:t>
      </w:r>
      <w:r w:rsidR="00BA61FE" w:rsidRPr="00754CC2">
        <w:rPr>
          <w:highlight w:val="lightGray"/>
          <w:lang w:val="fr-FR"/>
        </w:rPr>
        <w:t>1 du document TGP</w:t>
      </w:r>
      <w:r w:rsidRPr="00754CC2">
        <w:rPr>
          <w:highlight w:val="lightGray"/>
          <w:lang w:val="fr-FR"/>
        </w:rPr>
        <w:t>/</w:t>
      </w:r>
      <w:r w:rsidR="00BA61FE" w:rsidRPr="00754CC2">
        <w:rPr>
          <w:highlight w:val="lightGray"/>
          <w:lang w:val="fr-FR"/>
        </w:rPr>
        <w:t>5 prévoit ce qui suit :</w:t>
      </w:r>
    </w:p>
    <w:p w:rsidR="00BA61FE" w:rsidRPr="00754CC2" w:rsidRDefault="00BA61FE" w:rsidP="00E26935">
      <w:pPr>
        <w:keepNext/>
        <w:keepLines/>
        <w:ind w:left="567" w:right="567"/>
        <w:rPr>
          <w:rFonts w:cs="Arial"/>
          <w:sz w:val="18"/>
          <w:szCs w:val="18"/>
          <w:highlight w:val="lightGray"/>
          <w:lang w:val="fr-FR"/>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1"/>
      </w:tblGrid>
      <w:tr w:rsidR="00BA61FE" w:rsidRPr="00754CC2" w:rsidTr="00167878">
        <w:trPr>
          <w:cantSplit/>
        </w:trPr>
        <w:tc>
          <w:tcPr>
            <w:tcW w:w="8751" w:type="dxa"/>
          </w:tcPr>
          <w:p w:rsidR="00BA61FE" w:rsidRPr="00754CC2" w:rsidRDefault="00BA61FE" w:rsidP="00FF414C">
            <w:pPr>
              <w:ind w:right="567"/>
              <w:rPr>
                <w:rFonts w:cs="Arial"/>
                <w:sz w:val="18"/>
                <w:szCs w:val="18"/>
                <w:highlight w:val="lightGray"/>
                <w:lang w:val="fr-FR"/>
              </w:rPr>
            </w:pPr>
          </w:p>
          <w:p w:rsidR="00BA61FE" w:rsidRPr="00754CC2" w:rsidRDefault="00895864" w:rsidP="00FF414C">
            <w:pPr>
              <w:autoSpaceDE w:val="0"/>
              <w:autoSpaceDN w:val="0"/>
              <w:adjustRightInd w:val="0"/>
              <w:rPr>
                <w:rFonts w:cs="Arial"/>
                <w:sz w:val="18"/>
                <w:szCs w:val="18"/>
                <w:highlight w:val="lightGray"/>
                <w:lang w:val="fr-FR"/>
              </w:rPr>
            </w:pPr>
            <w:r w:rsidRPr="00754CC2">
              <w:rPr>
                <w:rFonts w:cs="Arial"/>
                <w:sz w:val="18"/>
                <w:szCs w:val="18"/>
                <w:highlight w:val="lightGray"/>
                <w:lang w:val="fr-FR"/>
              </w:rPr>
              <w:t>“</w:t>
            </w:r>
            <w:r w:rsidR="00BA61FE" w:rsidRPr="00754CC2">
              <w:rPr>
                <w:rFonts w:cs="Arial"/>
                <w:sz w:val="18"/>
                <w:szCs w:val="18"/>
                <w:highlight w:val="lightGray"/>
                <w:lang w:val="fr-FR"/>
              </w:rPr>
              <w:t>1)</w:t>
            </w:r>
            <w:r w:rsidR="00BA61FE" w:rsidRPr="00754CC2">
              <w:rPr>
                <w:rFonts w:cs="Arial"/>
                <w:sz w:val="18"/>
                <w:szCs w:val="18"/>
                <w:highlight w:val="lightGray"/>
                <w:lang w:val="fr-FR"/>
              </w:rPr>
              <w:tab/>
              <w:t>Les services prennent toutes les mesures nécessaires pour protéger les droits du</w:t>
            </w:r>
            <w:r w:rsidRPr="00754CC2">
              <w:rPr>
                <w:rFonts w:cs="Arial"/>
                <w:sz w:val="18"/>
                <w:szCs w:val="18"/>
                <w:highlight w:val="lightGray"/>
                <w:lang w:val="fr-FR"/>
              </w:rPr>
              <w:t xml:space="preserve"> </w:t>
            </w:r>
            <w:r w:rsidR="00BA61FE" w:rsidRPr="00754CC2">
              <w:rPr>
                <w:rFonts w:cs="Arial"/>
                <w:sz w:val="18"/>
                <w:szCs w:val="18"/>
                <w:highlight w:val="lightGray"/>
                <w:lang w:val="fr-FR"/>
              </w:rPr>
              <w:t>déposant.</w:t>
            </w:r>
          </w:p>
          <w:p w:rsidR="00BA61FE" w:rsidRPr="00754CC2" w:rsidRDefault="00BA61FE" w:rsidP="00FF414C">
            <w:pPr>
              <w:ind w:right="567"/>
              <w:rPr>
                <w:rFonts w:cs="Arial"/>
                <w:sz w:val="18"/>
                <w:szCs w:val="18"/>
                <w:highlight w:val="lightGray"/>
                <w:lang w:val="fr-FR"/>
              </w:rPr>
            </w:pPr>
          </w:p>
          <w:p w:rsidR="00BA61FE" w:rsidRPr="00754CC2" w:rsidRDefault="00895864" w:rsidP="00FF414C">
            <w:pPr>
              <w:autoSpaceDE w:val="0"/>
              <w:autoSpaceDN w:val="0"/>
              <w:adjustRightInd w:val="0"/>
              <w:rPr>
                <w:rFonts w:cs="Arial"/>
                <w:sz w:val="18"/>
                <w:szCs w:val="18"/>
                <w:highlight w:val="lightGray"/>
                <w:lang w:val="fr-FR"/>
              </w:rPr>
            </w:pPr>
            <w:r w:rsidRPr="00754CC2">
              <w:rPr>
                <w:rFonts w:cs="Arial"/>
                <w:sz w:val="18"/>
                <w:szCs w:val="18"/>
                <w:highlight w:val="lightGray"/>
                <w:lang w:val="fr-FR"/>
              </w:rPr>
              <w:t>“</w:t>
            </w:r>
            <w:r w:rsidR="00BA61FE" w:rsidRPr="00754CC2">
              <w:rPr>
                <w:rFonts w:cs="Arial"/>
                <w:sz w:val="18"/>
                <w:szCs w:val="18"/>
                <w:highlight w:val="lightGray"/>
                <w:lang w:val="fr-FR"/>
              </w:rPr>
              <w:t>2)</w:t>
            </w:r>
            <w:r w:rsidR="00BA61FE" w:rsidRPr="00754CC2">
              <w:rPr>
                <w:rFonts w:cs="Arial"/>
                <w:sz w:val="18"/>
                <w:szCs w:val="18"/>
                <w:highlight w:val="lightGray"/>
                <w:lang w:val="fr-FR"/>
              </w:rPr>
              <w:tab/>
              <w:t>Sauf autorisation expresse du service récepteur et du déposant, le service prestataire doit s</w:t>
            </w:r>
            <w:r w:rsidR="00FD700E" w:rsidRPr="00754CC2">
              <w:rPr>
                <w:rFonts w:cs="Arial"/>
                <w:sz w:val="18"/>
                <w:szCs w:val="18"/>
                <w:highlight w:val="lightGray"/>
                <w:lang w:val="fr-FR"/>
              </w:rPr>
              <w:t>’</w:t>
            </w:r>
            <w:r w:rsidR="00BA61FE" w:rsidRPr="00754CC2">
              <w:rPr>
                <w:rFonts w:cs="Arial"/>
                <w:sz w:val="18"/>
                <w:szCs w:val="18"/>
                <w:highlight w:val="lightGray"/>
                <w:lang w:val="fr-FR"/>
              </w:rPr>
              <w:t>abstenir de fournir à un tiers du matériel des variétés dont l</w:t>
            </w:r>
            <w:r w:rsidR="00FD700E" w:rsidRPr="00754CC2">
              <w:rPr>
                <w:rFonts w:cs="Arial"/>
                <w:sz w:val="18"/>
                <w:szCs w:val="18"/>
                <w:highlight w:val="lightGray"/>
                <w:lang w:val="fr-FR"/>
              </w:rPr>
              <w:t>’</w:t>
            </w:r>
            <w:r w:rsidR="00BA61FE" w:rsidRPr="00754CC2">
              <w:rPr>
                <w:rFonts w:cs="Arial"/>
                <w:sz w:val="18"/>
                <w:szCs w:val="18"/>
                <w:highlight w:val="lightGray"/>
                <w:lang w:val="fr-FR"/>
              </w:rPr>
              <w:t>examen a été sollicité.</w:t>
            </w:r>
          </w:p>
          <w:p w:rsidR="00BA61FE" w:rsidRPr="00754CC2" w:rsidRDefault="00BA61FE" w:rsidP="00FF414C">
            <w:pPr>
              <w:ind w:right="567"/>
              <w:rPr>
                <w:rFonts w:cs="Arial"/>
                <w:sz w:val="18"/>
                <w:szCs w:val="18"/>
                <w:highlight w:val="lightGray"/>
                <w:lang w:val="fr-FR"/>
              </w:rPr>
            </w:pPr>
          </w:p>
          <w:p w:rsidR="00BA61FE" w:rsidRPr="00754CC2" w:rsidRDefault="00895864" w:rsidP="00FF414C">
            <w:pPr>
              <w:ind w:right="567"/>
              <w:rPr>
                <w:rFonts w:cs="Arial"/>
                <w:sz w:val="18"/>
                <w:szCs w:val="18"/>
                <w:highlight w:val="lightGray"/>
                <w:lang w:val="fr-FR"/>
              </w:rPr>
            </w:pPr>
            <w:r w:rsidRPr="00754CC2">
              <w:rPr>
                <w:rFonts w:cs="Arial"/>
                <w:sz w:val="18"/>
                <w:szCs w:val="18"/>
                <w:highlight w:val="lightGray"/>
                <w:lang w:val="fr-FR"/>
              </w:rPr>
              <w:t>“</w:t>
            </w:r>
            <w:r w:rsidR="00BA61FE" w:rsidRPr="00754CC2">
              <w:rPr>
                <w:rFonts w:cs="Arial"/>
                <w:sz w:val="18"/>
                <w:szCs w:val="18"/>
                <w:highlight w:val="lightGray"/>
                <w:lang w:val="fr-FR"/>
              </w:rPr>
              <w:t>3)</w:t>
            </w:r>
            <w:r w:rsidR="00BA61FE" w:rsidRPr="00754CC2">
              <w:rPr>
                <w:rFonts w:cs="Arial"/>
                <w:sz w:val="18"/>
                <w:szCs w:val="18"/>
                <w:highlight w:val="lightGray"/>
                <w:lang w:val="fr-FR"/>
              </w:rPr>
              <w:tab/>
              <w:t>Seuls auront accès aux documents et aux parcelles d</w:t>
            </w:r>
            <w:r w:rsidR="00FD700E" w:rsidRPr="00754CC2">
              <w:rPr>
                <w:rFonts w:cs="Arial"/>
                <w:sz w:val="18"/>
                <w:szCs w:val="18"/>
                <w:highlight w:val="lightGray"/>
                <w:lang w:val="fr-FR"/>
              </w:rPr>
              <w:t>’</w:t>
            </w:r>
            <w:r w:rsidR="00BA61FE" w:rsidRPr="00754CC2">
              <w:rPr>
                <w:rFonts w:cs="Arial"/>
                <w:sz w:val="18"/>
                <w:szCs w:val="18"/>
                <w:highlight w:val="lightGray"/>
                <w:lang w:val="fr-FR"/>
              </w:rPr>
              <w:t>essais</w:t>
            </w:r>
            <w:r w:rsidRPr="00754CC2">
              <w:rPr>
                <w:rFonts w:cs="Arial"/>
                <w:sz w:val="18"/>
                <w:szCs w:val="18"/>
                <w:highlight w:val="lightGray"/>
                <w:lang w:val="fr-FR"/>
              </w:rPr>
              <w:t> </w:t>
            </w:r>
            <w:r w:rsidR="00BA61FE" w:rsidRPr="00754CC2">
              <w:rPr>
                <w:rFonts w:cs="Arial"/>
                <w:sz w:val="18"/>
                <w:szCs w:val="18"/>
                <w:highlight w:val="lightGray"/>
                <w:lang w:val="fr-FR"/>
              </w:rPr>
              <w:t>:</w:t>
            </w:r>
          </w:p>
          <w:p w:rsidR="00BA61FE" w:rsidRPr="00754CC2" w:rsidRDefault="00BA61FE" w:rsidP="00FF414C">
            <w:pPr>
              <w:ind w:right="567"/>
              <w:rPr>
                <w:rFonts w:cs="Arial"/>
                <w:sz w:val="18"/>
                <w:szCs w:val="18"/>
                <w:highlight w:val="lightGray"/>
                <w:lang w:val="fr-FR"/>
              </w:rPr>
            </w:pPr>
          </w:p>
          <w:p w:rsidR="00BA61FE" w:rsidRPr="00754CC2" w:rsidRDefault="00895864" w:rsidP="00FF414C">
            <w:pPr>
              <w:ind w:right="567"/>
              <w:rPr>
                <w:rFonts w:cs="Arial"/>
                <w:sz w:val="18"/>
                <w:szCs w:val="18"/>
                <w:highlight w:val="lightGray"/>
                <w:lang w:val="fr-FR"/>
              </w:rPr>
            </w:pPr>
            <w:r w:rsidRPr="00754CC2">
              <w:rPr>
                <w:rFonts w:cs="Arial"/>
                <w:sz w:val="18"/>
                <w:szCs w:val="18"/>
                <w:highlight w:val="lightGray"/>
                <w:lang w:val="fr-FR"/>
              </w:rPr>
              <w:t>“</w:t>
            </w:r>
            <w:r w:rsidR="00BA61FE" w:rsidRPr="00754CC2">
              <w:rPr>
                <w:rFonts w:cs="Arial"/>
                <w:sz w:val="18"/>
                <w:szCs w:val="18"/>
                <w:highlight w:val="lightGray"/>
                <w:lang w:val="fr-FR"/>
              </w:rPr>
              <w:t>i)</w:t>
            </w:r>
            <w:r w:rsidR="00BA61FE" w:rsidRPr="00754CC2">
              <w:rPr>
                <w:rFonts w:cs="Arial"/>
                <w:sz w:val="18"/>
                <w:szCs w:val="18"/>
                <w:highlight w:val="lightGray"/>
                <w:lang w:val="fr-FR"/>
              </w:rPr>
              <w:tab/>
              <w:t>service récepteur, le déposant et toute personne dûment autorisée;</w:t>
            </w:r>
          </w:p>
          <w:p w:rsidR="00BA61FE" w:rsidRPr="00754CC2" w:rsidRDefault="00BA61FE" w:rsidP="00FF414C">
            <w:pPr>
              <w:ind w:right="567"/>
              <w:rPr>
                <w:rFonts w:cs="Arial"/>
                <w:sz w:val="18"/>
                <w:szCs w:val="18"/>
                <w:highlight w:val="lightGray"/>
                <w:lang w:val="fr-FR"/>
              </w:rPr>
            </w:pPr>
          </w:p>
          <w:p w:rsidR="00BA61FE" w:rsidRPr="00754CC2" w:rsidRDefault="00895864" w:rsidP="00FF414C">
            <w:pPr>
              <w:autoSpaceDE w:val="0"/>
              <w:autoSpaceDN w:val="0"/>
              <w:adjustRightInd w:val="0"/>
              <w:rPr>
                <w:rFonts w:cs="Arial"/>
                <w:sz w:val="18"/>
                <w:szCs w:val="18"/>
                <w:highlight w:val="lightGray"/>
                <w:lang w:val="fr-FR"/>
              </w:rPr>
            </w:pPr>
            <w:r w:rsidRPr="00754CC2">
              <w:rPr>
                <w:rFonts w:cs="Arial"/>
                <w:sz w:val="18"/>
                <w:szCs w:val="18"/>
                <w:highlight w:val="lightGray"/>
                <w:lang w:val="fr-FR"/>
              </w:rPr>
              <w:t>“</w:t>
            </w:r>
            <w:r w:rsidR="00BA61FE" w:rsidRPr="00754CC2">
              <w:rPr>
                <w:rFonts w:cs="Arial"/>
                <w:sz w:val="18"/>
                <w:szCs w:val="18"/>
                <w:highlight w:val="lightGray"/>
                <w:lang w:val="fr-FR"/>
              </w:rPr>
              <w:t>ii)</w:t>
            </w:r>
            <w:r w:rsidR="00BA61FE" w:rsidRPr="00754CC2">
              <w:rPr>
                <w:rFonts w:cs="Arial"/>
                <w:sz w:val="18"/>
                <w:szCs w:val="18"/>
                <w:highlight w:val="lightGray"/>
                <w:lang w:val="fr-FR"/>
              </w:rPr>
              <w:tab/>
              <w:t>le personnel nécessaire de l</w:t>
            </w:r>
            <w:r w:rsidR="00FD700E" w:rsidRPr="00754CC2">
              <w:rPr>
                <w:rFonts w:cs="Arial"/>
                <w:sz w:val="18"/>
                <w:szCs w:val="18"/>
                <w:highlight w:val="lightGray"/>
                <w:lang w:val="fr-FR"/>
              </w:rPr>
              <w:t>’</w:t>
            </w:r>
            <w:r w:rsidR="00BA61FE" w:rsidRPr="00754CC2">
              <w:rPr>
                <w:rFonts w:cs="Arial"/>
                <w:sz w:val="18"/>
                <w:szCs w:val="18"/>
                <w:highlight w:val="lightGray"/>
                <w:lang w:val="fr-FR"/>
              </w:rPr>
              <w:t>institution qui effectue l</w:t>
            </w:r>
            <w:r w:rsidR="00FD700E" w:rsidRPr="00754CC2">
              <w:rPr>
                <w:rFonts w:cs="Arial"/>
                <w:sz w:val="18"/>
                <w:szCs w:val="18"/>
                <w:highlight w:val="lightGray"/>
                <w:lang w:val="fr-FR"/>
              </w:rPr>
              <w:t>’</w:t>
            </w:r>
            <w:r w:rsidR="00BA61FE" w:rsidRPr="00754CC2">
              <w:rPr>
                <w:rFonts w:cs="Arial"/>
                <w:sz w:val="18"/>
                <w:szCs w:val="18"/>
                <w:highlight w:val="lightGray"/>
                <w:lang w:val="fr-FR"/>
              </w:rPr>
              <w:t>examen et les experts spécialement appelés à cet effet et qui sont tenus au secret professionnel en service public.  Ces experts n</w:t>
            </w:r>
            <w:r w:rsidR="00FD700E" w:rsidRPr="00754CC2">
              <w:rPr>
                <w:rFonts w:cs="Arial"/>
                <w:sz w:val="18"/>
                <w:szCs w:val="18"/>
                <w:highlight w:val="lightGray"/>
                <w:lang w:val="fr-FR"/>
              </w:rPr>
              <w:t>’</w:t>
            </w:r>
            <w:r w:rsidR="00BA61FE" w:rsidRPr="00754CC2">
              <w:rPr>
                <w:rFonts w:cs="Arial"/>
                <w:sz w:val="18"/>
                <w:szCs w:val="18"/>
                <w:highlight w:val="lightGray"/>
                <w:lang w:val="fr-FR"/>
              </w:rPr>
              <w:t>ont accès aux formules des variétés hybrides que si cela est strictement indispensable et si le déposant ne formule aucune objection.</w:t>
            </w:r>
          </w:p>
          <w:p w:rsidR="00BA61FE" w:rsidRPr="00754CC2" w:rsidRDefault="00BA61FE" w:rsidP="00FF414C">
            <w:pPr>
              <w:ind w:right="567"/>
              <w:rPr>
                <w:rFonts w:cs="Arial"/>
                <w:sz w:val="18"/>
                <w:szCs w:val="18"/>
                <w:highlight w:val="lightGray"/>
                <w:lang w:val="fr-FR"/>
              </w:rPr>
            </w:pPr>
          </w:p>
          <w:p w:rsidR="00BA61FE" w:rsidRPr="00754CC2" w:rsidRDefault="00BA61FE" w:rsidP="00FF414C">
            <w:pPr>
              <w:autoSpaceDE w:val="0"/>
              <w:autoSpaceDN w:val="0"/>
              <w:adjustRightInd w:val="0"/>
              <w:rPr>
                <w:rFonts w:cs="Arial"/>
                <w:sz w:val="18"/>
                <w:szCs w:val="18"/>
                <w:highlight w:val="lightGray"/>
                <w:lang w:val="fr-FR"/>
              </w:rPr>
            </w:pPr>
            <w:r w:rsidRPr="00754CC2">
              <w:rPr>
                <w:rFonts w:cs="Arial"/>
                <w:sz w:val="18"/>
                <w:szCs w:val="18"/>
                <w:highlight w:val="lightGray"/>
                <w:lang w:val="fr-FR"/>
              </w:rPr>
              <w:t>“Le présent alinéa n</w:t>
            </w:r>
            <w:r w:rsidR="00FD700E" w:rsidRPr="00754CC2">
              <w:rPr>
                <w:rFonts w:cs="Arial"/>
                <w:sz w:val="18"/>
                <w:szCs w:val="18"/>
                <w:highlight w:val="lightGray"/>
                <w:lang w:val="fr-FR"/>
              </w:rPr>
              <w:t>’</w:t>
            </w:r>
            <w:r w:rsidRPr="00754CC2">
              <w:rPr>
                <w:rFonts w:cs="Arial"/>
                <w:sz w:val="18"/>
                <w:szCs w:val="18"/>
                <w:highlight w:val="lightGray"/>
                <w:lang w:val="fr-FR"/>
              </w:rPr>
              <w:t>exclut pas l</w:t>
            </w:r>
            <w:r w:rsidR="00FD700E" w:rsidRPr="00754CC2">
              <w:rPr>
                <w:rFonts w:cs="Arial"/>
                <w:sz w:val="18"/>
                <w:szCs w:val="18"/>
                <w:highlight w:val="lightGray"/>
                <w:lang w:val="fr-FR"/>
              </w:rPr>
              <w:t>’</w:t>
            </w:r>
            <w:r w:rsidRPr="00754CC2">
              <w:rPr>
                <w:rFonts w:cs="Arial"/>
                <w:sz w:val="18"/>
                <w:szCs w:val="18"/>
                <w:highlight w:val="lightGray"/>
                <w:lang w:val="fr-FR"/>
              </w:rPr>
              <w:t>accès général des visiteurs aux parcelles d</w:t>
            </w:r>
            <w:r w:rsidR="00FD700E" w:rsidRPr="00754CC2">
              <w:rPr>
                <w:rFonts w:cs="Arial"/>
                <w:sz w:val="18"/>
                <w:szCs w:val="18"/>
                <w:highlight w:val="lightGray"/>
                <w:lang w:val="fr-FR"/>
              </w:rPr>
              <w:t>’</w:t>
            </w:r>
            <w:r w:rsidRPr="00754CC2">
              <w:rPr>
                <w:rFonts w:cs="Arial"/>
                <w:sz w:val="18"/>
                <w:szCs w:val="18"/>
                <w:highlight w:val="lightGray"/>
                <w:lang w:val="fr-FR"/>
              </w:rPr>
              <w:t>essais, à condition qu</w:t>
            </w:r>
            <w:r w:rsidR="00FD700E" w:rsidRPr="00754CC2">
              <w:rPr>
                <w:rFonts w:cs="Arial"/>
                <w:sz w:val="18"/>
                <w:szCs w:val="18"/>
                <w:highlight w:val="lightGray"/>
                <w:lang w:val="fr-FR"/>
              </w:rPr>
              <w:t>’</w:t>
            </w:r>
            <w:r w:rsidRPr="00754CC2">
              <w:rPr>
                <w:rFonts w:cs="Arial"/>
                <w:sz w:val="18"/>
                <w:szCs w:val="18"/>
                <w:highlight w:val="lightGray"/>
                <w:lang w:val="fr-FR"/>
              </w:rPr>
              <w:t>il soit dûmen</w:t>
            </w:r>
            <w:r w:rsidR="00895864" w:rsidRPr="00754CC2">
              <w:rPr>
                <w:rFonts w:cs="Arial"/>
                <w:sz w:val="18"/>
                <w:szCs w:val="18"/>
                <w:highlight w:val="lightGray"/>
                <w:lang w:val="fr-FR"/>
              </w:rPr>
              <w:t>t tenu compte de l</w:t>
            </w:r>
            <w:r w:rsidR="00FD700E" w:rsidRPr="00754CC2">
              <w:rPr>
                <w:rFonts w:cs="Arial"/>
                <w:sz w:val="18"/>
                <w:szCs w:val="18"/>
                <w:highlight w:val="lightGray"/>
                <w:lang w:val="fr-FR"/>
              </w:rPr>
              <w:t>’</w:t>
            </w:r>
            <w:r w:rsidR="00895864" w:rsidRPr="00754CC2">
              <w:rPr>
                <w:rFonts w:cs="Arial"/>
                <w:sz w:val="18"/>
                <w:szCs w:val="18"/>
                <w:highlight w:val="lightGray"/>
                <w:lang w:val="fr-FR"/>
              </w:rPr>
              <w:t>alinéa 1) ci</w:t>
            </w:r>
            <w:r w:rsidR="00B66F35" w:rsidRPr="00754CC2">
              <w:rPr>
                <w:rFonts w:cs="Arial"/>
                <w:sz w:val="18"/>
                <w:szCs w:val="18"/>
                <w:highlight w:val="lightGray"/>
                <w:lang w:val="fr-FR"/>
              </w:rPr>
              <w:noBreakHyphen/>
            </w:r>
            <w:r w:rsidRPr="00754CC2">
              <w:rPr>
                <w:rFonts w:cs="Arial"/>
                <w:sz w:val="18"/>
                <w:szCs w:val="18"/>
                <w:highlight w:val="lightGray"/>
                <w:lang w:val="fr-FR"/>
              </w:rPr>
              <w:t>dessus.</w:t>
            </w:r>
          </w:p>
          <w:p w:rsidR="00BA61FE" w:rsidRPr="00754CC2" w:rsidRDefault="00BA61FE" w:rsidP="00FF414C">
            <w:pPr>
              <w:ind w:right="567"/>
              <w:rPr>
                <w:rFonts w:cs="Arial"/>
                <w:sz w:val="18"/>
                <w:szCs w:val="18"/>
                <w:highlight w:val="lightGray"/>
                <w:lang w:val="fr-FR"/>
              </w:rPr>
            </w:pPr>
          </w:p>
          <w:p w:rsidR="00BA61FE" w:rsidRPr="00754CC2" w:rsidRDefault="00895864" w:rsidP="00FF414C">
            <w:pPr>
              <w:autoSpaceDE w:val="0"/>
              <w:autoSpaceDN w:val="0"/>
              <w:adjustRightInd w:val="0"/>
              <w:rPr>
                <w:rFonts w:cs="Arial"/>
                <w:sz w:val="18"/>
                <w:szCs w:val="18"/>
                <w:highlight w:val="lightGray"/>
                <w:lang w:val="fr-FR"/>
              </w:rPr>
            </w:pPr>
            <w:r w:rsidRPr="00754CC2">
              <w:rPr>
                <w:rFonts w:cs="Arial"/>
                <w:sz w:val="18"/>
                <w:szCs w:val="18"/>
                <w:highlight w:val="lightGray"/>
                <w:lang w:val="fr-FR"/>
              </w:rPr>
              <w:t>“</w:t>
            </w:r>
            <w:r w:rsidR="00BA61FE" w:rsidRPr="00754CC2">
              <w:rPr>
                <w:rFonts w:cs="Arial"/>
                <w:sz w:val="18"/>
                <w:szCs w:val="18"/>
                <w:highlight w:val="lightGray"/>
                <w:lang w:val="fr-FR"/>
              </w:rPr>
              <w:t>4)</w:t>
            </w:r>
            <w:r w:rsidR="00BA61FE" w:rsidRPr="00754CC2">
              <w:rPr>
                <w:rFonts w:cs="Arial"/>
                <w:sz w:val="18"/>
                <w:szCs w:val="18"/>
                <w:highlight w:val="lightGray"/>
                <w:lang w:val="fr-FR"/>
              </w:rPr>
              <w:tab/>
              <w:t>Si un autre service a la qualité de service récepteur en vertu d</w:t>
            </w:r>
            <w:r w:rsidR="00FD700E" w:rsidRPr="00754CC2">
              <w:rPr>
                <w:rFonts w:cs="Arial"/>
                <w:sz w:val="18"/>
                <w:szCs w:val="18"/>
                <w:highlight w:val="lightGray"/>
                <w:lang w:val="fr-FR"/>
              </w:rPr>
              <w:t>’</w:t>
            </w:r>
            <w:r w:rsidR="00BA61FE" w:rsidRPr="00754CC2">
              <w:rPr>
                <w:rFonts w:cs="Arial"/>
                <w:sz w:val="18"/>
                <w:szCs w:val="18"/>
                <w:highlight w:val="lightGray"/>
                <w:lang w:val="fr-FR"/>
              </w:rPr>
              <w:t>un accord similaire, l</w:t>
            </w:r>
            <w:r w:rsidR="00FD700E" w:rsidRPr="00754CC2">
              <w:rPr>
                <w:rFonts w:cs="Arial"/>
                <w:sz w:val="18"/>
                <w:szCs w:val="18"/>
                <w:highlight w:val="lightGray"/>
                <w:lang w:val="fr-FR"/>
              </w:rPr>
              <w:t>’</w:t>
            </w:r>
            <w:r w:rsidR="00BA61FE" w:rsidRPr="00754CC2">
              <w:rPr>
                <w:rFonts w:cs="Arial"/>
                <w:sz w:val="18"/>
                <w:szCs w:val="18"/>
                <w:highlight w:val="lightGray"/>
                <w:lang w:val="fr-FR"/>
              </w:rPr>
              <w:t>accès peut également être accordé conformément aux règles applicables en vertu de cet accord.”</w:t>
            </w:r>
          </w:p>
          <w:p w:rsidR="008878B8" w:rsidRPr="00754CC2" w:rsidRDefault="008878B8" w:rsidP="00FF414C">
            <w:pPr>
              <w:autoSpaceDE w:val="0"/>
              <w:autoSpaceDN w:val="0"/>
              <w:adjustRightInd w:val="0"/>
              <w:rPr>
                <w:sz w:val="18"/>
                <w:szCs w:val="18"/>
                <w:highlight w:val="lightGray"/>
                <w:lang w:val="fr-FR"/>
              </w:rPr>
            </w:pPr>
          </w:p>
        </w:tc>
      </w:tr>
    </w:tbl>
    <w:p w:rsidR="00167878" w:rsidRPr="00754CC2" w:rsidRDefault="00167878" w:rsidP="00BA61FE">
      <w:pPr>
        <w:rPr>
          <w:highlight w:val="lightGray"/>
          <w:lang w:val="fr-FR"/>
        </w:rPr>
      </w:pPr>
    </w:p>
    <w:p w:rsidR="00E234B6" w:rsidRPr="00754CC2" w:rsidRDefault="00167878" w:rsidP="00BA61FE">
      <w:pPr>
        <w:rPr>
          <w:highlight w:val="lightGray"/>
          <w:lang w:val="fr-FR"/>
        </w:rPr>
      </w:pPr>
      <w:r w:rsidRPr="00754CC2">
        <w:rPr>
          <w:highlight w:val="lightGray"/>
          <w:lang w:val="fr-FR"/>
        </w:rPr>
        <w:t>72</w:t>
      </w:r>
      <w:r w:rsidR="00BA61FE" w:rsidRPr="00754CC2">
        <w:rPr>
          <w:highlight w:val="lightGray"/>
          <w:lang w:val="fr-FR"/>
        </w:rPr>
        <w:t>.</w:t>
      </w:r>
      <w:r w:rsidR="00BA61FE" w:rsidRPr="00754CC2">
        <w:rPr>
          <w:highlight w:val="lightGray"/>
          <w:lang w:val="fr-FR"/>
        </w:rPr>
        <w:tab/>
        <w:t>Les membres de l</w:t>
      </w:r>
      <w:r w:rsidR="00FD700E" w:rsidRPr="00754CC2">
        <w:rPr>
          <w:highlight w:val="lightGray"/>
          <w:lang w:val="fr-FR"/>
        </w:rPr>
        <w:t>’</w:t>
      </w:r>
      <w:r w:rsidR="00BA61FE" w:rsidRPr="00754CC2">
        <w:rPr>
          <w:highlight w:val="lightGray"/>
          <w:lang w:val="fr-FR"/>
        </w:rPr>
        <w:t>UPOV peuvent conclure des arrangements informels pour l</w:t>
      </w:r>
      <w:r w:rsidR="00FD700E" w:rsidRPr="00754CC2">
        <w:rPr>
          <w:highlight w:val="lightGray"/>
          <w:lang w:val="fr-FR"/>
        </w:rPr>
        <w:t>’</w:t>
      </w:r>
      <w:r w:rsidR="00BA61FE" w:rsidRPr="00754CC2">
        <w:rPr>
          <w:highlight w:val="lightGray"/>
          <w:lang w:val="fr-FR"/>
        </w:rPr>
        <w:t>achat de rapports d</w:t>
      </w:r>
      <w:r w:rsidR="00FD700E" w:rsidRPr="00754CC2">
        <w:rPr>
          <w:highlight w:val="lightGray"/>
          <w:lang w:val="fr-FR"/>
        </w:rPr>
        <w:t>’</w:t>
      </w:r>
      <w:r w:rsidR="00BA61FE" w:rsidRPr="00754CC2">
        <w:rPr>
          <w:highlight w:val="lightGray"/>
          <w:lang w:val="fr-FR"/>
        </w:rPr>
        <w:t>examen</w:t>
      </w:r>
      <w:r w:rsidR="001B0B2D" w:rsidRPr="00754CC2">
        <w:rPr>
          <w:highlight w:val="lightGray"/>
          <w:lang w:val="fr-FR"/>
        </w:rPr>
        <w:t> </w:t>
      </w:r>
      <w:r w:rsidR="00BA61FE" w:rsidRPr="00754CC2">
        <w:rPr>
          <w:highlight w:val="lightGray"/>
          <w:lang w:val="fr-FR"/>
        </w:rPr>
        <w:t>DHS (par exemple, par échange de lettres).</w:t>
      </w:r>
    </w:p>
    <w:p w:rsidR="00BA61FE" w:rsidRPr="00754CC2" w:rsidRDefault="00BA61FE" w:rsidP="00347556">
      <w:pPr>
        <w:autoSpaceDE w:val="0"/>
        <w:autoSpaceDN w:val="0"/>
        <w:adjustRightInd w:val="0"/>
        <w:spacing w:line="360" w:lineRule="auto"/>
        <w:rPr>
          <w:highlight w:val="lightGray"/>
          <w:lang w:val="fr-FR"/>
        </w:rPr>
      </w:pPr>
    </w:p>
    <w:p w:rsidR="00BA61FE" w:rsidRPr="00754CC2" w:rsidRDefault="00895864" w:rsidP="00347556">
      <w:pPr>
        <w:pStyle w:val="Heading3"/>
        <w:rPr>
          <w:highlight w:val="lightGray"/>
        </w:rPr>
      </w:pPr>
      <w:bookmarkStart w:id="77" w:name="_Toc382814028"/>
      <w:bookmarkStart w:id="78" w:name="_Toc378597583"/>
      <w:bookmarkStart w:id="79" w:name="_Toc412041943"/>
      <w:r w:rsidRPr="00754CC2">
        <w:rPr>
          <w:highlight w:val="lightGray"/>
        </w:rPr>
        <w:lastRenderedPageBreak/>
        <w:t>D</w:t>
      </w:r>
      <w:r w:rsidR="00BA61FE" w:rsidRPr="00754CC2">
        <w:rPr>
          <w:highlight w:val="lightGray"/>
        </w:rPr>
        <w:t xml:space="preserve">écision </w:t>
      </w:r>
      <w:r w:rsidR="00E26935" w:rsidRPr="00754CC2">
        <w:rPr>
          <w:highlight w:val="lightGray"/>
        </w:rPr>
        <w:t>proposée</w:t>
      </w:r>
      <w:bookmarkEnd w:id="77"/>
      <w:r w:rsidR="00480111" w:rsidRPr="00754CC2">
        <w:rPr>
          <w:highlight w:val="lightGray"/>
        </w:rPr>
        <w:t xml:space="preserve"> </w:t>
      </w:r>
      <w:r w:rsidR="00BA61FE" w:rsidRPr="00754CC2">
        <w:rPr>
          <w:highlight w:val="lightGray"/>
        </w:rPr>
        <w:t>(voir la note f du diagramme figurant dans la section 1</w:t>
      </w:r>
      <w:bookmarkEnd w:id="78"/>
      <w:r w:rsidR="00D933B7" w:rsidRPr="00754CC2">
        <w:rPr>
          <w:highlight w:val="lightGray"/>
        </w:rPr>
        <w:t>)</w:t>
      </w:r>
      <w:bookmarkEnd w:id="79"/>
    </w:p>
    <w:p w:rsidR="00BA61FE" w:rsidRPr="00754CC2" w:rsidRDefault="00BA61FE" w:rsidP="00BA61FE">
      <w:pPr>
        <w:rPr>
          <w:sz w:val="18"/>
          <w:highlight w:val="lightGray"/>
          <w:lang w:val="fr-FR"/>
        </w:rPr>
      </w:pPr>
    </w:p>
    <w:p w:rsidR="00BA61FE" w:rsidRPr="00754CC2" w:rsidRDefault="00167878" w:rsidP="00BA61FE">
      <w:pPr>
        <w:rPr>
          <w:highlight w:val="lightGray"/>
          <w:lang w:val="fr-FR"/>
        </w:rPr>
      </w:pPr>
      <w:r w:rsidRPr="00754CC2">
        <w:rPr>
          <w:highlight w:val="lightGray"/>
          <w:lang w:val="fr-FR"/>
        </w:rPr>
        <w:t>73</w:t>
      </w:r>
      <w:r w:rsidR="00BA61FE" w:rsidRPr="00754CC2">
        <w:rPr>
          <w:highlight w:val="lightGray"/>
          <w:lang w:val="fr-FR"/>
        </w:rPr>
        <w:t>.</w:t>
      </w:r>
      <w:r w:rsidR="00BA61FE" w:rsidRPr="00754CC2">
        <w:rPr>
          <w:highlight w:val="lightGray"/>
          <w:lang w:val="fr-FR"/>
        </w:rPr>
        <w:tab/>
        <w:t>Sur la base des résultats de l</w:t>
      </w:r>
      <w:r w:rsidR="00FD700E" w:rsidRPr="00754CC2">
        <w:rPr>
          <w:highlight w:val="lightGray"/>
          <w:lang w:val="fr-FR"/>
        </w:rPr>
        <w:t>’</w:t>
      </w:r>
      <w:r w:rsidR="00BA61FE" w:rsidRPr="00754CC2">
        <w:rPr>
          <w:highlight w:val="lightGray"/>
          <w:lang w:val="fr-FR"/>
        </w:rPr>
        <w:t>examen de la nouveauté et de la dénomination et de l</w:t>
      </w:r>
      <w:r w:rsidR="00FD700E" w:rsidRPr="00754CC2">
        <w:rPr>
          <w:highlight w:val="lightGray"/>
          <w:lang w:val="fr-FR"/>
        </w:rPr>
        <w:t>’</w:t>
      </w:r>
      <w:r w:rsidR="00BA61FE" w:rsidRPr="00754CC2">
        <w:rPr>
          <w:highlight w:val="lightGray"/>
          <w:lang w:val="fr-FR"/>
        </w:rPr>
        <w:t>examen DHS, une décision peut être proposée concernant l</w:t>
      </w:r>
      <w:r w:rsidR="00FD700E" w:rsidRPr="00754CC2">
        <w:rPr>
          <w:highlight w:val="lightGray"/>
          <w:lang w:val="fr-FR"/>
        </w:rPr>
        <w:t>’</w:t>
      </w:r>
      <w:r w:rsidR="00BA61FE" w:rsidRPr="00754CC2">
        <w:rPr>
          <w:highlight w:val="lightGray"/>
          <w:lang w:val="fr-FR"/>
        </w:rPr>
        <w:t>octroi de la protection.  Cette décision peut être proposée au service chargé de l</w:t>
      </w:r>
      <w:r w:rsidR="00FD700E" w:rsidRPr="00754CC2">
        <w:rPr>
          <w:highlight w:val="lightGray"/>
          <w:lang w:val="fr-FR"/>
        </w:rPr>
        <w:t>’</w:t>
      </w:r>
      <w:r w:rsidR="00BA61FE" w:rsidRPr="00754CC2">
        <w:rPr>
          <w:highlight w:val="lightGray"/>
          <w:lang w:val="fr-FR"/>
        </w:rPr>
        <w:t>octroi des droits d</w:t>
      </w:r>
      <w:r w:rsidR="00FD700E" w:rsidRPr="00754CC2">
        <w:rPr>
          <w:highlight w:val="lightGray"/>
          <w:lang w:val="fr-FR"/>
        </w:rPr>
        <w:t>’</w:t>
      </w:r>
      <w:r w:rsidR="00BA61FE" w:rsidRPr="00754CC2">
        <w:rPr>
          <w:highlight w:val="lightGray"/>
          <w:lang w:val="fr-FR"/>
        </w:rPr>
        <w:t>obtenteur (service d</w:t>
      </w:r>
      <w:r w:rsidR="00FD700E" w:rsidRPr="00754CC2">
        <w:rPr>
          <w:highlight w:val="lightGray"/>
          <w:lang w:val="fr-FR"/>
        </w:rPr>
        <w:t>’</w:t>
      </w:r>
      <w:r w:rsidR="00BA61FE" w:rsidRPr="00754CC2">
        <w:rPr>
          <w:highlight w:val="lightGray"/>
          <w:lang w:val="fr-FR"/>
        </w:rPr>
        <w:t>octroi des droits d</w:t>
      </w:r>
      <w:r w:rsidR="00FD700E" w:rsidRPr="00754CC2">
        <w:rPr>
          <w:highlight w:val="lightGray"/>
          <w:lang w:val="fr-FR"/>
        </w:rPr>
        <w:t>’</w:t>
      </w:r>
      <w:r w:rsidR="00BA61FE" w:rsidRPr="00754CC2">
        <w:rPr>
          <w:highlight w:val="lightGray"/>
          <w:lang w:val="fr-FR"/>
        </w:rPr>
        <w:t>obtenteur) par un responsable ou un groupe de spécialistes, tels qu</w:t>
      </w:r>
      <w:r w:rsidR="00FD700E" w:rsidRPr="00754CC2">
        <w:rPr>
          <w:highlight w:val="lightGray"/>
          <w:lang w:val="fr-FR"/>
        </w:rPr>
        <w:t>’</w:t>
      </w:r>
      <w:r w:rsidR="00BA61FE" w:rsidRPr="00754CC2">
        <w:rPr>
          <w:highlight w:val="lightGray"/>
          <w:lang w:val="fr-FR"/>
        </w:rPr>
        <w:t>un comité ou un groupe d</w:t>
      </w:r>
      <w:r w:rsidR="00FD700E" w:rsidRPr="00754CC2">
        <w:rPr>
          <w:highlight w:val="lightGray"/>
          <w:lang w:val="fr-FR"/>
        </w:rPr>
        <w:t>’</w:t>
      </w:r>
      <w:r w:rsidR="00BA61FE" w:rsidRPr="00754CC2">
        <w:rPr>
          <w:highlight w:val="lightGray"/>
          <w:lang w:val="fr-FR"/>
        </w:rPr>
        <w:t>experts.  Si la décision est négative, le rejet de la demande est publié (voir le document UPOV/INF/5 intitulé “Bulletin type de l</w:t>
      </w:r>
      <w:r w:rsidR="00FD700E" w:rsidRPr="00754CC2">
        <w:rPr>
          <w:highlight w:val="lightGray"/>
          <w:lang w:val="fr-FR"/>
        </w:rPr>
        <w:t>’</w:t>
      </w:r>
      <w:r w:rsidR="00BA61FE" w:rsidRPr="00754CC2">
        <w:rPr>
          <w:highlight w:val="lightGray"/>
          <w:lang w:val="fr-FR"/>
        </w:rPr>
        <w:t>UPOV de la protection des obtentions végétales”).  Le demandeur peut former un recours contre la décision nég</w:t>
      </w:r>
      <w:r w:rsidR="00895864" w:rsidRPr="00754CC2">
        <w:rPr>
          <w:highlight w:val="lightGray"/>
          <w:lang w:val="fr-FR"/>
        </w:rPr>
        <w:t>ative proposée par le service.</w:t>
      </w:r>
    </w:p>
    <w:p w:rsidR="00BA61FE" w:rsidRPr="00754CC2" w:rsidRDefault="00BA61FE" w:rsidP="00347556">
      <w:pPr>
        <w:spacing w:line="360" w:lineRule="auto"/>
        <w:rPr>
          <w:highlight w:val="lightGray"/>
          <w:lang w:val="fr-FR"/>
        </w:rPr>
      </w:pPr>
    </w:p>
    <w:p w:rsidR="00BA61FE" w:rsidRPr="00754CC2" w:rsidRDefault="00BA61FE" w:rsidP="00347556">
      <w:pPr>
        <w:pStyle w:val="Heading3"/>
        <w:rPr>
          <w:highlight w:val="lightGray"/>
        </w:rPr>
      </w:pPr>
      <w:bookmarkStart w:id="80" w:name="_Toc382814029"/>
      <w:bookmarkStart w:id="81" w:name="_Toc378597584"/>
      <w:bookmarkStart w:id="82" w:name="_Toc412041944"/>
      <w:r w:rsidRPr="00754CC2">
        <w:rPr>
          <w:highlight w:val="lightGray"/>
        </w:rPr>
        <w:t>Objections</w:t>
      </w:r>
      <w:bookmarkEnd w:id="80"/>
      <w:r w:rsidR="00480111" w:rsidRPr="00754CC2">
        <w:rPr>
          <w:highlight w:val="lightGray"/>
        </w:rPr>
        <w:t xml:space="preserve"> </w:t>
      </w:r>
      <w:r w:rsidRPr="00754CC2">
        <w:rPr>
          <w:highlight w:val="lightGray"/>
        </w:rPr>
        <w:t>(voir la note g du diagramme figurant dans la section 1</w:t>
      </w:r>
      <w:bookmarkEnd w:id="81"/>
      <w:r w:rsidR="00D933B7" w:rsidRPr="00754CC2">
        <w:rPr>
          <w:highlight w:val="lightGray"/>
        </w:rPr>
        <w:t>)</w:t>
      </w:r>
      <w:bookmarkEnd w:id="82"/>
    </w:p>
    <w:p w:rsidR="00BA61FE" w:rsidRPr="00754CC2" w:rsidRDefault="00BA61FE" w:rsidP="00BA61FE">
      <w:pPr>
        <w:rPr>
          <w:highlight w:val="lightGray"/>
          <w:lang w:val="fr-FR"/>
        </w:rPr>
      </w:pPr>
    </w:p>
    <w:p w:rsidR="00E234B6" w:rsidRPr="00754CC2" w:rsidRDefault="00BA61FE" w:rsidP="00BA61FE">
      <w:pPr>
        <w:rPr>
          <w:highlight w:val="lightGray"/>
          <w:lang w:val="fr-FR"/>
        </w:rPr>
      </w:pPr>
      <w:r w:rsidRPr="00754CC2">
        <w:rPr>
          <w:highlight w:val="lightGray"/>
          <w:lang w:val="fr-FR"/>
        </w:rPr>
        <w:t>7</w:t>
      </w:r>
      <w:r w:rsidR="00167878" w:rsidRPr="00754CC2">
        <w:rPr>
          <w:highlight w:val="lightGray"/>
          <w:lang w:val="fr-FR"/>
        </w:rPr>
        <w:t>4</w:t>
      </w:r>
      <w:r w:rsidRPr="00754CC2">
        <w:rPr>
          <w:highlight w:val="lightGray"/>
          <w:lang w:val="fr-FR"/>
        </w:rPr>
        <w:t>.</w:t>
      </w:r>
      <w:r w:rsidRPr="00754CC2">
        <w:rPr>
          <w:highlight w:val="lightGray"/>
          <w:lang w:val="fr-FR"/>
        </w:rPr>
        <w:tab/>
        <w:t>Le service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 doit avoir mis en place des procédures visant à traiter les objections reçues à la suite de la publication des informations.  Les objections formulées par le public peuvent contenir des données pertinentes concernant l</w:t>
      </w:r>
      <w:r w:rsidR="00FD700E" w:rsidRPr="00754CC2">
        <w:rPr>
          <w:highlight w:val="lightGray"/>
          <w:lang w:val="fr-FR"/>
        </w:rPr>
        <w:t>’</w:t>
      </w:r>
      <w:r w:rsidRPr="00754CC2">
        <w:rPr>
          <w:highlight w:val="lightGray"/>
          <w:lang w:val="fr-FR"/>
        </w:rPr>
        <w:t>examen des demandes et des dénominations.  Le demandeur peut aussi fournir d</w:t>
      </w:r>
      <w:r w:rsidR="00FD700E" w:rsidRPr="00754CC2">
        <w:rPr>
          <w:highlight w:val="lightGray"/>
          <w:lang w:val="fr-FR"/>
        </w:rPr>
        <w:t>’</w:t>
      </w:r>
      <w:r w:rsidRPr="00754CC2">
        <w:rPr>
          <w:highlight w:val="lightGray"/>
          <w:lang w:val="fr-FR"/>
        </w:rPr>
        <w:t>autres informations pertinentes dans le cadre d</w:t>
      </w:r>
      <w:r w:rsidR="00FD700E" w:rsidRPr="00754CC2">
        <w:rPr>
          <w:highlight w:val="lightGray"/>
          <w:lang w:val="fr-FR"/>
        </w:rPr>
        <w:t>’</w:t>
      </w:r>
      <w:r w:rsidRPr="00754CC2">
        <w:rPr>
          <w:highlight w:val="lightGray"/>
          <w:lang w:val="fr-FR"/>
        </w:rPr>
        <w:t>un recours formé contre une décision du service d</w:t>
      </w:r>
      <w:r w:rsidR="00FD700E" w:rsidRPr="00754CC2">
        <w:rPr>
          <w:highlight w:val="lightGray"/>
          <w:lang w:val="fr-FR"/>
        </w:rPr>
        <w:t>’</w:t>
      </w:r>
      <w:r w:rsidRPr="00754CC2">
        <w:rPr>
          <w:highlight w:val="lightGray"/>
          <w:lang w:val="fr-FR"/>
        </w:rPr>
        <w:t>octroi des droits d</w:t>
      </w:r>
      <w:r w:rsidR="00FD700E" w:rsidRPr="00754CC2">
        <w:rPr>
          <w:highlight w:val="lightGray"/>
          <w:lang w:val="fr-FR"/>
        </w:rPr>
        <w:t>’</w:t>
      </w:r>
      <w:r w:rsidRPr="00754CC2">
        <w:rPr>
          <w:highlight w:val="lightGray"/>
          <w:lang w:val="fr-FR"/>
        </w:rPr>
        <w:t>obtenteur.</w:t>
      </w:r>
    </w:p>
    <w:p w:rsidR="00BA61FE" w:rsidRPr="00754CC2" w:rsidRDefault="00BA61FE" w:rsidP="00347556">
      <w:pPr>
        <w:spacing w:line="360" w:lineRule="auto"/>
        <w:rPr>
          <w:highlight w:val="lightGray"/>
          <w:lang w:val="fr-FR"/>
        </w:rPr>
      </w:pPr>
    </w:p>
    <w:p w:rsidR="00BA61FE" w:rsidRPr="00754CC2" w:rsidRDefault="00895864" w:rsidP="00347556">
      <w:pPr>
        <w:pStyle w:val="Heading3"/>
        <w:rPr>
          <w:highlight w:val="lightGray"/>
        </w:rPr>
      </w:pPr>
      <w:bookmarkStart w:id="83" w:name="_Toc382814030"/>
      <w:bookmarkStart w:id="84" w:name="_Toc378597585"/>
      <w:bookmarkStart w:id="85" w:name="_Toc412041945"/>
      <w:r w:rsidRPr="00754CC2">
        <w:rPr>
          <w:highlight w:val="lightGray"/>
        </w:rPr>
        <w:t>O</w:t>
      </w:r>
      <w:r w:rsidR="00E26935" w:rsidRPr="00754CC2">
        <w:rPr>
          <w:highlight w:val="lightGray"/>
        </w:rPr>
        <w:t>ctroi du t</w:t>
      </w:r>
      <w:r w:rsidR="00BA61FE" w:rsidRPr="00754CC2">
        <w:rPr>
          <w:highlight w:val="lightGray"/>
        </w:rPr>
        <w:t>itre</w:t>
      </w:r>
      <w:bookmarkEnd w:id="83"/>
      <w:r w:rsidR="00480111" w:rsidRPr="00754CC2">
        <w:rPr>
          <w:highlight w:val="lightGray"/>
        </w:rPr>
        <w:t xml:space="preserve"> </w:t>
      </w:r>
      <w:r w:rsidR="00BA61FE" w:rsidRPr="00754CC2">
        <w:rPr>
          <w:highlight w:val="lightGray"/>
        </w:rPr>
        <w:t>(voir la note h du diagramme figurant dans la section 1</w:t>
      </w:r>
      <w:bookmarkEnd w:id="84"/>
      <w:r w:rsidR="00D933B7" w:rsidRPr="00754CC2">
        <w:rPr>
          <w:highlight w:val="lightGray"/>
        </w:rPr>
        <w:t>)</w:t>
      </w:r>
      <w:bookmarkEnd w:id="85"/>
    </w:p>
    <w:p w:rsidR="00BA61FE" w:rsidRPr="00754CC2" w:rsidRDefault="00BA61FE" w:rsidP="00BA61FE">
      <w:pPr>
        <w:rPr>
          <w:highlight w:val="lightGray"/>
          <w:lang w:val="fr-FR"/>
        </w:rPr>
      </w:pPr>
    </w:p>
    <w:p w:rsidR="00BA61FE" w:rsidRPr="00754CC2" w:rsidRDefault="00167878" w:rsidP="00895864">
      <w:pPr>
        <w:rPr>
          <w:highlight w:val="lightGray"/>
          <w:lang w:val="fr-FR"/>
        </w:rPr>
      </w:pPr>
      <w:r w:rsidRPr="00754CC2">
        <w:rPr>
          <w:highlight w:val="lightGray"/>
          <w:lang w:val="fr-FR"/>
        </w:rPr>
        <w:t>75</w:t>
      </w:r>
      <w:r w:rsidR="00BA61FE" w:rsidRPr="00754CC2">
        <w:rPr>
          <w:highlight w:val="lightGray"/>
          <w:lang w:val="fr-FR"/>
        </w:rPr>
        <w:t>.</w:t>
      </w:r>
      <w:r w:rsidR="00BA61FE" w:rsidRPr="00754CC2">
        <w:rPr>
          <w:highlight w:val="lightGray"/>
          <w:lang w:val="fr-FR"/>
        </w:rPr>
        <w:tab/>
        <w:t>Si la décision concernant l</w:t>
      </w:r>
      <w:r w:rsidR="00FD700E" w:rsidRPr="00754CC2">
        <w:rPr>
          <w:highlight w:val="lightGray"/>
          <w:lang w:val="fr-FR"/>
        </w:rPr>
        <w:t>’</w:t>
      </w:r>
      <w:r w:rsidR="00BA61FE" w:rsidRPr="00754CC2">
        <w:rPr>
          <w:highlight w:val="lightGray"/>
          <w:lang w:val="fr-FR"/>
        </w:rPr>
        <w:t>octroi de la protection est positive, le titre est octroyé.  Le titre est délivré au titulaire du droit d</w:t>
      </w:r>
      <w:r w:rsidR="00FD700E" w:rsidRPr="00754CC2">
        <w:rPr>
          <w:highlight w:val="lightGray"/>
          <w:lang w:val="fr-FR"/>
        </w:rPr>
        <w:t>’</w:t>
      </w:r>
      <w:r w:rsidR="00BA61FE" w:rsidRPr="00754CC2">
        <w:rPr>
          <w:highlight w:val="lightGray"/>
          <w:lang w:val="fr-FR"/>
        </w:rPr>
        <w:t>obtenteur.  Les droits d</w:t>
      </w:r>
      <w:r w:rsidR="00FD700E" w:rsidRPr="00754CC2">
        <w:rPr>
          <w:highlight w:val="lightGray"/>
          <w:lang w:val="fr-FR"/>
        </w:rPr>
        <w:t>’</w:t>
      </w:r>
      <w:r w:rsidR="00BA61FE" w:rsidRPr="00754CC2">
        <w:rPr>
          <w:highlight w:val="lightGray"/>
          <w:lang w:val="fr-FR"/>
        </w:rPr>
        <w:t>obtenteur octroyés, ainsi que les dénominations approuvées sont enregistrés et publiés au même moment par le service d</w:t>
      </w:r>
      <w:r w:rsidR="00FD700E" w:rsidRPr="00754CC2">
        <w:rPr>
          <w:highlight w:val="lightGray"/>
          <w:lang w:val="fr-FR"/>
        </w:rPr>
        <w:t>’</w:t>
      </w:r>
      <w:r w:rsidR="00BA61FE" w:rsidRPr="00754CC2">
        <w:rPr>
          <w:highlight w:val="lightGray"/>
          <w:lang w:val="fr-FR"/>
        </w:rPr>
        <w:t>octroi des droits d</w:t>
      </w:r>
      <w:r w:rsidR="00FD700E" w:rsidRPr="00754CC2">
        <w:rPr>
          <w:highlight w:val="lightGray"/>
          <w:lang w:val="fr-FR"/>
        </w:rPr>
        <w:t>’</w:t>
      </w:r>
      <w:r w:rsidR="00BA61FE" w:rsidRPr="00754CC2">
        <w:rPr>
          <w:highlight w:val="lightGray"/>
          <w:lang w:val="fr-FR"/>
        </w:rPr>
        <w:t>obtenteur (voir le document UPOV/INF/5 intitulé “Bulletin type de l</w:t>
      </w:r>
      <w:r w:rsidR="00FD700E" w:rsidRPr="00754CC2">
        <w:rPr>
          <w:highlight w:val="lightGray"/>
          <w:lang w:val="fr-FR"/>
        </w:rPr>
        <w:t>’</w:t>
      </w:r>
      <w:r w:rsidR="00BA61FE" w:rsidRPr="00754CC2">
        <w:rPr>
          <w:highlight w:val="lightGray"/>
          <w:lang w:val="fr-FR"/>
        </w:rPr>
        <w:t>UPOV de la protection des obtentions végétales”).</w:t>
      </w:r>
    </w:p>
    <w:p w:rsidR="00895864" w:rsidRPr="00754CC2" w:rsidRDefault="00895864" w:rsidP="00347556">
      <w:pPr>
        <w:spacing w:line="360" w:lineRule="auto"/>
        <w:rPr>
          <w:highlight w:val="lightGray"/>
          <w:lang w:val="fr-FR"/>
        </w:rPr>
      </w:pPr>
    </w:p>
    <w:p w:rsidR="00BA61FE" w:rsidRPr="00754CC2" w:rsidRDefault="00895864" w:rsidP="00347556">
      <w:pPr>
        <w:pStyle w:val="Heading3"/>
        <w:rPr>
          <w:highlight w:val="lightGray"/>
        </w:rPr>
      </w:pPr>
      <w:bookmarkStart w:id="86" w:name="_Toc382814031"/>
      <w:bookmarkStart w:id="87" w:name="_Toc378597586"/>
      <w:bookmarkStart w:id="88" w:name="_Toc412041946"/>
      <w:r w:rsidRPr="00754CC2">
        <w:rPr>
          <w:highlight w:val="lightGray"/>
        </w:rPr>
        <w:t>Q</w:t>
      </w:r>
      <w:r w:rsidR="00BA61FE" w:rsidRPr="00754CC2">
        <w:rPr>
          <w:highlight w:val="lightGray"/>
        </w:rPr>
        <w:t>uestions à prendre en considération après l</w:t>
      </w:r>
      <w:r w:rsidR="00FD700E" w:rsidRPr="00754CC2">
        <w:rPr>
          <w:highlight w:val="lightGray"/>
        </w:rPr>
        <w:t>’</w:t>
      </w:r>
      <w:r w:rsidR="00BA61FE" w:rsidRPr="00754CC2">
        <w:rPr>
          <w:highlight w:val="lightGray"/>
        </w:rPr>
        <w:t>octroi du titre</w:t>
      </w:r>
      <w:bookmarkEnd w:id="86"/>
      <w:r w:rsidR="00480111" w:rsidRPr="00754CC2">
        <w:rPr>
          <w:highlight w:val="lightGray"/>
        </w:rPr>
        <w:t xml:space="preserve"> </w:t>
      </w:r>
      <w:r w:rsidR="00BA61FE" w:rsidRPr="00754CC2">
        <w:rPr>
          <w:highlight w:val="lightGray"/>
        </w:rPr>
        <w:t>(voir la note i du diagramme figurant dans la section 1</w:t>
      </w:r>
      <w:bookmarkEnd w:id="87"/>
      <w:r w:rsidR="00D933B7" w:rsidRPr="00754CC2">
        <w:rPr>
          <w:highlight w:val="lightGray"/>
        </w:rPr>
        <w:t>)</w:t>
      </w:r>
      <w:bookmarkEnd w:id="88"/>
    </w:p>
    <w:p w:rsidR="00BA61FE" w:rsidRPr="00754CC2" w:rsidRDefault="00BA61FE" w:rsidP="00480111">
      <w:pPr>
        <w:keepNext/>
        <w:rPr>
          <w:szCs w:val="22"/>
          <w:highlight w:val="lightGray"/>
          <w:lang w:val="fr-FR"/>
        </w:rPr>
      </w:pPr>
    </w:p>
    <w:p w:rsidR="00E234B6" w:rsidRPr="00754CC2" w:rsidRDefault="00167878" w:rsidP="00BA61FE">
      <w:pPr>
        <w:rPr>
          <w:lang w:val="fr-FR"/>
        </w:rPr>
      </w:pPr>
      <w:r w:rsidRPr="00754CC2">
        <w:rPr>
          <w:szCs w:val="22"/>
          <w:highlight w:val="lightGray"/>
          <w:lang w:val="fr-FR"/>
        </w:rPr>
        <w:t>7</w:t>
      </w:r>
      <w:r w:rsidR="00BA61FE" w:rsidRPr="00754CC2">
        <w:rPr>
          <w:szCs w:val="22"/>
          <w:highlight w:val="lightGray"/>
          <w:lang w:val="fr-FR"/>
        </w:rPr>
        <w:t>6.</w:t>
      </w:r>
      <w:r w:rsidR="00BA61FE" w:rsidRPr="00754CC2">
        <w:rPr>
          <w:szCs w:val="22"/>
          <w:highlight w:val="lightGray"/>
          <w:lang w:val="fr-FR"/>
        </w:rPr>
        <w:tab/>
        <w:t>Les tâches incombant au service après l</w:t>
      </w:r>
      <w:r w:rsidR="00FD700E" w:rsidRPr="00754CC2">
        <w:rPr>
          <w:szCs w:val="22"/>
          <w:highlight w:val="lightGray"/>
          <w:lang w:val="fr-FR"/>
        </w:rPr>
        <w:t>’</w:t>
      </w:r>
      <w:r w:rsidR="00BA61FE" w:rsidRPr="00754CC2">
        <w:rPr>
          <w:szCs w:val="22"/>
          <w:highlight w:val="lightGray"/>
          <w:lang w:val="fr-FR"/>
        </w:rPr>
        <w:t>octroi des droits d</w:t>
      </w:r>
      <w:r w:rsidR="00FD700E" w:rsidRPr="00754CC2">
        <w:rPr>
          <w:szCs w:val="22"/>
          <w:highlight w:val="lightGray"/>
          <w:lang w:val="fr-FR"/>
        </w:rPr>
        <w:t>’</w:t>
      </w:r>
      <w:r w:rsidR="00BA61FE" w:rsidRPr="00754CC2">
        <w:rPr>
          <w:szCs w:val="22"/>
          <w:highlight w:val="lightGray"/>
          <w:lang w:val="fr-FR"/>
        </w:rPr>
        <w:t>obtenteur comprennent l</w:t>
      </w:r>
      <w:r w:rsidR="00FD700E" w:rsidRPr="00754CC2">
        <w:rPr>
          <w:szCs w:val="22"/>
          <w:highlight w:val="lightGray"/>
          <w:lang w:val="fr-FR"/>
        </w:rPr>
        <w:t>’</w:t>
      </w:r>
      <w:r w:rsidR="00BA61FE" w:rsidRPr="00754CC2">
        <w:rPr>
          <w:szCs w:val="22"/>
          <w:highlight w:val="lightGray"/>
          <w:lang w:val="fr-FR"/>
        </w:rPr>
        <w:t>obligation de maintenir à jour les renseignements pertinents dans le registre et les bases de données, la gestion du paiement des taxes (le cas échéant) par l</w:t>
      </w:r>
      <w:r w:rsidR="00FD700E" w:rsidRPr="00754CC2">
        <w:rPr>
          <w:szCs w:val="22"/>
          <w:highlight w:val="lightGray"/>
          <w:lang w:val="fr-FR"/>
        </w:rPr>
        <w:t>’</w:t>
      </w:r>
      <w:r w:rsidR="00BA61FE" w:rsidRPr="00754CC2">
        <w:rPr>
          <w:szCs w:val="22"/>
          <w:highlight w:val="lightGray"/>
          <w:lang w:val="fr-FR"/>
        </w:rPr>
        <w:t>obtenteur en vue de maintenir les droits en vigueur et la publication d</w:t>
      </w:r>
      <w:r w:rsidR="00FD700E" w:rsidRPr="00754CC2">
        <w:rPr>
          <w:szCs w:val="22"/>
          <w:highlight w:val="lightGray"/>
          <w:lang w:val="fr-FR"/>
        </w:rPr>
        <w:t>’</w:t>
      </w:r>
      <w:r w:rsidR="00BA61FE" w:rsidRPr="00754CC2">
        <w:rPr>
          <w:szCs w:val="22"/>
          <w:highlight w:val="lightGray"/>
          <w:lang w:val="fr-FR"/>
        </w:rPr>
        <w:t>informations pertinentes après l</w:t>
      </w:r>
      <w:r w:rsidR="00FD700E" w:rsidRPr="00754CC2">
        <w:rPr>
          <w:szCs w:val="22"/>
          <w:highlight w:val="lightGray"/>
          <w:lang w:val="fr-FR"/>
        </w:rPr>
        <w:t>’</w:t>
      </w:r>
      <w:r w:rsidR="00BA61FE" w:rsidRPr="00754CC2">
        <w:rPr>
          <w:szCs w:val="22"/>
          <w:highlight w:val="lightGray"/>
          <w:lang w:val="fr-FR"/>
        </w:rPr>
        <w:t>octroi des droits, par exemple, l</w:t>
      </w:r>
      <w:r w:rsidR="00FD700E" w:rsidRPr="00754CC2">
        <w:rPr>
          <w:szCs w:val="22"/>
          <w:highlight w:val="lightGray"/>
          <w:lang w:val="fr-FR"/>
        </w:rPr>
        <w:t>’</w:t>
      </w:r>
      <w:r w:rsidR="00BA61FE" w:rsidRPr="00754CC2">
        <w:rPr>
          <w:szCs w:val="22"/>
          <w:highlight w:val="lightGray"/>
          <w:lang w:val="fr-FR"/>
        </w:rPr>
        <w:t>expiration des droits d</w:t>
      </w:r>
      <w:r w:rsidR="00FD700E" w:rsidRPr="00754CC2">
        <w:rPr>
          <w:szCs w:val="22"/>
          <w:highlight w:val="lightGray"/>
          <w:lang w:val="fr-FR"/>
        </w:rPr>
        <w:t>’</w:t>
      </w:r>
      <w:r w:rsidR="00BA61FE" w:rsidRPr="00754CC2">
        <w:rPr>
          <w:szCs w:val="22"/>
          <w:highlight w:val="lightGray"/>
          <w:lang w:val="fr-FR"/>
        </w:rPr>
        <w:t xml:space="preserve">obtenteur et les changements concernant le titulaire des droits et les dénominations (voir </w:t>
      </w:r>
      <w:r w:rsidR="00BA61FE" w:rsidRPr="00754CC2">
        <w:rPr>
          <w:highlight w:val="lightGray"/>
          <w:lang w:val="fr-FR"/>
        </w:rPr>
        <w:t>le document UPOV/INF/5 intitulé “Bulletin type de l</w:t>
      </w:r>
      <w:r w:rsidR="00FD700E" w:rsidRPr="00754CC2">
        <w:rPr>
          <w:highlight w:val="lightGray"/>
          <w:lang w:val="fr-FR"/>
        </w:rPr>
        <w:t>’</w:t>
      </w:r>
      <w:r w:rsidR="00BA61FE" w:rsidRPr="00754CC2">
        <w:rPr>
          <w:highlight w:val="lightGray"/>
          <w:lang w:val="fr-FR"/>
        </w:rPr>
        <w:t>UPOV de la protection des obtentions végétales”).  Le service peut aussi décider de prendre des mesures en vue de contrôler le maintien de la variété.</w:t>
      </w:r>
    </w:p>
    <w:p w:rsidR="006C6491" w:rsidRPr="00754CC2" w:rsidRDefault="006C6491" w:rsidP="00BA61FE">
      <w:pPr>
        <w:rPr>
          <w:lang w:val="fr-FR"/>
        </w:rPr>
      </w:pPr>
    </w:p>
    <w:p w:rsidR="006C6491" w:rsidRPr="00754CC2" w:rsidRDefault="006C6491" w:rsidP="00BA61FE">
      <w:pPr>
        <w:rPr>
          <w:lang w:val="fr-FR"/>
        </w:rPr>
      </w:pPr>
    </w:p>
    <w:p w:rsidR="006C6491" w:rsidRPr="00754CC2" w:rsidRDefault="006C6491" w:rsidP="00BA61FE">
      <w:pPr>
        <w:rPr>
          <w:lang w:val="fr-FR"/>
        </w:rPr>
      </w:pPr>
    </w:p>
    <w:p w:rsidR="006C6491" w:rsidRPr="00754CC2" w:rsidRDefault="00167878" w:rsidP="00BA61FE">
      <w:pPr>
        <w:ind w:right="53"/>
        <w:jc w:val="right"/>
        <w:rPr>
          <w:rFonts w:cs="Arial"/>
          <w:lang w:val="fr-FR"/>
        </w:rPr>
      </w:pPr>
      <w:r w:rsidRPr="00754CC2">
        <w:rPr>
          <w:rFonts w:cs="Arial"/>
          <w:lang w:val="fr-FR"/>
        </w:rPr>
        <w:t>[Fin du document]</w:t>
      </w:r>
    </w:p>
    <w:p w:rsidR="006C6491" w:rsidRPr="00754CC2" w:rsidRDefault="006C6491" w:rsidP="00BA61FE">
      <w:pPr>
        <w:ind w:right="53"/>
        <w:jc w:val="right"/>
        <w:rPr>
          <w:rFonts w:cs="Arial"/>
          <w:lang w:val="fr-FR"/>
        </w:rPr>
      </w:pPr>
    </w:p>
    <w:p w:rsidR="006C6491" w:rsidRPr="00754CC2" w:rsidRDefault="006C6491" w:rsidP="00BA61FE">
      <w:pPr>
        <w:ind w:right="53"/>
        <w:jc w:val="right"/>
        <w:rPr>
          <w:rFonts w:cs="Arial"/>
          <w:lang w:val="fr-FR"/>
        </w:rPr>
      </w:pPr>
    </w:p>
    <w:p w:rsidR="006C6491" w:rsidRPr="00754CC2" w:rsidRDefault="006C6491" w:rsidP="00BA61FE">
      <w:pPr>
        <w:ind w:right="53"/>
        <w:jc w:val="right"/>
        <w:rPr>
          <w:rFonts w:cs="Arial"/>
          <w:lang w:val="fr-FR"/>
        </w:rPr>
      </w:pPr>
    </w:p>
    <w:p w:rsidR="006C6491" w:rsidRPr="00754CC2" w:rsidRDefault="006C6491" w:rsidP="00BA61FE">
      <w:pPr>
        <w:ind w:right="53"/>
        <w:jc w:val="right"/>
        <w:rPr>
          <w:rFonts w:cs="Arial"/>
          <w:lang w:val="fr-FR"/>
        </w:rPr>
      </w:pPr>
    </w:p>
    <w:p w:rsidR="006C6491" w:rsidRPr="00754CC2" w:rsidRDefault="006C6491" w:rsidP="00BA61FE">
      <w:pPr>
        <w:ind w:right="53"/>
        <w:jc w:val="right"/>
        <w:rPr>
          <w:rFonts w:cs="Arial"/>
          <w:lang w:val="fr-FR"/>
        </w:rPr>
      </w:pPr>
    </w:p>
    <w:sectPr w:rsidR="006C6491" w:rsidRPr="00754CC2" w:rsidSect="0017380D">
      <w:headerReference w:type="default" r:id="rId57"/>
      <w:endnotePr>
        <w:numFmt w:val="lowerLetter"/>
      </w:endnotePr>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56" w:rsidRDefault="00347556">
      <w:r>
        <w:separator/>
      </w:r>
    </w:p>
  </w:endnote>
  <w:endnote w:type="continuationSeparator" w:id="0">
    <w:p w:rsidR="00347556" w:rsidRDefault="00347556">
      <w:r>
        <w:continuationSeparator/>
      </w:r>
    </w:p>
  </w:endnote>
  <w:endnote w:type="continuationNotice" w:id="1">
    <w:p w:rsidR="00347556" w:rsidRDefault="00347556"/>
  </w:endnote>
  <w:endnote w:id="2">
    <w:p w:rsidR="00347556" w:rsidRPr="00C65B23" w:rsidRDefault="00347556" w:rsidP="00C65B23">
      <w:pPr>
        <w:pStyle w:val="EndnoteText"/>
        <w:rPr>
          <w:highlight w:val="lightGray"/>
          <w:lang w:val="fr-CH"/>
        </w:rPr>
      </w:pPr>
      <w:r w:rsidRPr="00C65B23">
        <w:rPr>
          <w:rStyle w:val="EndnoteReference"/>
          <w:szCs w:val="16"/>
        </w:rPr>
        <w:endnoteRef/>
      </w:r>
      <w:r w:rsidRPr="00C65B23">
        <w:rPr>
          <w:lang w:val="fr-CH"/>
        </w:rPr>
        <w:t xml:space="preserve"> </w:t>
      </w:r>
      <w:r w:rsidRPr="00C65B23">
        <w:rPr>
          <w:lang w:val="fr-CH"/>
        </w:rPr>
        <w:tab/>
      </w:r>
      <w:r w:rsidRPr="00C65B23">
        <w:rPr>
          <w:rFonts w:cs="Arial"/>
          <w:highlight w:val="lightGray"/>
          <w:lang w:val="fr-CH"/>
        </w:rPr>
        <w:t xml:space="preserve">À </w:t>
      </w:r>
      <w:r w:rsidRPr="00C65B23">
        <w:rPr>
          <w:highlight w:val="lightGray"/>
          <w:lang w:val="fr-CH"/>
        </w:rPr>
        <w:t>sa soixante</w:t>
      </w:r>
      <w:r w:rsidRPr="00C65B23">
        <w:rPr>
          <w:highlight w:val="lightGray"/>
          <w:lang w:val="fr-CH"/>
        </w:rPr>
        <w:noBreakHyphen/>
        <w:t>dixième session, tenue à Genève le 13 octobre 2014, le CAJ a pris note que le document UPOV/INF/22/1 Draft 1 “Logiciels et équipements utilisés par les membres de l’Union” serait examiné par le Conseil en octobre 2014.  Le CAJ est convenu de mettre à jour cette section avec des renvois au document UPOV/INF/22 une fois qu’il sera adopté par le Conseil (voir le document UPOV/INF/15/3 Draft 1 et le paragraphe 22 du document CAJ/70/10 “Compte rendu des conclusions”).</w:t>
      </w:r>
    </w:p>
  </w:endnote>
  <w:endnote w:id="3">
    <w:p w:rsidR="00347556" w:rsidRPr="003630E0" w:rsidRDefault="00347556" w:rsidP="00C65B23">
      <w:pPr>
        <w:pStyle w:val="EndnoteText"/>
        <w:rPr>
          <w:lang w:val="fr-CH"/>
        </w:rPr>
      </w:pPr>
      <w:r w:rsidRPr="00C65B23">
        <w:rPr>
          <w:rStyle w:val="EndnoteReference"/>
        </w:rPr>
        <w:endnoteRef/>
      </w:r>
      <w:r w:rsidRPr="00C65B23">
        <w:rPr>
          <w:lang w:val="fr-CH"/>
        </w:rPr>
        <w:t xml:space="preserve"> </w:t>
      </w:r>
      <w:r w:rsidRPr="00C65B23">
        <w:rPr>
          <w:lang w:val="fr-CH"/>
        </w:rPr>
        <w:tab/>
      </w:r>
      <w:r w:rsidRPr="00C65B23">
        <w:rPr>
          <w:rFonts w:cs="Arial"/>
          <w:highlight w:val="lightGray"/>
          <w:lang w:val="fr-CH"/>
        </w:rPr>
        <w:t xml:space="preserve">À </w:t>
      </w:r>
      <w:r w:rsidRPr="00C65B23">
        <w:rPr>
          <w:highlight w:val="lightGray"/>
          <w:lang w:val="fr-CH"/>
        </w:rPr>
        <w:t>sa soixante-dixième session, tenue à Genève le 13 octobre 2014, le CAJ est convenu qu’un texte plus approfondi pourrait être élaboré à l’avenir, conformément au projet de mise au point d’un formulaire électronique de demande de l’UPOV (voir le document UPOV/INF/15/3 Draft 1 et le paragraphe 22 du document CAJ/70/10 “Compte rendu des conclusions”).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56" w:rsidRDefault="00347556" w:rsidP="00182504">
      <w:pPr>
        <w:spacing w:before="120"/>
      </w:pPr>
      <w:r>
        <w:separator/>
      </w:r>
    </w:p>
  </w:footnote>
  <w:footnote w:type="continuationSeparator" w:id="0">
    <w:p w:rsidR="00347556" w:rsidRDefault="00347556">
      <w:r>
        <w:continuationSeparator/>
      </w:r>
    </w:p>
  </w:footnote>
  <w:footnote w:type="continuationNotice" w:id="1">
    <w:p w:rsidR="00347556" w:rsidRDefault="00347556"/>
  </w:footnote>
  <w:footnote w:id="2">
    <w:p w:rsidR="00347556" w:rsidRPr="00E37E33" w:rsidRDefault="00347556">
      <w:pPr>
        <w:pStyle w:val="FootnoteText"/>
        <w:rPr>
          <w:lang w:val="fr-CH"/>
        </w:rPr>
      </w:pPr>
      <w:r w:rsidRPr="00E37E33">
        <w:rPr>
          <w:rStyle w:val="FootnoteReference"/>
          <w:highlight w:val="lightGray"/>
        </w:rPr>
        <w:footnoteRef/>
      </w:r>
      <w:r w:rsidRPr="00E37E33">
        <w:rPr>
          <w:highlight w:val="lightGray"/>
          <w:lang w:val="fr-CH"/>
        </w:rPr>
        <w:t xml:space="preserve"> </w:t>
      </w:r>
      <w:r>
        <w:rPr>
          <w:highlight w:val="lightGray"/>
          <w:lang w:val="fr-CH"/>
        </w:rPr>
        <w:tab/>
        <w:t>Voir l’article </w:t>
      </w:r>
      <w:r w:rsidRPr="00E37E33">
        <w:rPr>
          <w:highlight w:val="lightGray"/>
          <w:lang w:val="fr-CH"/>
        </w:rPr>
        <w:t xml:space="preserve">30 </w:t>
      </w:r>
      <w:r w:rsidRPr="00E37E33">
        <w:rPr>
          <w:highlight w:val="lightGray"/>
          <w:lang w:val="fr-FR"/>
        </w:rPr>
        <w:t>de l’Acte de 1991 de la Convention UPOV</w:t>
      </w:r>
      <w:r w:rsidRPr="00E37E33">
        <w:rPr>
          <w:highlight w:val="lightGray"/>
          <w:lang w:val="fr-CH"/>
        </w:rPr>
        <w:t xml:space="preserve"> et de </w:t>
      </w:r>
      <w:r w:rsidRPr="00E37E33">
        <w:rPr>
          <w:highlight w:val="lightGray"/>
          <w:lang w:val="fr-FR"/>
        </w:rPr>
        <w:t>de l’Acte de 1978 de la Convention UPOV</w:t>
      </w:r>
      <w:r w:rsidRPr="00E37E33">
        <w:rPr>
          <w:highlight w:val="lightGray"/>
          <w:lang w:val="fr-CH"/>
        </w:rPr>
        <w:t>.</w:t>
      </w:r>
    </w:p>
  </w:footnote>
  <w:footnote w:id="3">
    <w:p w:rsidR="00347556" w:rsidRPr="00EF1665" w:rsidRDefault="00347556" w:rsidP="00467D18">
      <w:pPr>
        <w:pStyle w:val="FootnoteText"/>
        <w:rPr>
          <w:lang w:val="fr-FR"/>
        </w:rPr>
      </w:pPr>
      <w:r>
        <w:rPr>
          <w:rStyle w:val="FootnoteReference"/>
        </w:rPr>
        <w:footnoteRef/>
      </w:r>
      <w:r w:rsidRPr="00EF1665">
        <w:rPr>
          <w:lang w:val="fr-FR"/>
        </w:rPr>
        <w:tab/>
        <w:t>On trouvera dans l’article 16.1) la disposition correspondante de l’Acte de 1978 de la Convention UPOV.</w:t>
      </w:r>
    </w:p>
  </w:footnote>
  <w:footnote w:id="4">
    <w:p w:rsidR="00347556" w:rsidRPr="00EF1665" w:rsidRDefault="00347556" w:rsidP="00467D18">
      <w:pPr>
        <w:pStyle w:val="FootnoteText"/>
        <w:rPr>
          <w:lang w:val="fr-FR"/>
        </w:rPr>
      </w:pPr>
      <w:r>
        <w:rPr>
          <w:rStyle w:val="FootnoteReference"/>
        </w:rPr>
        <w:footnoteRef/>
      </w:r>
      <w:r w:rsidRPr="00EF1665">
        <w:rPr>
          <w:lang w:val="fr-FR"/>
        </w:rPr>
        <w:t xml:space="preserve"> </w:t>
      </w:r>
      <w:r w:rsidRPr="00EF1665">
        <w:rPr>
          <w:lang w:val="fr-FR"/>
        </w:rPr>
        <w:tab/>
        <w:t>Voir l’article 35.2)d)e)f) et g) de l’Acte de 1978 de la Convention UPOV.</w:t>
      </w:r>
    </w:p>
  </w:footnote>
  <w:footnote w:id="5">
    <w:p w:rsidR="00347556" w:rsidRPr="00EF1665" w:rsidRDefault="00347556" w:rsidP="00467D18">
      <w:pPr>
        <w:pStyle w:val="FootnoteText"/>
        <w:rPr>
          <w:szCs w:val="22"/>
          <w:lang w:val="fr-FR"/>
        </w:rPr>
      </w:pPr>
      <w:r w:rsidRPr="00B31694">
        <w:rPr>
          <w:rStyle w:val="FootnoteReference"/>
          <w:szCs w:val="22"/>
        </w:rPr>
        <w:footnoteRef/>
      </w:r>
      <w:r w:rsidRPr="00EF1665">
        <w:rPr>
          <w:szCs w:val="22"/>
          <w:lang w:val="fr-FR"/>
        </w:rPr>
        <w:t xml:space="preserve"> </w:t>
      </w:r>
      <w:r w:rsidRPr="00EF1665">
        <w:rPr>
          <w:szCs w:val="22"/>
          <w:lang w:val="fr-FR"/>
        </w:rPr>
        <w:tab/>
        <w:t xml:space="preserve">Le document </w:t>
      </w:r>
      <w:hyperlink r:id="rId1" w:history="1">
        <w:r w:rsidRPr="00EF1665">
          <w:rPr>
            <w:rStyle w:val="Hyperlink"/>
            <w:szCs w:val="22"/>
            <w:lang w:val="fr-FR"/>
          </w:rPr>
          <w:t>UPOV/INF/13</w:t>
        </w:r>
      </w:hyperlink>
      <w:r w:rsidRPr="00EF1665">
        <w:rPr>
          <w:szCs w:val="22"/>
          <w:lang w:val="fr-FR"/>
        </w:rPr>
        <w:t xml:space="preserve"> est un “document d’orientation concernant la procédure à suivre pour devenir membre de l’UPOV” et le document </w:t>
      </w:r>
      <w:hyperlink r:id="rId2" w:history="1">
        <w:r w:rsidRPr="00EF1665">
          <w:rPr>
            <w:rStyle w:val="Hyperlink"/>
            <w:szCs w:val="22"/>
            <w:lang w:val="fr-FR"/>
          </w:rPr>
          <w:t>UPOV/INF/14</w:t>
        </w:r>
      </w:hyperlink>
      <w:r w:rsidRPr="00EF1665">
        <w:rPr>
          <w:szCs w:val="22"/>
          <w:lang w:val="fr-FR"/>
        </w:rPr>
        <w:t xml:space="preserve"> est un “document d’orientation destiné aux membres de l’UPOV concernant la procédure à suivre pour ratifier l’Acte de 1991 de la Convention UPOV ou y adhérer”.</w:t>
      </w:r>
    </w:p>
  </w:footnote>
  <w:footnote w:id="6">
    <w:p w:rsidR="00347556" w:rsidRPr="00EF1665" w:rsidRDefault="00347556" w:rsidP="00467D18">
      <w:pPr>
        <w:pStyle w:val="FootnoteText"/>
        <w:rPr>
          <w:lang w:val="fr-FR"/>
        </w:rPr>
      </w:pPr>
      <w:r>
        <w:rPr>
          <w:rStyle w:val="FootnoteReference"/>
        </w:rPr>
        <w:footnoteRef/>
      </w:r>
      <w:r>
        <w:rPr>
          <w:lang w:val="fr-FR"/>
        </w:rPr>
        <w:t xml:space="preserve"> </w:t>
      </w:r>
      <w:r>
        <w:rPr>
          <w:lang w:val="fr-FR"/>
        </w:rPr>
        <w:tab/>
        <w:t>Voir l’article 35.2)a)b) et </w:t>
      </w:r>
      <w:r w:rsidRPr="00EF1665">
        <w:rPr>
          <w:lang w:val="fr-FR"/>
        </w:rPr>
        <w:t>c) de l’Acte de 1978 de la Convention UPOV.</w:t>
      </w:r>
    </w:p>
  </w:footnote>
  <w:footnote w:id="7">
    <w:p w:rsidR="00347556" w:rsidRPr="00EF1665" w:rsidRDefault="00347556" w:rsidP="00467D18">
      <w:pPr>
        <w:pStyle w:val="FootnoteText"/>
        <w:rPr>
          <w:szCs w:val="22"/>
          <w:lang w:val="fr-FR"/>
        </w:rPr>
      </w:pPr>
      <w:r w:rsidRPr="00B31694">
        <w:rPr>
          <w:rStyle w:val="FootnoteReference"/>
          <w:szCs w:val="22"/>
        </w:rPr>
        <w:footnoteRef/>
      </w:r>
      <w:r w:rsidRPr="00EF1665">
        <w:rPr>
          <w:szCs w:val="22"/>
          <w:lang w:val="fr-FR"/>
        </w:rPr>
        <w:t xml:space="preserve"> </w:t>
      </w:r>
      <w:r w:rsidRPr="00EF1665">
        <w:rPr>
          <w:szCs w:val="22"/>
          <w:lang w:val="fr-FR"/>
        </w:rPr>
        <w:tab/>
        <w:t xml:space="preserve">Le document </w:t>
      </w:r>
      <w:hyperlink r:id="rId3" w:history="1">
        <w:r w:rsidRPr="00EF1665">
          <w:rPr>
            <w:rStyle w:val="Hyperlink"/>
            <w:szCs w:val="22"/>
            <w:lang w:val="fr-FR"/>
          </w:rPr>
          <w:t>UPOV/INF/13</w:t>
        </w:r>
      </w:hyperlink>
      <w:r w:rsidRPr="00EF1665">
        <w:rPr>
          <w:szCs w:val="22"/>
          <w:lang w:val="fr-FR"/>
        </w:rPr>
        <w:t xml:space="preserve"> est un “document d’orientation concernant la procédure à suivre pour devenir membre de l’UPOV” et le document </w:t>
      </w:r>
      <w:hyperlink r:id="rId4" w:history="1">
        <w:r w:rsidRPr="00EF1665">
          <w:rPr>
            <w:rStyle w:val="Hyperlink"/>
            <w:szCs w:val="22"/>
            <w:lang w:val="fr-FR"/>
          </w:rPr>
          <w:t>UPOV/INF/14</w:t>
        </w:r>
      </w:hyperlink>
      <w:r w:rsidRPr="00EF1665">
        <w:rPr>
          <w:szCs w:val="22"/>
          <w:lang w:val="fr-FR"/>
        </w:rPr>
        <w:t xml:space="preserve"> est un “document d’orientation destiné aux membres de l’UPOV concernant la procédure à suivre pour ratifier l’Acte de 1991 de la Convention UPOV ou y adhérer”.</w:t>
      </w:r>
    </w:p>
  </w:footnote>
  <w:footnote w:id="8">
    <w:p w:rsidR="00347556" w:rsidRPr="00EF1665" w:rsidRDefault="00347556" w:rsidP="00467D18">
      <w:pPr>
        <w:pStyle w:val="FootnoteText"/>
        <w:rPr>
          <w:szCs w:val="22"/>
          <w:lang w:val="fr-FR"/>
        </w:rPr>
      </w:pPr>
      <w:r w:rsidRPr="00B31694">
        <w:rPr>
          <w:rStyle w:val="FootnoteReference"/>
          <w:szCs w:val="22"/>
        </w:rPr>
        <w:footnoteRef/>
      </w:r>
      <w:r w:rsidRPr="00EF1665">
        <w:rPr>
          <w:szCs w:val="22"/>
          <w:lang w:val="fr-FR"/>
        </w:rPr>
        <w:t xml:space="preserve"> </w:t>
      </w:r>
      <w:r w:rsidRPr="00EF1665">
        <w:rPr>
          <w:szCs w:val="22"/>
          <w:lang w:val="fr-FR"/>
        </w:rPr>
        <w:tab/>
        <w:t>Voir l’article 29 de l’Acte de 1991 de la Convention UPOV et l’article 26 de l’Acte de 1978 de la Convention UPOV.</w:t>
      </w:r>
    </w:p>
  </w:footnote>
  <w:footnote w:id="9">
    <w:p w:rsidR="00347556" w:rsidRPr="00C61C1C" w:rsidRDefault="00347556" w:rsidP="002370A5">
      <w:pPr>
        <w:spacing w:before="60"/>
        <w:ind w:left="567" w:hanging="567"/>
        <w:rPr>
          <w:lang w:val="fr-CH"/>
        </w:rPr>
      </w:pPr>
      <w:r w:rsidRPr="00924380">
        <w:rPr>
          <w:sz w:val="16"/>
          <w:szCs w:val="16"/>
          <w:vertAlign w:val="superscript"/>
        </w:rPr>
        <w:footnoteRef/>
      </w:r>
      <w:r>
        <w:rPr>
          <w:rStyle w:val="FootnoteTextChar"/>
          <w:lang w:val="fr-FR"/>
        </w:rPr>
        <w:tab/>
      </w:r>
      <w:r w:rsidRPr="002136A3">
        <w:rPr>
          <w:rStyle w:val="FootnoteTextChar"/>
          <w:lang w:val="fr-FR"/>
        </w:rPr>
        <w:t xml:space="preserve">Prière de noter que cette table est fournie à des </w:t>
      </w:r>
      <w:r>
        <w:rPr>
          <w:rStyle w:val="FootnoteTextChar"/>
          <w:lang w:val="fr-FR"/>
        </w:rPr>
        <w:t>f</w:t>
      </w:r>
      <w:r w:rsidRPr="002136A3">
        <w:rPr>
          <w:rStyle w:val="FootnoteTextChar"/>
          <w:lang w:val="fr-FR"/>
        </w:rPr>
        <w:t>ins d’illustration et qu’elle risque d’être caduque lors de la lecture</w:t>
      </w:r>
      <w:r>
        <w:rPr>
          <w:rStyle w:val="FootnoteTextChar"/>
          <w:lang w:val="fr-FR"/>
        </w:rPr>
        <w:t> </w:t>
      </w:r>
      <w:r w:rsidRPr="002136A3">
        <w:rPr>
          <w:rStyle w:val="FootnoteTextChar"/>
          <w:lang w:val="fr-FR"/>
        </w:rPr>
        <w:t xml:space="preserve">: </w:t>
      </w:r>
      <w:r>
        <w:rPr>
          <w:rStyle w:val="FootnoteTextChar"/>
          <w:lang w:val="fr-FR"/>
        </w:rPr>
        <w:t>le lien avec la table des matières actuelle est donné dans le texte ci</w:t>
      </w:r>
      <w:r>
        <w:rPr>
          <w:rStyle w:val="FootnoteTextChar"/>
          <w:lang w:val="fr-FR"/>
        </w:rPr>
        <w:noBreakHyphen/>
        <w:t>dessus</w:t>
      </w:r>
      <w:r w:rsidRPr="002136A3">
        <w:rPr>
          <w:rStyle w:val="FootnoteTextChar"/>
          <w:lang w:val="fr-FR"/>
        </w:rPr>
        <w:t>.</w:t>
      </w:r>
    </w:p>
  </w:footnote>
  <w:footnote w:id="10">
    <w:p w:rsidR="00347556" w:rsidRPr="00C61C1C" w:rsidRDefault="00347556" w:rsidP="00E35E90">
      <w:pPr>
        <w:spacing w:before="60"/>
        <w:ind w:left="567" w:hanging="567"/>
        <w:rPr>
          <w:lang w:val="fr-CH"/>
        </w:rPr>
      </w:pPr>
      <w:r w:rsidRPr="00924380">
        <w:rPr>
          <w:sz w:val="16"/>
          <w:szCs w:val="16"/>
          <w:vertAlign w:val="superscript"/>
        </w:rPr>
        <w:footnoteRef/>
      </w:r>
      <w:r>
        <w:rPr>
          <w:rStyle w:val="FootnoteTextChar"/>
          <w:lang w:val="fr-FR"/>
        </w:rPr>
        <w:tab/>
      </w:r>
      <w:r w:rsidRPr="00CC748B">
        <w:rPr>
          <w:rStyle w:val="FootnoteTextChar"/>
          <w:lang w:val="fr-FR"/>
        </w:rPr>
        <w:t>Les notes qu</w:t>
      </w:r>
      <w:r>
        <w:rPr>
          <w:rStyle w:val="FootnoteTextChar"/>
          <w:lang w:val="fr-FR"/>
        </w:rPr>
        <w:t>i figurent dans le diagramme ci</w:t>
      </w:r>
      <w:r>
        <w:rPr>
          <w:rStyle w:val="FootnoteTextChar"/>
          <w:lang w:val="fr-FR"/>
        </w:rPr>
        <w:noBreakHyphen/>
      </w:r>
      <w:r w:rsidRPr="00CC748B">
        <w:rPr>
          <w:rStyle w:val="FootnoteTextChar"/>
          <w:lang w:val="fr-FR"/>
        </w:rPr>
        <w:t>dessus concernent l’administration de l’exam</w:t>
      </w:r>
      <w:r>
        <w:rPr>
          <w:rStyle w:val="FootnoteTextChar"/>
          <w:lang w:val="fr-FR"/>
        </w:rPr>
        <w:t>en et sont expliquées dans la section </w:t>
      </w:r>
      <w:r w:rsidRPr="00CC748B">
        <w:rPr>
          <w:rStyle w:val="FootnoteTextChar"/>
          <w:lang w:val="fr-FR"/>
        </w:rPr>
        <w:t xml:space="preserve">2 “Administration </w:t>
      </w:r>
      <w:r>
        <w:rPr>
          <w:rStyle w:val="FootnoteTextChar"/>
          <w:lang w:val="fr-FR"/>
        </w:rPr>
        <w:t>des demandes</w:t>
      </w:r>
      <w:r w:rsidRPr="00CC748B">
        <w:rPr>
          <w:rStyle w:val="FootnoteTextCha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56" w:rsidRPr="00C03C1D" w:rsidRDefault="00347556">
    <w:pPr>
      <w:jc w:val="center"/>
    </w:pPr>
    <w:r>
      <w:t>UPOV/INF/15/3 Draft 2</w:t>
    </w:r>
  </w:p>
  <w:p w:rsidR="00347556" w:rsidRPr="00C03C1D" w:rsidRDefault="00347556">
    <w:pPr>
      <w:jc w:val="center"/>
    </w:pPr>
    <w:r w:rsidRPr="00C03C1D">
      <w:t xml:space="preserve">page </w:t>
    </w:r>
    <w:r>
      <w:fldChar w:fldCharType="begin"/>
    </w:r>
    <w:r w:rsidRPr="00C03C1D">
      <w:instrText xml:space="preserve"> PAGE  \* MERGEFORMAT </w:instrText>
    </w:r>
    <w:r>
      <w:fldChar w:fldCharType="separate"/>
    </w:r>
    <w:r w:rsidR="00CA2490">
      <w:rPr>
        <w:noProof/>
      </w:rPr>
      <w:t>17</w:t>
    </w:r>
    <w:r>
      <w:fldChar w:fldCharType="end"/>
    </w:r>
  </w:p>
  <w:p w:rsidR="00347556" w:rsidRPr="00C03C1D" w:rsidRDefault="0034755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5B9"/>
    <w:multiLevelType w:val="hybridMultilevel"/>
    <w:tmpl w:val="24902738"/>
    <w:lvl w:ilvl="0" w:tplc="13062E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CF67D6"/>
    <w:multiLevelType w:val="multilevel"/>
    <w:tmpl w:val="6F3E25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3491200"/>
    <w:multiLevelType w:val="hybridMultilevel"/>
    <w:tmpl w:val="37A88BC0"/>
    <w:lvl w:ilvl="0" w:tplc="ABE01A22">
      <w:start w:val="1"/>
      <w:numFmt w:val="lowerLetter"/>
      <w:lvlText w:val="%1)"/>
      <w:lvlJc w:val="left"/>
      <w:pPr>
        <w:ind w:left="720" w:hanging="360"/>
      </w:pPr>
      <w:rPr>
        <w:rFonts w:hint="default"/>
        <w:u w:val="none"/>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6326B"/>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0E90D18"/>
    <w:multiLevelType w:val="hybridMultilevel"/>
    <w:tmpl w:val="DE643CDA"/>
    <w:lvl w:ilvl="0" w:tplc="09905AA0">
      <w:start w:val="2"/>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uplicates NT|WIPONew"/>
    <w:docVar w:name="TermBaseURL" w:val="empty"/>
    <w:docVar w:name="TextBases" w:val="UPOV\Meetings|UPOV\Other|UPOV\Publications|UPOV\Technical Guidelines"/>
    <w:docVar w:name="TextBaseURL" w:val="empty"/>
    <w:docVar w:name="UILng" w:val="en"/>
  </w:docVars>
  <w:rsids>
    <w:rsidRoot w:val="00467D18"/>
    <w:rsid w:val="00000531"/>
    <w:rsid w:val="000031A2"/>
    <w:rsid w:val="00004E4E"/>
    <w:rsid w:val="00005853"/>
    <w:rsid w:val="0000682E"/>
    <w:rsid w:val="00006D0B"/>
    <w:rsid w:val="00010D9E"/>
    <w:rsid w:val="000119CD"/>
    <w:rsid w:val="000126EB"/>
    <w:rsid w:val="000134B6"/>
    <w:rsid w:val="000162E4"/>
    <w:rsid w:val="0001787D"/>
    <w:rsid w:val="000208DA"/>
    <w:rsid w:val="000209F0"/>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4980"/>
    <w:rsid w:val="00066C1C"/>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4B7"/>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129"/>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1C96"/>
    <w:rsid w:val="001166FC"/>
    <w:rsid w:val="00120461"/>
    <w:rsid w:val="00122F6C"/>
    <w:rsid w:val="0013000A"/>
    <w:rsid w:val="00130571"/>
    <w:rsid w:val="00131413"/>
    <w:rsid w:val="00131973"/>
    <w:rsid w:val="00133122"/>
    <w:rsid w:val="00133303"/>
    <w:rsid w:val="00133DEF"/>
    <w:rsid w:val="001350AE"/>
    <w:rsid w:val="0013633B"/>
    <w:rsid w:val="001401B9"/>
    <w:rsid w:val="00142FE8"/>
    <w:rsid w:val="00147AC6"/>
    <w:rsid w:val="00150252"/>
    <w:rsid w:val="001503D6"/>
    <w:rsid w:val="00150A66"/>
    <w:rsid w:val="00151207"/>
    <w:rsid w:val="00151E6C"/>
    <w:rsid w:val="00152C1F"/>
    <w:rsid w:val="00153DB6"/>
    <w:rsid w:val="00154CD6"/>
    <w:rsid w:val="001554EC"/>
    <w:rsid w:val="0015629B"/>
    <w:rsid w:val="00157840"/>
    <w:rsid w:val="001619D7"/>
    <w:rsid w:val="00161C39"/>
    <w:rsid w:val="00162273"/>
    <w:rsid w:val="001623A0"/>
    <w:rsid w:val="001641C6"/>
    <w:rsid w:val="00165579"/>
    <w:rsid w:val="00167878"/>
    <w:rsid w:val="00167EC8"/>
    <w:rsid w:val="001703F3"/>
    <w:rsid w:val="001706B9"/>
    <w:rsid w:val="001718E7"/>
    <w:rsid w:val="001730B7"/>
    <w:rsid w:val="0017380D"/>
    <w:rsid w:val="00175F7E"/>
    <w:rsid w:val="00176502"/>
    <w:rsid w:val="00177001"/>
    <w:rsid w:val="00177708"/>
    <w:rsid w:val="0017786C"/>
    <w:rsid w:val="00180802"/>
    <w:rsid w:val="001811B0"/>
    <w:rsid w:val="001815F2"/>
    <w:rsid w:val="0018250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3D1"/>
    <w:rsid w:val="001A387A"/>
    <w:rsid w:val="001A4181"/>
    <w:rsid w:val="001A44D2"/>
    <w:rsid w:val="001A59D0"/>
    <w:rsid w:val="001A73AD"/>
    <w:rsid w:val="001B0B2D"/>
    <w:rsid w:val="001B22CC"/>
    <w:rsid w:val="001B2D4A"/>
    <w:rsid w:val="001B370C"/>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51B"/>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807"/>
    <w:rsid w:val="002204F0"/>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5F38"/>
    <w:rsid w:val="00236F3A"/>
    <w:rsid w:val="002370A5"/>
    <w:rsid w:val="002403C8"/>
    <w:rsid w:val="00240860"/>
    <w:rsid w:val="002432FA"/>
    <w:rsid w:val="00243953"/>
    <w:rsid w:val="00244F93"/>
    <w:rsid w:val="002453DC"/>
    <w:rsid w:val="00245FF4"/>
    <w:rsid w:val="0024755E"/>
    <w:rsid w:val="002509D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46D"/>
    <w:rsid w:val="00275D7F"/>
    <w:rsid w:val="00275EF2"/>
    <w:rsid w:val="00276166"/>
    <w:rsid w:val="002777B8"/>
    <w:rsid w:val="00280406"/>
    <w:rsid w:val="00280426"/>
    <w:rsid w:val="0028205E"/>
    <w:rsid w:val="00283FE8"/>
    <w:rsid w:val="00284D35"/>
    <w:rsid w:val="002859AA"/>
    <w:rsid w:val="00286407"/>
    <w:rsid w:val="00286A5C"/>
    <w:rsid w:val="00286ABF"/>
    <w:rsid w:val="00287115"/>
    <w:rsid w:val="00287BD4"/>
    <w:rsid w:val="00287C5E"/>
    <w:rsid w:val="00290507"/>
    <w:rsid w:val="0029058A"/>
    <w:rsid w:val="00290594"/>
    <w:rsid w:val="00290F98"/>
    <w:rsid w:val="00291384"/>
    <w:rsid w:val="00291D33"/>
    <w:rsid w:val="00292460"/>
    <w:rsid w:val="0029329A"/>
    <w:rsid w:val="00293ED3"/>
    <w:rsid w:val="00294904"/>
    <w:rsid w:val="00294DB4"/>
    <w:rsid w:val="00295353"/>
    <w:rsid w:val="00297213"/>
    <w:rsid w:val="002973EA"/>
    <w:rsid w:val="00297B8D"/>
    <w:rsid w:val="002A02F4"/>
    <w:rsid w:val="002A07D0"/>
    <w:rsid w:val="002A0A33"/>
    <w:rsid w:val="002A29A5"/>
    <w:rsid w:val="002A3501"/>
    <w:rsid w:val="002A3D46"/>
    <w:rsid w:val="002A47E3"/>
    <w:rsid w:val="002A56B5"/>
    <w:rsid w:val="002A5A71"/>
    <w:rsid w:val="002A5ECE"/>
    <w:rsid w:val="002A60E6"/>
    <w:rsid w:val="002A7756"/>
    <w:rsid w:val="002B3CB7"/>
    <w:rsid w:val="002B52E9"/>
    <w:rsid w:val="002B5EB6"/>
    <w:rsid w:val="002B6038"/>
    <w:rsid w:val="002C5439"/>
    <w:rsid w:val="002C548B"/>
    <w:rsid w:val="002C6605"/>
    <w:rsid w:val="002D0C29"/>
    <w:rsid w:val="002D0ED1"/>
    <w:rsid w:val="002D2714"/>
    <w:rsid w:val="002D3B17"/>
    <w:rsid w:val="002D3E39"/>
    <w:rsid w:val="002D4388"/>
    <w:rsid w:val="002D4E53"/>
    <w:rsid w:val="002D5C64"/>
    <w:rsid w:val="002D6048"/>
    <w:rsid w:val="002E0B31"/>
    <w:rsid w:val="002E1869"/>
    <w:rsid w:val="002E1F19"/>
    <w:rsid w:val="002E216C"/>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556"/>
    <w:rsid w:val="00347FC6"/>
    <w:rsid w:val="00350C7F"/>
    <w:rsid w:val="003510E5"/>
    <w:rsid w:val="00351280"/>
    <w:rsid w:val="00352499"/>
    <w:rsid w:val="003526C7"/>
    <w:rsid w:val="003526EA"/>
    <w:rsid w:val="00354B79"/>
    <w:rsid w:val="0035533A"/>
    <w:rsid w:val="003624A3"/>
    <w:rsid w:val="003626E7"/>
    <w:rsid w:val="003630E0"/>
    <w:rsid w:val="00364D90"/>
    <w:rsid w:val="0036717D"/>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4DB1"/>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0921"/>
    <w:rsid w:val="004017C9"/>
    <w:rsid w:val="004021C1"/>
    <w:rsid w:val="004043BA"/>
    <w:rsid w:val="00406070"/>
    <w:rsid w:val="00406878"/>
    <w:rsid w:val="00407739"/>
    <w:rsid w:val="004078D8"/>
    <w:rsid w:val="0041053C"/>
    <w:rsid w:val="00411203"/>
    <w:rsid w:val="004126B6"/>
    <w:rsid w:val="00412E09"/>
    <w:rsid w:val="00414E05"/>
    <w:rsid w:val="00415150"/>
    <w:rsid w:val="00416210"/>
    <w:rsid w:val="004174EA"/>
    <w:rsid w:val="00417703"/>
    <w:rsid w:val="00420A31"/>
    <w:rsid w:val="0042110A"/>
    <w:rsid w:val="004229F3"/>
    <w:rsid w:val="00422A09"/>
    <w:rsid w:val="00422D17"/>
    <w:rsid w:val="004241E7"/>
    <w:rsid w:val="00425EA8"/>
    <w:rsid w:val="00430280"/>
    <w:rsid w:val="00431391"/>
    <w:rsid w:val="004316B8"/>
    <w:rsid w:val="00431CE0"/>
    <w:rsid w:val="00434FEF"/>
    <w:rsid w:val="004401FC"/>
    <w:rsid w:val="00441051"/>
    <w:rsid w:val="00443537"/>
    <w:rsid w:val="004439A9"/>
    <w:rsid w:val="00443CED"/>
    <w:rsid w:val="00445492"/>
    <w:rsid w:val="004454BC"/>
    <w:rsid w:val="00445ACB"/>
    <w:rsid w:val="00447EC9"/>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5EE"/>
    <w:rsid w:val="00466F95"/>
    <w:rsid w:val="00467D18"/>
    <w:rsid w:val="00470205"/>
    <w:rsid w:val="00472A58"/>
    <w:rsid w:val="00473812"/>
    <w:rsid w:val="004757E7"/>
    <w:rsid w:val="0047691A"/>
    <w:rsid w:val="00477EAA"/>
    <w:rsid w:val="00477F73"/>
    <w:rsid w:val="00480111"/>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2AE3"/>
    <w:rsid w:val="004A3C70"/>
    <w:rsid w:val="004A42D1"/>
    <w:rsid w:val="004A42F5"/>
    <w:rsid w:val="004A47F9"/>
    <w:rsid w:val="004A6ADF"/>
    <w:rsid w:val="004A70A6"/>
    <w:rsid w:val="004A74AD"/>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D28"/>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5D73"/>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6DB4"/>
    <w:rsid w:val="00546F4D"/>
    <w:rsid w:val="00547816"/>
    <w:rsid w:val="00547E3C"/>
    <w:rsid w:val="00552A3B"/>
    <w:rsid w:val="00556163"/>
    <w:rsid w:val="005572B4"/>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2B0"/>
    <w:rsid w:val="00594384"/>
    <w:rsid w:val="00594B41"/>
    <w:rsid w:val="0059683E"/>
    <w:rsid w:val="005969C1"/>
    <w:rsid w:val="00597AD5"/>
    <w:rsid w:val="00597E91"/>
    <w:rsid w:val="005A2310"/>
    <w:rsid w:val="005A291D"/>
    <w:rsid w:val="005A2C11"/>
    <w:rsid w:val="005A368F"/>
    <w:rsid w:val="005A398D"/>
    <w:rsid w:val="005B1117"/>
    <w:rsid w:val="005B3875"/>
    <w:rsid w:val="005B3F9D"/>
    <w:rsid w:val="005B414B"/>
    <w:rsid w:val="005B4488"/>
    <w:rsid w:val="005B6087"/>
    <w:rsid w:val="005B6E11"/>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0ADD"/>
    <w:rsid w:val="005E1E3E"/>
    <w:rsid w:val="005E20A2"/>
    <w:rsid w:val="005E233F"/>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3EB9"/>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B9D"/>
    <w:rsid w:val="00627F3C"/>
    <w:rsid w:val="006319D6"/>
    <w:rsid w:val="00631DB2"/>
    <w:rsid w:val="006333EC"/>
    <w:rsid w:val="00633793"/>
    <w:rsid w:val="00634C7E"/>
    <w:rsid w:val="00635959"/>
    <w:rsid w:val="00635D4C"/>
    <w:rsid w:val="00636824"/>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DDD"/>
    <w:rsid w:val="00686ECD"/>
    <w:rsid w:val="00687D47"/>
    <w:rsid w:val="006918DA"/>
    <w:rsid w:val="00691FA2"/>
    <w:rsid w:val="00691FE9"/>
    <w:rsid w:val="00692143"/>
    <w:rsid w:val="006923B5"/>
    <w:rsid w:val="00692EEE"/>
    <w:rsid w:val="00693143"/>
    <w:rsid w:val="006956FA"/>
    <w:rsid w:val="0069682F"/>
    <w:rsid w:val="00696DEB"/>
    <w:rsid w:val="006976A5"/>
    <w:rsid w:val="006A1563"/>
    <w:rsid w:val="006A1CD0"/>
    <w:rsid w:val="006A369A"/>
    <w:rsid w:val="006A46EF"/>
    <w:rsid w:val="006A59E4"/>
    <w:rsid w:val="006A5B2B"/>
    <w:rsid w:val="006B03E2"/>
    <w:rsid w:val="006B0539"/>
    <w:rsid w:val="006B1269"/>
    <w:rsid w:val="006B26A6"/>
    <w:rsid w:val="006B3AEC"/>
    <w:rsid w:val="006B487F"/>
    <w:rsid w:val="006B61BA"/>
    <w:rsid w:val="006B67A8"/>
    <w:rsid w:val="006B6B11"/>
    <w:rsid w:val="006C1E31"/>
    <w:rsid w:val="006C3139"/>
    <w:rsid w:val="006C6491"/>
    <w:rsid w:val="006D026B"/>
    <w:rsid w:val="006D05D3"/>
    <w:rsid w:val="006D08C3"/>
    <w:rsid w:val="006D2359"/>
    <w:rsid w:val="006D265A"/>
    <w:rsid w:val="006D278A"/>
    <w:rsid w:val="006D313F"/>
    <w:rsid w:val="006D3C53"/>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24A"/>
    <w:rsid w:val="006F73B0"/>
    <w:rsid w:val="006F75F8"/>
    <w:rsid w:val="00700171"/>
    <w:rsid w:val="0070029C"/>
    <w:rsid w:val="0070038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05D"/>
    <w:rsid w:val="00714661"/>
    <w:rsid w:val="00717396"/>
    <w:rsid w:val="0072026F"/>
    <w:rsid w:val="00721875"/>
    <w:rsid w:val="00724050"/>
    <w:rsid w:val="00725B3F"/>
    <w:rsid w:val="00725D33"/>
    <w:rsid w:val="00726D08"/>
    <w:rsid w:val="0072734C"/>
    <w:rsid w:val="0072737E"/>
    <w:rsid w:val="0072745A"/>
    <w:rsid w:val="00727A2C"/>
    <w:rsid w:val="007300A7"/>
    <w:rsid w:val="00730FB8"/>
    <w:rsid w:val="00731260"/>
    <w:rsid w:val="0073147D"/>
    <w:rsid w:val="00731981"/>
    <w:rsid w:val="00733008"/>
    <w:rsid w:val="00735584"/>
    <w:rsid w:val="00735877"/>
    <w:rsid w:val="007369D4"/>
    <w:rsid w:val="00736D73"/>
    <w:rsid w:val="00736FE8"/>
    <w:rsid w:val="007372E2"/>
    <w:rsid w:val="00740108"/>
    <w:rsid w:val="00740E84"/>
    <w:rsid w:val="00744567"/>
    <w:rsid w:val="00744A8F"/>
    <w:rsid w:val="00744F57"/>
    <w:rsid w:val="007465E7"/>
    <w:rsid w:val="0074690D"/>
    <w:rsid w:val="00746A78"/>
    <w:rsid w:val="00747C42"/>
    <w:rsid w:val="00751D55"/>
    <w:rsid w:val="0075406E"/>
    <w:rsid w:val="00754CC2"/>
    <w:rsid w:val="00755293"/>
    <w:rsid w:val="0075571A"/>
    <w:rsid w:val="00757526"/>
    <w:rsid w:val="007623E3"/>
    <w:rsid w:val="00763CF8"/>
    <w:rsid w:val="00766AAD"/>
    <w:rsid w:val="00766F6F"/>
    <w:rsid w:val="00767D20"/>
    <w:rsid w:val="00770A36"/>
    <w:rsid w:val="00770D72"/>
    <w:rsid w:val="00773385"/>
    <w:rsid w:val="00774F51"/>
    <w:rsid w:val="00777AEF"/>
    <w:rsid w:val="00781062"/>
    <w:rsid w:val="00782E26"/>
    <w:rsid w:val="00782F3D"/>
    <w:rsid w:val="0078367A"/>
    <w:rsid w:val="007840C6"/>
    <w:rsid w:val="007844F2"/>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A7FBE"/>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4B9"/>
    <w:rsid w:val="007E6C5A"/>
    <w:rsid w:val="007E72BE"/>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56B"/>
    <w:rsid w:val="00823D91"/>
    <w:rsid w:val="00825925"/>
    <w:rsid w:val="008264A6"/>
    <w:rsid w:val="00827CAC"/>
    <w:rsid w:val="008341E7"/>
    <w:rsid w:val="00835B13"/>
    <w:rsid w:val="00836860"/>
    <w:rsid w:val="00836C44"/>
    <w:rsid w:val="00836CFD"/>
    <w:rsid w:val="008375E5"/>
    <w:rsid w:val="00840835"/>
    <w:rsid w:val="00840A4A"/>
    <w:rsid w:val="00840B87"/>
    <w:rsid w:val="00841060"/>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40C"/>
    <w:rsid w:val="00873C31"/>
    <w:rsid w:val="00874852"/>
    <w:rsid w:val="00874F85"/>
    <w:rsid w:val="008771D1"/>
    <w:rsid w:val="008810DA"/>
    <w:rsid w:val="008812F1"/>
    <w:rsid w:val="00881E38"/>
    <w:rsid w:val="008821E5"/>
    <w:rsid w:val="00887174"/>
    <w:rsid w:val="008878B8"/>
    <w:rsid w:val="00887900"/>
    <w:rsid w:val="00887B84"/>
    <w:rsid w:val="00887E28"/>
    <w:rsid w:val="008919ED"/>
    <w:rsid w:val="00891DBD"/>
    <w:rsid w:val="00891E1F"/>
    <w:rsid w:val="008926B9"/>
    <w:rsid w:val="00892D44"/>
    <w:rsid w:val="00892F87"/>
    <w:rsid w:val="008933F8"/>
    <w:rsid w:val="00893E3E"/>
    <w:rsid w:val="00894CA0"/>
    <w:rsid w:val="00895711"/>
    <w:rsid w:val="00895864"/>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833"/>
    <w:rsid w:val="008C7AE6"/>
    <w:rsid w:val="008D0254"/>
    <w:rsid w:val="008D09CC"/>
    <w:rsid w:val="008D1BC4"/>
    <w:rsid w:val="008D4B4B"/>
    <w:rsid w:val="008D4BA5"/>
    <w:rsid w:val="008D5A54"/>
    <w:rsid w:val="008D7A68"/>
    <w:rsid w:val="008D7E42"/>
    <w:rsid w:val="008D7F3E"/>
    <w:rsid w:val="008E3A89"/>
    <w:rsid w:val="008E563B"/>
    <w:rsid w:val="008F0212"/>
    <w:rsid w:val="008F0A80"/>
    <w:rsid w:val="008F0D91"/>
    <w:rsid w:val="008F12D4"/>
    <w:rsid w:val="008F1618"/>
    <w:rsid w:val="008F186C"/>
    <w:rsid w:val="008F1B15"/>
    <w:rsid w:val="008F1F41"/>
    <w:rsid w:val="008F202C"/>
    <w:rsid w:val="008F22A9"/>
    <w:rsid w:val="008F2B52"/>
    <w:rsid w:val="008F2D43"/>
    <w:rsid w:val="008F3258"/>
    <w:rsid w:val="008F36C1"/>
    <w:rsid w:val="008F408D"/>
    <w:rsid w:val="008F50BC"/>
    <w:rsid w:val="008F57F0"/>
    <w:rsid w:val="008F5816"/>
    <w:rsid w:val="008F6E44"/>
    <w:rsid w:val="008F7A9D"/>
    <w:rsid w:val="008F7F61"/>
    <w:rsid w:val="009005BE"/>
    <w:rsid w:val="009008CC"/>
    <w:rsid w:val="00903BF7"/>
    <w:rsid w:val="00903C78"/>
    <w:rsid w:val="00904477"/>
    <w:rsid w:val="009044A3"/>
    <w:rsid w:val="00906363"/>
    <w:rsid w:val="00906724"/>
    <w:rsid w:val="009067A6"/>
    <w:rsid w:val="00910F50"/>
    <w:rsid w:val="00913A3A"/>
    <w:rsid w:val="0091410E"/>
    <w:rsid w:val="00917FDC"/>
    <w:rsid w:val="00920F12"/>
    <w:rsid w:val="00923BDF"/>
    <w:rsid w:val="00924180"/>
    <w:rsid w:val="0092431D"/>
    <w:rsid w:val="00924380"/>
    <w:rsid w:val="00924CB7"/>
    <w:rsid w:val="0092588D"/>
    <w:rsid w:val="00926645"/>
    <w:rsid w:val="0092698E"/>
    <w:rsid w:val="00926AB1"/>
    <w:rsid w:val="00927687"/>
    <w:rsid w:val="00930C2D"/>
    <w:rsid w:val="009320D7"/>
    <w:rsid w:val="00932824"/>
    <w:rsid w:val="009331B8"/>
    <w:rsid w:val="00933FDD"/>
    <w:rsid w:val="0093410A"/>
    <w:rsid w:val="00934528"/>
    <w:rsid w:val="0093579E"/>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DB3"/>
    <w:rsid w:val="00980571"/>
    <w:rsid w:val="00980E7F"/>
    <w:rsid w:val="00984840"/>
    <w:rsid w:val="00986219"/>
    <w:rsid w:val="009862F0"/>
    <w:rsid w:val="00986695"/>
    <w:rsid w:val="009866D9"/>
    <w:rsid w:val="0098720C"/>
    <w:rsid w:val="0099093C"/>
    <w:rsid w:val="00991598"/>
    <w:rsid w:val="00992028"/>
    <w:rsid w:val="0099214D"/>
    <w:rsid w:val="00992177"/>
    <w:rsid w:val="00992987"/>
    <w:rsid w:val="00992E1A"/>
    <w:rsid w:val="00993AE8"/>
    <w:rsid w:val="00993E2F"/>
    <w:rsid w:val="00994F12"/>
    <w:rsid w:val="00994FC0"/>
    <w:rsid w:val="009951C4"/>
    <w:rsid w:val="00995490"/>
    <w:rsid w:val="00995497"/>
    <w:rsid w:val="009A09E8"/>
    <w:rsid w:val="009A313B"/>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2B5"/>
    <w:rsid w:val="009B7D8E"/>
    <w:rsid w:val="009C0402"/>
    <w:rsid w:val="009C07F8"/>
    <w:rsid w:val="009C0842"/>
    <w:rsid w:val="009C13F5"/>
    <w:rsid w:val="009C3420"/>
    <w:rsid w:val="009C382F"/>
    <w:rsid w:val="009C4568"/>
    <w:rsid w:val="009C45AB"/>
    <w:rsid w:val="009C47D6"/>
    <w:rsid w:val="009C7451"/>
    <w:rsid w:val="009C7EAA"/>
    <w:rsid w:val="009D0795"/>
    <w:rsid w:val="009D08E6"/>
    <w:rsid w:val="009D100E"/>
    <w:rsid w:val="009D1F95"/>
    <w:rsid w:val="009D2983"/>
    <w:rsid w:val="009D2F63"/>
    <w:rsid w:val="009D51E6"/>
    <w:rsid w:val="009D558F"/>
    <w:rsid w:val="009D7962"/>
    <w:rsid w:val="009E055F"/>
    <w:rsid w:val="009E0576"/>
    <w:rsid w:val="009E132A"/>
    <w:rsid w:val="009E1B11"/>
    <w:rsid w:val="009E1E92"/>
    <w:rsid w:val="009E2121"/>
    <w:rsid w:val="009E3207"/>
    <w:rsid w:val="009E3B8B"/>
    <w:rsid w:val="009E58B1"/>
    <w:rsid w:val="009E5AE1"/>
    <w:rsid w:val="009E691A"/>
    <w:rsid w:val="009E7723"/>
    <w:rsid w:val="009E7FCD"/>
    <w:rsid w:val="009F1503"/>
    <w:rsid w:val="009F16FE"/>
    <w:rsid w:val="009F3068"/>
    <w:rsid w:val="009F3DF5"/>
    <w:rsid w:val="009F50A6"/>
    <w:rsid w:val="009F6D89"/>
    <w:rsid w:val="009F6FF7"/>
    <w:rsid w:val="00A005AE"/>
    <w:rsid w:val="00A00E08"/>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0EE3"/>
    <w:rsid w:val="00A22318"/>
    <w:rsid w:val="00A261F6"/>
    <w:rsid w:val="00A26F3C"/>
    <w:rsid w:val="00A27BC2"/>
    <w:rsid w:val="00A3131D"/>
    <w:rsid w:val="00A32140"/>
    <w:rsid w:val="00A33AC2"/>
    <w:rsid w:val="00A33E1B"/>
    <w:rsid w:val="00A35725"/>
    <w:rsid w:val="00A364F2"/>
    <w:rsid w:val="00A371BC"/>
    <w:rsid w:val="00A4064E"/>
    <w:rsid w:val="00A41F2B"/>
    <w:rsid w:val="00A43FFB"/>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01CC"/>
    <w:rsid w:val="00A91152"/>
    <w:rsid w:val="00A92C23"/>
    <w:rsid w:val="00A9313D"/>
    <w:rsid w:val="00A94A1A"/>
    <w:rsid w:val="00A94C29"/>
    <w:rsid w:val="00A95126"/>
    <w:rsid w:val="00AA14C0"/>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5F29"/>
    <w:rsid w:val="00AB640C"/>
    <w:rsid w:val="00AB66B2"/>
    <w:rsid w:val="00AB6DDB"/>
    <w:rsid w:val="00AB74C7"/>
    <w:rsid w:val="00AC0154"/>
    <w:rsid w:val="00AC028C"/>
    <w:rsid w:val="00AC040C"/>
    <w:rsid w:val="00AC40A2"/>
    <w:rsid w:val="00AC49C5"/>
    <w:rsid w:val="00AC4CDA"/>
    <w:rsid w:val="00AC5EAC"/>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C78"/>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2FD4"/>
    <w:rsid w:val="00B03319"/>
    <w:rsid w:val="00B06A49"/>
    <w:rsid w:val="00B0742F"/>
    <w:rsid w:val="00B074DF"/>
    <w:rsid w:val="00B10805"/>
    <w:rsid w:val="00B10F67"/>
    <w:rsid w:val="00B11044"/>
    <w:rsid w:val="00B11198"/>
    <w:rsid w:val="00B118C5"/>
    <w:rsid w:val="00B1354A"/>
    <w:rsid w:val="00B148EF"/>
    <w:rsid w:val="00B14C11"/>
    <w:rsid w:val="00B14EC9"/>
    <w:rsid w:val="00B14F4A"/>
    <w:rsid w:val="00B153D5"/>
    <w:rsid w:val="00B16A3E"/>
    <w:rsid w:val="00B16B53"/>
    <w:rsid w:val="00B17D1E"/>
    <w:rsid w:val="00B17D9E"/>
    <w:rsid w:val="00B21B55"/>
    <w:rsid w:val="00B21DB0"/>
    <w:rsid w:val="00B223F1"/>
    <w:rsid w:val="00B2254F"/>
    <w:rsid w:val="00B235A6"/>
    <w:rsid w:val="00B2424B"/>
    <w:rsid w:val="00B24352"/>
    <w:rsid w:val="00B24B81"/>
    <w:rsid w:val="00B24E75"/>
    <w:rsid w:val="00B257C7"/>
    <w:rsid w:val="00B25ED5"/>
    <w:rsid w:val="00B25FED"/>
    <w:rsid w:val="00B26915"/>
    <w:rsid w:val="00B2787C"/>
    <w:rsid w:val="00B27B20"/>
    <w:rsid w:val="00B30130"/>
    <w:rsid w:val="00B304A4"/>
    <w:rsid w:val="00B31E30"/>
    <w:rsid w:val="00B32406"/>
    <w:rsid w:val="00B32FE5"/>
    <w:rsid w:val="00B33046"/>
    <w:rsid w:val="00B34E39"/>
    <w:rsid w:val="00B3636D"/>
    <w:rsid w:val="00B36C78"/>
    <w:rsid w:val="00B37C2B"/>
    <w:rsid w:val="00B426C8"/>
    <w:rsid w:val="00B4518D"/>
    <w:rsid w:val="00B451EF"/>
    <w:rsid w:val="00B473E7"/>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6F35"/>
    <w:rsid w:val="00B677C7"/>
    <w:rsid w:val="00B67E7A"/>
    <w:rsid w:val="00B703E8"/>
    <w:rsid w:val="00B71C86"/>
    <w:rsid w:val="00B72F66"/>
    <w:rsid w:val="00B73222"/>
    <w:rsid w:val="00B74A5B"/>
    <w:rsid w:val="00B74EDC"/>
    <w:rsid w:val="00B753B5"/>
    <w:rsid w:val="00B759AA"/>
    <w:rsid w:val="00B75EB5"/>
    <w:rsid w:val="00B7646A"/>
    <w:rsid w:val="00B77083"/>
    <w:rsid w:val="00B804B3"/>
    <w:rsid w:val="00B804CD"/>
    <w:rsid w:val="00B8122C"/>
    <w:rsid w:val="00B8224F"/>
    <w:rsid w:val="00B829C1"/>
    <w:rsid w:val="00B82F2F"/>
    <w:rsid w:val="00B86C64"/>
    <w:rsid w:val="00B87546"/>
    <w:rsid w:val="00B87757"/>
    <w:rsid w:val="00B878BF"/>
    <w:rsid w:val="00B904AD"/>
    <w:rsid w:val="00B90C15"/>
    <w:rsid w:val="00B911F8"/>
    <w:rsid w:val="00B91610"/>
    <w:rsid w:val="00B92748"/>
    <w:rsid w:val="00B93BFC"/>
    <w:rsid w:val="00B93F7B"/>
    <w:rsid w:val="00B95D55"/>
    <w:rsid w:val="00B96A14"/>
    <w:rsid w:val="00B96EC5"/>
    <w:rsid w:val="00BA15C6"/>
    <w:rsid w:val="00BA2625"/>
    <w:rsid w:val="00BA2B2D"/>
    <w:rsid w:val="00BA4641"/>
    <w:rsid w:val="00BA567B"/>
    <w:rsid w:val="00BA5798"/>
    <w:rsid w:val="00BA61FE"/>
    <w:rsid w:val="00BA652B"/>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1C95"/>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3A66"/>
    <w:rsid w:val="00C066F5"/>
    <w:rsid w:val="00C0671E"/>
    <w:rsid w:val="00C07581"/>
    <w:rsid w:val="00C100E1"/>
    <w:rsid w:val="00C10495"/>
    <w:rsid w:val="00C11710"/>
    <w:rsid w:val="00C11AE4"/>
    <w:rsid w:val="00C12B58"/>
    <w:rsid w:val="00C12BBE"/>
    <w:rsid w:val="00C157D4"/>
    <w:rsid w:val="00C15EDC"/>
    <w:rsid w:val="00C17C5E"/>
    <w:rsid w:val="00C217A9"/>
    <w:rsid w:val="00C24935"/>
    <w:rsid w:val="00C26397"/>
    <w:rsid w:val="00C26A76"/>
    <w:rsid w:val="00C26BDF"/>
    <w:rsid w:val="00C30D3E"/>
    <w:rsid w:val="00C31D02"/>
    <w:rsid w:val="00C32075"/>
    <w:rsid w:val="00C359EE"/>
    <w:rsid w:val="00C35BFF"/>
    <w:rsid w:val="00C35EB6"/>
    <w:rsid w:val="00C36121"/>
    <w:rsid w:val="00C36DD4"/>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3CF"/>
    <w:rsid w:val="00C53682"/>
    <w:rsid w:val="00C573B6"/>
    <w:rsid w:val="00C57837"/>
    <w:rsid w:val="00C61A07"/>
    <w:rsid w:val="00C61B29"/>
    <w:rsid w:val="00C61DC9"/>
    <w:rsid w:val="00C62C12"/>
    <w:rsid w:val="00C63273"/>
    <w:rsid w:val="00C64052"/>
    <w:rsid w:val="00C64C44"/>
    <w:rsid w:val="00C65B23"/>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5441"/>
    <w:rsid w:val="00C95E67"/>
    <w:rsid w:val="00C977F5"/>
    <w:rsid w:val="00CA1047"/>
    <w:rsid w:val="00CA1F73"/>
    <w:rsid w:val="00CA2398"/>
    <w:rsid w:val="00CA2490"/>
    <w:rsid w:val="00CA28E2"/>
    <w:rsid w:val="00CA2A84"/>
    <w:rsid w:val="00CA2E85"/>
    <w:rsid w:val="00CA3469"/>
    <w:rsid w:val="00CA4100"/>
    <w:rsid w:val="00CA4EC3"/>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0484"/>
    <w:rsid w:val="00CD303E"/>
    <w:rsid w:val="00CD311A"/>
    <w:rsid w:val="00CD4C21"/>
    <w:rsid w:val="00CD5C79"/>
    <w:rsid w:val="00CD6470"/>
    <w:rsid w:val="00CD7696"/>
    <w:rsid w:val="00CE0E08"/>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5B37"/>
    <w:rsid w:val="00D06257"/>
    <w:rsid w:val="00D06AEB"/>
    <w:rsid w:val="00D1321A"/>
    <w:rsid w:val="00D1331B"/>
    <w:rsid w:val="00D16200"/>
    <w:rsid w:val="00D1700C"/>
    <w:rsid w:val="00D17854"/>
    <w:rsid w:val="00D17CE8"/>
    <w:rsid w:val="00D22717"/>
    <w:rsid w:val="00D22A27"/>
    <w:rsid w:val="00D236BB"/>
    <w:rsid w:val="00D237FE"/>
    <w:rsid w:val="00D2496A"/>
    <w:rsid w:val="00D25C59"/>
    <w:rsid w:val="00D304D0"/>
    <w:rsid w:val="00D308F5"/>
    <w:rsid w:val="00D30B8C"/>
    <w:rsid w:val="00D30BE3"/>
    <w:rsid w:val="00D3153A"/>
    <w:rsid w:val="00D318A3"/>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6291D"/>
    <w:rsid w:val="00D6384D"/>
    <w:rsid w:val="00D65283"/>
    <w:rsid w:val="00D66E61"/>
    <w:rsid w:val="00D66EC3"/>
    <w:rsid w:val="00D67921"/>
    <w:rsid w:val="00D701C8"/>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33B7"/>
    <w:rsid w:val="00D94636"/>
    <w:rsid w:val="00D9463E"/>
    <w:rsid w:val="00D957E8"/>
    <w:rsid w:val="00D95B0C"/>
    <w:rsid w:val="00D962A5"/>
    <w:rsid w:val="00D96B33"/>
    <w:rsid w:val="00DA0254"/>
    <w:rsid w:val="00DA224C"/>
    <w:rsid w:val="00DA26AF"/>
    <w:rsid w:val="00DA3AFC"/>
    <w:rsid w:val="00DA4124"/>
    <w:rsid w:val="00DA425D"/>
    <w:rsid w:val="00DA58AF"/>
    <w:rsid w:val="00DA5CE4"/>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C96"/>
    <w:rsid w:val="00E044EF"/>
    <w:rsid w:val="00E06103"/>
    <w:rsid w:val="00E074AB"/>
    <w:rsid w:val="00E07777"/>
    <w:rsid w:val="00E07AE8"/>
    <w:rsid w:val="00E07D50"/>
    <w:rsid w:val="00E109B6"/>
    <w:rsid w:val="00E13395"/>
    <w:rsid w:val="00E160EB"/>
    <w:rsid w:val="00E162C5"/>
    <w:rsid w:val="00E170AC"/>
    <w:rsid w:val="00E17269"/>
    <w:rsid w:val="00E1764D"/>
    <w:rsid w:val="00E17919"/>
    <w:rsid w:val="00E2034B"/>
    <w:rsid w:val="00E208B6"/>
    <w:rsid w:val="00E208C7"/>
    <w:rsid w:val="00E21B5C"/>
    <w:rsid w:val="00E233C8"/>
    <w:rsid w:val="00E234B6"/>
    <w:rsid w:val="00E24B06"/>
    <w:rsid w:val="00E24BCC"/>
    <w:rsid w:val="00E25E0E"/>
    <w:rsid w:val="00E26935"/>
    <w:rsid w:val="00E306E0"/>
    <w:rsid w:val="00E31E68"/>
    <w:rsid w:val="00E33A0B"/>
    <w:rsid w:val="00E342AE"/>
    <w:rsid w:val="00E343FB"/>
    <w:rsid w:val="00E35E90"/>
    <w:rsid w:val="00E36870"/>
    <w:rsid w:val="00E3781B"/>
    <w:rsid w:val="00E37E33"/>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25B"/>
    <w:rsid w:val="00E54FBC"/>
    <w:rsid w:val="00E56516"/>
    <w:rsid w:val="00E56666"/>
    <w:rsid w:val="00E608EC"/>
    <w:rsid w:val="00E60994"/>
    <w:rsid w:val="00E6148D"/>
    <w:rsid w:val="00E6227D"/>
    <w:rsid w:val="00E625C2"/>
    <w:rsid w:val="00E63BA7"/>
    <w:rsid w:val="00E650C6"/>
    <w:rsid w:val="00E65748"/>
    <w:rsid w:val="00E65F46"/>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3F0"/>
    <w:rsid w:val="00EC0C4A"/>
    <w:rsid w:val="00EC11C9"/>
    <w:rsid w:val="00EC2279"/>
    <w:rsid w:val="00EC2930"/>
    <w:rsid w:val="00EC38B7"/>
    <w:rsid w:val="00EC4E75"/>
    <w:rsid w:val="00EC5BFA"/>
    <w:rsid w:val="00EC604D"/>
    <w:rsid w:val="00EC722C"/>
    <w:rsid w:val="00EC79DC"/>
    <w:rsid w:val="00ED15F4"/>
    <w:rsid w:val="00ED1EC1"/>
    <w:rsid w:val="00ED4482"/>
    <w:rsid w:val="00ED4B87"/>
    <w:rsid w:val="00ED4FB1"/>
    <w:rsid w:val="00ED5662"/>
    <w:rsid w:val="00ED7CB2"/>
    <w:rsid w:val="00EE0EF3"/>
    <w:rsid w:val="00EE0F2B"/>
    <w:rsid w:val="00EE1632"/>
    <w:rsid w:val="00EE2D42"/>
    <w:rsid w:val="00EE34BF"/>
    <w:rsid w:val="00EE3922"/>
    <w:rsid w:val="00EE4545"/>
    <w:rsid w:val="00EE6837"/>
    <w:rsid w:val="00EF0E3E"/>
    <w:rsid w:val="00EF1665"/>
    <w:rsid w:val="00EF1BC6"/>
    <w:rsid w:val="00EF383F"/>
    <w:rsid w:val="00EF5516"/>
    <w:rsid w:val="00EF5988"/>
    <w:rsid w:val="00EF7982"/>
    <w:rsid w:val="00F014B0"/>
    <w:rsid w:val="00F01745"/>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86F10"/>
    <w:rsid w:val="00F9048F"/>
    <w:rsid w:val="00F9151B"/>
    <w:rsid w:val="00F9213D"/>
    <w:rsid w:val="00F92D3A"/>
    <w:rsid w:val="00F9468A"/>
    <w:rsid w:val="00F94B2A"/>
    <w:rsid w:val="00F96285"/>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4C4"/>
    <w:rsid w:val="00FC7233"/>
    <w:rsid w:val="00FC773B"/>
    <w:rsid w:val="00FC7DBB"/>
    <w:rsid w:val="00FD00EA"/>
    <w:rsid w:val="00FD38D5"/>
    <w:rsid w:val="00FD4EBC"/>
    <w:rsid w:val="00FD700E"/>
    <w:rsid w:val="00FE0B0B"/>
    <w:rsid w:val="00FE10C9"/>
    <w:rsid w:val="00FE117A"/>
    <w:rsid w:val="00FE19DA"/>
    <w:rsid w:val="00FE3CB7"/>
    <w:rsid w:val="00FE503B"/>
    <w:rsid w:val="00FF00C2"/>
    <w:rsid w:val="00FF0C09"/>
    <w:rsid w:val="00FF0E7B"/>
    <w:rsid w:val="00FF0F4E"/>
    <w:rsid w:val="00FF101C"/>
    <w:rsid w:val="00FF14B5"/>
    <w:rsid w:val="00FF414C"/>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D318A3"/>
    <w:pPr>
      <w:keepNext/>
      <w:jc w:val="both"/>
      <w:outlineLvl w:val="0"/>
    </w:pPr>
    <w:rPr>
      <w:rFonts w:ascii="Arial" w:hAnsi="Arial"/>
      <w:caps/>
      <w:lang w:val="fr-FR"/>
    </w:rPr>
  </w:style>
  <w:style w:type="paragraph" w:styleId="Heading2">
    <w:name w:val="heading 2"/>
    <w:next w:val="Normal"/>
    <w:link w:val="Heading2Char"/>
    <w:autoRedefine/>
    <w:qFormat/>
    <w:rsid w:val="00BF1AB0"/>
    <w:pPr>
      <w:keepNext/>
      <w:jc w:val="both"/>
      <w:outlineLvl w:val="1"/>
    </w:pPr>
    <w:rPr>
      <w:rFonts w:ascii="Arial" w:hAnsi="Arial"/>
      <w:u w:val="single"/>
    </w:rPr>
  </w:style>
  <w:style w:type="paragraph" w:styleId="Heading3">
    <w:name w:val="heading 3"/>
    <w:next w:val="Normal"/>
    <w:link w:val="Heading3Char"/>
    <w:autoRedefine/>
    <w:qFormat/>
    <w:rsid w:val="00347556"/>
    <w:pPr>
      <w:keepNext/>
      <w:jc w:val="both"/>
      <w:outlineLvl w:val="2"/>
    </w:pPr>
    <w:rPr>
      <w:rFonts w:ascii="Arial" w:hAnsi="Arial"/>
      <w:i/>
      <w:lang w:val="fr-FR"/>
    </w:rPr>
  </w:style>
  <w:style w:type="paragraph" w:styleId="Heading4">
    <w:name w:val="heading 4"/>
    <w:next w:val="Normal"/>
    <w:autoRedefine/>
    <w:qFormat/>
    <w:rsid w:val="00D05B37"/>
    <w:pPr>
      <w:keepNext/>
      <w:ind w:left="567"/>
      <w:jc w:val="both"/>
      <w:outlineLvl w:val="3"/>
    </w:pPr>
    <w:rPr>
      <w:rFonts w:ascii="Arial" w:hAnsi="Arial"/>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link w:val="FooterChar"/>
    <w:autoRedefine/>
    <w:uiPriority w:val="99"/>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uiPriority w:val="99"/>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D278A"/>
    <w:pPr>
      <w:tabs>
        <w:tab w:val="right" w:leader="dot" w:pos="9639"/>
      </w:tabs>
      <w:spacing w:before="60" w:after="120"/>
      <w:ind w:left="993" w:right="851" w:hanging="993"/>
      <w:jc w:val="left"/>
    </w:pPr>
    <w:rPr>
      <w:bCs/>
      <w:caps/>
      <w:sz w:val="18"/>
    </w:rPr>
  </w:style>
  <w:style w:type="paragraph" w:styleId="TOC3">
    <w:name w:val="toc 3"/>
    <w:next w:val="Normal"/>
    <w:uiPriority w:val="39"/>
    <w:rsid w:val="00B804B3"/>
    <w:pPr>
      <w:tabs>
        <w:tab w:val="right" w:leader="dot" w:pos="9639"/>
      </w:tabs>
      <w:spacing w:after="120"/>
      <w:ind w:left="851" w:right="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inf61linkhigh">
    <w:name w:val="inf_6_1_link_high"/>
    <w:basedOn w:val="inf61normal"/>
    <w:rsid w:val="00467D18"/>
    <w:rPr>
      <w:color w:val="0000FF"/>
      <w:u w:val="single"/>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477EAA"/>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link w:val="EntteimpairChar"/>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semiHidden/>
    <w:rsid w:val="00467D18"/>
    <w:pPr>
      <w:ind w:left="4536"/>
    </w:pPr>
    <w:rPr>
      <w:rFonts w:eastAsia="SimSun"/>
      <w:i/>
      <w:lang w:val="fr-FR"/>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EndOfDoc">
    <w:name w:val="EndOfDoc"/>
    <w:basedOn w:val="Normal"/>
    <w:rsid w:val="00467D18"/>
    <w:pPr>
      <w:ind w:left="4536"/>
      <w:jc w:val="center"/>
    </w:pPr>
    <w:rPr>
      <w:rFonts w:eastAsia="SimSun"/>
      <w:lang w:val="fr-FR"/>
    </w:rPr>
  </w:style>
  <w:style w:type="paragraph" w:customStyle="1" w:styleId="preparedby0">
    <w:name w:val="prepared by"/>
    <w:basedOn w:val="Normal"/>
    <w:rsid w:val="00467D18"/>
    <w:pPr>
      <w:spacing w:before="600" w:after="600"/>
      <w:jc w:val="center"/>
    </w:pPr>
    <w:rPr>
      <w:rFonts w:eastAsia="SimSun"/>
      <w:i/>
      <w:lang w:val="fr-FR"/>
    </w:rPr>
  </w:style>
  <w:style w:type="paragraph" w:customStyle="1" w:styleId="Inf61Enum-">
    <w:name w:val="Inf_6_1_Enum_-"/>
    <w:basedOn w:val="Normal"/>
    <w:rsid w:val="00467D18"/>
    <w:pPr>
      <w:tabs>
        <w:tab w:val="right" w:pos="709"/>
      </w:tabs>
      <w:spacing w:before="120"/>
      <w:ind w:left="992" w:hanging="992"/>
    </w:pPr>
    <w:rPr>
      <w:rFonts w:eastAsia="SimSun"/>
      <w:lang w:val="fr-FR"/>
    </w:rPr>
  </w:style>
  <w:style w:type="character" w:customStyle="1" w:styleId="FootnoteTextChar">
    <w:name w:val="Footnote Text Char"/>
    <w:basedOn w:val="DefaultParagraphFont"/>
    <w:link w:val="FootnoteText"/>
    <w:uiPriority w:val="99"/>
    <w:rsid w:val="00467D18"/>
    <w:rPr>
      <w:rFonts w:ascii="Arial" w:hAnsi="Arial"/>
      <w:sz w:val="16"/>
      <w:lang w:val="en-US" w:eastAsia="en-US" w:bidi="ar-SA"/>
    </w:rPr>
  </w:style>
  <w:style w:type="character" w:customStyle="1" w:styleId="EndnoteTextChar">
    <w:name w:val="Endnote Text Char"/>
    <w:basedOn w:val="DefaultParagraphFont"/>
    <w:link w:val="EndnoteText"/>
    <w:rsid w:val="00467D18"/>
    <w:rPr>
      <w:rFonts w:ascii="Arial" w:hAnsi="Arial"/>
      <w:sz w:val="16"/>
      <w:lang w:val="en-US" w:eastAsia="en-US" w:bidi="ar-SA"/>
    </w:rPr>
  </w:style>
  <w:style w:type="paragraph" w:styleId="BodyTextIndent3">
    <w:name w:val="Body Text Indent 3"/>
    <w:basedOn w:val="Normal"/>
    <w:rsid w:val="00467D18"/>
    <w:pPr>
      <w:spacing w:after="120"/>
      <w:ind w:left="283"/>
    </w:pPr>
    <w:rPr>
      <w:rFonts w:eastAsia="SimSun"/>
      <w:sz w:val="16"/>
      <w:szCs w:val="16"/>
      <w:lang w:val="fr-FR"/>
    </w:rPr>
  </w:style>
  <w:style w:type="paragraph" w:customStyle="1" w:styleId="Inf61Enum-Bold">
    <w:name w:val="Inf_6_1_Enum_- + Bold"/>
    <w:basedOn w:val="Inf61Enum-"/>
    <w:rsid w:val="00467D18"/>
    <w:rPr>
      <w:b/>
    </w:rPr>
  </w:style>
  <w:style w:type="paragraph" w:customStyle="1" w:styleId="inf61Enumromain">
    <w:name w:val="inf_6_1_Enum_romain"/>
    <w:basedOn w:val="Normal"/>
    <w:next w:val="Normal"/>
    <w:link w:val="inf61EnumromainChar"/>
    <w:rsid w:val="00467D18"/>
    <w:pPr>
      <w:tabs>
        <w:tab w:val="right" w:pos="709"/>
        <w:tab w:val="left" w:pos="992"/>
      </w:tabs>
      <w:spacing w:before="120"/>
    </w:pPr>
    <w:rPr>
      <w:rFonts w:eastAsia="SimSun"/>
      <w:szCs w:val="24"/>
      <w:lang w:val="fr-FR"/>
    </w:rPr>
  </w:style>
  <w:style w:type="paragraph" w:customStyle="1" w:styleId="indentpara">
    <w:name w:val="indentpara"/>
    <w:basedOn w:val="Normal"/>
    <w:semiHidden/>
    <w:rsid w:val="00467D18"/>
    <w:pPr>
      <w:ind w:firstLine="425"/>
    </w:pPr>
    <w:rPr>
      <w:rFonts w:eastAsia="SimSun"/>
      <w:sz w:val="22"/>
      <w:lang w:val="fr-FR"/>
    </w:rPr>
  </w:style>
  <w:style w:type="paragraph" w:styleId="BodyText2">
    <w:name w:val="Body Text 2"/>
    <w:basedOn w:val="Normal"/>
    <w:semiHidden/>
    <w:rsid w:val="00467D18"/>
    <w:pPr>
      <w:spacing w:after="120" w:line="480" w:lineRule="auto"/>
    </w:pPr>
    <w:rPr>
      <w:rFonts w:eastAsia="SimSun"/>
      <w:lang w:val="fr-FR"/>
    </w:rPr>
  </w:style>
  <w:style w:type="paragraph" w:customStyle="1" w:styleId="Inf61Enumromainbold">
    <w:name w:val="Inf_6_1_Enum_romain_bold"/>
    <w:basedOn w:val="inf61Enumromain"/>
    <w:rsid w:val="00467D18"/>
    <w:rPr>
      <w:b/>
      <w:bCs/>
    </w:rPr>
  </w:style>
  <w:style w:type="paragraph" w:styleId="BodyText3">
    <w:name w:val="Body Text 3"/>
    <w:basedOn w:val="Normal"/>
    <w:semiHidden/>
    <w:rsid w:val="00467D18"/>
    <w:pPr>
      <w:spacing w:after="120"/>
    </w:pPr>
    <w:rPr>
      <w:rFonts w:eastAsia="SimSun"/>
      <w:sz w:val="16"/>
      <w:szCs w:val="16"/>
      <w:lang w:val="fr-FR"/>
    </w:rPr>
  </w:style>
  <w:style w:type="paragraph" w:customStyle="1" w:styleId="inf61normal">
    <w:name w:val="inf_6_1_normal"/>
    <w:basedOn w:val="Normal"/>
    <w:link w:val="inf61normalChar"/>
    <w:rsid w:val="00467D18"/>
    <w:pPr>
      <w:tabs>
        <w:tab w:val="left" w:pos="426"/>
        <w:tab w:val="left" w:pos="992"/>
      </w:tabs>
    </w:pPr>
    <w:rPr>
      <w:rFonts w:eastAsia="SimSun"/>
      <w:lang w:val="fr-FR"/>
    </w:rPr>
  </w:style>
  <w:style w:type="paragraph" w:customStyle="1" w:styleId="Inf61normalBold">
    <w:name w:val="Inf_6_1_normal + Bold"/>
    <w:basedOn w:val="inf61normal"/>
    <w:link w:val="Inf61normalBoldChar"/>
    <w:rsid w:val="00467D18"/>
    <w:rPr>
      <w:b/>
      <w:bCs/>
    </w:rPr>
  </w:style>
  <w:style w:type="character" w:customStyle="1" w:styleId="EntteimpairChar">
    <w:name w:val="Entête_impair Char"/>
    <w:basedOn w:val="DefaultParagraphFont"/>
    <w:link w:val="Entteimpair"/>
    <w:rsid w:val="00467D18"/>
    <w:rPr>
      <w:rFonts w:ascii="Arial" w:hAnsi="Arial"/>
      <w:lang w:val="en-US" w:eastAsia="en-US" w:bidi="ar-SA"/>
    </w:rPr>
  </w:style>
  <w:style w:type="paragraph" w:customStyle="1" w:styleId="inf61quote">
    <w:name w:val="inf_6_1_quote"/>
    <w:basedOn w:val="inf61normal"/>
    <w:next w:val="Normal"/>
    <w:rsid w:val="00467D18"/>
    <w:pPr>
      <w:tabs>
        <w:tab w:val="clear" w:pos="426"/>
      </w:tabs>
      <w:ind w:left="425" w:right="425"/>
    </w:pPr>
    <w:rPr>
      <w:sz w:val="22"/>
      <w:szCs w:val="22"/>
      <w:lang w:val="de-DE"/>
    </w:rPr>
  </w:style>
  <w:style w:type="paragraph" w:customStyle="1" w:styleId="Inf6footnotetext">
    <w:name w:val="Inf_6_footnote_text"/>
    <w:basedOn w:val="Normal"/>
    <w:next w:val="Normal"/>
    <w:rsid w:val="00467D18"/>
    <w:pPr>
      <w:tabs>
        <w:tab w:val="left" w:pos="851"/>
      </w:tabs>
      <w:spacing w:before="40"/>
      <w:ind w:left="425" w:hanging="425"/>
    </w:pPr>
    <w:rPr>
      <w:rFonts w:eastAsia="SimSun"/>
      <w:lang w:val="fr-FR"/>
    </w:rPr>
  </w:style>
  <w:style w:type="paragraph" w:customStyle="1" w:styleId="InfTitre1E">
    <w:name w:val="Inf_Titre1_E"/>
    <w:basedOn w:val="Normal"/>
    <w:next w:val="Normal"/>
    <w:link w:val="InfTitre1EChar"/>
    <w:rsid w:val="00467D18"/>
    <w:pPr>
      <w:keepNext/>
      <w:spacing w:before="120" w:after="360"/>
      <w:ind w:left="1134" w:hanging="1134"/>
      <w:jc w:val="left"/>
    </w:pPr>
    <w:rPr>
      <w:rFonts w:eastAsia="SimSun"/>
      <w:caps/>
      <w:szCs w:val="24"/>
      <w:lang w:val="fr-FR"/>
    </w:rPr>
  </w:style>
  <w:style w:type="paragraph" w:customStyle="1" w:styleId="InfAnnexE">
    <w:name w:val="Inf_Annex_E"/>
    <w:basedOn w:val="InfTitre1E"/>
    <w:rsid w:val="00467D18"/>
  </w:style>
  <w:style w:type="paragraph" w:customStyle="1" w:styleId="InfTitre2E">
    <w:name w:val="Inf_Titre2_E"/>
    <w:basedOn w:val="Normal"/>
    <w:next w:val="Normal"/>
    <w:rsid w:val="00467D18"/>
    <w:pPr>
      <w:keepNext/>
      <w:spacing w:after="240"/>
      <w:ind w:left="1418" w:hanging="1418"/>
    </w:pPr>
    <w:rPr>
      <w:rFonts w:eastAsia="SimSun"/>
      <w:i/>
      <w:caps/>
      <w:szCs w:val="24"/>
      <w:lang w:val="fr-FR"/>
    </w:rPr>
  </w:style>
  <w:style w:type="paragraph" w:customStyle="1" w:styleId="Inf6Titre1">
    <w:name w:val="Inf6_Titre1"/>
    <w:basedOn w:val="Heading1"/>
    <w:next w:val="Normal"/>
    <w:rsid w:val="00467D18"/>
    <w:pPr>
      <w:keepNext w:val="0"/>
      <w:pageBreakBefore/>
      <w:ind w:left="2268" w:hanging="2268"/>
      <w:jc w:val="center"/>
    </w:pPr>
    <w:rPr>
      <w:rFonts w:eastAsia="SimSun"/>
      <w:b/>
      <w:sz w:val="26"/>
    </w:rPr>
  </w:style>
  <w:style w:type="paragraph" w:customStyle="1" w:styleId="Inf6Titre112pt">
    <w:name w:val="Inf6_Titre1 + 12 pt"/>
    <w:basedOn w:val="Inf6Titre1"/>
    <w:rsid w:val="00467D18"/>
    <w:rPr>
      <w:rFonts w:ascii="Times New Roman Bold" w:hAnsi="Times New Roman Bold"/>
      <w:bCs/>
      <w:sz w:val="24"/>
      <w:szCs w:val="24"/>
    </w:rPr>
  </w:style>
  <w:style w:type="paragraph" w:customStyle="1" w:styleId="Inf6Titre2">
    <w:name w:val="Inf6_Titre2"/>
    <w:basedOn w:val="Inf6Titre1"/>
    <w:next w:val="Normal"/>
    <w:rsid w:val="00467D18"/>
    <w:pPr>
      <w:keepNext/>
      <w:pageBreakBefore w:val="0"/>
      <w:spacing w:after="360" w:line="360" w:lineRule="auto"/>
    </w:pPr>
    <w:rPr>
      <w:b w:val="0"/>
      <w:sz w:val="24"/>
    </w:rPr>
  </w:style>
  <w:style w:type="paragraph" w:customStyle="1" w:styleId="Inf6Titre3">
    <w:name w:val="Inf6_Titre3"/>
    <w:basedOn w:val="Inf6Titre2"/>
    <w:next w:val="Normal"/>
    <w:rsid w:val="00467D18"/>
    <w:pPr>
      <w:keepNext w:val="0"/>
      <w:spacing w:after="240" w:line="240" w:lineRule="auto"/>
    </w:pPr>
    <w:rPr>
      <w:b/>
      <w:caps w:val="0"/>
    </w:rPr>
  </w:style>
  <w:style w:type="paragraph" w:customStyle="1" w:styleId="Inf6Titre4">
    <w:name w:val="Inf6_Titre4"/>
    <w:basedOn w:val="Inf6Titre2"/>
    <w:next w:val="Normal"/>
    <w:rsid w:val="00467D18"/>
    <w:pPr>
      <w:spacing w:line="240" w:lineRule="auto"/>
      <w:outlineLvl w:val="3"/>
    </w:pPr>
    <w:rPr>
      <w:sz w:val="26"/>
      <w:szCs w:val="26"/>
    </w:rPr>
  </w:style>
  <w:style w:type="paragraph" w:customStyle="1" w:styleId="StyleInf61Enum-Bold">
    <w:name w:val="Style Inf_6_1_Enum_- + Bold"/>
    <w:basedOn w:val="Normal"/>
    <w:semiHidden/>
    <w:rsid w:val="00467D18"/>
    <w:pPr>
      <w:tabs>
        <w:tab w:val="right" w:pos="709"/>
      </w:tabs>
      <w:spacing w:before="120"/>
      <w:ind w:left="992" w:hanging="992"/>
    </w:pPr>
    <w:rPr>
      <w:rFonts w:eastAsia="SimSun"/>
      <w:b/>
      <w:bCs/>
      <w:szCs w:val="24"/>
      <w:lang w:val="fr-FR"/>
    </w:rPr>
  </w:style>
  <w:style w:type="paragraph" w:customStyle="1" w:styleId="Footnote">
    <w:name w:val="Footnote"/>
    <w:basedOn w:val="Normal"/>
    <w:rsid w:val="00467D18"/>
    <w:pPr>
      <w:spacing w:before="60"/>
      <w:ind w:left="425" w:hanging="425"/>
    </w:pPr>
    <w:rPr>
      <w:rFonts w:eastAsia="SimSun"/>
      <w:lang w:val="fr-FR"/>
    </w:rPr>
  </w:style>
  <w:style w:type="paragraph" w:customStyle="1" w:styleId="Footnotetext0">
    <w:name w:val="Footnote_text"/>
    <w:basedOn w:val="Footnote"/>
    <w:rsid w:val="00467D18"/>
    <w:pPr>
      <w:ind w:left="568" w:right="284" w:hanging="284"/>
    </w:pPr>
    <w:rPr>
      <w:sz w:val="18"/>
    </w:rPr>
  </w:style>
  <w:style w:type="paragraph" w:customStyle="1" w:styleId="Inf6Titre5">
    <w:name w:val="Inf6_Titre5"/>
    <w:basedOn w:val="Inf6Titre1"/>
    <w:rsid w:val="00467D18"/>
    <w:pPr>
      <w:ind w:left="1134" w:hanging="1134"/>
      <w:jc w:val="left"/>
    </w:pPr>
    <w:rPr>
      <w:bCs/>
      <w:sz w:val="22"/>
    </w:rPr>
  </w:style>
  <w:style w:type="paragraph" w:customStyle="1" w:styleId="Inf6Article">
    <w:name w:val="Inf6_Article"/>
    <w:basedOn w:val="Normal"/>
    <w:rsid w:val="00467D18"/>
    <w:pPr>
      <w:spacing w:after="240"/>
      <w:jc w:val="center"/>
    </w:pPr>
    <w:rPr>
      <w:rFonts w:eastAsia="SimSun"/>
      <w:b/>
      <w:bCs/>
      <w:lang w:val="fr-FR"/>
    </w:rPr>
  </w:style>
  <w:style w:type="character" w:customStyle="1" w:styleId="inf61EnumromainChar">
    <w:name w:val="inf_6_1_Enum_romain Char"/>
    <w:basedOn w:val="DefaultParagraphFont"/>
    <w:link w:val="inf61Enumromain"/>
    <w:rsid w:val="00467D18"/>
    <w:rPr>
      <w:rFonts w:ascii="Arial" w:eastAsia="SimSun" w:hAnsi="Arial"/>
      <w:szCs w:val="24"/>
      <w:lang w:val="fr-FR" w:eastAsia="en-US" w:bidi="ar-SA"/>
    </w:rPr>
  </w:style>
  <w:style w:type="character" w:customStyle="1" w:styleId="inf61normalChar">
    <w:name w:val="inf_6_1_normal Char"/>
    <w:basedOn w:val="DefaultParagraphFont"/>
    <w:link w:val="inf61normal"/>
    <w:rsid w:val="00467D18"/>
    <w:rPr>
      <w:rFonts w:ascii="Arial" w:eastAsia="SimSun" w:hAnsi="Arial"/>
      <w:lang w:val="fr-FR" w:eastAsia="en-US" w:bidi="ar-SA"/>
    </w:rPr>
  </w:style>
  <w:style w:type="character" w:customStyle="1" w:styleId="Inf61normalBoldChar">
    <w:name w:val="Inf_6_1_normal + Bold Char"/>
    <w:basedOn w:val="inf61normalChar"/>
    <w:link w:val="Inf61normalBold"/>
    <w:rsid w:val="00467D18"/>
    <w:rPr>
      <w:rFonts w:ascii="Arial" w:eastAsia="SimSun" w:hAnsi="Arial"/>
      <w:b/>
      <w:bCs/>
      <w:lang w:val="fr-FR" w:eastAsia="en-US" w:bidi="ar-SA"/>
    </w:rPr>
  </w:style>
  <w:style w:type="character" w:customStyle="1" w:styleId="InfTitre1EChar">
    <w:name w:val="Inf_Titre1_E Char"/>
    <w:basedOn w:val="DefaultParagraphFont"/>
    <w:link w:val="InfTitre1E"/>
    <w:rsid w:val="00467D18"/>
    <w:rPr>
      <w:rFonts w:ascii="Arial" w:eastAsia="SimSun" w:hAnsi="Arial"/>
      <w:caps/>
      <w:szCs w:val="24"/>
      <w:lang w:val="fr-FR" w:eastAsia="en-US" w:bidi="ar-SA"/>
    </w:rPr>
  </w:style>
  <w:style w:type="numbering" w:styleId="ArticleSection">
    <w:name w:val="Outline List 3"/>
    <w:basedOn w:val="NoList"/>
    <w:semiHidden/>
    <w:rsid w:val="00467D18"/>
    <w:pPr>
      <w:numPr>
        <w:numId w:val="1"/>
      </w:numPr>
    </w:pPr>
  </w:style>
  <w:style w:type="paragraph" w:styleId="BodyTextFirstIndent">
    <w:name w:val="Body Text First Indent"/>
    <w:basedOn w:val="BodyText"/>
    <w:semiHidden/>
    <w:rsid w:val="00467D18"/>
    <w:pPr>
      <w:spacing w:after="120"/>
      <w:ind w:firstLine="210"/>
    </w:pPr>
    <w:rPr>
      <w:rFonts w:eastAsia="SimSun"/>
      <w:lang w:val="fr-FR"/>
    </w:rPr>
  </w:style>
  <w:style w:type="paragraph" w:styleId="BodyTextFirstIndent2">
    <w:name w:val="Body Text First Indent 2"/>
    <w:basedOn w:val="BodyTextIndent"/>
    <w:semiHidden/>
    <w:rsid w:val="00467D18"/>
    <w:pPr>
      <w:spacing w:after="120"/>
      <w:ind w:left="360" w:firstLine="210"/>
    </w:pPr>
    <w:rPr>
      <w:rFonts w:eastAsia="SimSun"/>
      <w:lang w:val="fr-FR"/>
    </w:rPr>
  </w:style>
  <w:style w:type="paragraph" w:customStyle="1" w:styleId="Enum-">
    <w:name w:val="Enum_-"/>
    <w:basedOn w:val="Normal"/>
    <w:semiHidden/>
    <w:rsid w:val="00467D18"/>
    <w:pPr>
      <w:tabs>
        <w:tab w:val="right" w:pos="1106"/>
      </w:tabs>
      <w:ind w:left="1276" w:hanging="1276"/>
    </w:pPr>
    <w:rPr>
      <w:rFonts w:eastAsia="SimSun"/>
      <w:lang w:val="fr-FR"/>
    </w:rPr>
  </w:style>
  <w:style w:type="paragraph" w:customStyle="1" w:styleId="Style1">
    <w:name w:val="Style1"/>
    <w:basedOn w:val="Normal"/>
    <w:rsid w:val="00467D18"/>
    <w:pPr>
      <w:tabs>
        <w:tab w:val="decimal" w:pos="907"/>
        <w:tab w:val="left" w:pos="1077"/>
      </w:tabs>
    </w:pPr>
    <w:rPr>
      <w:rFonts w:eastAsia="SimSun"/>
      <w:lang w:val="fr-FR"/>
    </w:rPr>
  </w:style>
  <w:style w:type="paragraph" w:customStyle="1" w:styleId="Endofdocument">
    <w:name w:val="End of document"/>
    <w:basedOn w:val="Normal"/>
    <w:rsid w:val="00467D18"/>
    <w:pPr>
      <w:ind w:left="4536"/>
      <w:jc w:val="center"/>
    </w:pPr>
    <w:rPr>
      <w:rFonts w:eastAsia="SimSun"/>
      <w:lang w:val="es-ES_tradnl"/>
    </w:rPr>
  </w:style>
  <w:style w:type="character" w:styleId="CommentReference">
    <w:name w:val="annotation reference"/>
    <w:basedOn w:val="DefaultParagraphFont"/>
    <w:semiHidden/>
    <w:rsid w:val="00467D18"/>
    <w:rPr>
      <w:sz w:val="16"/>
      <w:szCs w:val="16"/>
    </w:rPr>
  </w:style>
  <w:style w:type="paragraph" w:styleId="CommentSubject">
    <w:name w:val="annotation subject"/>
    <w:basedOn w:val="CommentText"/>
    <w:next w:val="CommentText"/>
    <w:semiHidden/>
    <w:rsid w:val="00467D18"/>
    <w:rPr>
      <w:rFonts w:eastAsia="SimSun"/>
      <w:b/>
      <w:bCs/>
      <w:sz w:val="20"/>
      <w:lang w:val="fr-FR"/>
    </w:rPr>
  </w:style>
  <w:style w:type="paragraph" w:customStyle="1" w:styleId="Lettrine">
    <w:name w:val="Lettrine"/>
    <w:basedOn w:val="Normal"/>
    <w:rsid w:val="00467D18"/>
    <w:pPr>
      <w:spacing w:line="340" w:lineRule="atLeast"/>
      <w:jc w:val="right"/>
    </w:pPr>
    <w:rPr>
      <w:rFonts w:eastAsia="SimSun"/>
      <w:b/>
      <w:bCs/>
      <w:sz w:val="56"/>
      <w:lang w:val="fr-FR"/>
    </w:rPr>
  </w:style>
  <w:style w:type="paragraph" w:customStyle="1" w:styleId="LogoUPOV">
    <w:name w:val="LogoUPOV"/>
    <w:basedOn w:val="Normal"/>
    <w:rsid w:val="00467D18"/>
    <w:pPr>
      <w:spacing w:before="840"/>
      <w:jc w:val="center"/>
    </w:pPr>
    <w:rPr>
      <w:rFonts w:eastAsia="SimSun"/>
    </w:rPr>
  </w:style>
  <w:style w:type="paragraph" w:customStyle="1" w:styleId="Docoriginal">
    <w:name w:val="Doc_original"/>
    <w:basedOn w:val="Normal"/>
    <w:link w:val="DocoriginalChar"/>
    <w:rsid w:val="00467D18"/>
    <w:pPr>
      <w:spacing w:line="280" w:lineRule="exact"/>
      <w:ind w:left="1361"/>
    </w:pPr>
    <w:rPr>
      <w:rFonts w:eastAsia="SimSun"/>
      <w:b/>
      <w:bCs/>
      <w:spacing w:val="10"/>
    </w:rPr>
  </w:style>
  <w:style w:type="paragraph" w:customStyle="1" w:styleId="upove">
    <w:name w:val="upov_e"/>
    <w:basedOn w:val="Normal"/>
    <w:rsid w:val="00467D18"/>
    <w:pPr>
      <w:spacing w:before="60"/>
      <w:jc w:val="center"/>
    </w:pPr>
    <w:rPr>
      <w:rFonts w:eastAsia="SimSun"/>
      <w:b/>
      <w:bCs/>
      <w:spacing w:val="8"/>
      <w:sz w:val="24"/>
    </w:rPr>
  </w:style>
  <w:style w:type="paragraph" w:customStyle="1" w:styleId="Country">
    <w:name w:val="Country"/>
    <w:basedOn w:val="Normal"/>
    <w:semiHidden/>
    <w:rsid w:val="00467D18"/>
    <w:pPr>
      <w:spacing w:before="60" w:after="480"/>
      <w:jc w:val="center"/>
    </w:pPr>
    <w:rPr>
      <w:rFonts w:eastAsia="SimSun"/>
    </w:rPr>
  </w:style>
  <w:style w:type="character" w:customStyle="1" w:styleId="DocoriginalChar">
    <w:name w:val="Doc_original Char"/>
    <w:basedOn w:val="DefaultParagraphFont"/>
    <w:link w:val="Docoriginal"/>
    <w:rsid w:val="00467D18"/>
    <w:rPr>
      <w:rFonts w:ascii="Arial" w:eastAsia="SimSun" w:hAnsi="Arial"/>
      <w:b/>
      <w:bCs/>
      <w:spacing w:val="10"/>
      <w:lang w:val="en-US" w:eastAsia="en-US" w:bidi="ar-SA"/>
    </w:rPr>
  </w:style>
  <w:style w:type="character" w:customStyle="1" w:styleId="StyleDocoriginalNotBold1">
    <w:name w:val="Style Doc_original + Not Bold1"/>
    <w:basedOn w:val="DefaultParagraphFont"/>
    <w:rsid w:val="00467D18"/>
    <w:rPr>
      <w:rFonts w:ascii="Arial" w:hAnsi="Arial"/>
      <w:b/>
      <w:bCs/>
      <w:spacing w:val="10"/>
      <w:lang w:val="en-US" w:eastAsia="en-US" w:bidi="ar-SA"/>
    </w:rPr>
  </w:style>
  <w:style w:type="character" w:customStyle="1" w:styleId="StyleDoclangBold">
    <w:name w:val="Style Doc_lang + Bold"/>
    <w:basedOn w:val="DefaultParagraphFont"/>
    <w:rsid w:val="00467D18"/>
    <w:rPr>
      <w:rFonts w:ascii="Arial" w:hAnsi="Arial"/>
      <w:b/>
      <w:bCs/>
      <w:sz w:val="20"/>
      <w:lang w:val="en-US"/>
    </w:rPr>
  </w:style>
  <w:style w:type="paragraph" w:customStyle="1" w:styleId="TOC2Infdoc">
    <w:name w:val="TOC 2_Inf_doc"/>
    <w:basedOn w:val="TOC2"/>
    <w:rsid w:val="00467D18"/>
    <w:pPr>
      <w:ind w:left="0" w:firstLine="0"/>
    </w:pPr>
    <w:rPr>
      <w:rFonts w:eastAsia="SimSun"/>
      <w:i/>
      <w:smallCaps/>
    </w:rPr>
  </w:style>
  <w:style w:type="paragraph" w:customStyle="1" w:styleId="IPHMain">
    <w:name w:val="IPH Main"/>
    <w:basedOn w:val="BodyText"/>
    <w:rsid w:val="00467D18"/>
    <w:pPr>
      <w:tabs>
        <w:tab w:val="left" w:pos="737"/>
      </w:tabs>
      <w:spacing w:after="240"/>
    </w:pPr>
    <w:rPr>
      <w:rFonts w:ascii="Times New Roman" w:eastAsia="Batang" w:hAnsi="Times New Roman"/>
      <w:snapToGrid w:val="0"/>
      <w:color w:val="000000"/>
      <w:szCs w:val="22"/>
    </w:rPr>
  </w:style>
  <w:style w:type="paragraph" w:customStyle="1" w:styleId="Heading1Infdoc">
    <w:name w:val="Heading 1_Inf_doc"/>
    <w:basedOn w:val="Heading2"/>
    <w:rsid w:val="00467D18"/>
    <w:pPr>
      <w:jc w:val="center"/>
    </w:pPr>
    <w:rPr>
      <w:rFonts w:eastAsia="SimSun"/>
      <w:caps/>
    </w:rPr>
  </w:style>
  <w:style w:type="paragraph" w:customStyle="1" w:styleId="Default">
    <w:name w:val="Default"/>
    <w:rsid w:val="00467D18"/>
    <w:pPr>
      <w:autoSpaceDE w:val="0"/>
      <w:autoSpaceDN w:val="0"/>
      <w:adjustRightInd w:val="0"/>
    </w:pPr>
    <w:rPr>
      <w:rFonts w:eastAsia="MS Mincho"/>
      <w:color w:val="000000"/>
      <w:sz w:val="24"/>
      <w:szCs w:val="24"/>
      <w:lang w:eastAsia="ja-JP"/>
    </w:rPr>
  </w:style>
  <w:style w:type="paragraph" w:customStyle="1" w:styleId="largetitle">
    <w:name w:val="largetitle"/>
    <w:basedOn w:val="Normal"/>
    <w:rsid w:val="00467D18"/>
    <w:pPr>
      <w:spacing w:before="100" w:beforeAutospacing="1" w:after="100" w:afterAutospacing="1"/>
      <w:jc w:val="left"/>
    </w:pPr>
    <w:rPr>
      <w:rFonts w:eastAsia="SimSun" w:cs="Arial"/>
      <w:b/>
      <w:bCs/>
      <w:color w:val="000000"/>
      <w:sz w:val="28"/>
      <w:szCs w:val="28"/>
    </w:rPr>
  </w:style>
  <w:style w:type="character" w:customStyle="1" w:styleId="caps">
    <w:name w:val="caps"/>
    <w:basedOn w:val="DefaultParagraphFont"/>
    <w:rsid w:val="00467D18"/>
  </w:style>
  <w:style w:type="paragraph" w:customStyle="1" w:styleId="copyb">
    <w:name w:val="copy_b"/>
    <w:basedOn w:val="Normal"/>
    <w:rsid w:val="00467D18"/>
    <w:pPr>
      <w:spacing w:before="100" w:beforeAutospacing="1" w:after="100" w:afterAutospacing="1"/>
      <w:jc w:val="left"/>
    </w:pPr>
    <w:rPr>
      <w:rFonts w:ascii="Times New Roman" w:eastAsia="SimSun" w:hAnsi="Times New Roman"/>
      <w:sz w:val="24"/>
      <w:szCs w:val="24"/>
    </w:rPr>
  </w:style>
  <w:style w:type="character" w:customStyle="1" w:styleId="bold">
    <w:name w:val="bold"/>
    <w:basedOn w:val="DefaultParagraphFont"/>
    <w:rsid w:val="00467D18"/>
  </w:style>
  <w:style w:type="character" w:customStyle="1" w:styleId="redbordertitletitle1">
    <w:name w:val="redbordertitletitle1"/>
    <w:basedOn w:val="DefaultParagraphFont"/>
    <w:rsid w:val="00467D18"/>
    <w:rPr>
      <w:rFonts w:ascii="Verdana" w:hAnsi="Verdana" w:hint="default"/>
      <w:b/>
      <w:bCs/>
      <w:strike w:val="0"/>
      <w:dstrike w:val="0"/>
      <w:color w:val="000000"/>
      <w:sz w:val="20"/>
      <w:szCs w:val="20"/>
      <w:u w:val="none"/>
      <w:effect w:val="none"/>
      <w:shd w:val="clear" w:color="auto" w:fill="auto"/>
    </w:rPr>
  </w:style>
  <w:style w:type="character" w:customStyle="1" w:styleId="FooterChar">
    <w:name w:val="Footer Char"/>
    <w:aliases w:val="doc_path_name Char"/>
    <w:basedOn w:val="DefaultParagraphFont"/>
    <w:link w:val="Footer"/>
    <w:uiPriority w:val="99"/>
    <w:rsid w:val="00E37E33"/>
    <w:rPr>
      <w:rFonts w:ascii="Arial" w:hAnsi="Arial"/>
      <w:sz w:val="14"/>
    </w:rPr>
  </w:style>
  <w:style w:type="character" w:customStyle="1" w:styleId="Heading2Char">
    <w:name w:val="Heading 2 Char"/>
    <w:link w:val="Heading2"/>
    <w:locked/>
    <w:rsid w:val="00904477"/>
    <w:rPr>
      <w:rFonts w:ascii="Arial" w:hAnsi="Arial"/>
      <w:u w:val="single"/>
    </w:rPr>
  </w:style>
  <w:style w:type="character" w:customStyle="1" w:styleId="Heading3Char">
    <w:name w:val="Heading 3 Char"/>
    <w:link w:val="Heading3"/>
    <w:locked/>
    <w:rsid w:val="00347556"/>
    <w:rPr>
      <w:rFonts w:ascii="Arial" w:hAnsi="Arial"/>
      <w:i/>
      <w:lang w:val="fr-FR"/>
    </w:rPr>
  </w:style>
  <w:style w:type="paragraph" w:styleId="ListParagraph">
    <w:name w:val="List Paragraph"/>
    <w:basedOn w:val="Normal"/>
    <w:uiPriority w:val="34"/>
    <w:qFormat/>
    <w:rsid w:val="00CD0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D318A3"/>
    <w:pPr>
      <w:keepNext/>
      <w:jc w:val="both"/>
      <w:outlineLvl w:val="0"/>
    </w:pPr>
    <w:rPr>
      <w:rFonts w:ascii="Arial" w:hAnsi="Arial"/>
      <w:caps/>
      <w:lang w:val="fr-FR"/>
    </w:rPr>
  </w:style>
  <w:style w:type="paragraph" w:styleId="Heading2">
    <w:name w:val="heading 2"/>
    <w:next w:val="Normal"/>
    <w:link w:val="Heading2Char"/>
    <w:autoRedefine/>
    <w:qFormat/>
    <w:rsid w:val="00BF1AB0"/>
    <w:pPr>
      <w:keepNext/>
      <w:jc w:val="both"/>
      <w:outlineLvl w:val="1"/>
    </w:pPr>
    <w:rPr>
      <w:rFonts w:ascii="Arial" w:hAnsi="Arial"/>
      <w:u w:val="single"/>
    </w:rPr>
  </w:style>
  <w:style w:type="paragraph" w:styleId="Heading3">
    <w:name w:val="heading 3"/>
    <w:next w:val="Normal"/>
    <w:link w:val="Heading3Char"/>
    <w:autoRedefine/>
    <w:qFormat/>
    <w:rsid w:val="00347556"/>
    <w:pPr>
      <w:keepNext/>
      <w:jc w:val="both"/>
      <w:outlineLvl w:val="2"/>
    </w:pPr>
    <w:rPr>
      <w:rFonts w:ascii="Arial" w:hAnsi="Arial"/>
      <w:i/>
      <w:lang w:val="fr-FR"/>
    </w:rPr>
  </w:style>
  <w:style w:type="paragraph" w:styleId="Heading4">
    <w:name w:val="heading 4"/>
    <w:next w:val="Normal"/>
    <w:autoRedefine/>
    <w:qFormat/>
    <w:rsid w:val="00D05B37"/>
    <w:pPr>
      <w:keepNext/>
      <w:ind w:left="567"/>
      <w:jc w:val="both"/>
      <w:outlineLvl w:val="3"/>
    </w:pPr>
    <w:rPr>
      <w:rFonts w:ascii="Arial" w:hAnsi="Arial"/>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A6ADF"/>
    <w:pPr>
      <w:spacing w:before="100" w:beforeAutospacing="1" w:after="100" w:afterAutospacing="1"/>
      <w:jc w:val="left"/>
    </w:pPr>
    <w:rPr>
      <w:szCs w:val="24"/>
    </w:rPr>
  </w:style>
  <w:style w:type="paragraph" w:styleId="Footer">
    <w:name w:val="footer"/>
    <w:aliases w:val="doc_path_name"/>
    <w:link w:val="FooterChar"/>
    <w:autoRedefine/>
    <w:uiPriority w:val="99"/>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uiPriority w:val="99"/>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D278A"/>
    <w:pPr>
      <w:tabs>
        <w:tab w:val="right" w:leader="dot" w:pos="9639"/>
      </w:tabs>
      <w:spacing w:before="60" w:after="120"/>
      <w:ind w:left="993" w:right="851" w:hanging="993"/>
      <w:jc w:val="left"/>
    </w:pPr>
    <w:rPr>
      <w:bCs/>
      <w:caps/>
      <w:sz w:val="18"/>
    </w:rPr>
  </w:style>
  <w:style w:type="paragraph" w:styleId="TOC3">
    <w:name w:val="toc 3"/>
    <w:next w:val="Normal"/>
    <w:uiPriority w:val="39"/>
    <w:rsid w:val="00B804B3"/>
    <w:pPr>
      <w:tabs>
        <w:tab w:val="right" w:leader="dot" w:pos="9639"/>
      </w:tabs>
      <w:spacing w:after="120"/>
      <w:ind w:left="851" w:right="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inf61linkhigh">
    <w:name w:val="inf_6_1_link_high"/>
    <w:basedOn w:val="inf61normal"/>
    <w:rsid w:val="00467D18"/>
    <w:rPr>
      <w:color w:val="0000FF"/>
      <w:u w:val="single"/>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477EAA"/>
    <w:pPr>
      <w:tabs>
        <w:tab w:val="right" w:leader="dot" w:pos="9639"/>
      </w:tabs>
      <w:spacing w:after="120"/>
      <w:ind w:left="851" w:right="851" w:hanging="567"/>
      <w:jc w:val="left"/>
    </w:pPr>
    <w:rPr>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link w:val="EntteimpairChar"/>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semiHidden/>
    <w:rsid w:val="00467D18"/>
    <w:pPr>
      <w:ind w:left="4536"/>
    </w:pPr>
    <w:rPr>
      <w:rFonts w:eastAsia="SimSun"/>
      <w:i/>
      <w:lang w:val="fr-FR"/>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EndOfDoc">
    <w:name w:val="EndOfDoc"/>
    <w:basedOn w:val="Normal"/>
    <w:rsid w:val="00467D18"/>
    <w:pPr>
      <w:ind w:left="4536"/>
      <w:jc w:val="center"/>
    </w:pPr>
    <w:rPr>
      <w:rFonts w:eastAsia="SimSun"/>
      <w:lang w:val="fr-FR"/>
    </w:rPr>
  </w:style>
  <w:style w:type="paragraph" w:customStyle="1" w:styleId="preparedby0">
    <w:name w:val="prepared by"/>
    <w:basedOn w:val="Normal"/>
    <w:rsid w:val="00467D18"/>
    <w:pPr>
      <w:spacing w:before="600" w:after="600"/>
      <w:jc w:val="center"/>
    </w:pPr>
    <w:rPr>
      <w:rFonts w:eastAsia="SimSun"/>
      <w:i/>
      <w:lang w:val="fr-FR"/>
    </w:rPr>
  </w:style>
  <w:style w:type="paragraph" w:customStyle="1" w:styleId="Inf61Enum-">
    <w:name w:val="Inf_6_1_Enum_-"/>
    <w:basedOn w:val="Normal"/>
    <w:rsid w:val="00467D18"/>
    <w:pPr>
      <w:tabs>
        <w:tab w:val="right" w:pos="709"/>
      </w:tabs>
      <w:spacing w:before="120"/>
      <w:ind w:left="992" w:hanging="992"/>
    </w:pPr>
    <w:rPr>
      <w:rFonts w:eastAsia="SimSun"/>
      <w:lang w:val="fr-FR"/>
    </w:rPr>
  </w:style>
  <w:style w:type="character" w:customStyle="1" w:styleId="FootnoteTextChar">
    <w:name w:val="Footnote Text Char"/>
    <w:basedOn w:val="DefaultParagraphFont"/>
    <w:link w:val="FootnoteText"/>
    <w:uiPriority w:val="99"/>
    <w:rsid w:val="00467D18"/>
    <w:rPr>
      <w:rFonts w:ascii="Arial" w:hAnsi="Arial"/>
      <w:sz w:val="16"/>
      <w:lang w:val="en-US" w:eastAsia="en-US" w:bidi="ar-SA"/>
    </w:rPr>
  </w:style>
  <w:style w:type="character" w:customStyle="1" w:styleId="EndnoteTextChar">
    <w:name w:val="Endnote Text Char"/>
    <w:basedOn w:val="DefaultParagraphFont"/>
    <w:link w:val="EndnoteText"/>
    <w:rsid w:val="00467D18"/>
    <w:rPr>
      <w:rFonts w:ascii="Arial" w:hAnsi="Arial"/>
      <w:sz w:val="16"/>
      <w:lang w:val="en-US" w:eastAsia="en-US" w:bidi="ar-SA"/>
    </w:rPr>
  </w:style>
  <w:style w:type="paragraph" w:styleId="BodyTextIndent3">
    <w:name w:val="Body Text Indent 3"/>
    <w:basedOn w:val="Normal"/>
    <w:rsid w:val="00467D18"/>
    <w:pPr>
      <w:spacing w:after="120"/>
      <w:ind w:left="283"/>
    </w:pPr>
    <w:rPr>
      <w:rFonts w:eastAsia="SimSun"/>
      <w:sz w:val="16"/>
      <w:szCs w:val="16"/>
      <w:lang w:val="fr-FR"/>
    </w:rPr>
  </w:style>
  <w:style w:type="paragraph" w:customStyle="1" w:styleId="Inf61Enum-Bold">
    <w:name w:val="Inf_6_1_Enum_- + Bold"/>
    <w:basedOn w:val="Inf61Enum-"/>
    <w:rsid w:val="00467D18"/>
    <w:rPr>
      <w:b/>
    </w:rPr>
  </w:style>
  <w:style w:type="paragraph" w:customStyle="1" w:styleId="inf61Enumromain">
    <w:name w:val="inf_6_1_Enum_romain"/>
    <w:basedOn w:val="Normal"/>
    <w:next w:val="Normal"/>
    <w:link w:val="inf61EnumromainChar"/>
    <w:rsid w:val="00467D18"/>
    <w:pPr>
      <w:tabs>
        <w:tab w:val="right" w:pos="709"/>
        <w:tab w:val="left" w:pos="992"/>
      </w:tabs>
      <w:spacing w:before="120"/>
    </w:pPr>
    <w:rPr>
      <w:rFonts w:eastAsia="SimSun"/>
      <w:szCs w:val="24"/>
      <w:lang w:val="fr-FR"/>
    </w:rPr>
  </w:style>
  <w:style w:type="paragraph" w:customStyle="1" w:styleId="indentpara">
    <w:name w:val="indentpara"/>
    <w:basedOn w:val="Normal"/>
    <w:semiHidden/>
    <w:rsid w:val="00467D18"/>
    <w:pPr>
      <w:ind w:firstLine="425"/>
    </w:pPr>
    <w:rPr>
      <w:rFonts w:eastAsia="SimSun"/>
      <w:sz w:val="22"/>
      <w:lang w:val="fr-FR"/>
    </w:rPr>
  </w:style>
  <w:style w:type="paragraph" w:styleId="BodyText2">
    <w:name w:val="Body Text 2"/>
    <w:basedOn w:val="Normal"/>
    <w:semiHidden/>
    <w:rsid w:val="00467D18"/>
    <w:pPr>
      <w:spacing w:after="120" w:line="480" w:lineRule="auto"/>
    </w:pPr>
    <w:rPr>
      <w:rFonts w:eastAsia="SimSun"/>
      <w:lang w:val="fr-FR"/>
    </w:rPr>
  </w:style>
  <w:style w:type="paragraph" w:customStyle="1" w:styleId="Inf61Enumromainbold">
    <w:name w:val="Inf_6_1_Enum_romain_bold"/>
    <w:basedOn w:val="inf61Enumromain"/>
    <w:rsid w:val="00467D18"/>
    <w:rPr>
      <w:b/>
      <w:bCs/>
    </w:rPr>
  </w:style>
  <w:style w:type="paragraph" w:styleId="BodyText3">
    <w:name w:val="Body Text 3"/>
    <w:basedOn w:val="Normal"/>
    <w:semiHidden/>
    <w:rsid w:val="00467D18"/>
    <w:pPr>
      <w:spacing w:after="120"/>
    </w:pPr>
    <w:rPr>
      <w:rFonts w:eastAsia="SimSun"/>
      <w:sz w:val="16"/>
      <w:szCs w:val="16"/>
      <w:lang w:val="fr-FR"/>
    </w:rPr>
  </w:style>
  <w:style w:type="paragraph" w:customStyle="1" w:styleId="inf61normal">
    <w:name w:val="inf_6_1_normal"/>
    <w:basedOn w:val="Normal"/>
    <w:link w:val="inf61normalChar"/>
    <w:rsid w:val="00467D18"/>
    <w:pPr>
      <w:tabs>
        <w:tab w:val="left" w:pos="426"/>
        <w:tab w:val="left" w:pos="992"/>
      </w:tabs>
    </w:pPr>
    <w:rPr>
      <w:rFonts w:eastAsia="SimSun"/>
      <w:lang w:val="fr-FR"/>
    </w:rPr>
  </w:style>
  <w:style w:type="paragraph" w:customStyle="1" w:styleId="Inf61normalBold">
    <w:name w:val="Inf_6_1_normal + Bold"/>
    <w:basedOn w:val="inf61normal"/>
    <w:link w:val="Inf61normalBoldChar"/>
    <w:rsid w:val="00467D18"/>
    <w:rPr>
      <w:b/>
      <w:bCs/>
    </w:rPr>
  </w:style>
  <w:style w:type="character" w:customStyle="1" w:styleId="EntteimpairChar">
    <w:name w:val="Entête_impair Char"/>
    <w:basedOn w:val="DefaultParagraphFont"/>
    <w:link w:val="Entteimpair"/>
    <w:rsid w:val="00467D18"/>
    <w:rPr>
      <w:rFonts w:ascii="Arial" w:hAnsi="Arial"/>
      <w:lang w:val="en-US" w:eastAsia="en-US" w:bidi="ar-SA"/>
    </w:rPr>
  </w:style>
  <w:style w:type="paragraph" w:customStyle="1" w:styleId="inf61quote">
    <w:name w:val="inf_6_1_quote"/>
    <w:basedOn w:val="inf61normal"/>
    <w:next w:val="Normal"/>
    <w:rsid w:val="00467D18"/>
    <w:pPr>
      <w:tabs>
        <w:tab w:val="clear" w:pos="426"/>
      </w:tabs>
      <w:ind w:left="425" w:right="425"/>
    </w:pPr>
    <w:rPr>
      <w:sz w:val="22"/>
      <w:szCs w:val="22"/>
      <w:lang w:val="de-DE"/>
    </w:rPr>
  </w:style>
  <w:style w:type="paragraph" w:customStyle="1" w:styleId="Inf6footnotetext">
    <w:name w:val="Inf_6_footnote_text"/>
    <w:basedOn w:val="Normal"/>
    <w:next w:val="Normal"/>
    <w:rsid w:val="00467D18"/>
    <w:pPr>
      <w:tabs>
        <w:tab w:val="left" w:pos="851"/>
      </w:tabs>
      <w:spacing w:before="40"/>
      <w:ind w:left="425" w:hanging="425"/>
    </w:pPr>
    <w:rPr>
      <w:rFonts w:eastAsia="SimSun"/>
      <w:lang w:val="fr-FR"/>
    </w:rPr>
  </w:style>
  <w:style w:type="paragraph" w:customStyle="1" w:styleId="InfTitre1E">
    <w:name w:val="Inf_Titre1_E"/>
    <w:basedOn w:val="Normal"/>
    <w:next w:val="Normal"/>
    <w:link w:val="InfTitre1EChar"/>
    <w:rsid w:val="00467D18"/>
    <w:pPr>
      <w:keepNext/>
      <w:spacing w:before="120" w:after="360"/>
      <w:ind w:left="1134" w:hanging="1134"/>
      <w:jc w:val="left"/>
    </w:pPr>
    <w:rPr>
      <w:rFonts w:eastAsia="SimSun"/>
      <w:caps/>
      <w:szCs w:val="24"/>
      <w:lang w:val="fr-FR"/>
    </w:rPr>
  </w:style>
  <w:style w:type="paragraph" w:customStyle="1" w:styleId="InfAnnexE">
    <w:name w:val="Inf_Annex_E"/>
    <w:basedOn w:val="InfTitre1E"/>
    <w:rsid w:val="00467D18"/>
  </w:style>
  <w:style w:type="paragraph" w:customStyle="1" w:styleId="InfTitre2E">
    <w:name w:val="Inf_Titre2_E"/>
    <w:basedOn w:val="Normal"/>
    <w:next w:val="Normal"/>
    <w:rsid w:val="00467D18"/>
    <w:pPr>
      <w:keepNext/>
      <w:spacing w:after="240"/>
      <w:ind w:left="1418" w:hanging="1418"/>
    </w:pPr>
    <w:rPr>
      <w:rFonts w:eastAsia="SimSun"/>
      <w:i/>
      <w:caps/>
      <w:szCs w:val="24"/>
      <w:lang w:val="fr-FR"/>
    </w:rPr>
  </w:style>
  <w:style w:type="paragraph" w:customStyle="1" w:styleId="Inf6Titre1">
    <w:name w:val="Inf6_Titre1"/>
    <w:basedOn w:val="Heading1"/>
    <w:next w:val="Normal"/>
    <w:rsid w:val="00467D18"/>
    <w:pPr>
      <w:keepNext w:val="0"/>
      <w:pageBreakBefore/>
      <w:ind w:left="2268" w:hanging="2268"/>
      <w:jc w:val="center"/>
    </w:pPr>
    <w:rPr>
      <w:rFonts w:eastAsia="SimSun"/>
      <w:b/>
      <w:sz w:val="26"/>
    </w:rPr>
  </w:style>
  <w:style w:type="paragraph" w:customStyle="1" w:styleId="Inf6Titre112pt">
    <w:name w:val="Inf6_Titre1 + 12 pt"/>
    <w:basedOn w:val="Inf6Titre1"/>
    <w:rsid w:val="00467D18"/>
    <w:rPr>
      <w:rFonts w:ascii="Times New Roman Bold" w:hAnsi="Times New Roman Bold"/>
      <w:bCs/>
      <w:sz w:val="24"/>
      <w:szCs w:val="24"/>
    </w:rPr>
  </w:style>
  <w:style w:type="paragraph" w:customStyle="1" w:styleId="Inf6Titre2">
    <w:name w:val="Inf6_Titre2"/>
    <w:basedOn w:val="Inf6Titre1"/>
    <w:next w:val="Normal"/>
    <w:rsid w:val="00467D18"/>
    <w:pPr>
      <w:keepNext/>
      <w:pageBreakBefore w:val="0"/>
      <w:spacing w:after="360" w:line="360" w:lineRule="auto"/>
    </w:pPr>
    <w:rPr>
      <w:b w:val="0"/>
      <w:sz w:val="24"/>
    </w:rPr>
  </w:style>
  <w:style w:type="paragraph" w:customStyle="1" w:styleId="Inf6Titre3">
    <w:name w:val="Inf6_Titre3"/>
    <w:basedOn w:val="Inf6Titre2"/>
    <w:next w:val="Normal"/>
    <w:rsid w:val="00467D18"/>
    <w:pPr>
      <w:keepNext w:val="0"/>
      <w:spacing w:after="240" w:line="240" w:lineRule="auto"/>
    </w:pPr>
    <w:rPr>
      <w:b/>
      <w:caps w:val="0"/>
    </w:rPr>
  </w:style>
  <w:style w:type="paragraph" w:customStyle="1" w:styleId="Inf6Titre4">
    <w:name w:val="Inf6_Titre4"/>
    <w:basedOn w:val="Inf6Titre2"/>
    <w:next w:val="Normal"/>
    <w:rsid w:val="00467D18"/>
    <w:pPr>
      <w:spacing w:line="240" w:lineRule="auto"/>
      <w:outlineLvl w:val="3"/>
    </w:pPr>
    <w:rPr>
      <w:sz w:val="26"/>
      <w:szCs w:val="26"/>
    </w:rPr>
  </w:style>
  <w:style w:type="paragraph" w:customStyle="1" w:styleId="StyleInf61Enum-Bold">
    <w:name w:val="Style Inf_6_1_Enum_- + Bold"/>
    <w:basedOn w:val="Normal"/>
    <w:semiHidden/>
    <w:rsid w:val="00467D18"/>
    <w:pPr>
      <w:tabs>
        <w:tab w:val="right" w:pos="709"/>
      </w:tabs>
      <w:spacing w:before="120"/>
      <w:ind w:left="992" w:hanging="992"/>
    </w:pPr>
    <w:rPr>
      <w:rFonts w:eastAsia="SimSun"/>
      <w:b/>
      <w:bCs/>
      <w:szCs w:val="24"/>
      <w:lang w:val="fr-FR"/>
    </w:rPr>
  </w:style>
  <w:style w:type="paragraph" w:customStyle="1" w:styleId="Footnote">
    <w:name w:val="Footnote"/>
    <w:basedOn w:val="Normal"/>
    <w:rsid w:val="00467D18"/>
    <w:pPr>
      <w:spacing w:before="60"/>
      <w:ind w:left="425" w:hanging="425"/>
    </w:pPr>
    <w:rPr>
      <w:rFonts w:eastAsia="SimSun"/>
      <w:lang w:val="fr-FR"/>
    </w:rPr>
  </w:style>
  <w:style w:type="paragraph" w:customStyle="1" w:styleId="Footnotetext0">
    <w:name w:val="Footnote_text"/>
    <w:basedOn w:val="Footnote"/>
    <w:rsid w:val="00467D18"/>
    <w:pPr>
      <w:ind w:left="568" w:right="284" w:hanging="284"/>
    </w:pPr>
    <w:rPr>
      <w:sz w:val="18"/>
    </w:rPr>
  </w:style>
  <w:style w:type="paragraph" w:customStyle="1" w:styleId="Inf6Titre5">
    <w:name w:val="Inf6_Titre5"/>
    <w:basedOn w:val="Inf6Titre1"/>
    <w:rsid w:val="00467D18"/>
    <w:pPr>
      <w:ind w:left="1134" w:hanging="1134"/>
      <w:jc w:val="left"/>
    </w:pPr>
    <w:rPr>
      <w:bCs/>
      <w:sz w:val="22"/>
    </w:rPr>
  </w:style>
  <w:style w:type="paragraph" w:customStyle="1" w:styleId="Inf6Article">
    <w:name w:val="Inf6_Article"/>
    <w:basedOn w:val="Normal"/>
    <w:rsid w:val="00467D18"/>
    <w:pPr>
      <w:spacing w:after="240"/>
      <w:jc w:val="center"/>
    </w:pPr>
    <w:rPr>
      <w:rFonts w:eastAsia="SimSun"/>
      <w:b/>
      <w:bCs/>
      <w:lang w:val="fr-FR"/>
    </w:rPr>
  </w:style>
  <w:style w:type="character" w:customStyle="1" w:styleId="inf61EnumromainChar">
    <w:name w:val="inf_6_1_Enum_romain Char"/>
    <w:basedOn w:val="DefaultParagraphFont"/>
    <w:link w:val="inf61Enumromain"/>
    <w:rsid w:val="00467D18"/>
    <w:rPr>
      <w:rFonts w:ascii="Arial" w:eastAsia="SimSun" w:hAnsi="Arial"/>
      <w:szCs w:val="24"/>
      <w:lang w:val="fr-FR" w:eastAsia="en-US" w:bidi="ar-SA"/>
    </w:rPr>
  </w:style>
  <w:style w:type="character" w:customStyle="1" w:styleId="inf61normalChar">
    <w:name w:val="inf_6_1_normal Char"/>
    <w:basedOn w:val="DefaultParagraphFont"/>
    <w:link w:val="inf61normal"/>
    <w:rsid w:val="00467D18"/>
    <w:rPr>
      <w:rFonts w:ascii="Arial" w:eastAsia="SimSun" w:hAnsi="Arial"/>
      <w:lang w:val="fr-FR" w:eastAsia="en-US" w:bidi="ar-SA"/>
    </w:rPr>
  </w:style>
  <w:style w:type="character" w:customStyle="1" w:styleId="Inf61normalBoldChar">
    <w:name w:val="Inf_6_1_normal + Bold Char"/>
    <w:basedOn w:val="inf61normalChar"/>
    <w:link w:val="Inf61normalBold"/>
    <w:rsid w:val="00467D18"/>
    <w:rPr>
      <w:rFonts w:ascii="Arial" w:eastAsia="SimSun" w:hAnsi="Arial"/>
      <w:b/>
      <w:bCs/>
      <w:lang w:val="fr-FR" w:eastAsia="en-US" w:bidi="ar-SA"/>
    </w:rPr>
  </w:style>
  <w:style w:type="character" w:customStyle="1" w:styleId="InfTitre1EChar">
    <w:name w:val="Inf_Titre1_E Char"/>
    <w:basedOn w:val="DefaultParagraphFont"/>
    <w:link w:val="InfTitre1E"/>
    <w:rsid w:val="00467D18"/>
    <w:rPr>
      <w:rFonts w:ascii="Arial" w:eastAsia="SimSun" w:hAnsi="Arial"/>
      <w:caps/>
      <w:szCs w:val="24"/>
      <w:lang w:val="fr-FR" w:eastAsia="en-US" w:bidi="ar-SA"/>
    </w:rPr>
  </w:style>
  <w:style w:type="numbering" w:styleId="ArticleSection">
    <w:name w:val="Outline List 3"/>
    <w:basedOn w:val="NoList"/>
    <w:semiHidden/>
    <w:rsid w:val="00467D18"/>
    <w:pPr>
      <w:numPr>
        <w:numId w:val="1"/>
      </w:numPr>
    </w:pPr>
  </w:style>
  <w:style w:type="paragraph" w:styleId="BodyTextFirstIndent">
    <w:name w:val="Body Text First Indent"/>
    <w:basedOn w:val="BodyText"/>
    <w:semiHidden/>
    <w:rsid w:val="00467D18"/>
    <w:pPr>
      <w:spacing w:after="120"/>
      <w:ind w:firstLine="210"/>
    </w:pPr>
    <w:rPr>
      <w:rFonts w:eastAsia="SimSun"/>
      <w:lang w:val="fr-FR"/>
    </w:rPr>
  </w:style>
  <w:style w:type="paragraph" w:styleId="BodyTextFirstIndent2">
    <w:name w:val="Body Text First Indent 2"/>
    <w:basedOn w:val="BodyTextIndent"/>
    <w:semiHidden/>
    <w:rsid w:val="00467D18"/>
    <w:pPr>
      <w:spacing w:after="120"/>
      <w:ind w:left="360" w:firstLine="210"/>
    </w:pPr>
    <w:rPr>
      <w:rFonts w:eastAsia="SimSun"/>
      <w:lang w:val="fr-FR"/>
    </w:rPr>
  </w:style>
  <w:style w:type="paragraph" w:customStyle="1" w:styleId="Enum-">
    <w:name w:val="Enum_-"/>
    <w:basedOn w:val="Normal"/>
    <w:semiHidden/>
    <w:rsid w:val="00467D18"/>
    <w:pPr>
      <w:tabs>
        <w:tab w:val="right" w:pos="1106"/>
      </w:tabs>
      <w:ind w:left="1276" w:hanging="1276"/>
    </w:pPr>
    <w:rPr>
      <w:rFonts w:eastAsia="SimSun"/>
      <w:lang w:val="fr-FR"/>
    </w:rPr>
  </w:style>
  <w:style w:type="paragraph" w:customStyle="1" w:styleId="Style1">
    <w:name w:val="Style1"/>
    <w:basedOn w:val="Normal"/>
    <w:rsid w:val="00467D18"/>
    <w:pPr>
      <w:tabs>
        <w:tab w:val="decimal" w:pos="907"/>
        <w:tab w:val="left" w:pos="1077"/>
      </w:tabs>
    </w:pPr>
    <w:rPr>
      <w:rFonts w:eastAsia="SimSun"/>
      <w:lang w:val="fr-FR"/>
    </w:rPr>
  </w:style>
  <w:style w:type="paragraph" w:customStyle="1" w:styleId="Endofdocument">
    <w:name w:val="End of document"/>
    <w:basedOn w:val="Normal"/>
    <w:rsid w:val="00467D18"/>
    <w:pPr>
      <w:ind w:left="4536"/>
      <w:jc w:val="center"/>
    </w:pPr>
    <w:rPr>
      <w:rFonts w:eastAsia="SimSun"/>
      <w:lang w:val="es-ES_tradnl"/>
    </w:rPr>
  </w:style>
  <w:style w:type="character" w:styleId="CommentReference">
    <w:name w:val="annotation reference"/>
    <w:basedOn w:val="DefaultParagraphFont"/>
    <w:semiHidden/>
    <w:rsid w:val="00467D18"/>
    <w:rPr>
      <w:sz w:val="16"/>
      <w:szCs w:val="16"/>
    </w:rPr>
  </w:style>
  <w:style w:type="paragraph" w:styleId="CommentSubject">
    <w:name w:val="annotation subject"/>
    <w:basedOn w:val="CommentText"/>
    <w:next w:val="CommentText"/>
    <w:semiHidden/>
    <w:rsid w:val="00467D18"/>
    <w:rPr>
      <w:rFonts w:eastAsia="SimSun"/>
      <w:b/>
      <w:bCs/>
      <w:sz w:val="20"/>
      <w:lang w:val="fr-FR"/>
    </w:rPr>
  </w:style>
  <w:style w:type="paragraph" w:customStyle="1" w:styleId="Lettrine">
    <w:name w:val="Lettrine"/>
    <w:basedOn w:val="Normal"/>
    <w:rsid w:val="00467D18"/>
    <w:pPr>
      <w:spacing w:line="340" w:lineRule="atLeast"/>
      <w:jc w:val="right"/>
    </w:pPr>
    <w:rPr>
      <w:rFonts w:eastAsia="SimSun"/>
      <w:b/>
      <w:bCs/>
      <w:sz w:val="56"/>
      <w:lang w:val="fr-FR"/>
    </w:rPr>
  </w:style>
  <w:style w:type="paragraph" w:customStyle="1" w:styleId="LogoUPOV">
    <w:name w:val="LogoUPOV"/>
    <w:basedOn w:val="Normal"/>
    <w:rsid w:val="00467D18"/>
    <w:pPr>
      <w:spacing w:before="840"/>
      <w:jc w:val="center"/>
    </w:pPr>
    <w:rPr>
      <w:rFonts w:eastAsia="SimSun"/>
    </w:rPr>
  </w:style>
  <w:style w:type="paragraph" w:customStyle="1" w:styleId="Docoriginal">
    <w:name w:val="Doc_original"/>
    <w:basedOn w:val="Normal"/>
    <w:link w:val="DocoriginalChar"/>
    <w:rsid w:val="00467D18"/>
    <w:pPr>
      <w:spacing w:line="280" w:lineRule="exact"/>
      <w:ind w:left="1361"/>
    </w:pPr>
    <w:rPr>
      <w:rFonts w:eastAsia="SimSun"/>
      <w:b/>
      <w:bCs/>
      <w:spacing w:val="10"/>
    </w:rPr>
  </w:style>
  <w:style w:type="paragraph" w:customStyle="1" w:styleId="upove">
    <w:name w:val="upov_e"/>
    <w:basedOn w:val="Normal"/>
    <w:rsid w:val="00467D18"/>
    <w:pPr>
      <w:spacing w:before="60"/>
      <w:jc w:val="center"/>
    </w:pPr>
    <w:rPr>
      <w:rFonts w:eastAsia="SimSun"/>
      <w:b/>
      <w:bCs/>
      <w:spacing w:val="8"/>
      <w:sz w:val="24"/>
    </w:rPr>
  </w:style>
  <w:style w:type="paragraph" w:customStyle="1" w:styleId="Country">
    <w:name w:val="Country"/>
    <w:basedOn w:val="Normal"/>
    <w:semiHidden/>
    <w:rsid w:val="00467D18"/>
    <w:pPr>
      <w:spacing w:before="60" w:after="480"/>
      <w:jc w:val="center"/>
    </w:pPr>
    <w:rPr>
      <w:rFonts w:eastAsia="SimSun"/>
    </w:rPr>
  </w:style>
  <w:style w:type="character" w:customStyle="1" w:styleId="DocoriginalChar">
    <w:name w:val="Doc_original Char"/>
    <w:basedOn w:val="DefaultParagraphFont"/>
    <w:link w:val="Docoriginal"/>
    <w:rsid w:val="00467D18"/>
    <w:rPr>
      <w:rFonts w:ascii="Arial" w:eastAsia="SimSun" w:hAnsi="Arial"/>
      <w:b/>
      <w:bCs/>
      <w:spacing w:val="10"/>
      <w:lang w:val="en-US" w:eastAsia="en-US" w:bidi="ar-SA"/>
    </w:rPr>
  </w:style>
  <w:style w:type="character" w:customStyle="1" w:styleId="StyleDocoriginalNotBold1">
    <w:name w:val="Style Doc_original + Not Bold1"/>
    <w:basedOn w:val="DefaultParagraphFont"/>
    <w:rsid w:val="00467D18"/>
    <w:rPr>
      <w:rFonts w:ascii="Arial" w:hAnsi="Arial"/>
      <w:b/>
      <w:bCs/>
      <w:spacing w:val="10"/>
      <w:lang w:val="en-US" w:eastAsia="en-US" w:bidi="ar-SA"/>
    </w:rPr>
  </w:style>
  <w:style w:type="character" w:customStyle="1" w:styleId="StyleDoclangBold">
    <w:name w:val="Style Doc_lang + Bold"/>
    <w:basedOn w:val="DefaultParagraphFont"/>
    <w:rsid w:val="00467D18"/>
    <w:rPr>
      <w:rFonts w:ascii="Arial" w:hAnsi="Arial"/>
      <w:b/>
      <w:bCs/>
      <w:sz w:val="20"/>
      <w:lang w:val="en-US"/>
    </w:rPr>
  </w:style>
  <w:style w:type="paragraph" w:customStyle="1" w:styleId="TOC2Infdoc">
    <w:name w:val="TOC 2_Inf_doc"/>
    <w:basedOn w:val="TOC2"/>
    <w:rsid w:val="00467D18"/>
    <w:pPr>
      <w:ind w:left="0" w:firstLine="0"/>
    </w:pPr>
    <w:rPr>
      <w:rFonts w:eastAsia="SimSun"/>
      <w:i/>
      <w:smallCaps/>
    </w:rPr>
  </w:style>
  <w:style w:type="paragraph" w:customStyle="1" w:styleId="IPHMain">
    <w:name w:val="IPH Main"/>
    <w:basedOn w:val="BodyText"/>
    <w:rsid w:val="00467D18"/>
    <w:pPr>
      <w:tabs>
        <w:tab w:val="left" w:pos="737"/>
      </w:tabs>
      <w:spacing w:after="240"/>
    </w:pPr>
    <w:rPr>
      <w:rFonts w:ascii="Times New Roman" w:eastAsia="Batang" w:hAnsi="Times New Roman"/>
      <w:snapToGrid w:val="0"/>
      <w:color w:val="000000"/>
      <w:szCs w:val="22"/>
    </w:rPr>
  </w:style>
  <w:style w:type="paragraph" w:customStyle="1" w:styleId="Heading1Infdoc">
    <w:name w:val="Heading 1_Inf_doc"/>
    <w:basedOn w:val="Heading2"/>
    <w:rsid w:val="00467D18"/>
    <w:pPr>
      <w:jc w:val="center"/>
    </w:pPr>
    <w:rPr>
      <w:rFonts w:eastAsia="SimSun"/>
      <w:caps/>
    </w:rPr>
  </w:style>
  <w:style w:type="paragraph" w:customStyle="1" w:styleId="Default">
    <w:name w:val="Default"/>
    <w:rsid w:val="00467D18"/>
    <w:pPr>
      <w:autoSpaceDE w:val="0"/>
      <w:autoSpaceDN w:val="0"/>
      <w:adjustRightInd w:val="0"/>
    </w:pPr>
    <w:rPr>
      <w:rFonts w:eastAsia="MS Mincho"/>
      <w:color w:val="000000"/>
      <w:sz w:val="24"/>
      <w:szCs w:val="24"/>
      <w:lang w:eastAsia="ja-JP"/>
    </w:rPr>
  </w:style>
  <w:style w:type="paragraph" w:customStyle="1" w:styleId="largetitle">
    <w:name w:val="largetitle"/>
    <w:basedOn w:val="Normal"/>
    <w:rsid w:val="00467D18"/>
    <w:pPr>
      <w:spacing w:before="100" w:beforeAutospacing="1" w:after="100" w:afterAutospacing="1"/>
      <w:jc w:val="left"/>
    </w:pPr>
    <w:rPr>
      <w:rFonts w:eastAsia="SimSun" w:cs="Arial"/>
      <w:b/>
      <w:bCs/>
      <w:color w:val="000000"/>
      <w:sz w:val="28"/>
      <w:szCs w:val="28"/>
    </w:rPr>
  </w:style>
  <w:style w:type="character" w:customStyle="1" w:styleId="caps">
    <w:name w:val="caps"/>
    <w:basedOn w:val="DefaultParagraphFont"/>
    <w:rsid w:val="00467D18"/>
  </w:style>
  <w:style w:type="paragraph" w:customStyle="1" w:styleId="copyb">
    <w:name w:val="copy_b"/>
    <w:basedOn w:val="Normal"/>
    <w:rsid w:val="00467D18"/>
    <w:pPr>
      <w:spacing w:before="100" w:beforeAutospacing="1" w:after="100" w:afterAutospacing="1"/>
      <w:jc w:val="left"/>
    </w:pPr>
    <w:rPr>
      <w:rFonts w:ascii="Times New Roman" w:eastAsia="SimSun" w:hAnsi="Times New Roman"/>
      <w:sz w:val="24"/>
      <w:szCs w:val="24"/>
    </w:rPr>
  </w:style>
  <w:style w:type="character" w:customStyle="1" w:styleId="bold">
    <w:name w:val="bold"/>
    <w:basedOn w:val="DefaultParagraphFont"/>
    <w:rsid w:val="00467D18"/>
  </w:style>
  <w:style w:type="character" w:customStyle="1" w:styleId="redbordertitletitle1">
    <w:name w:val="redbordertitletitle1"/>
    <w:basedOn w:val="DefaultParagraphFont"/>
    <w:rsid w:val="00467D18"/>
    <w:rPr>
      <w:rFonts w:ascii="Verdana" w:hAnsi="Verdana" w:hint="default"/>
      <w:b/>
      <w:bCs/>
      <w:strike w:val="0"/>
      <w:dstrike w:val="0"/>
      <w:color w:val="000000"/>
      <w:sz w:val="20"/>
      <w:szCs w:val="20"/>
      <w:u w:val="none"/>
      <w:effect w:val="none"/>
      <w:shd w:val="clear" w:color="auto" w:fill="auto"/>
    </w:rPr>
  </w:style>
  <w:style w:type="character" w:customStyle="1" w:styleId="FooterChar">
    <w:name w:val="Footer Char"/>
    <w:aliases w:val="doc_path_name Char"/>
    <w:basedOn w:val="DefaultParagraphFont"/>
    <w:link w:val="Footer"/>
    <w:uiPriority w:val="99"/>
    <w:rsid w:val="00E37E33"/>
    <w:rPr>
      <w:rFonts w:ascii="Arial" w:hAnsi="Arial"/>
      <w:sz w:val="14"/>
    </w:rPr>
  </w:style>
  <w:style w:type="character" w:customStyle="1" w:styleId="Heading2Char">
    <w:name w:val="Heading 2 Char"/>
    <w:link w:val="Heading2"/>
    <w:locked/>
    <w:rsid w:val="00904477"/>
    <w:rPr>
      <w:rFonts w:ascii="Arial" w:hAnsi="Arial"/>
      <w:u w:val="single"/>
    </w:rPr>
  </w:style>
  <w:style w:type="character" w:customStyle="1" w:styleId="Heading3Char">
    <w:name w:val="Heading 3 Char"/>
    <w:link w:val="Heading3"/>
    <w:locked/>
    <w:rsid w:val="00347556"/>
    <w:rPr>
      <w:rFonts w:ascii="Arial" w:hAnsi="Arial"/>
      <w:i/>
      <w:lang w:val="fr-FR"/>
    </w:rPr>
  </w:style>
  <w:style w:type="paragraph" w:styleId="ListParagraph">
    <w:name w:val="List Paragraph"/>
    <w:basedOn w:val="Normal"/>
    <w:uiPriority w:val="34"/>
    <w:qFormat/>
    <w:rsid w:val="00CD0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upov.int/restrict/meetings/fr/" TargetMode="External"/><Relationship Id="rId26" Type="http://schemas.openxmlformats.org/officeDocument/2006/relationships/hyperlink" Target="http://www.upov.int/upovlex/fr/" TargetMode="External"/><Relationship Id="rId39" Type="http://schemas.openxmlformats.org/officeDocument/2006/relationships/image" Target="media/image2.emf"/><Relationship Id="rId21" Type="http://schemas.openxmlformats.org/officeDocument/2006/relationships/hyperlink" Target="http://www.upov.int/edocs/infdocs/fr/upov_inf_20_1.pdf" TargetMode="External"/><Relationship Id="rId34" Type="http://schemas.openxmlformats.org/officeDocument/2006/relationships/hyperlink" Target="http://www.upov.int/pluto/fr/" TargetMode="External"/><Relationship Id="rId42" Type="http://schemas.openxmlformats.org/officeDocument/2006/relationships/hyperlink" Target="http://www.upov.int/information_documents/fr" TargetMode="External"/><Relationship Id="rId47" Type="http://schemas.openxmlformats.org/officeDocument/2006/relationships/hyperlink" Target="http://www.upov.int/tgp/en/" TargetMode="External"/><Relationship Id="rId50" Type="http://schemas.openxmlformats.org/officeDocument/2006/relationships/hyperlink" Target="http://www.upov.int/explanatory_notes/fr/" TargetMode="External"/><Relationship Id="rId55" Type="http://schemas.openxmlformats.org/officeDocument/2006/relationships/hyperlink" Target="http://www.upov.int/tgp/fr/list.jsp"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upov.int/edocs/infdocs/fr/upov_inf_20_1.pdf" TargetMode="External"/><Relationship Id="rId25" Type="http://schemas.openxmlformats.org/officeDocument/2006/relationships/hyperlink" Target="http://www.upov.int/news/en/gazette_newsletter.html" TargetMode="External"/><Relationship Id="rId33" Type="http://schemas.openxmlformats.org/officeDocument/2006/relationships/hyperlink" Target="http://www.upov.int/genie/fr/" TargetMode="External"/><Relationship Id="rId38" Type="http://schemas.openxmlformats.org/officeDocument/2006/relationships/hyperlink" Target="http://www.upov.int/resource/fr/subscribe.jsp" TargetMode="External"/><Relationship Id="rId46" Type="http://schemas.openxmlformats.org/officeDocument/2006/relationships/hyperlink" Target="http://www.upov.int/tgp/fr/"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upov.int/edocs/infdocs/fr/upov_inf_20_1.pdf" TargetMode="External"/><Relationship Id="rId29" Type="http://schemas.openxmlformats.org/officeDocument/2006/relationships/hyperlink" Target="http://www.upov.int/information_documents/fr/list.jsp" TargetMode="External"/><Relationship Id="rId41" Type="http://schemas.openxmlformats.org/officeDocument/2006/relationships/hyperlink" Target="http://www.upov.int/members/fr/pvp_offices.html" TargetMode="External"/><Relationship Id="rId54" Type="http://schemas.openxmlformats.org/officeDocument/2006/relationships/hyperlink" Target="http://www.upov.int/fr/publications/tg-rom/tg001/tg_1_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www.upov.int/upovlex/fr/" TargetMode="External"/><Relationship Id="rId32" Type="http://schemas.openxmlformats.org/officeDocument/2006/relationships/hyperlink" Target="http://www.upov.int/test_guidelines/fr" TargetMode="External"/><Relationship Id="rId37" Type="http://schemas.openxmlformats.org/officeDocument/2006/relationships/hyperlink" Target="http://www.upov.int/upov_collection/fr/" TargetMode="External"/><Relationship Id="rId40" Type="http://schemas.openxmlformats.org/officeDocument/2006/relationships/oleObject" Target="embeddings/oleObject1.bin"/><Relationship Id="rId45" Type="http://schemas.openxmlformats.org/officeDocument/2006/relationships/hyperlink" Target="http://www.upov.int/tgp/en/" TargetMode="External"/><Relationship Id="rId53" Type="http://schemas.openxmlformats.org/officeDocument/2006/relationships/hyperlink" Target="http://www.upov.int/explanatory_notes/fr/"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upov.int/news/en/gazette_newsletter.html" TargetMode="External"/><Relationship Id="rId28" Type="http://schemas.openxmlformats.org/officeDocument/2006/relationships/hyperlink" Target="http://www.upov.int/genie/fr/" TargetMode="External"/><Relationship Id="rId36" Type="http://schemas.openxmlformats.org/officeDocument/2006/relationships/hyperlink" Target="http://www.upov.int/edocs/infdocs/fr/upov_inf_22.pdf" TargetMode="External"/><Relationship Id="rId49" Type="http://schemas.openxmlformats.org/officeDocument/2006/relationships/hyperlink" Target="http://www.upov.int/test_guidelines/fr/" TargetMode="External"/><Relationship Id="rId57"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http://www.upov.int/about/fr/organigram.html" TargetMode="External"/><Relationship Id="rId31" Type="http://schemas.openxmlformats.org/officeDocument/2006/relationships/hyperlink" Target="http://www.upov.int/information_documents/fr/list.jsp" TargetMode="External"/><Relationship Id="rId44" Type="http://schemas.openxmlformats.org/officeDocument/2006/relationships/hyperlink" Target="http://www.upov.int/information_documents/fr/" TargetMode="External"/><Relationship Id="rId52" Type="http://schemas.openxmlformats.org/officeDocument/2006/relationships/hyperlink" Target="http://www.upov.int/information_documents/fr/list.jsp"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upov.int/members/fr/pvp_offices.html" TargetMode="External"/><Relationship Id="rId27" Type="http://schemas.openxmlformats.org/officeDocument/2006/relationships/hyperlink" Target="http://www.upov.int/explanatory_notes/fr/list.jsp" TargetMode="External"/><Relationship Id="rId30" Type="http://schemas.openxmlformats.org/officeDocument/2006/relationships/hyperlink" Target="http://www.upov.int/information_documents/fr/list.jsp" TargetMode="External"/><Relationship Id="rId35" Type="http://schemas.openxmlformats.org/officeDocument/2006/relationships/hyperlink" Target="http://www.upov.int/information_documents/fr/list.jsp" TargetMode="External"/><Relationship Id="rId43" Type="http://schemas.openxmlformats.org/officeDocument/2006/relationships/hyperlink" Target="http://www.upov.int/members/fr/pvp_offices.html" TargetMode="External"/><Relationship Id="rId48" Type="http://schemas.openxmlformats.org/officeDocument/2006/relationships/image" Target="media/image3.emf"/><Relationship Id="rId56" Type="http://schemas.openxmlformats.org/officeDocument/2006/relationships/hyperlink" Target="http://www.upov.int/tgp/fr/list.jsp" TargetMode="External"/><Relationship Id="rId8" Type="http://schemas.openxmlformats.org/officeDocument/2006/relationships/customXml" Target="../customXml/item8.xml"/><Relationship Id="rId51" Type="http://schemas.openxmlformats.org/officeDocument/2006/relationships/hyperlink" Target="http://www.upov.int/information_documents/fr/"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information_documents/fr/list.jsp" TargetMode="External"/><Relationship Id="rId2" Type="http://schemas.openxmlformats.org/officeDocument/2006/relationships/hyperlink" Target="http://www.upov.int/information_documents/fr/list.jsp" TargetMode="External"/><Relationship Id="rId1" Type="http://schemas.openxmlformats.org/officeDocument/2006/relationships/hyperlink" Target="http://www.upov.int/information_documents/fr/list.jsp" TargetMode="External"/><Relationship Id="rId4" Type="http://schemas.openxmlformats.org/officeDocument/2006/relationships/hyperlink" Target="http://www.upov.int/information_documents/fr/li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26A0D-DF24-47BF-89AB-BA4C6D116F60}">
  <ds:schemaRefs>
    <ds:schemaRef ds:uri="http://schemas.openxmlformats.org/officeDocument/2006/bibliography"/>
  </ds:schemaRefs>
</ds:datastoreItem>
</file>

<file path=customXml/itemProps2.xml><?xml version="1.0" encoding="utf-8"?>
<ds:datastoreItem xmlns:ds="http://schemas.openxmlformats.org/officeDocument/2006/customXml" ds:itemID="{4AFF51A9-4FC9-4DC3-B800-C4635E71D9E2}">
  <ds:schemaRefs>
    <ds:schemaRef ds:uri="http://schemas.openxmlformats.org/officeDocument/2006/bibliography"/>
  </ds:schemaRefs>
</ds:datastoreItem>
</file>

<file path=customXml/itemProps3.xml><?xml version="1.0" encoding="utf-8"?>
<ds:datastoreItem xmlns:ds="http://schemas.openxmlformats.org/officeDocument/2006/customXml" ds:itemID="{6C67543D-CCF0-43D4-874B-4567D9B0B252}">
  <ds:schemaRefs>
    <ds:schemaRef ds:uri="http://schemas.openxmlformats.org/officeDocument/2006/bibliography"/>
  </ds:schemaRefs>
</ds:datastoreItem>
</file>

<file path=customXml/itemProps4.xml><?xml version="1.0" encoding="utf-8"?>
<ds:datastoreItem xmlns:ds="http://schemas.openxmlformats.org/officeDocument/2006/customXml" ds:itemID="{4B8D61BB-0649-485F-8516-B113DC3A562F}">
  <ds:schemaRefs>
    <ds:schemaRef ds:uri="http://schemas.openxmlformats.org/officeDocument/2006/bibliography"/>
  </ds:schemaRefs>
</ds:datastoreItem>
</file>

<file path=customXml/itemProps5.xml><?xml version="1.0" encoding="utf-8"?>
<ds:datastoreItem xmlns:ds="http://schemas.openxmlformats.org/officeDocument/2006/customXml" ds:itemID="{EEAABB02-4B65-4841-95D1-2609C0024A28}">
  <ds:schemaRefs>
    <ds:schemaRef ds:uri="http://schemas.openxmlformats.org/officeDocument/2006/bibliography"/>
  </ds:schemaRefs>
</ds:datastoreItem>
</file>

<file path=customXml/itemProps6.xml><?xml version="1.0" encoding="utf-8"?>
<ds:datastoreItem xmlns:ds="http://schemas.openxmlformats.org/officeDocument/2006/customXml" ds:itemID="{1CE613A2-4841-49C8-8D8A-260454C2595C}">
  <ds:schemaRefs>
    <ds:schemaRef ds:uri="http://schemas.openxmlformats.org/officeDocument/2006/bibliography"/>
  </ds:schemaRefs>
</ds:datastoreItem>
</file>

<file path=customXml/itemProps7.xml><?xml version="1.0" encoding="utf-8"?>
<ds:datastoreItem xmlns:ds="http://schemas.openxmlformats.org/officeDocument/2006/customXml" ds:itemID="{6F944BED-68AA-4AD8-B5F5-E5DB19CAD848}">
  <ds:schemaRefs>
    <ds:schemaRef ds:uri="http://schemas.openxmlformats.org/officeDocument/2006/bibliography"/>
  </ds:schemaRefs>
</ds:datastoreItem>
</file>

<file path=customXml/itemProps8.xml><?xml version="1.0" encoding="utf-8"?>
<ds:datastoreItem xmlns:ds="http://schemas.openxmlformats.org/officeDocument/2006/customXml" ds:itemID="{AA365670-2600-4444-B057-F62F0FB2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7234</Words>
  <Characters>44702</Characters>
  <Application>Microsoft Office Word</Application>
  <DocSecurity>0</DocSecurity>
  <Lines>372</Lines>
  <Paragraphs>103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51833</CharactersWithSpaces>
  <SharedDoc>false</SharedDoc>
  <HLinks>
    <vt:vector size="132" baseType="variant">
      <vt:variant>
        <vt:i4>6422553</vt:i4>
      </vt:variant>
      <vt:variant>
        <vt:i4>145</vt:i4>
      </vt:variant>
      <vt:variant>
        <vt:i4>0</vt:i4>
      </vt:variant>
      <vt:variant>
        <vt:i4>5</vt:i4>
      </vt:variant>
      <vt:variant>
        <vt:lpwstr>http://www.upov.int/information_documents/fr/list.jsp</vt:lpwstr>
      </vt:variant>
      <vt:variant>
        <vt:lpwstr/>
      </vt:variant>
      <vt:variant>
        <vt:i4>1769543</vt:i4>
      </vt:variant>
      <vt:variant>
        <vt:i4>138</vt:i4>
      </vt:variant>
      <vt:variant>
        <vt:i4>0</vt:i4>
      </vt:variant>
      <vt:variant>
        <vt:i4>5</vt:i4>
      </vt:variant>
      <vt:variant>
        <vt:lpwstr>http://www.upov.int/pluto/fr/</vt:lpwstr>
      </vt:variant>
      <vt:variant>
        <vt:lpwstr/>
      </vt:variant>
      <vt:variant>
        <vt:i4>983105</vt:i4>
      </vt:variant>
      <vt:variant>
        <vt:i4>131</vt:i4>
      </vt:variant>
      <vt:variant>
        <vt:i4>0</vt:i4>
      </vt:variant>
      <vt:variant>
        <vt:i4>5</vt:i4>
      </vt:variant>
      <vt:variant>
        <vt:lpwstr>http://www.upov.int/genie/fr/</vt:lpwstr>
      </vt:variant>
      <vt:variant>
        <vt:lpwstr/>
      </vt:variant>
      <vt:variant>
        <vt:i4>7667733</vt:i4>
      </vt:variant>
      <vt:variant>
        <vt:i4>128</vt:i4>
      </vt:variant>
      <vt:variant>
        <vt:i4>0</vt:i4>
      </vt:variant>
      <vt:variant>
        <vt:i4>5</vt:i4>
      </vt:variant>
      <vt:variant>
        <vt:lpwstr>http://www.upov.int/test_guidelines/fr</vt:lpwstr>
      </vt:variant>
      <vt:variant>
        <vt:lpwstr/>
      </vt:variant>
      <vt:variant>
        <vt:i4>6422553</vt:i4>
      </vt:variant>
      <vt:variant>
        <vt:i4>121</vt:i4>
      </vt:variant>
      <vt:variant>
        <vt:i4>0</vt:i4>
      </vt:variant>
      <vt:variant>
        <vt:i4>5</vt:i4>
      </vt:variant>
      <vt:variant>
        <vt:lpwstr>http://www.upov.int/information_documents/fr/list.jsp</vt:lpwstr>
      </vt:variant>
      <vt:variant>
        <vt:lpwstr/>
      </vt:variant>
      <vt:variant>
        <vt:i4>6422553</vt:i4>
      </vt:variant>
      <vt:variant>
        <vt:i4>118</vt:i4>
      </vt:variant>
      <vt:variant>
        <vt:i4>0</vt:i4>
      </vt:variant>
      <vt:variant>
        <vt:i4>5</vt:i4>
      </vt:variant>
      <vt:variant>
        <vt:lpwstr>http://www.upov.int/information_documents/fr/list.jsp</vt:lpwstr>
      </vt:variant>
      <vt:variant>
        <vt:lpwstr/>
      </vt:variant>
      <vt:variant>
        <vt:i4>6422553</vt:i4>
      </vt:variant>
      <vt:variant>
        <vt:i4>113</vt:i4>
      </vt:variant>
      <vt:variant>
        <vt:i4>0</vt:i4>
      </vt:variant>
      <vt:variant>
        <vt:i4>5</vt:i4>
      </vt:variant>
      <vt:variant>
        <vt:lpwstr>http://www.upov.int/information_documents/fr/list.jsp</vt:lpwstr>
      </vt:variant>
      <vt:variant>
        <vt:lpwstr/>
      </vt:variant>
      <vt:variant>
        <vt:i4>983105</vt:i4>
      </vt:variant>
      <vt:variant>
        <vt:i4>106</vt:i4>
      </vt:variant>
      <vt:variant>
        <vt:i4>0</vt:i4>
      </vt:variant>
      <vt:variant>
        <vt:i4>5</vt:i4>
      </vt:variant>
      <vt:variant>
        <vt:lpwstr>http://www.upov.int/genie/fr/</vt:lpwstr>
      </vt:variant>
      <vt:variant>
        <vt:lpwstr/>
      </vt:variant>
      <vt:variant>
        <vt:i4>6815775</vt:i4>
      </vt:variant>
      <vt:variant>
        <vt:i4>103</vt:i4>
      </vt:variant>
      <vt:variant>
        <vt:i4>0</vt:i4>
      </vt:variant>
      <vt:variant>
        <vt:i4>5</vt:i4>
      </vt:variant>
      <vt:variant>
        <vt:lpwstr>http://www.upov.int/explanatory_notes/fr/list.jsp</vt:lpwstr>
      </vt:variant>
      <vt:variant>
        <vt:lpwstr/>
      </vt:variant>
      <vt:variant>
        <vt:i4>6291491</vt:i4>
      </vt:variant>
      <vt:variant>
        <vt:i4>98</vt:i4>
      </vt:variant>
      <vt:variant>
        <vt:i4>0</vt:i4>
      </vt:variant>
      <vt:variant>
        <vt:i4>5</vt:i4>
      </vt:variant>
      <vt:variant>
        <vt:lpwstr>http://www.upov.int/upovlex/fr/</vt:lpwstr>
      </vt:variant>
      <vt:variant>
        <vt:lpwstr/>
      </vt:variant>
      <vt:variant>
        <vt:i4>6094881</vt:i4>
      </vt:variant>
      <vt:variant>
        <vt:i4>95</vt:i4>
      </vt:variant>
      <vt:variant>
        <vt:i4>0</vt:i4>
      </vt:variant>
      <vt:variant>
        <vt:i4>5</vt:i4>
      </vt:variant>
      <vt:variant>
        <vt:lpwstr>http://www.upov.int/news/en/gazette_newsletter.html</vt:lpwstr>
      </vt:variant>
      <vt:variant>
        <vt:lpwstr/>
      </vt:variant>
      <vt:variant>
        <vt:i4>6291491</vt:i4>
      </vt:variant>
      <vt:variant>
        <vt:i4>88</vt:i4>
      </vt:variant>
      <vt:variant>
        <vt:i4>0</vt:i4>
      </vt:variant>
      <vt:variant>
        <vt:i4>5</vt:i4>
      </vt:variant>
      <vt:variant>
        <vt:lpwstr>http://www.upov.int/upovlex/fr/</vt:lpwstr>
      </vt:variant>
      <vt:variant>
        <vt:lpwstr/>
      </vt:variant>
      <vt:variant>
        <vt:i4>6094881</vt:i4>
      </vt:variant>
      <vt:variant>
        <vt:i4>85</vt:i4>
      </vt:variant>
      <vt:variant>
        <vt:i4>0</vt:i4>
      </vt:variant>
      <vt:variant>
        <vt:i4>5</vt:i4>
      </vt:variant>
      <vt:variant>
        <vt:lpwstr>http://www.upov.int/news/en/gazette_newsletter.html</vt:lpwstr>
      </vt:variant>
      <vt:variant>
        <vt:lpwstr/>
      </vt:variant>
      <vt:variant>
        <vt:i4>6946829</vt:i4>
      </vt:variant>
      <vt:variant>
        <vt:i4>76</vt:i4>
      </vt:variant>
      <vt:variant>
        <vt:i4>0</vt:i4>
      </vt:variant>
      <vt:variant>
        <vt:i4>5</vt:i4>
      </vt:variant>
      <vt:variant>
        <vt:lpwstr>http://www.upov.int/members/fr/pvp_offices.html</vt:lpwstr>
      </vt:variant>
      <vt:variant>
        <vt:lpwstr/>
      </vt:variant>
      <vt:variant>
        <vt:i4>3932222</vt:i4>
      </vt:variant>
      <vt:variant>
        <vt:i4>73</vt:i4>
      </vt:variant>
      <vt:variant>
        <vt:i4>0</vt:i4>
      </vt:variant>
      <vt:variant>
        <vt:i4>5</vt:i4>
      </vt:variant>
      <vt:variant>
        <vt:lpwstr>http://www.upov.int/members/fr/pdf/rules_observer_status.pdf</vt:lpwstr>
      </vt:variant>
      <vt:variant>
        <vt:lpwstr/>
      </vt:variant>
      <vt:variant>
        <vt:i4>4325400</vt:i4>
      </vt:variant>
      <vt:variant>
        <vt:i4>70</vt:i4>
      </vt:variant>
      <vt:variant>
        <vt:i4>0</vt:i4>
      </vt:variant>
      <vt:variant>
        <vt:i4>5</vt:i4>
      </vt:variant>
      <vt:variant>
        <vt:lpwstr>http://www.upov.int/about/fr/organigram.html</vt:lpwstr>
      </vt:variant>
      <vt:variant>
        <vt:lpwstr/>
      </vt:variant>
      <vt:variant>
        <vt:i4>589854</vt:i4>
      </vt:variant>
      <vt:variant>
        <vt:i4>67</vt:i4>
      </vt:variant>
      <vt:variant>
        <vt:i4>0</vt:i4>
      </vt:variant>
      <vt:variant>
        <vt:i4>5</vt:i4>
      </vt:variant>
      <vt:variant>
        <vt:lpwstr>http://www.upov.int/restrict/meetings/fr/</vt:lpwstr>
      </vt:variant>
      <vt:variant>
        <vt:lpwstr/>
      </vt:variant>
      <vt:variant>
        <vt:i4>3932222</vt:i4>
      </vt:variant>
      <vt:variant>
        <vt:i4>62</vt:i4>
      </vt:variant>
      <vt:variant>
        <vt:i4>0</vt:i4>
      </vt:variant>
      <vt:variant>
        <vt:i4>5</vt:i4>
      </vt:variant>
      <vt:variant>
        <vt:lpwstr>http://www.upov.int/members/fr/pdf/rules_observer_status.pdf</vt:lpwstr>
      </vt:variant>
      <vt:variant>
        <vt:lpwstr/>
      </vt:variant>
      <vt:variant>
        <vt:i4>6422553</vt:i4>
      </vt:variant>
      <vt:variant>
        <vt:i4>9</vt:i4>
      </vt:variant>
      <vt:variant>
        <vt:i4>0</vt:i4>
      </vt:variant>
      <vt:variant>
        <vt:i4>5</vt:i4>
      </vt:variant>
      <vt:variant>
        <vt:lpwstr>http://www.upov.int/information_documents/fr/list.jsp</vt:lpwstr>
      </vt:variant>
      <vt:variant>
        <vt:lpwstr/>
      </vt:variant>
      <vt:variant>
        <vt:i4>6422553</vt:i4>
      </vt:variant>
      <vt:variant>
        <vt:i4>6</vt:i4>
      </vt:variant>
      <vt:variant>
        <vt:i4>0</vt:i4>
      </vt:variant>
      <vt:variant>
        <vt:i4>5</vt:i4>
      </vt:variant>
      <vt:variant>
        <vt:lpwstr>http://www.upov.int/information_documents/fr/list.jsp</vt:lpwstr>
      </vt:variant>
      <vt:variant>
        <vt:lpwstr/>
      </vt:variant>
      <vt:variant>
        <vt:i4>6422553</vt:i4>
      </vt:variant>
      <vt:variant>
        <vt:i4>3</vt:i4>
      </vt:variant>
      <vt:variant>
        <vt:i4>0</vt:i4>
      </vt:variant>
      <vt:variant>
        <vt:i4>5</vt:i4>
      </vt:variant>
      <vt:variant>
        <vt:lpwstr>http://www.upov.int/information_documents/fr/list.jsp</vt:lpwstr>
      </vt:variant>
      <vt:variant>
        <vt:lpwstr/>
      </vt:variant>
      <vt:variant>
        <vt:i4>6422553</vt:i4>
      </vt:variant>
      <vt:variant>
        <vt:i4>0</vt:i4>
      </vt:variant>
      <vt:variant>
        <vt:i4>0</vt:i4>
      </vt:variant>
      <vt:variant>
        <vt:i4>5</vt:i4>
      </vt:variant>
      <vt:variant>
        <vt:lpwstr>http://www.upov.int/information_documents/fr/list.jsp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keywords>KO/CB/ko</cp:keywords>
  <cp:lastModifiedBy>BESSE Ariane</cp:lastModifiedBy>
  <cp:revision>16</cp:revision>
  <cp:lastPrinted>2015-02-19T17:46:00Z</cp:lastPrinted>
  <dcterms:created xsi:type="dcterms:W3CDTF">2015-02-17T10:09:00Z</dcterms:created>
  <dcterms:modified xsi:type="dcterms:W3CDTF">2015-02-19T17:46:00Z</dcterms:modified>
</cp:coreProperties>
</file>