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85555" w:rsidRPr="00485555" w:rsidTr="003D05B5">
        <w:tc>
          <w:tcPr>
            <w:tcW w:w="6522" w:type="dxa"/>
          </w:tcPr>
          <w:p w:rsidR="00C045E7" w:rsidRPr="00485555" w:rsidRDefault="00C045E7" w:rsidP="003D05B5">
            <w:bookmarkStart w:id="0" w:name="TitleOfDoc"/>
            <w:bookmarkStart w:id="1" w:name="_GoBack"/>
            <w:bookmarkEnd w:id="0"/>
            <w:bookmarkEnd w:id="1"/>
            <w:r w:rsidRPr="00485555">
              <w:rPr>
                <w:noProof/>
              </w:rPr>
              <w:drawing>
                <wp:inline distT="0" distB="0" distL="0" distR="0" wp14:anchorId="3F49B71D" wp14:editId="0A029D7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045E7" w:rsidRPr="00485555" w:rsidRDefault="00C045E7" w:rsidP="003D05B5">
            <w:pPr>
              <w:pStyle w:val="Lettrine"/>
            </w:pPr>
            <w:r w:rsidRPr="00485555">
              <w:t>F</w:t>
            </w:r>
          </w:p>
        </w:tc>
      </w:tr>
      <w:tr w:rsidR="00C045E7" w:rsidRPr="00383F57" w:rsidTr="003D05B5">
        <w:trPr>
          <w:trHeight w:val="219"/>
        </w:trPr>
        <w:tc>
          <w:tcPr>
            <w:tcW w:w="6522" w:type="dxa"/>
          </w:tcPr>
          <w:p w:rsidR="00C045E7" w:rsidRPr="00383F57" w:rsidRDefault="00C045E7" w:rsidP="003D05B5">
            <w:pPr>
              <w:pStyle w:val="upove"/>
              <w:rPr>
                <w:lang w:val="fr-CH"/>
              </w:rPr>
            </w:pPr>
            <w:r w:rsidRPr="00383F57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045E7" w:rsidRPr="00383F57" w:rsidRDefault="00C045E7" w:rsidP="003D05B5">
            <w:pPr>
              <w:rPr>
                <w:lang w:val="fr-CH"/>
              </w:rPr>
            </w:pPr>
          </w:p>
        </w:tc>
      </w:tr>
    </w:tbl>
    <w:p w:rsidR="00C045E7" w:rsidRPr="00383F57" w:rsidRDefault="00C045E7" w:rsidP="00C045E7">
      <w:pPr>
        <w:rPr>
          <w:lang w:val="fr-CH"/>
        </w:rPr>
      </w:pPr>
    </w:p>
    <w:p w:rsidR="00C045E7" w:rsidRPr="00383F57" w:rsidRDefault="00C045E7" w:rsidP="00C045E7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85555" w:rsidRPr="00383F57" w:rsidTr="003D05B5">
        <w:tc>
          <w:tcPr>
            <w:tcW w:w="6512" w:type="dxa"/>
          </w:tcPr>
          <w:p w:rsidR="00C045E7" w:rsidRPr="00383F57" w:rsidRDefault="00C045E7" w:rsidP="003D05B5">
            <w:pPr>
              <w:pStyle w:val="Sessiontc"/>
              <w:spacing w:line="240" w:lineRule="auto"/>
              <w:rPr>
                <w:lang w:val="fr-CH"/>
              </w:rPr>
            </w:pPr>
            <w:r w:rsidRPr="00383F57">
              <w:rPr>
                <w:lang w:val="fr-CH"/>
              </w:rPr>
              <w:t>Conseil</w:t>
            </w:r>
          </w:p>
          <w:p w:rsidR="00C045E7" w:rsidRPr="00383F57" w:rsidRDefault="00C045E7" w:rsidP="003D05B5">
            <w:pPr>
              <w:pStyle w:val="Sessiontcplacedate"/>
              <w:rPr>
                <w:sz w:val="22"/>
                <w:lang w:val="fr-CH"/>
              </w:rPr>
            </w:pPr>
            <w:r w:rsidRPr="00383F57">
              <w:rPr>
                <w:lang w:val="fr-CH"/>
              </w:rPr>
              <w:t>Cinquante et unième session ordinaire</w:t>
            </w:r>
            <w:r w:rsidRPr="00383F57">
              <w:rPr>
                <w:lang w:val="fr-CH"/>
              </w:rPr>
              <w:br/>
              <w:t>Genève, 26 octobre 2017</w:t>
            </w:r>
          </w:p>
        </w:tc>
        <w:tc>
          <w:tcPr>
            <w:tcW w:w="3127" w:type="dxa"/>
          </w:tcPr>
          <w:p w:rsidR="00C045E7" w:rsidRPr="00383F57" w:rsidRDefault="00C045E7" w:rsidP="003D05B5">
            <w:pPr>
              <w:pStyle w:val="Doccode"/>
              <w:rPr>
                <w:lang w:val="fr-CH"/>
              </w:rPr>
            </w:pPr>
            <w:r w:rsidRPr="00383F57">
              <w:rPr>
                <w:lang w:val="fr-CH"/>
              </w:rPr>
              <w:t>C/51/9</w:t>
            </w:r>
          </w:p>
          <w:p w:rsidR="00C045E7" w:rsidRPr="00383F57" w:rsidRDefault="00C045E7" w:rsidP="003D05B5">
            <w:pPr>
              <w:pStyle w:val="Docoriginal"/>
              <w:rPr>
                <w:lang w:val="fr-CH"/>
              </w:rPr>
            </w:pPr>
            <w:r w:rsidRPr="00383F57">
              <w:rPr>
                <w:lang w:val="fr-CH"/>
              </w:rPr>
              <w:t>Original :</w:t>
            </w:r>
            <w:r w:rsidRPr="00383F57">
              <w:rPr>
                <w:b w:val="0"/>
                <w:spacing w:val="0"/>
                <w:lang w:val="fr-CH"/>
              </w:rPr>
              <w:t xml:space="preserve"> anglais</w:t>
            </w:r>
          </w:p>
          <w:p w:rsidR="00C045E7" w:rsidRPr="00383F57" w:rsidRDefault="00C045E7" w:rsidP="00383F57">
            <w:pPr>
              <w:pStyle w:val="Docoriginal"/>
              <w:rPr>
                <w:lang w:val="fr-CH"/>
              </w:rPr>
            </w:pPr>
            <w:r w:rsidRPr="00383F57">
              <w:rPr>
                <w:lang w:val="fr-CH"/>
              </w:rPr>
              <w:t>Date :</w:t>
            </w:r>
            <w:r w:rsidR="005C105E" w:rsidRPr="00383F57">
              <w:rPr>
                <w:b w:val="0"/>
                <w:spacing w:val="0"/>
                <w:lang w:val="fr-CH"/>
              </w:rPr>
              <w:t xml:space="preserve"> </w:t>
            </w:r>
            <w:r w:rsidR="00383F57" w:rsidRPr="00383F57">
              <w:rPr>
                <w:b w:val="0"/>
                <w:spacing w:val="0"/>
                <w:lang w:val="fr-CH"/>
              </w:rPr>
              <w:t>10</w:t>
            </w:r>
            <w:r w:rsidRPr="00383F57">
              <w:rPr>
                <w:b w:val="0"/>
                <w:spacing w:val="0"/>
                <w:lang w:val="fr-CH"/>
              </w:rPr>
              <w:t> octobre 2017</w:t>
            </w:r>
          </w:p>
        </w:tc>
      </w:tr>
    </w:tbl>
    <w:p w:rsidR="00387972" w:rsidRPr="00485555" w:rsidRDefault="00387972" w:rsidP="00387972">
      <w:pPr>
        <w:pStyle w:val="Titleofdoc0"/>
        <w:rPr>
          <w:lang w:val="fr-FR"/>
        </w:rPr>
      </w:pPr>
      <w:r w:rsidRPr="00485555">
        <w:rPr>
          <w:lang w:val="fr-FR"/>
        </w:rPr>
        <w:t>Rapport sur l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>état d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>avancement des travaux du Comité administratif et juridique</w:t>
      </w:r>
    </w:p>
    <w:p w:rsidR="00C045E7" w:rsidRPr="00383F57" w:rsidRDefault="00C045E7" w:rsidP="00C045E7">
      <w:pPr>
        <w:pStyle w:val="preparedby1"/>
        <w:jc w:val="left"/>
        <w:rPr>
          <w:lang w:val="fr-CH"/>
        </w:rPr>
      </w:pPr>
      <w:bookmarkStart w:id="2" w:name="Prepared"/>
      <w:bookmarkEnd w:id="2"/>
      <w:r w:rsidRPr="00383F57">
        <w:rPr>
          <w:lang w:val="fr-CH"/>
        </w:rPr>
        <w:t>Document établi par le Bureau de l’Union</w:t>
      </w:r>
    </w:p>
    <w:p w:rsidR="00C045E7" w:rsidRPr="00383F57" w:rsidRDefault="00C045E7" w:rsidP="00C045E7">
      <w:pPr>
        <w:pStyle w:val="Disclaimer"/>
        <w:rPr>
          <w:lang w:val="fr-CH"/>
        </w:rPr>
      </w:pPr>
      <w:r w:rsidRPr="00383F57">
        <w:rPr>
          <w:lang w:val="fr-CH"/>
        </w:rPr>
        <w:t>Avertissement : le présent document ne représente pas les principes ou les orientations de l’UPOV</w:t>
      </w:r>
    </w:p>
    <w:p w:rsidR="00387972" w:rsidRPr="00485555" w:rsidRDefault="00BB7123" w:rsidP="00387972">
      <w:pPr>
        <w:rPr>
          <w:lang w:val="fr-FR"/>
        </w:rPr>
      </w:pPr>
      <w:r w:rsidRPr="00485555">
        <w:rPr>
          <w:lang w:val="fr-FR"/>
        </w:rPr>
        <w:fldChar w:fldCharType="begin"/>
      </w:r>
      <w:r w:rsidRPr="00485555">
        <w:rPr>
          <w:lang w:val="fr-FR"/>
        </w:rPr>
        <w:instrText xml:space="preserve"> AUTONUM  </w:instrText>
      </w:r>
      <w:r w:rsidRPr="00485555">
        <w:rPr>
          <w:lang w:val="fr-FR"/>
        </w:rPr>
        <w:fldChar w:fldCharType="end"/>
      </w:r>
      <w:r w:rsidRPr="00485555">
        <w:rPr>
          <w:lang w:val="fr-FR"/>
        </w:rPr>
        <w:tab/>
      </w:r>
      <w:r w:rsidR="00387972" w:rsidRPr="00485555">
        <w:rPr>
          <w:lang w:val="fr-FR"/>
        </w:rPr>
        <w:t>À sa soixante</w:t>
      </w:r>
      <w:r w:rsidR="00C045E7" w:rsidRPr="00485555">
        <w:rPr>
          <w:lang w:val="fr-FR"/>
        </w:rPr>
        <w:t>-</w:t>
      </w:r>
      <w:r w:rsidR="00387972" w:rsidRPr="00485555">
        <w:rPr>
          <w:lang w:val="fr-FR"/>
        </w:rPr>
        <w:t>treiz</w:t>
      </w:r>
      <w:r w:rsidR="00C045E7" w:rsidRPr="00485555">
        <w:rPr>
          <w:lang w:val="fr-FR"/>
        </w:rPr>
        <w:t>ième session</w:t>
      </w:r>
      <w:r w:rsidR="00387972" w:rsidRPr="00485555">
        <w:rPr>
          <w:lang w:val="fr-FR"/>
        </w:rPr>
        <w:t xml:space="preserve"> tenue à Genève le 2</w:t>
      </w:r>
      <w:r w:rsidR="00C045E7" w:rsidRPr="00485555">
        <w:rPr>
          <w:lang w:val="fr-FR"/>
        </w:rPr>
        <w:t>5 octobre 20</w:t>
      </w:r>
      <w:r w:rsidR="00387972" w:rsidRPr="00485555">
        <w:rPr>
          <w:lang w:val="fr-FR"/>
        </w:rPr>
        <w:t>16, le Comité administratif et juridique (CAJ) a examiné le programme de travail pour sa soixante</w:t>
      </w:r>
      <w:r w:rsidR="00C045E7" w:rsidRPr="00485555">
        <w:rPr>
          <w:lang w:val="fr-FR"/>
        </w:rPr>
        <w:t>-</w:t>
      </w:r>
      <w:r w:rsidR="00387972" w:rsidRPr="00485555">
        <w:rPr>
          <w:lang w:val="fr-FR"/>
        </w:rPr>
        <w:t>quatorz</w:t>
      </w:r>
      <w:r w:rsidR="00C045E7" w:rsidRPr="00485555">
        <w:rPr>
          <w:lang w:val="fr-FR"/>
        </w:rPr>
        <w:t>ième session</w:t>
      </w:r>
      <w:r w:rsidR="00387972" w:rsidRPr="00485555">
        <w:rPr>
          <w:lang w:val="fr-FR"/>
        </w:rPr>
        <w:t xml:space="preserve"> et est convenu que son programme de travail pourrait être traité lors d</w:t>
      </w:r>
      <w:r w:rsidR="00C045E7" w:rsidRPr="00485555">
        <w:rPr>
          <w:lang w:val="fr-FR"/>
        </w:rPr>
        <w:t>’</w:t>
      </w:r>
      <w:r w:rsidR="00387972" w:rsidRPr="00485555">
        <w:rPr>
          <w:lang w:val="fr-FR"/>
        </w:rPr>
        <w:t>une session prévue les 23 et 2</w:t>
      </w:r>
      <w:r w:rsidR="00C045E7" w:rsidRPr="00485555">
        <w:rPr>
          <w:lang w:val="fr-FR"/>
        </w:rPr>
        <w:t>4 octobre 20</w:t>
      </w:r>
      <w:r w:rsidR="00387972" w:rsidRPr="00485555">
        <w:rPr>
          <w:lang w:val="fr-FR"/>
        </w:rPr>
        <w:t>17.</w:t>
      </w:r>
    </w:p>
    <w:p w:rsidR="00387972" w:rsidRPr="00485555" w:rsidRDefault="00387972" w:rsidP="00BB7123">
      <w:pPr>
        <w:rPr>
          <w:lang w:val="fr-FR"/>
        </w:rPr>
      </w:pPr>
    </w:p>
    <w:p w:rsidR="00387972" w:rsidRPr="00485555" w:rsidRDefault="00BB7123" w:rsidP="00387972">
      <w:pPr>
        <w:rPr>
          <w:lang w:val="fr-FR"/>
        </w:rPr>
      </w:pPr>
      <w:r w:rsidRPr="00485555">
        <w:rPr>
          <w:lang w:val="fr-FR"/>
        </w:rPr>
        <w:fldChar w:fldCharType="begin"/>
      </w:r>
      <w:r w:rsidRPr="00485555">
        <w:rPr>
          <w:lang w:val="fr-FR"/>
        </w:rPr>
        <w:instrText xml:space="preserve"> AUTONUM  </w:instrText>
      </w:r>
      <w:r w:rsidRPr="00485555">
        <w:rPr>
          <w:lang w:val="fr-FR"/>
        </w:rPr>
        <w:fldChar w:fldCharType="end"/>
      </w:r>
      <w:r w:rsidRPr="00485555">
        <w:rPr>
          <w:lang w:val="fr-FR"/>
        </w:rPr>
        <w:tab/>
      </w:r>
      <w:r w:rsidR="00387972" w:rsidRPr="00485555">
        <w:rPr>
          <w:lang w:val="fr-FR"/>
        </w:rPr>
        <w:t>Le programme ci</w:t>
      </w:r>
      <w:r w:rsidR="00C045E7" w:rsidRPr="00485555">
        <w:rPr>
          <w:lang w:val="fr-FR"/>
        </w:rPr>
        <w:t>-</w:t>
      </w:r>
      <w:r w:rsidR="00387972" w:rsidRPr="00485555">
        <w:rPr>
          <w:lang w:val="fr-FR"/>
        </w:rPr>
        <w:t>après est approuvé pour la soixante</w:t>
      </w:r>
      <w:r w:rsidR="00C045E7" w:rsidRPr="00485555">
        <w:rPr>
          <w:lang w:val="fr-FR"/>
        </w:rPr>
        <w:t>-</w:t>
      </w:r>
      <w:r w:rsidR="00387972" w:rsidRPr="00485555">
        <w:rPr>
          <w:lang w:val="fr-FR"/>
        </w:rPr>
        <w:t>quatorz</w:t>
      </w:r>
      <w:r w:rsidR="00C045E7" w:rsidRPr="00485555">
        <w:rPr>
          <w:lang w:val="fr-FR"/>
        </w:rPr>
        <w:t>ième session du CAJ :</w:t>
      </w:r>
    </w:p>
    <w:p w:rsidR="00387972" w:rsidRPr="00485555" w:rsidRDefault="00387972" w:rsidP="00BB7123">
      <w:pPr>
        <w:rPr>
          <w:lang w:val="fr-FR"/>
        </w:rPr>
      </w:pPr>
    </w:p>
    <w:p w:rsidR="00387972" w:rsidRPr="00485555" w:rsidRDefault="00387972" w:rsidP="00387972">
      <w:pPr>
        <w:spacing w:after="120"/>
        <w:ind w:left="1134" w:right="567" w:hanging="567"/>
        <w:jc w:val="left"/>
        <w:rPr>
          <w:lang w:val="fr-FR"/>
        </w:rPr>
      </w:pPr>
      <w:r w:rsidRPr="00485555">
        <w:rPr>
          <w:lang w:val="fr-FR"/>
        </w:rPr>
        <w:t>1.</w:t>
      </w:r>
      <w:r w:rsidRPr="00485555">
        <w:rPr>
          <w:lang w:val="fr-FR"/>
        </w:rPr>
        <w:tab/>
        <w:t>Ouverture de la session</w:t>
      </w:r>
    </w:p>
    <w:p w:rsidR="00387972" w:rsidRPr="00485555" w:rsidRDefault="00387972" w:rsidP="00387972">
      <w:pPr>
        <w:spacing w:after="120"/>
        <w:ind w:left="1134" w:right="567" w:hanging="567"/>
        <w:jc w:val="left"/>
        <w:rPr>
          <w:lang w:val="fr-FR"/>
        </w:rPr>
      </w:pPr>
      <w:r w:rsidRPr="00485555">
        <w:rPr>
          <w:lang w:val="fr-FR"/>
        </w:rPr>
        <w:t>2.</w:t>
      </w:r>
      <w:r w:rsidRPr="00485555">
        <w:rPr>
          <w:lang w:val="fr-FR"/>
        </w:rPr>
        <w:tab/>
        <w:t>Adoption de l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>ordre du jour</w:t>
      </w:r>
    </w:p>
    <w:p w:rsidR="00387972" w:rsidRPr="00485555" w:rsidRDefault="00387972" w:rsidP="00387972">
      <w:pPr>
        <w:spacing w:after="120"/>
        <w:ind w:left="1134" w:right="567" w:hanging="567"/>
        <w:jc w:val="left"/>
        <w:rPr>
          <w:lang w:val="fr-FR"/>
        </w:rPr>
      </w:pPr>
      <w:r w:rsidRPr="00485555">
        <w:rPr>
          <w:lang w:val="fr-FR"/>
        </w:rPr>
        <w:t>3.</w:t>
      </w:r>
      <w:r w:rsidRPr="00485555">
        <w:rPr>
          <w:lang w:val="fr-FR"/>
        </w:rPr>
        <w:tab/>
        <w:t>Rapport sur les faits nouveaux intervenus au sein du Comité technique</w:t>
      </w:r>
    </w:p>
    <w:p w:rsidR="00387972" w:rsidRPr="00485555" w:rsidRDefault="00387972" w:rsidP="00387972">
      <w:pPr>
        <w:spacing w:after="120"/>
        <w:ind w:left="1134" w:right="567" w:hanging="567"/>
        <w:jc w:val="left"/>
        <w:rPr>
          <w:lang w:val="fr-FR"/>
        </w:rPr>
      </w:pPr>
      <w:r w:rsidRPr="00485555">
        <w:rPr>
          <w:lang w:val="fr-FR"/>
        </w:rPr>
        <w:t>4.</w:t>
      </w:r>
      <w:r w:rsidRPr="00485555">
        <w:rPr>
          <w:lang w:val="fr-FR"/>
        </w:rPr>
        <w:tab/>
        <w:t>Élaboration de matériel d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 xml:space="preserve">information concernant la </w:t>
      </w:r>
      <w:r w:rsidR="00C045E7" w:rsidRPr="00485555">
        <w:rPr>
          <w:lang w:val="fr-FR"/>
        </w:rPr>
        <w:t>Convention UPOV</w:t>
      </w:r>
    </w:p>
    <w:p w:rsidR="00387972" w:rsidRPr="00485555" w:rsidRDefault="00387972" w:rsidP="00387972">
      <w:pPr>
        <w:spacing w:after="120"/>
        <w:ind w:left="1701" w:right="567" w:hanging="567"/>
        <w:jc w:val="left"/>
        <w:rPr>
          <w:lang w:val="fr-FR"/>
        </w:rPr>
      </w:pPr>
      <w:r w:rsidRPr="00485555">
        <w:rPr>
          <w:lang w:val="fr-FR"/>
        </w:rPr>
        <w:t>a)</w:t>
      </w:r>
      <w:r w:rsidRPr="00485555">
        <w:rPr>
          <w:lang w:val="fr-FR"/>
        </w:rPr>
        <w:tab/>
        <w:t>Révision éventuelle du document UPOV/EXN/EDV/2 “Notes explicatives sur les variétés essentiellement dérivées en vertu de l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 xml:space="preserve">Acte </w:t>
      </w:r>
      <w:r w:rsidR="00C045E7" w:rsidRPr="00485555">
        <w:rPr>
          <w:lang w:val="fr-FR"/>
        </w:rPr>
        <w:t>de 1991</w:t>
      </w:r>
      <w:r w:rsidRPr="00485555">
        <w:rPr>
          <w:lang w:val="fr-FR"/>
        </w:rPr>
        <w:t xml:space="preserve"> de la </w:t>
      </w:r>
      <w:r w:rsidR="00C045E7" w:rsidRPr="00485555">
        <w:rPr>
          <w:lang w:val="fr-FR"/>
        </w:rPr>
        <w:t>Convention UPOV</w:t>
      </w:r>
      <w:r w:rsidRPr="00485555">
        <w:rPr>
          <w:lang w:val="fr-FR"/>
        </w:rPr>
        <w:t>”</w:t>
      </w:r>
    </w:p>
    <w:p w:rsidR="00387972" w:rsidRPr="00485555" w:rsidRDefault="00387972" w:rsidP="00387972">
      <w:pPr>
        <w:spacing w:after="120"/>
        <w:ind w:left="1701" w:right="567" w:hanging="567"/>
        <w:jc w:val="left"/>
        <w:rPr>
          <w:lang w:val="fr-FR"/>
        </w:rPr>
      </w:pPr>
      <w:r w:rsidRPr="00485555">
        <w:rPr>
          <w:lang w:val="fr-FR"/>
        </w:rPr>
        <w:t>b)</w:t>
      </w:r>
      <w:r w:rsidRPr="00485555">
        <w:rPr>
          <w:lang w:val="fr-FR"/>
        </w:rPr>
        <w:tab/>
        <w:t>Révision éventuelle du document UPOV/EXN/CAL/1 “Notes explicatives sur les conditions et limitations relatives à l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>autorisation de l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 xml:space="preserve">obtenteur </w:t>
      </w:r>
      <w:r w:rsidR="00C045E7" w:rsidRPr="00485555">
        <w:rPr>
          <w:lang w:val="fr-FR"/>
        </w:rPr>
        <w:t>à l’égard</w:t>
      </w:r>
      <w:r w:rsidRPr="00485555">
        <w:rPr>
          <w:lang w:val="fr-FR"/>
        </w:rPr>
        <w:t xml:space="preserve"> du matériel de reproduction ou de multiplication selon la </w:t>
      </w:r>
      <w:r w:rsidR="00C045E7" w:rsidRPr="00485555">
        <w:rPr>
          <w:lang w:val="fr-FR"/>
        </w:rPr>
        <w:t>Convention UPOV</w:t>
      </w:r>
      <w:r w:rsidRPr="00485555">
        <w:rPr>
          <w:lang w:val="fr-FR"/>
        </w:rPr>
        <w:t>”</w:t>
      </w:r>
    </w:p>
    <w:p w:rsidR="00387972" w:rsidRPr="00485555" w:rsidRDefault="00387972" w:rsidP="00387972">
      <w:pPr>
        <w:spacing w:after="120"/>
        <w:ind w:left="1701" w:right="567" w:hanging="567"/>
        <w:jc w:val="left"/>
        <w:rPr>
          <w:lang w:val="fr-FR"/>
        </w:rPr>
      </w:pPr>
      <w:r w:rsidRPr="00485555">
        <w:rPr>
          <w:lang w:val="fr-FR"/>
        </w:rPr>
        <w:t>c)</w:t>
      </w:r>
      <w:r w:rsidRPr="00485555">
        <w:rPr>
          <w:lang w:val="fr-FR"/>
        </w:rPr>
        <w:tab/>
        <w:t xml:space="preserve">Révision éventuelle du document UPOV/EXN/PRP/2 “Notes explicatives sur la protection provisoire selon la </w:t>
      </w:r>
      <w:r w:rsidR="00C045E7" w:rsidRPr="00485555">
        <w:rPr>
          <w:lang w:val="fr-FR"/>
        </w:rPr>
        <w:t>Convention UPOV</w:t>
      </w:r>
      <w:r w:rsidRPr="00485555">
        <w:rPr>
          <w:lang w:val="fr-FR"/>
        </w:rPr>
        <w:t>”</w:t>
      </w:r>
    </w:p>
    <w:p w:rsidR="00387972" w:rsidRPr="00485555" w:rsidRDefault="00387972" w:rsidP="00387972">
      <w:pPr>
        <w:spacing w:after="120"/>
        <w:ind w:left="1701" w:right="567" w:hanging="567"/>
        <w:jc w:val="left"/>
        <w:rPr>
          <w:lang w:val="fr-FR"/>
        </w:rPr>
      </w:pPr>
      <w:r w:rsidRPr="00485555">
        <w:rPr>
          <w:lang w:val="fr-FR"/>
        </w:rPr>
        <w:t>d)</w:t>
      </w:r>
      <w:r w:rsidRPr="00485555">
        <w:rPr>
          <w:lang w:val="fr-FR"/>
        </w:rPr>
        <w:tab/>
        <w:t>Bulletin type de l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>UPOV de la protection des obtentions végétales (révision)</w:t>
      </w:r>
    </w:p>
    <w:p w:rsidR="00387972" w:rsidRPr="00485555" w:rsidRDefault="00387972" w:rsidP="00387972">
      <w:pPr>
        <w:spacing w:after="120"/>
        <w:ind w:left="1134" w:right="567" w:hanging="567"/>
        <w:jc w:val="left"/>
        <w:rPr>
          <w:lang w:val="fr-FR"/>
        </w:rPr>
      </w:pPr>
      <w:r w:rsidRPr="00485555">
        <w:rPr>
          <w:lang w:val="fr-FR"/>
        </w:rPr>
        <w:t>5.</w:t>
      </w:r>
      <w:r w:rsidRPr="00485555">
        <w:rPr>
          <w:lang w:val="fr-FR"/>
        </w:rPr>
        <w:tab/>
        <w:t>Dénominations variétales</w:t>
      </w:r>
    </w:p>
    <w:p w:rsidR="00387972" w:rsidRPr="00485555" w:rsidRDefault="00387972" w:rsidP="00387972">
      <w:pPr>
        <w:spacing w:after="120"/>
        <w:ind w:left="1134" w:right="567" w:hanging="567"/>
        <w:jc w:val="left"/>
        <w:rPr>
          <w:lang w:val="fr-FR"/>
        </w:rPr>
      </w:pPr>
      <w:r w:rsidRPr="00485555">
        <w:rPr>
          <w:lang w:val="fr-FR"/>
        </w:rPr>
        <w:t>6.</w:t>
      </w:r>
      <w:r w:rsidRPr="00485555">
        <w:rPr>
          <w:lang w:val="fr-FR"/>
        </w:rPr>
        <w:tab/>
        <w:t>Informations et bases de données</w:t>
      </w:r>
    </w:p>
    <w:p w:rsidR="00C045E7" w:rsidRPr="00485555" w:rsidRDefault="00387972" w:rsidP="00387972">
      <w:pPr>
        <w:spacing w:after="120"/>
        <w:ind w:left="1701" w:right="567" w:hanging="567"/>
        <w:jc w:val="left"/>
        <w:rPr>
          <w:lang w:val="fr-FR"/>
        </w:rPr>
      </w:pPr>
      <w:r w:rsidRPr="00485555">
        <w:rPr>
          <w:lang w:val="fr-FR"/>
        </w:rPr>
        <w:t>a)</w:t>
      </w:r>
      <w:r w:rsidRPr="00485555">
        <w:rPr>
          <w:lang w:val="fr-FR"/>
        </w:rPr>
        <w:tab/>
        <w:t>Formulaire de dépôt électronique des demandes</w:t>
      </w:r>
    </w:p>
    <w:p w:rsidR="00387972" w:rsidRPr="00485555" w:rsidRDefault="00387972" w:rsidP="00387972">
      <w:pPr>
        <w:spacing w:after="120"/>
        <w:ind w:left="1701" w:right="567" w:hanging="567"/>
        <w:jc w:val="left"/>
        <w:rPr>
          <w:lang w:val="fr-FR"/>
        </w:rPr>
      </w:pPr>
      <w:r w:rsidRPr="00485555">
        <w:rPr>
          <w:lang w:val="fr-FR"/>
        </w:rPr>
        <w:t>b)</w:t>
      </w:r>
      <w:r w:rsidRPr="00485555">
        <w:rPr>
          <w:lang w:val="fr-FR"/>
        </w:rPr>
        <w:tab/>
        <w:t>Bases de données d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>information de l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>UPOV</w:t>
      </w:r>
    </w:p>
    <w:p w:rsidR="00387972" w:rsidRPr="00485555" w:rsidRDefault="00387972" w:rsidP="00387972">
      <w:pPr>
        <w:spacing w:after="120"/>
        <w:ind w:left="1701" w:right="567" w:hanging="567"/>
        <w:jc w:val="left"/>
        <w:rPr>
          <w:lang w:val="fr-FR"/>
        </w:rPr>
      </w:pPr>
      <w:r w:rsidRPr="00485555">
        <w:rPr>
          <w:lang w:val="fr-FR"/>
        </w:rPr>
        <w:t>c)</w:t>
      </w:r>
      <w:r w:rsidRPr="00485555">
        <w:rPr>
          <w:lang w:val="fr-FR"/>
        </w:rPr>
        <w:tab/>
        <w:t>Échange et utilisation de logiciels et d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>équipements</w:t>
      </w:r>
    </w:p>
    <w:p w:rsidR="00C045E7" w:rsidRPr="00485555" w:rsidRDefault="00C045E7" w:rsidP="00387972">
      <w:pPr>
        <w:spacing w:after="120"/>
        <w:ind w:left="3261" w:right="567" w:hanging="1560"/>
        <w:jc w:val="left"/>
        <w:rPr>
          <w:lang w:val="fr-FR"/>
        </w:rPr>
      </w:pPr>
      <w:r w:rsidRPr="00485555">
        <w:rPr>
          <w:lang w:val="fr-FR"/>
        </w:rPr>
        <w:t>-</w:t>
      </w:r>
      <w:r w:rsidR="00387972" w:rsidRPr="00485555">
        <w:rPr>
          <w:lang w:val="fr-FR"/>
        </w:rPr>
        <w:t xml:space="preserve"> UPOV/INF/16</w:t>
      </w:r>
      <w:r w:rsidR="00387972" w:rsidRPr="00485555">
        <w:rPr>
          <w:lang w:val="fr-FR"/>
        </w:rPr>
        <w:tab/>
        <w:t>Logiciels échangeables (révision)</w:t>
      </w:r>
    </w:p>
    <w:p w:rsidR="00C045E7" w:rsidRPr="00485555" w:rsidRDefault="00C045E7" w:rsidP="00387972">
      <w:pPr>
        <w:spacing w:after="120"/>
        <w:ind w:left="3261" w:right="567" w:hanging="1560"/>
        <w:jc w:val="left"/>
        <w:rPr>
          <w:lang w:val="fr-FR"/>
        </w:rPr>
      </w:pPr>
      <w:r w:rsidRPr="00485555">
        <w:rPr>
          <w:lang w:val="fr-FR"/>
        </w:rPr>
        <w:t>-</w:t>
      </w:r>
      <w:r w:rsidR="00387972" w:rsidRPr="00485555">
        <w:rPr>
          <w:lang w:val="fr-FR"/>
        </w:rPr>
        <w:t xml:space="preserve"> UPOV/INF/22</w:t>
      </w:r>
      <w:r w:rsidR="00387972" w:rsidRPr="00485555">
        <w:rPr>
          <w:lang w:val="fr-FR"/>
        </w:rPr>
        <w:tab/>
        <w:t>Logiciels et équipements utilisés par les membres de l</w:t>
      </w:r>
      <w:r w:rsidRPr="00485555">
        <w:rPr>
          <w:lang w:val="fr-FR"/>
        </w:rPr>
        <w:t>’</w:t>
      </w:r>
      <w:r w:rsidR="00387972" w:rsidRPr="00485555">
        <w:rPr>
          <w:lang w:val="fr-FR"/>
        </w:rPr>
        <w:t>Union (révision)</w:t>
      </w:r>
    </w:p>
    <w:p w:rsidR="00387972" w:rsidRPr="00485555" w:rsidRDefault="00387972" w:rsidP="00387972">
      <w:pPr>
        <w:spacing w:after="120"/>
        <w:ind w:left="1134" w:right="567" w:hanging="567"/>
        <w:jc w:val="left"/>
        <w:rPr>
          <w:lang w:val="fr-FR"/>
        </w:rPr>
      </w:pPr>
      <w:r w:rsidRPr="00485555">
        <w:rPr>
          <w:lang w:val="fr-FR"/>
        </w:rPr>
        <w:t>7.</w:t>
      </w:r>
      <w:r w:rsidRPr="00485555">
        <w:rPr>
          <w:lang w:val="fr-FR"/>
        </w:rPr>
        <w:tab/>
        <w:t>Documents TGP</w:t>
      </w:r>
    </w:p>
    <w:p w:rsidR="00387972" w:rsidRPr="00485555" w:rsidRDefault="00387972" w:rsidP="00387972">
      <w:pPr>
        <w:spacing w:after="120"/>
        <w:ind w:left="1134" w:right="567" w:hanging="567"/>
        <w:jc w:val="left"/>
        <w:rPr>
          <w:lang w:val="fr-FR"/>
        </w:rPr>
      </w:pPr>
      <w:r w:rsidRPr="00485555">
        <w:rPr>
          <w:lang w:val="fr-FR"/>
        </w:rPr>
        <w:t>8.</w:t>
      </w:r>
      <w:r w:rsidRPr="00485555">
        <w:rPr>
          <w:lang w:val="fr-FR"/>
        </w:rPr>
        <w:tab/>
        <w:t>Techniques moléculaires</w:t>
      </w:r>
    </w:p>
    <w:p w:rsidR="00387972" w:rsidRPr="00485555" w:rsidRDefault="00387972" w:rsidP="00387972">
      <w:pPr>
        <w:spacing w:after="120"/>
        <w:ind w:left="1134" w:right="567" w:hanging="567"/>
        <w:jc w:val="left"/>
        <w:rPr>
          <w:lang w:val="fr-FR"/>
        </w:rPr>
      </w:pPr>
      <w:r w:rsidRPr="00485555">
        <w:rPr>
          <w:lang w:val="fr-FR"/>
        </w:rPr>
        <w:t>9.</w:t>
      </w:r>
      <w:r w:rsidRPr="00485555">
        <w:rPr>
          <w:lang w:val="fr-FR"/>
        </w:rPr>
        <w:tab/>
        <w:t>Programme de la soixante</w:t>
      </w:r>
      <w:r w:rsidR="00C045E7" w:rsidRPr="00485555">
        <w:rPr>
          <w:lang w:val="fr-FR"/>
        </w:rPr>
        <w:t>-</w:t>
      </w:r>
      <w:r w:rsidRPr="00485555">
        <w:rPr>
          <w:lang w:val="fr-FR"/>
        </w:rPr>
        <w:t>quinz</w:t>
      </w:r>
      <w:r w:rsidR="00C045E7" w:rsidRPr="00485555">
        <w:rPr>
          <w:lang w:val="fr-FR"/>
        </w:rPr>
        <w:t>ième session</w:t>
      </w:r>
    </w:p>
    <w:p w:rsidR="00387972" w:rsidRPr="00485555" w:rsidRDefault="00387972" w:rsidP="00387972">
      <w:pPr>
        <w:spacing w:after="120"/>
        <w:ind w:left="1134" w:right="567" w:hanging="567"/>
        <w:jc w:val="left"/>
        <w:rPr>
          <w:lang w:val="fr-FR"/>
        </w:rPr>
      </w:pPr>
      <w:r w:rsidRPr="00485555">
        <w:rPr>
          <w:lang w:val="fr-FR"/>
        </w:rPr>
        <w:t>10.</w:t>
      </w:r>
      <w:r w:rsidRPr="00485555">
        <w:rPr>
          <w:lang w:val="fr-FR"/>
        </w:rPr>
        <w:tab/>
        <w:t>Adoption du compte rendu des conclusions (selon le temps disponible)</w:t>
      </w:r>
    </w:p>
    <w:p w:rsidR="00387972" w:rsidRPr="00485555" w:rsidRDefault="00387972" w:rsidP="00387972">
      <w:pPr>
        <w:spacing w:after="120"/>
        <w:ind w:left="1134" w:right="567" w:hanging="567"/>
        <w:jc w:val="left"/>
        <w:rPr>
          <w:lang w:val="fr-FR"/>
        </w:rPr>
      </w:pPr>
      <w:r w:rsidRPr="00485555">
        <w:rPr>
          <w:lang w:val="fr-FR"/>
        </w:rPr>
        <w:t>11.</w:t>
      </w:r>
      <w:r w:rsidRPr="00485555">
        <w:rPr>
          <w:lang w:val="fr-FR"/>
        </w:rPr>
        <w:tab/>
        <w:t>Clôture de la session</w:t>
      </w:r>
    </w:p>
    <w:p w:rsidR="00387972" w:rsidRPr="00485555" w:rsidRDefault="00387972" w:rsidP="00387972">
      <w:pPr>
        <w:spacing w:after="120"/>
        <w:ind w:left="567" w:right="567"/>
        <w:jc w:val="left"/>
        <w:rPr>
          <w:lang w:val="fr-FR"/>
        </w:rPr>
      </w:pPr>
      <w:r w:rsidRPr="00485555">
        <w:rPr>
          <w:lang w:val="fr-FR"/>
        </w:rPr>
        <w:t xml:space="preserve">(voir le </w:t>
      </w:r>
      <w:r w:rsidR="00C045E7" w:rsidRPr="00485555">
        <w:rPr>
          <w:lang w:val="fr-FR"/>
        </w:rPr>
        <w:t>paragraphe 5</w:t>
      </w:r>
      <w:r w:rsidRPr="00485555">
        <w:rPr>
          <w:lang w:val="fr-FR"/>
        </w:rPr>
        <w:t>9 du document CAJ/73/10 “Compte rendu des conclusions” et le document CAJ/74/1</w:t>
      </w:r>
      <w:r w:rsidR="00CB71AC" w:rsidRPr="00485555">
        <w:rPr>
          <w:lang w:val="fr-FR"/>
        </w:rPr>
        <w:t> </w:t>
      </w:r>
      <w:r w:rsidRPr="00485555">
        <w:rPr>
          <w:lang w:val="fr-FR"/>
        </w:rPr>
        <w:t>Rev. “Projet d</w:t>
      </w:r>
      <w:r w:rsidR="00C045E7" w:rsidRPr="00485555">
        <w:rPr>
          <w:lang w:val="fr-FR"/>
        </w:rPr>
        <w:t>’</w:t>
      </w:r>
      <w:r w:rsidRPr="00485555">
        <w:rPr>
          <w:lang w:val="fr-FR"/>
        </w:rPr>
        <w:t>ordre du jour révisé”).</w:t>
      </w:r>
    </w:p>
    <w:p w:rsidR="00387972" w:rsidRPr="00485555" w:rsidRDefault="006F1E94" w:rsidP="00387972">
      <w:pPr>
        <w:keepNext/>
        <w:rPr>
          <w:lang w:val="fr-FR"/>
        </w:rPr>
      </w:pPr>
      <w:r w:rsidRPr="00485555">
        <w:rPr>
          <w:lang w:val="fr-FR"/>
        </w:rPr>
        <w:lastRenderedPageBreak/>
        <w:fldChar w:fldCharType="begin"/>
      </w:r>
      <w:r w:rsidRPr="00485555">
        <w:rPr>
          <w:lang w:val="fr-FR"/>
        </w:rPr>
        <w:instrText xml:space="preserve"> AUTONUM  </w:instrText>
      </w:r>
      <w:r w:rsidRPr="00485555">
        <w:rPr>
          <w:lang w:val="fr-FR"/>
        </w:rPr>
        <w:fldChar w:fldCharType="end"/>
      </w:r>
      <w:r w:rsidRPr="00485555">
        <w:rPr>
          <w:lang w:val="fr-FR"/>
        </w:rPr>
        <w:tab/>
      </w:r>
      <w:r w:rsidR="00387972" w:rsidRPr="00485555">
        <w:rPr>
          <w:lang w:val="fr-FR"/>
        </w:rPr>
        <w:t>À la cinquante</w:t>
      </w:r>
      <w:r w:rsidR="00C045E7" w:rsidRPr="00485555">
        <w:rPr>
          <w:lang w:val="fr-FR"/>
        </w:rPr>
        <w:t> et unième session</w:t>
      </w:r>
      <w:r w:rsidR="00387972" w:rsidRPr="00485555">
        <w:rPr>
          <w:lang w:val="fr-FR"/>
        </w:rPr>
        <w:t xml:space="preserve"> ordinaire du Conseil, le président</w:t>
      </w:r>
      <w:r w:rsidR="00C045E7" w:rsidRPr="00485555">
        <w:rPr>
          <w:lang w:val="fr-FR"/>
        </w:rPr>
        <w:t xml:space="preserve"> du CAJ</w:t>
      </w:r>
      <w:r w:rsidR="00387972" w:rsidRPr="00485555">
        <w:rPr>
          <w:lang w:val="fr-FR"/>
        </w:rPr>
        <w:t>, M.</w:t>
      </w:r>
      <w:r w:rsidR="00CB71AC" w:rsidRPr="00485555">
        <w:rPr>
          <w:lang w:val="fr-FR"/>
        </w:rPr>
        <w:t> </w:t>
      </w:r>
      <w:r w:rsidR="00387972" w:rsidRPr="00485555">
        <w:rPr>
          <w:lang w:val="fr-FR"/>
        </w:rPr>
        <w:t>Anthony</w:t>
      </w:r>
      <w:r w:rsidR="005C105E" w:rsidRPr="00485555">
        <w:rPr>
          <w:lang w:val="fr-FR"/>
        </w:rPr>
        <w:t> </w:t>
      </w:r>
      <w:r w:rsidR="00387972" w:rsidRPr="00485555">
        <w:rPr>
          <w:lang w:val="fr-FR"/>
        </w:rPr>
        <w:t>Parker (Canada), présentera un rapport verbal sur la soixante</w:t>
      </w:r>
      <w:r w:rsidR="00C045E7" w:rsidRPr="00485555">
        <w:rPr>
          <w:lang w:val="fr-FR"/>
        </w:rPr>
        <w:t>-</w:t>
      </w:r>
      <w:r w:rsidR="00387972" w:rsidRPr="00485555">
        <w:rPr>
          <w:lang w:val="fr-FR"/>
        </w:rPr>
        <w:t>quatorz</w:t>
      </w:r>
      <w:r w:rsidR="00C045E7" w:rsidRPr="00485555">
        <w:rPr>
          <w:lang w:val="fr-FR"/>
        </w:rPr>
        <w:t>ième session du CAJ</w:t>
      </w:r>
      <w:r w:rsidR="00387972" w:rsidRPr="00485555">
        <w:rPr>
          <w:lang w:val="fr-FR"/>
        </w:rPr>
        <w:t xml:space="preserve"> et sur le programme de la soixante</w:t>
      </w:r>
      <w:r w:rsidR="00C045E7" w:rsidRPr="00485555">
        <w:rPr>
          <w:lang w:val="fr-FR"/>
        </w:rPr>
        <w:t>-</w:t>
      </w:r>
      <w:r w:rsidR="00387972" w:rsidRPr="00485555">
        <w:rPr>
          <w:lang w:val="fr-FR"/>
        </w:rPr>
        <w:t>quinz</w:t>
      </w:r>
      <w:r w:rsidR="00C045E7" w:rsidRPr="00485555">
        <w:rPr>
          <w:lang w:val="fr-FR"/>
        </w:rPr>
        <w:t>ième sessi</w:t>
      </w:r>
      <w:r w:rsidR="003F4CCB" w:rsidRPr="00485555">
        <w:rPr>
          <w:lang w:val="fr-FR"/>
        </w:rPr>
        <w:t>on.  Le</w:t>
      </w:r>
      <w:r w:rsidR="00387972" w:rsidRPr="00485555">
        <w:rPr>
          <w:lang w:val="fr-FR"/>
        </w:rPr>
        <w:t xml:space="preserve"> compte rendu des conclusions de la soixante</w:t>
      </w:r>
      <w:r w:rsidR="00C045E7" w:rsidRPr="00485555">
        <w:rPr>
          <w:lang w:val="fr-FR"/>
        </w:rPr>
        <w:t>-</w:t>
      </w:r>
      <w:r w:rsidR="00387972" w:rsidRPr="00485555">
        <w:rPr>
          <w:lang w:val="fr-FR"/>
        </w:rPr>
        <w:t>quatorz</w:t>
      </w:r>
      <w:r w:rsidR="00C045E7" w:rsidRPr="00485555">
        <w:rPr>
          <w:lang w:val="fr-FR"/>
        </w:rPr>
        <w:t>ième session du CAJ</w:t>
      </w:r>
      <w:r w:rsidR="00387972" w:rsidRPr="00485555">
        <w:rPr>
          <w:lang w:val="fr-FR"/>
        </w:rPr>
        <w:t xml:space="preserve"> (document CAJ/74/10) sera mis à disposition sur le site</w:t>
      </w:r>
      <w:r w:rsidR="00CB71AC" w:rsidRPr="00485555">
        <w:rPr>
          <w:lang w:val="fr-FR"/>
        </w:rPr>
        <w:t> </w:t>
      </w:r>
      <w:r w:rsidR="00387972" w:rsidRPr="00485555">
        <w:rPr>
          <w:lang w:val="fr-FR"/>
        </w:rPr>
        <w:t>Web de l</w:t>
      </w:r>
      <w:r w:rsidR="00C045E7" w:rsidRPr="00485555">
        <w:rPr>
          <w:lang w:val="fr-FR"/>
        </w:rPr>
        <w:t>’</w:t>
      </w:r>
      <w:r w:rsidR="00387972" w:rsidRPr="00485555">
        <w:rPr>
          <w:lang w:val="fr-FR"/>
        </w:rPr>
        <w:t>UPOV le 2</w:t>
      </w:r>
      <w:r w:rsidR="00C045E7" w:rsidRPr="00485555">
        <w:rPr>
          <w:lang w:val="fr-FR"/>
        </w:rPr>
        <w:t>4 octobre 20</w:t>
      </w:r>
      <w:r w:rsidR="00387972" w:rsidRPr="00485555">
        <w:rPr>
          <w:lang w:val="fr-FR"/>
        </w:rPr>
        <w:t>17.</w:t>
      </w:r>
    </w:p>
    <w:p w:rsidR="00387972" w:rsidRPr="00485555" w:rsidRDefault="00387972" w:rsidP="006F1E94">
      <w:pPr>
        <w:rPr>
          <w:lang w:val="fr-FR"/>
        </w:rPr>
      </w:pPr>
    </w:p>
    <w:p w:rsidR="00387972" w:rsidRPr="00485555" w:rsidRDefault="006F1E94" w:rsidP="00387972">
      <w:pPr>
        <w:pStyle w:val="DecisionParagraphs"/>
        <w:rPr>
          <w:lang w:val="fr-FR"/>
        </w:rPr>
      </w:pPr>
      <w:r w:rsidRPr="00485555">
        <w:rPr>
          <w:lang w:val="fr-FR"/>
        </w:rPr>
        <w:fldChar w:fldCharType="begin"/>
      </w:r>
      <w:r w:rsidRPr="00485555">
        <w:rPr>
          <w:lang w:val="fr-FR"/>
        </w:rPr>
        <w:instrText xml:space="preserve"> AUTONUM  </w:instrText>
      </w:r>
      <w:r w:rsidRPr="00485555">
        <w:rPr>
          <w:lang w:val="fr-FR"/>
        </w:rPr>
        <w:fldChar w:fldCharType="end"/>
      </w:r>
      <w:r w:rsidRPr="00485555">
        <w:rPr>
          <w:lang w:val="fr-FR"/>
        </w:rPr>
        <w:tab/>
      </w:r>
      <w:r w:rsidR="00387972" w:rsidRPr="00485555">
        <w:rPr>
          <w:lang w:val="fr-FR"/>
        </w:rPr>
        <w:t>Le Conseil est invité</w:t>
      </w:r>
    </w:p>
    <w:p w:rsidR="00387972" w:rsidRPr="00485555" w:rsidRDefault="00387972" w:rsidP="006F1E94">
      <w:pPr>
        <w:pStyle w:val="DecisionParagraphs"/>
        <w:rPr>
          <w:lang w:val="fr-FR"/>
        </w:rPr>
      </w:pPr>
    </w:p>
    <w:p w:rsidR="00387972" w:rsidRPr="00485555" w:rsidRDefault="006F1E94" w:rsidP="00387972">
      <w:pPr>
        <w:pStyle w:val="DecisionParagraphs"/>
        <w:rPr>
          <w:lang w:val="fr-FR"/>
        </w:rPr>
      </w:pPr>
      <w:r w:rsidRPr="00485555">
        <w:rPr>
          <w:lang w:val="fr-FR"/>
        </w:rPr>
        <w:tab/>
      </w:r>
      <w:r w:rsidR="00387972" w:rsidRPr="00485555">
        <w:rPr>
          <w:lang w:val="fr-FR"/>
        </w:rPr>
        <w:t>a)</w:t>
      </w:r>
      <w:r w:rsidR="00387972" w:rsidRPr="00485555">
        <w:rPr>
          <w:lang w:val="fr-FR"/>
        </w:rPr>
        <w:tab/>
        <w:t>à noter qu</w:t>
      </w:r>
      <w:r w:rsidR="00C045E7" w:rsidRPr="00485555">
        <w:rPr>
          <w:lang w:val="fr-FR"/>
        </w:rPr>
        <w:t>’</w:t>
      </w:r>
      <w:r w:rsidR="00387972" w:rsidRPr="00485555">
        <w:rPr>
          <w:lang w:val="fr-FR"/>
        </w:rPr>
        <w:t>à la cinquante</w:t>
      </w:r>
      <w:r w:rsidR="00C045E7" w:rsidRPr="00485555">
        <w:rPr>
          <w:lang w:val="fr-FR"/>
        </w:rPr>
        <w:t> et unième session</w:t>
      </w:r>
      <w:r w:rsidR="00387972" w:rsidRPr="00485555">
        <w:rPr>
          <w:lang w:val="fr-FR"/>
        </w:rPr>
        <w:t xml:space="preserve"> ordinaire du Conseil, le président</w:t>
      </w:r>
      <w:r w:rsidR="00C045E7" w:rsidRPr="00485555">
        <w:rPr>
          <w:lang w:val="fr-FR"/>
        </w:rPr>
        <w:t xml:space="preserve"> du CAJ</w:t>
      </w:r>
      <w:r w:rsidR="00387972" w:rsidRPr="00485555">
        <w:rPr>
          <w:lang w:val="fr-FR"/>
        </w:rPr>
        <w:t xml:space="preserve"> présentera un rapport verbal sur la soixante</w:t>
      </w:r>
      <w:r w:rsidR="00C045E7" w:rsidRPr="00485555">
        <w:rPr>
          <w:lang w:val="fr-FR"/>
        </w:rPr>
        <w:t>-</w:t>
      </w:r>
      <w:r w:rsidR="00387972" w:rsidRPr="00485555">
        <w:rPr>
          <w:lang w:val="fr-FR"/>
        </w:rPr>
        <w:t>quatorz</w:t>
      </w:r>
      <w:r w:rsidR="00C045E7" w:rsidRPr="00485555">
        <w:rPr>
          <w:lang w:val="fr-FR"/>
        </w:rPr>
        <w:t>ième session du CAJ</w:t>
      </w:r>
      <w:r w:rsidR="00387972" w:rsidRPr="00485555">
        <w:rPr>
          <w:lang w:val="fr-FR"/>
        </w:rPr>
        <w:t xml:space="preserve"> et sur le programme de la soixante</w:t>
      </w:r>
      <w:r w:rsidR="00C045E7" w:rsidRPr="00485555">
        <w:rPr>
          <w:lang w:val="fr-FR"/>
        </w:rPr>
        <w:t>-</w:t>
      </w:r>
      <w:r w:rsidR="00387972" w:rsidRPr="00485555">
        <w:rPr>
          <w:lang w:val="fr-FR"/>
        </w:rPr>
        <w:t>quinz</w:t>
      </w:r>
      <w:r w:rsidR="00C045E7" w:rsidRPr="00485555">
        <w:rPr>
          <w:lang w:val="fr-FR"/>
        </w:rPr>
        <w:t>ième session</w:t>
      </w:r>
      <w:r w:rsidR="00387972" w:rsidRPr="00485555">
        <w:rPr>
          <w:lang w:val="fr-FR"/>
        </w:rPr>
        <w:t>,</w:t>
      </w:r>
    </w:p>
    <w:p w:rsidR="00387972" w:rsidRPr="00485555" w:rsidRDefault="00387972" w:rsidP="006F1E94">
      <w:pPr>
        <w:pStyle w:val="DecisionParagraphs"/>
        <w:rPr>
          <w:lang w:val="fr-FR"/>
        </w:rPr>
      </w:pPr>
    </w:p>
    <w:p w:rsidR="00387972" w:rsidRPr="00485555" w:rsidRDefault="006F1E94" w:rsidP="00387972">
      <w:pPr>
        <w:pStyle w:val="DecisionParagraphs"/>
        <w:rPr>
          <w:lang w:val="fr-FR"/>
        </w:rPr>
      </w:pPr>
      <w:r w:rsidRPr="00485555">
        <w:rPr>
          <w:lang w:val="fr-FR"/>
        </w:rPr>
        <w:tab/>
      </w:r>
      <w:r w:rsidR="00387972" w:rsidRPr="00485555">
        <w:rPr>
          <w:lang w:val="fr-FR"/>
        </w:rPr>
        <w:t>b)</w:t>
      </w:r>
      <w:r w:rsidR="00387972" w:rsidRPr="00485555">
        <w:rPr>
          <w:lang w:val="fr-FR"/>
        </w:rPr>
        <w:tab/>
        <w:t>à noter que le compte rendu des conclusions de la soixante</w:t>
      </w:r>
      <w:r w:rsidR="00C045E7" w:rsidRPr="00485555">
        <w:rPr>
          <w:lang w:val="fr-FR"/>
        </w:rPr>
        <w:t>-</w:t>
      </w:r>
      <w:r w:rsidR="00387972" w:rsidRPr="00485555">
        <w:rPr>
          <w:lang w:val="fr-FR"/>
        </w:rPr>
        <w:t>quatorz</w:t>
      </w:r>
      <w:r w:rsidR="00C045E7" w:rsidRPr="00485555">
        <w:rPr>
          <w:lang w:val="fr-FR"/>
        </w:rPr>
        <w:t>ième session du CAJ</w:t>
      </w:r>
      <w:r w:rsidR="00387972" w:rsidRPr="00485555">
        <w:rPr>
          <w:lang w:val="fr-FR"/>
        </w:rPr>
        <w:t xml:space="preserve"> (document CAJ/74/10) sera mis à disposition sur le site</w:t>
      </w:r>
      <w:r w:rsidR="00CB71AC" w:rsidRPr="00485555">
        <w:rPr>
          <w:lang w:val="fr-FR"/>
        </w:rPr>
        <w:t> </w:t>
      </w:r>
      <w:r w:rsidR="00387972" w:rsidRPr="00485555">
        <w:rPr>
          <w:lang w:val="fr-FR"/>
        </w:rPr>
        <w:t>Web de l</w:t>
      </w:r>
      <w:r w:rsidR="00C045E7" w:rsidRPr="00485555">
        <w:rPr>
          <w:lang w:val="fr-FR"/>
        </w:rPr>
        <w:t>’</w:t>
      </w:r>
      <w:r w:rsidR="00387972" w:rsidRPr="00485555">
        <w:rPr>
          <w:lang w:val="fr-FR"/>
        </w:rPr>
        <w:t>UPOV le 2</w:t>
      </w:r>
      <w:r w:rsidR="00C045E7" w:rsidRPr="00485555">
        <w:rPr>
          <w:lang w:val="fr-FR"/>
        </w:rPr>
        <w:t>4 octobre 20</w:t>
      </w:r>
      <w:r w:rsidR="00387972" w:rsidRPr="00485555">
        <w:rPr>
          <w:lang w:val="fr-FR"/>
        </w:rPr>
        <w:t>17 et</w:t>
      </w:r>
    </w:p>
    <w:p w:rsidR="00387972" w:rsidRPr="00485555" w:rsidRDefault="00387972" w:rsidP="006F1E94">
      <w:pPr>
        <w:pStyle w:val="DecisionParagraphs"/>
        <w:rPr>
          <w:lang w:val="fr-FR"/>
        </w:rPr>
      </w:pPr>
    </w:p>
    <w:p w:rsidR="00387972" w:rsidRPr="00485555" w:rsidRDefault="006F1E94" w:rsidP="00387972">
      <w:pPr>
        <w:pStyle w:val="DecisionParagraphs"/>
        <w:rPr>
          <w:lang w:val="fr-FR"/>
        </w:rPr>
      </w:pPr>
      <w:r w:rsidRPr="00485555">
        <w:rPr>
          <w:lang w:val="fr-FR"/>
        </w:rPr>
        <w:tab/>
      </w:r>
      <w:r w:rsidR="00387972" w:rsidRPr="00485555">
        <w:rPr>
          <w:lang w:val="fr-FR"/>
        </w:rPr>
        <w:t>c)</w:t>
      </w:r>
      <w:r w:rsidR="00387972" w:rsidRPr="00485555">
        <w:rPr>
          <w:lang w:val="fr-FR"/>
        </w:rPr>
        <w:tab/>
        <w:t>à approuver le programme de travail de la soixante</w:t>
      </w:r>
      <w:r w:rsidR="00C045E7" w:rsidRPr="00485555">
        <w:rPr>
          <w:lang w:val="fr-FR"/>
        </w:rPr>
        <w:t>-</w:t>
      </w:r>
      <w:r w:rsidR="00387972" w:rsidRPr="00485555">
        <w:rPr>
          <w:lang w:val="fr-FR"/>
        </w:rPr>
        <w:t>quinz</w:t>
      </w:r>
      <w:r w:rsidR="00C045E7" w:rsidRPr="00485555">
        <w:rPr>
          <w:lang w:val="fr-FR"/>
        </w:rPr>
        <w:t>ième session du CAJ</w:t>
      </w:r>
      <w:r w:rsidR="00387972" w:rsidRPr="00485555">
        <w:rPr>
          <w:lang w:val="fr-FR"/>
        </w:rPr>
        <w:t>, présenté par le président</w:t>
      </w:r>
      <w:r w:rsidR="00C045E7" w:rsidRPr="00485555">
        <w:rPr>
          <w:lang w:val="fr-FR"/>
        </w:rPr>
        <w:t xml:space="preserve"> du CAJ</w:t>
      </w:r>
      <w:r w:rsidR="00387972" w:rsidRPr="00485555">
        <w:rPr>
          <w:lang w:val="fr-FR"/>
        </w:rPr>
        <w:t xml:space="preserve"> dans son rapport verbal à la cinquante</w:t>
      </w:r>
      <w:r w:rsidR="00C045E7" w:rsidRPr="00485555">
        <w:rPr>
          <w:lang w:val="fr-FR"/>
        </w:rPr>
        <w:t> et unième session</w:t>
      </w:r>
      <w:r w:rsidR="00387972" w:rsidRPr="00485555">
        <w:rPr>
          <w:lang w:val="fr-FR"/>
        </w:rPr>
        <w:t xml:space="preserve"> ordinaire du Conseil et dans le document CAJ/74/10 “Compte rendu des conclusions”.</w:t>
      </w:r>
    </w:p>
    <w:p w:rsidR="00387972" w:rsidRPr="00485555" w:rsidRDefault="00387972" w:rsidP="006F1E94">
      <w:pPr>
        <w:rPr>
          <w:lang w:val="fr-FR"/>
        </w:rPr>
      </w:pPr>
    </w:p>
    <w:p w:rsidR="00387972" w:rsidRPr="00485555" w:rsidRDefault="00387972" w:rsidP="006F1E94">
      <w:pPr>
        <w:rPr>
          <w:lang w:val="fr-FR"/>
        </w:rPr>
      </w:pPr>
    </w:p>
    <w:p w:rsidR="00387972" w:rsidRPr="00485555" w:rsidRDefault="00387972" w:rsidP="006F1E94">
      <w:pPr>
        <w:rPr>
          <w:lang w:val="fr-FR"/>
        </w:rPr>
      </w:pPr>
    </w:p>
    <w:p w:rsidR="00387972" w:rsidRPr="00485555" w:rsidRDefault="00387972" w:rsidP="00387972">
      <w:pPr>
        <w:jc w:val="right"/>
        <w:rPr>
          <w:lang w:val="fr-FR"/>
        </w:rPr>
      </w:pPr>
      <w:r w:rsidRPr="00485555">
        <w:rPr>
          <w:lang w:val="fr-FR"/>
        </w:rPr>
        <w:t>[Fin du document]</w:t>
      </w:r>
    </w:p>
    <w:p w:rsidR="00387972" w:rsidRPr="00485555" w:rsidRDefault="00387972" w:rsidP="009B440E">
      <w:pPr>
        <w:jc w:val="left"/>
        <w:rPr>
          <w:lang w:val="fr-FR"/>
        </w:rPr>
      </w:pPr>
    </w:p>
    <w:p w:rsidR="00050E16" w:rsidRPr="00485555" w:rsidRDefault="00050E16" w:rsidP="009B440E">
      <w:pPr>
        <w:jc w:val="left"/>
        <w:rPr>
          <w:lang w:val="fr-FR"/>
        </w:rPr>
      </w:pPr>
    </w:p>
    <w:sectPr w:rsidR="00050E16" w:rsidRPr="00485555" w:rsidSect="00C045E7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4B" w:rsidRDefault="003D4A4B" w:rsidP="006655D3">
      <w:r>
        <w:separator/>
      </w:r>
    </w:p>
    <w:p w:rsidR="003D4A4B" w:rsidRDefault="003D4A4B" w:rsidP="006655D3"/>
    <w:p w:rsidR="003D4A4B" w:rsidRDefault="003D4A4B" w:rsidP="006655D3"/>
  </w:endnote>
  <w:endnote w:type="continuationSeparator" w:id="0">
    <w:p w:rsidR="003D4A4B" w:rsidRDefault="003D4A4B" w:rsidP="006655D3">
      <w:r>
        <w:separator/>
      </w:r>
    </w:p>
    <w:p w:rsidR="003D4A4B" w:rsidRPr="00294751" w:rsidRDefault="003D4A4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D4A4B" w:rsidRPr="00294751" w:rsidRDefault="003D4A4B" w:rsidP="006655D3">
      <w:pPr>
        <w:rPr>
          <w:lang w:val="fr-FR"/>
        </w:rPr>
      </w:pPr>
    </w:p>
    <w:p w:rsidR="003D4A4B" w:rsidRPr="00294751" w:rsidRDefault="003D4A4B" w:rsidP="006655D3">
      <w:pPr>
        <w:rPr>
          <w:lang w:val="fr-FR"/>
        </w:rPr>
      </w:pPr>
    </w:p>
  </w:endnote>
  <w:endnote w:type="continuationNotice" w:id="1">
    <w:p w:rsidR="003D4A4B" w:rsidRPr="00294751" w:rsidRDefault="003D4A4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D4A4B" w:rsidRPr="00294751" w:rsidRDefault="003D4A4B" w:rsidP="006655D3">
      <w:pPr>
        <w:rPr>
          <w:lang w:val="fr-FR"/>
        </w:rPr>
      </w:pPr>
    </w:p>
    <w:p w:rsidR="003D4A4B" w:rsidRPr="00294751" w:rsidRDefault="003D4A4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4B" w:rsidRDefault="003D4A4B" w:rsidP="006655D3">
      <w:r>
        <w:separator/>
      </w:r>
    </w:p>
  </w:footnote>
  <w:footnote w:type="continuationSeparator" w:id="0">
    <w:p w:rsidR="003D4A4B" w:rsidRDefault="003D4A4B" w:rsidP="006655D3">
      <w:r>
        <w:separator/>
      </w:r>
    </w:p>
  </w:footnote>
  <w:footnote w:type="continuationNotice" w:id="1">
    <w:p w:rsidR="003D4A4B" w:rsidRPr="00AB530F" w:rsidRDefault="003D4A4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  <w:r w:rsidR="006F1E94">
      <w:rPr>
        <w:rStyle w:val="PageNumber"/>
        <w:lang w:val="en-US"/>
      </w:rPr>
      <w:t>9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3669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359"/>
    <w:multiLevelType w:val="hybridMultilevel"/>
    <w:tmpl w:val="FBDCCB36"/>
    <w:lvl w:ilvl="0" w:tplc="7188CA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3D4A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E79AF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2CF2"/>
    <w:rsid w:val="002B4298"/>
    <w:rsid w:val="002C256A"/>
    <w:rsid w:val="00305A7F"/>
    <w:rsid w:val="003152FE"/>
    <w:rsid w:val="00327436"/>
    <w:rsid w:val="00336695"/>
    <w:rsid w:val="00344BD6"/>
    <w:rsid w:val="0035528D"/>
    <w:rsid w:val="00361821"/>
    <w:rsid w:val="00361E9E"/>
    <w:rsid w:val="00383F57"/>
    <w:rsid w:val="00387972"/>
    <w:rsid w:val="0039633A"/>
    <w:rsid w:val="003C7FBE"/>
    <w:rsid w:val="003D227C"/>
    <w:rsid w:val="003D2B4D"/>
    <w:rsid w:val="003D4A4B"/>
    <w:rsid w:val="003F4CCB"/>
    <w:rsid w:val="003F5F2B"/>
    <w:rsid w:val="00444A88"/>
    <w:rsid w:val="00474DA4"/>
    <w:rsid w:val="00476B4D"/>
    <w:rsid w:val="004805FA"/>
    <w:rsid w:val="00485555"/>
    <w:rsid w:val="004935D2"/>
    <w:rsid w:val="004B1215"/>
    <w:rsid w:val="004D047D"/>
    <w:rsid w:val="004D57D0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6699"/>
    <w:rsid w:val="005C105E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2352"/>
    <w:rsid w:val="00695C56"/>
    <w:rsid w:val="006A5CDE"/>
    <w:rsid w:val="006A644A"/>
    <w:rsid w:val="006B17D2"/>
    <w:rsid w:val="006B2D0E"/>
    <w:rsid w:val="006C224E"/>
    <w:rsid w:val="006D780A"/>
    <w:rsid w:val="006F1E94"/>
    <w:rsid w:val="0071271E"/>
    <w:rsid w:val="00732DEC"/>
    <w:rsid w:val="00735BD5"/>
    <w:rsid w:val="007451EC"/>
    <w:rsid w:val="00751613"/>
    <w:rsid w:val="007556F6"/>
    <w:rsid w:val="00760EEF"/>
    <w:rsid w:val="007745BC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247"/>
    <w:rsid w:val="00A3365A"/>
    <w:rsid w:val="00A42AC3"/>
    <w:rsid w:val="00A430CF"/>
    <w:rsid w:val="00A54309"/>
    <w:rsid w:val="00A74D86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7123"/>
    <w:rsid w:val="00BC127D"/>
    <w:rsid w:val="00BC1FE6"/>
    <w:rsid w:val="00C045E7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71AC"/>
    <w:rsid w:val="00CC11B0"/>
    <w:rsid w:val="00CC2841"/>
    <w:rsid w:val="00CF1330"/>
    <w:rsid w:val="00CF3A94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2E3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59FB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6F1E94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6F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6F1E94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6F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LC/sc</cp:keywords>
  <cp:lastModifiedBy/>
  <cp:revision>1</cp:revision>
  <dcterms:created xsi:type="dcterms:W3CDTF">2017-10-12T14:55:00Z</dcterms:created>
  <dcterms:modified xsi:type="dcterms:W3CDTF">2017-10-18T18:59:00Z</dcterms:modified>
</cp:coreProperties>
</file>