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711EE" w:rsidRPr="003711EE" w:rsidTr="009F5A99">
        <w:tc>
          <w:tcPr>
            <w:tcW w:w="6522" w:type="dxa"/>
          </w:tcPr>
          <w:p w:rsidR="003711EE" w:rsidRPr="003711EE" w:rsidRDefault="003711EE" w:rsidP="0085128E">
            <w:bookmarkStart w:id="0" w:name="TitleOfDoc"/>
            <w:bookmarkEnd w:id="0"/>
            <w:r w:rsidRPr="003711EE">
              <w:rPr>
                <w:noProof/>
                <w:lang w:val="en-US"/>
              </w:rPr>
              <w:drawing>
                <wp:inline distT="0" distB="0" distL="0" distR="0" wp14:anchorId="480887E4" wp14:editId="0A520B5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711EE" w:rsidRPr="003711EE" w:rsidRDefault="003711EE" w:rsidP="0085128E">
            <w:pPr>
              <w:pStyle w:val="Lettrine"/>
              <w:spacing w:line="240" w:lineRule="auto"/>
            </w:pPr>
            <w:r w:rsidRPr="003711EE">
              <w:t>F</w:t>
            </w:r>
          </w:p>
        </w:tc>
      </w:tr>
      <w:tr w:rsidR="003711EE" w:rsidRPr="003711EE" w:rsidTr="009F5A99">
        <w:trPr>
          <w:trHeight w:val="219"/>
        </w:trPr>
        <w:tc>
          <w:tcPr>
            <w:tcW w:w="6522" w:type="dxa"/>
          </w:tcPr>
          <w:p w:rsidR="003711EE" w:rsidRPr="003711EE" w:rsidRDefault="003711EE" w:rsidP="0085128E">
            <w:pPr>
              <w:pStyle w:val="upove"/>
            </w:pPr>
            <w:r w:rsidRPr="003711EE">
              <w:t>Union internationale pour la protection des obtentions végétales</w:t>
            </w:r>
          </w:p>
        </w:tc>
        <w:tc>
          <w:tcPr>
            <w:tcW w:w="3117" w:type="dxa"/>
          </w:tcPr>
          <w:p w:rsidR="003711EE" w:rsidRPr="003711EE" w:rsidRDefault="003711EE" w:rsidP="0085128E"/>
        </w:tc>
      </w:tr>
    </w:tbl>
    <w:p w:rsidR="003711EE" w:rsidRPr="003711EE" w:rsidRDefault="003711EE" w:rsidP="0085128E"/>
    <w:p w:rsidR="003711EE" w:rsidRPr="003711EE" w:rsidRDefault="003711EE" w:rsidP="0085128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711EE" w:rsidRPr="003711EE" w:rsidTr="009F5A99">
        <w:tc>
          <w:tcPr>
            <w:tcW w:w="6512" w:type="dxa"/>
          </w:tcPr>
          <w:p w:rsidR="003711EE" w:rsidRPr="00F03FEF" w:rsidRDefault="003711EE" w:rsidP="0085128E">
            <w:pPr>
              <w:pStyle w:val="Sessiontc"/>
              <w:spacing w:line="240" w:lineRule="auto"/>
            </w:pPr>
            <w:r w:rsidRPr="00F03FEF">
              <w:t>Conseil</w:t>
            </w:r>
          </w:p>
          <w:p w:rsidR="003711EE" w:rsidRPr="00F03FEF" w:rsidRDefault="003711EE" w:rsidP="00AE7CE9">
            <w:pPr>
              <w:pStyle w:val="Sessiontcplacedate"/>
              <w:rPr>
                <w:sz w:val="22"/>
              </w:rPr>
            </w:pPr>
            <w:r w:rsidRPr="00F03FEF">
              <w:t>Cinquante</w:t>
            </w:r>
            <w:r w:rsidR="008D0CFD" w:rsidRPr="00F03FEF">
              <w:t> et unième session</w:t>
            </w:r>
            <w:r w:rsidRPr="00F03FEF">
              <w:t xml:space="preserve"> ordinaire</w:t>
            </w:r>
            <w:r w:rsidRPr="00F03FEF">
              <w:br/>
              <w:t>Genève, 2</w:t>
            </w:r>
            <w:r w:rsidR="008D0CFD" w:rsidRPr="00F03FEF">
              <w:t>6 octobre 20</w:t>
            </w:r>
            <w:r w:rsidRPr="00F03FEF">
              <w:t>17</w:t>
            </w:r>
          </w:p>
        </w:tc>
        <w:tc>
          <w:tcPr>
            <w:tcW w:w="3127" w:type="dxa"/>
          </w:tcPr>
          <w:p w:rsidR="003711EE" w:rsidRPr="00F03FEF" w:rsidRDefault="003711EE" w:rsidP="0085128E">
            <w:pPr>
              <w:pStyle w:val="Doccode"/>
              <w:rPr>
                <w:lang w:val="fr-FR"/>
              </w:rPr>
            </w:pPr>
            <w:r w:rsidRPr="00F03FEF">
              <w:rPr>
                <w:lang w:val="fr-FR"/>
              </w:rPr>
              <w:t>C/51/4</w:t>
            </w:r>
          </w:p>
          <w:p w:rsidR="003711EE" w:rsidRPr="00F03FEF" w:rsidRDefault="003711EE" w:rsidP="00AE7CE9">
            <w:pPr>
              <w:pStyle w:val="Docoriginal"/>
            </w:pPr>
            <w:r w:rsidRPr="00F03FEF">
              <w:t>Original</w:t>
            </w:r>
            <w:r w:rsidR="008D0CFD" w:rsidRPr="00F03FEF">
              <w:t> :</w:t>
            </w:r>
            <w:r w:rsidRPr="00F03FEF">
              <w:rPr>
                <w:b w:val="0"/>
                <w:spacing w:val="0"/>
              </w:rPr>
              <w:t xml:space="preserve"> anglais</w:t>
            </w:r>
          </w:p>
          <w:p w:rsidR="003711EE" w:rsidRPr="003711EE" w:rsidRDefault="003711EE" w:rsidP="005871F1">
            <w:pPr>
              <w:pStyle w:val="Docoriginal"/>
            </w:pPr>
            <w:r w:rsidRPr="00F03FEF">
              <w:t>Date</w:t>
            </w:r>
            <w:r w:rsidR="008D0CFD" w:rsidRPr="00F03FEF">
              <w:t> :</w:t>
            </w:r>
            <w:r w:rsidRPr="00F03FEF">
              <w:rPr>
                <w:b w:val="0"/>
              </w:rPr>
              <w:t xml:space="preserve"> </w:t>
            </w:r>
            <w:r w:rsidR="00F03FEF" w:rsidRPr="00F03FEF">
              <w:rPr>
                <w:b w:val="0"/>
              </w:rPr>
              <w:t>15</w:t>
            </w:r>
            <w:r w:rsidR="008D0CFD" w:rsidRPr="00F03FEF">
              <w:rPr>
                <w:b w:val="0"/>
              </w:rPr>
              <w:t> </w:t>
            </w:r>
            <w:r w:rsidR="005871F1" w:rsidRPr="00F03FEF">
              <w:rPr>
                <w:b w:val="0"/>
              </w:rPr>
              <w:t>août</w:t>
            </w:r>
            <w:r w:rsidR="008D0CFD" w:rsidRPr="00F03FEF">
              <w:rPr>
                <w:b w:val="0"/>
              </w:rPr>
              <w:t> 20</w:t>
            </w:r>
            <w:r w:rsidRPr="00F03FEF">
              <w:rPr>
                <w:b w:val="0"/>
              </w:rPr>
              <w:t>17</w:t>
            </w:r>
          </w:p>
        </w:tc>
      </w:tr>
    </w:tbl>
    <w:p w:rsidR="00720382" w:rsidRPr="0085128E" w:rsidRDefault="00E11EEF" w:rsidP="0085128E">
      <w:pPr>
        <w:pStyle w:val="Titleofdoc0"/>
      </w:pPr>
      <w:r w:rsidRPr="0085128E">
        <w:t>Projet de programme et budget pour l</w:t>
      </w:r>
      <w:r w:rsidR="008D0CFD" w:rsidRPr="0085128E">
        <w:t>’</w:t>
      </w:r>
      <w:r w:rsidRPr="0085128E">
        <w:t xml:space="preserve">exercice </w:t>
      </w:r>
      <w:r w:rsidR="008D0CFD" w:rsidRPr="0085128E">
        <w:t>biennal 2018-</w:t>
      </w:r>
      <w:r w:rsidRPr="0085128E">
        <w:t>2019</w:t>
      </w:r>
    </w:p>
    <w:p w:rsidR="00720382" w:rsidRPr="0085128E" w:rsidRDefault="00E11EEF" w:rsidP="0085128E">
      <w:pPr>
        <w:pStyle w:val="preparedby1"/>
        <w:jc w:val="left"/>
      </w:pPr>
      <w:bookmarkStart w:id="1" w:name="Prepared"/>
      <w:bookmarkEnd w:id="1"/>
      <w:r w:rsidRPr="0085128E">
        <w:t>Document établi par le Bureau de l</w:t>
      </w:r>
      <w:r w:rsidR="008D0CFD" w:rsidRPr="0085128E">
        <w:t>’</w:t>
      </w:r>
      <w:r w:rsidRPr="0085128E">
        <w:t>Union</w:t>
      </w:r>
    </w:p>
    <w:p w:rsidR="00720382" w:rsidRPr="0085128E" w:rsidRDefault="00E11EEF" w:rsidP="0085128E">
      <w:pPr>
        <w:pStyle w:val="Disclaimer"/>
        <w:rPr>
          <w:lang w:val="fr-FR"/>
        </w:rPr>
      </w:pPr>
      <w:r w:rsidRPr="0085128E">
        <w:rPr>
          <w:lang w:val="fr-FR"/>
        </w:rPr>
        <w:t>Avertissement</w:t>
      </w:r>
      <w:r w:rsidR="008D0CFD" w:rsidRPr="0085128E">
        <w:rPr>
          <w:lang w:val="fr-FR"/>
        </w:rPr>
        <w:t> :</w:t>
      </w:r>
      <w:r w:rsidRPr="0085128E">
        <w:rPr>
          <w:lang w:val="fr-FR"/>
        </w:rPr>
        <w:t xml:space="preserve"> le présent document ne représente pas les principes ou les orientations de l</w:t>
      </w:r>
      <w:r w:rsidR="008D0CFD" w:rsidRPr="0085128E">
        <w:rPr>
          <w:lang w:val="fr-FR"/>
        </w:rPr>
        <w:t>’</w:t>
      </w:r>
      <w:r w:rsidRPr="0085128E">
        <w:rPr>
          <w:lang w:val="fr-FR"/>
        </w:rPr>
        <w:t>UPOV</w:t>
      </w:r>
    </w:p>
    <w:p w:rsidR="00720382" w:rsidRPr="0085128E" w:rsidRDefault="00604822" w:rsidP="0085128E">
      <w:r w:rsidRPr="0085128E">
        <w:fldChar w:fldCharType="begin"/>
      </w:r>
      <w:r w:rsidRPr="0085128E">
        <w:instrText xml:space="preserve"> AUTONUM  </w:instrText>
      </w:r>
      <w:r w:rsidRPr="0085128E">
        <w:fldChar w:fldCharType="end"/>
      </w:r>
      <w:r w:rsidRPr="0085128E">
        <w:tab/>
      </w:r>
      <w:r w:rsidR="00E11EEF" w:rsidRPr="0085128E">
        <w:t>Conformément à</w:t>
      </w:r>
      <w:r w:rsidR="00C243A8" w:rsidRPr="0085128E">
        <w:t xml:space="preserve"> la </w:t>
      </w:r>
      <w:r w:rsidR="008D0CFD" w:rsidRPr="0085128E">
        <w:t>Convention UPOV</w:t>
      </w:r>
      <w:r w:rsidR="00C243A8" w:rsidRPr="0085128E">
        <w:t xml:space="preserve"> (</w:t>
      </w:r>
      <w:r w:rsidR="008D0CFD" w:rsidRPr="0085128E">
        <w:t>article 2</w:t>
      </w:r>
      <w:r w:rsidR="00C243A8" w:rsidRPr="0085128E">
        <w:t>3.</w:t>
      </w:r>
      <w:r w:rsidR="00E11EEF" w:rsidRPr="0085128E">
        <w:t xml:space="preserve">2) de la Convention </w:t>
      </w:r>
      <w:r w:rsidR="008D0CFD" w:rsidRPr="0085128E">
        <w:t>de 1961</w:t>
      </w:r>
      <w:r w:rsidR="00E11EEF" w:rsidRPr="0085128E">
        <w:t xml:space="preserve"> et de l</w:t>
      </w:r>
      <w:r w:rsidR="008D0CFD" w:rsidRPr="0085128E">
        <w:t>’</w:t>
      </w:r>
      <w:r w:rsidR="00E11EEF" w:rsidRPr="0085128E">
        <w:t xml:space="preserve">Acte </w:t>
      </w:r>
      <w:r w:rsidR="008D0CFD" w:rsidRPr="0085128E">
        <w:t>de 1978</w:t>
      </w:r>
      <w:r w:rsidR="00E11EEF" w:rsidRPr="0085128E">
        <w:t xml:space="preserve">, et </w:t>
      </w:r>
      <w:r w:rsidR="008D0CFD" w:rsidRPr="0085128E">
        <w:t>article 2</w:t>
      </w:r>
      <w:r w:rsidR="00E11EEF" w:rsidRPr="0085128E">
        <w:t>7</w:t>
      </w:r>
      <w:r w:rsidR="009F5A99" w:rsidRPr="0085128E">
        <w:t>.</w:t>
      </w:r>
      <w:r w:rsidR="00E11EEF" w:rsidRPr="0085128E">
        <w:t>2) de l</w:t>
      </w:r>
      <w:r w:rsidR="008D0CFD" w:rsidRPr="0085128E">
        <w:t>’</w:t>
      </w:r>
      <w:r w:rsidR="00E11EEF" w:rsidRPr="0085128E">
        <w:t xml:space="preserve">Acte </w:t>
      </w:r>
      <w:r w:rsidR="008D0CFD" w:rsidRPr="0085128E">
        <w:t>de 1991</w:t>
      </w:r>
      <w:r w:rsidR="00E11EEF" w:rsidRPr="0085128E">
        <w:t>) et au Règlement financier et règlement d</w:t>
      </w:r>
      <w:r w:rsidR="008D0CFD" w:rsidRPr="0085128E">
        <w:t>’</w:t>
      </w:r>
      <w:r w:rsidR="00E11EEF" w:rsidRPr="0085128E">
        <w:t>exécution du Règlement financier de l</w:t>
      </w:r>
      <w:r w:rsidR="008D0CFD" w:rsidRPr="0085128E">
        <w:t>’</w:t>
      </w:r>
      <w:r w:rsidR="00E11EEF" w:rsidRPr="0085128E">
        <w:t>UPOV (document UPOV/INF/4/4), le projet de programme et budget pour l</w:t>
      </w:r>
      <w:r w:rsidR="008D0CFD" w:rsidRPr="0085128E">
        <w:t>’</w:t>
      </w:r>
      <w:r w:rsidR="00E11EEF" w:rsidRPr="0085128E">
        <w:t xml:space="preserve">exercice </w:t>
      </w:r>
      <w:r w:rsidR="008D0CFD" w:rsidRPr="0085128E">
        <w:t>biennal 2018-</w:t>
      </w:r>
      <w:r w:rsidR="00E11EEF" w:rsidRPr="0085128E">
        <w:t>2019 est présenté ci</w:t>
      </w:r>
      <w:r w:rsidR="008D0CFD" w:rsidRPr="0085128E">
        <w:t>-</w:t>
      </w:r>
      <w:r w:rsidR="00E11EEF" w:rsidRPr="0085128E">
        <w:t>après au Conseil pour approbation.</w:t>
      </w:r>
    </w:p>
    <w:p w:rsidR="00720382" w:rsidRPr="0085128E" w:rsidRDefault="00720382" w:rsidP="0085128E"/>
    <w:p w:rsidR="00720382" w:rsidRPr="0085128E" w:rsidRDefault="00604822" w:rsidP="0085128E">
      <w:r w:rsidRPr="0085128E">
        <w:fldChar w:fldCharType="begin"/>
      </w:r>
      <w:r w:rsidRPr="0085128E">
        <w:instrText xml:space="preserve"> AUTONUM  </w:instrText>
      </w:r>
      <w:r w:rsidRPr="0085128E">
        <w:fldChar w:fldCharType="end"/>
      </w:r>
      <w:r w:rsidRPr="0085128E">
        <w:tab/>
      </w:r>
      <w:r w:rsidR="00E11EEF" w:rsidRPr="0085128E">
        <w:t>Le projet de programme et budget pour l</w:t>
      </w:r>
      <w:r w:rsidR="008D0CFD" w:rsidRPr="0085128E">
        <w:t>’</w:t>
      </w:r>
      <w:r w:rsidR="00E11EEF" w:rsidRPr="0085128E">
        <w:t xml:space="preserve">exercice </w:t>
      </w:r>
      <w:r w:rsidR="008D0CFD" w:rsidRPr="0085128E">
        <w:t>biennal 2018-</w:t>
      </w:r>
      <w:r w:rsidR="00E11EEF" w:rsidRPr="0085128E">
        <w:t>2019, qui figure dans l</w:t>
      </w:r>
      <w:r w:rsidR="008D0CFD" w:rsidRPr="0085128E">
        <w:t>’</w:t>
      </w:r>
      <w:r w:rsidR="00E11EEF" w:rsidRPr="0085128E">
        <w:t>annexe du présent document, est ainsi structuré</w:t>
      </w:r>
      <w:r w:rsidR="008D0CFD" w:rsidRPr="0085128E">
        <w:t> :</w:t>
      </w:r>
    </w:p>
    <w:p w:rsidR="00720382" w:rsidRDefault="00720382" w:rsidP="0085128E"/>
    <w:p w:rsidR="00625EA5" w:rsidRDefault="0075613F">
      <w:pPr>
        <w:pStyle w:val="TOC1"/>
        <w:rPr>
          <w:rFonts w:asciiTheme="minorHAnsi" w:eastAsiaTheme="minorEastAsia" w:hAnsiTheme="minorHAnsi" w:cstheme="minorBidi"/>
          <w:caps w:val="0"/>
          <w:noProof/>
          <w:sz w:val="22"/>
          <w:szCs w:val="22"/>
        </w:rPr>
      </w:pPr>
      <w:r>
        <w:fldChar w:fldCharType="begin"/>
      </w:r>
      <w:r>
        <w:instrText xml:space="preserve"> TOC \o "1-1" \n \p " " \u </w:instrText>
      </w:r>
      <w:r>
        <w:fldChar w:fldCharType="separate"/>
      </w:r>
      <w:r w:rsidR="00625EA5">
        <w:rPr>
          <w:noProof/>
        </w:rPr>
        <w:t>1.</w:t>
      </w:r>
      <w:r w:rsidR="00625EA5">
        <w:rPr>
          <w:rFonts w:asciiTheme="minorHAnsi" w:eastAsiaTheme="minorEastAsia" w:hAnsiTheme="minorHAnsi" w:cstheme="minorBidi"/>
          <w:caps w:val="0"/>
          <w:noProof/>
          <w:sz w:val="22"/>
          <w:szCs w:val="22"/>
        </w:rPr>
        <w:tab/>
      </w:r>
      <w:r w:rsidR="00625EA5">
        <w:rPr>
          <w:noProof/>
        </w:rPr>
        <w:t>INTRODUCTION</w:t>
      </w:r>
    </w:p>
    <w:p w:rsidR="00625EA5" w:rsidRDefault="00625EA5">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OBJECTIFS ET RÉSULTATS ESCOMPTÉS PAR SOUS-PROGRAMME</w:t>
      </w:r>
    </w:p>
    <w:p w:rsidR="00625EA5" w:rsidRDefault="00625EA5">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BUDGET PROPOSÉ</w:t>
      </w:r>
    </w:p>
    <w:p w:rsidR="00625EA5" w:rsidRDefault="00625EA5">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INDICATEURS FINANCIERS POUR LA PÉRIODE 2012-2021</w:t>
      </w:r>
    </w:p>
    <w:p w:rsidR="0075613F" w:rsidRPr="0085128E" w:rsidRDefault="0075613F" w:rsidP="003275C3">
      <w:pPr>
        <w:ind w:left="567"/>
      </w:pPr>
      <w:r>
        <w:rPr>
          <w:caps/>
          <w:lang w:val="en-US"/>
        </w:rPr>
        <w:fldChar w:fldCharType="end"/>
      </w:r>
    </w:p>
    <w:p w:rsidR="00720382" w:rsidRPr="0085128E" w:rsidRDefault="00E11EEF" w:rsidP="0085128E">
      <w:pPr>
        <w:ind w:left="2127" w:hanging="1560"/>
        <w:rPr>
          <w:rFonts w:cs="Arial"/>
        </w:rPr>
      </w:pPr>
      <w:r w:rsidRPr="0085128E">
        <w:rPr>
          <w:rFonts w:cs="Arial"/>
        </w:rPr>
        <w:t>APPENDICE I</w:t>
      </w:r>
      <w:r w:rsidR="008D0CFD" w:rsidRPr="0085128E">
        <w:rPr>
          <w:rFonts w:cs="Arial"/>
        </w:rPr>
        <w:t> :</w:t>
      </w:r>
      <w:r w:rsidRPr="0085128E">
        <w:rPr>
          <w:rFonts w:cs="Arial"/>
        </w:rPr>
        <w:t xml:space="preserve"> </w:t>
      </w:r>
      <w:r w:rsidRPr="0085128E">
        <w:rPr>
          <w:rFonts w:cs="Arial"/>
        </w:rPr>
        <w:tab/>
        <w:t>SITUATION EN CE QUI CONCERNE L</w:t>
      </w:r>
      <w:r w:rsidR="008D0CFD" w:rsidRPr="0085128E">
        <w:rPr>
          <w:rFonts w:cs="Arial"/>
        </w:rPr>
        <w:t>’</w:t>
      </w:r>
      <w:r w:rsidRPr="0085128E">
        <w:rPr>
          <w:rFonts w:cs="Arial"/>
        </w:rPr>
        <w:t>UNION INTERNATIONALE POUR LA PROTECTION DES OBTENTIONS VÉGÉTALES (UPOV)</w:t>
      </w:r>
    </w:p>
    <w:p w:rsidR="00720382" w:rsidRPr="0085128E" w:rsidRDefault="00720382" w:rsidP="0085128E">
      <w:pPr>
        <w:ind w:left="2127" w:hanging="1560"/>
        <w:rPr>
          <w:rFonts w:cs="Arial"/>
        </w:rPr>
      </w:pPr>
    </w:p>
    <w:p w:rsidR="00720382" w:rsidRPr="0085128E" w:rsidRDefault="00E11EEF" w:rsidP="0085128E">
      <w:pPr>
        <w:ind w:left="2127" w:hanging="1560"/>
        <w:rPr>
          <w:rFonts w:cs="Arial"/>
        </w:rPr>
      </w:pPr>
      <w:r w:rsidRPr="0085128E">
        <w:rPr>
          <w:rFonts w:cs="Arial"/>
        </w:rPr>
        <w:t>APPENDICE II</w:t>
      </w:r>
      <w:r w:rsidR="008D0CFD" w:rsidRPr="0085128E">
        <w:rPr>
          <w:rFonts w:cs="Arial"/>
        </w:rPr>
        <w:t> :</w:t>
      </w:r>
      <w:r w:rsidRPr="0085128E">
        <w:rPr>
          <w:rFonts w:cs="Arial"/>
        </w:rPr>
        <w:t xml:space="preserve"> </w:t>
      </w:r>
      <w:r w:rsidRPr="0085128E">
        <w:rPr>
          <w:rFonts w:cs="Arial"/>
        </w:rPr>
        <w:tab/>
        <w:t>MÉTHODOLOGIE UTILISÉE POUR ÉTABLIR LE BUDGET</w:t>
      </w:r>
    </w:p>
    <w:p w:rsidR="00720382" w:rsidRPr="0085128E" w:rsidRDefault="00720382" w:rsidP="0085128E">
      <w:pPr>
        <w:ind w:left="2127" w:hanging="1560"/>
        <w:rPr>
          <w:rFonts w:cs="Arial"/>
        </w:rPr>
      </w:pPr>
    </w:p>
    <w:p w:rsidR="00720382" w:rsidRPr="0085128E" w:rsidRDefault="00E11EEF" w:rsidP="0085128E">
      <w:pPr>
        <w:ind w:left="2127" w:hanging="1560"/>
        <w:rPr>
          <w:rFonts w:cs="Arial"/>
        </w:rPr>
      </w:pPr>
      <w:r w:rsidRPr="0085128E">
        <w:rPr>
          <w:rFonts w:cs="Arial"/>
        </w:rPr>
        <w:t>APPENDICE III</w:t>
      </w:r>
      <w:r w:rsidR="008D0CFD" w:rsidRPr="0085128E">
        <w:rPr>
          <w:rFonts w:cs="Arial"/>
        </w:rPr>
        <w:t> :</w:t>
      </w:r>
      <w:r w:rsidRPr="0085128E">
        <w:rPr>
          <w:rFonts w:cs="Arial"/>
        </w:rPr>
        <w:t xml:space="preserve"> </w:t>
      </w:r>
      <w:r w:rsidRPr="0085128E">
        <w:rPr>
          <w:rFonts w:cs="Arial"/>
        </w:rPr>
        <w:tab/>
        <w:t>CONTRIBUTIONS DES MEMBRES</w:t>
      </w:r>
    </w:p>
    <w:p w:rsidR="00720382" w:rsidRPr="0085128E" w:rsidRDefault="00720382" w:rsidP="0085128E">
      <w:pPr>
        <w:ind w:left="2127" w:hanging="1560"/>
        <w:rPr>
          <w:rFonts w:cs="Arial"/>
        </w:rPr>
      </w:pPr>
    </w:p>
    <w:p w:rsidR="00720382" w:rsidRPr="0085128E" w:rsidRDefault="00E11EEF" w:rsidP="0085128E">
      <w:pPr>
        <w:ind w:left="2127" w:hanging="1560"/>
        <w:rPr>
          <w:rFonts w:cs="Arial"/>
        </w:rPr>
      </w:pPr>
      <w:r w:rsidRPr="0085128E">
        <w:rPr>
          <w:rFonts w:cs="Arial"/>
        </w:rPr>
        <w:t>APPENDICE IV</w:t>
      </w:r>
      <w:r w:rsidR="008D0CFD" w:rsidRPr="0085128E">
        <w:rPr>
          <w:rFonts w:cs="Arial"/>
        </w:rPr>
        <w:t> :</w:t>
      </w:r>
      <w:r w:rsidRPr="0085128E">
        <w:rPr>
          <w:rFonts w:cs="Arial"/>
        </w:rPr>
        <w:t xml:space="preserve"> </w:t>
      </w:r>
      <w:r w:rsidRPr="0085128E">
        <w:rPr>
          <w:rFonts w:cs="Arial"/>
        </w:rPr>
        <w:tab/>
        <w:t>DÉFINITIONS DES RUBRIQUES BUDGÉTAIRES</w:t>
      </w:r>
    </w:p>
    <w:p w:rsidR="00720382" w:rsidRPr="0085128E" w:rsidRDefault="00720382" w:rsidP="0085128E"/>
    <w:p w:rsidR="00720382" w:rsidRPr="0085128E" w:rsidRDefault="00604822" w:rsidP="0085128E">
      <w:pPr>
        <w:pStyle w:val="DecisionParagraphs"/>
      </w:pPr>
      <w:r w:rsidRPr="0085128E">
        <w:fldChar w:fldCharType="begin"/>
      </w:r>
      <w:r w:rsidRPr="0085128E">
        <w:instrText xml:space="preserve"> AUTONUM  </w:instrText>
      </w:r>
      <w:r w:rsidRPr="0085128E">
        <w:fldChar w:fldCharType="end"/>
      </w:r>
      <w:r w:rsidRPr="0085128E">
        <w:tab/>
      </w:r>
      <w:r w:rsidR="00E11EEF" w:rsidRPr="0085128E">
        <w:t xml:space="preserve">Le </w:t>
      </w:r>
      <w:r w:rsidR="00C243A8" w:rsidRPr="0085128E">
        <w:t>Conseil est invité à approuver</w:t>
      </w:r>
      <w:r w:rsidR="00AE7CE9">
        <w:t> :</w:t>
      </w:r>
    </w:p>
    <w:p w:rsidR="00720382" w:rsidRPr="0085128E" w:rsidRDefault="00720382" w:rsidP="0085128E">
      <w:pPr>
        <w:pStyle w:val="DecisionParagraphs"/>
      </w:pPr>
    </w:p>
    <w:p w:rsidR="00720382" w:rsidRPr="0085128E" w:rsidRDefault="00604822" w:rsidP="0085128E">
      <w:pPr>
        <w:pStyle w:val="DecisionParagraphs"/>
      </w:pPr>
      <w:r w:rsidRPr="0085128E">
        <w:tab/>
      </w:r>
      <w:r w:rsidR="00E11EEF" w:rsidRPr="0085128E">
        <w:t>a)</w:t>
      </w:r>
      <w:r w:rsidR="00E11EEF" w:rsidRPr="0085128E">
        <w:tab/>
        <w:t>les propositions contenues dans le présent projet de programme et budget pour l</w:t>
      </w:r>
      <w:r w:rsidR="008D0CFD" w:rsidRPr="0085128E">
        <w:t>’</w:t>
      </w:r>
      <w:r w:rsidR="00E11EEF" w:rsidRPr="0085128E">
        <w:t xml:space="preserve">exercice </w:t>
      </w:r>
      <w:r w:rsidR="008D0CFD" w:rsidRPr="0085128E">
        <w:t>biennal 2018-</w:t>
      </w:r>
      <w:r w:rsidR="00E11EEF" w:rsidRPr="0085128E">
        <w:t xml:space="preserve">2019, figurant en annexe au présent document, </w:t>
      </w:r>
      <w:r w:rsidR="008D0CFD" w:rsidRPr="0085128E">
        <w:t>y compris</w:t>
      </w:r>
      <w:r w:rsidR="00E11EEF" w:rsidRPr="0085128E">
        <w:t xml:space="preserve"> le montant des contr</w:t>
      </w:r>
      <w:r w:rsidR="00C243A8" w:rsidRPr="0085128E">
        <w:t>ibutions des membres de l</w:t>
      </w:r>
      <w:r w:rsidR="008D0CFD" w:rsidRPr="0085128E">
        <w:t>’</w:t>
      </w:r>
      <w:r w:rsidR="00AE7CE9">
        <w:t>Union;</w:t>
      </w:r>
    </w:p>
    <w:p w:rsidR="00720382" w:rsidRPr="0085128E" w:rsidRDefault="00720382" w:rsidP="0085128E">
      <w:pPr>
        <w:pStyle w:val="DecisionParagraphs"/>
      </w:pPr>
    </w:p>
    <w:p w:rsidR="00720382" w:rsidRPr="0085128E" w:rsidRDefault="00604822" w:rsidP="0085128E">
      <w:pPr>
        <w:pStyle w:val="DecisionParagraphs"/>
      </w:pPr>
      <w:r w:rsidRPr="0085128E">
        <w:tab/>
      </w:r>
      <w:r w:rsidR="00E11EEF" w:rsidRPr="0085128E">
        <w:t>b)</w:t>
      </w:r>
      <w:r w:rsidR="0085128E">
        <w:tab/>
      </w:r>
      <w:r w:rsidR="00E11EEF" w:rsidRPr="0085128E">
        <w:t>le plafond proposé pour les dépense</w:t>
      </w:r>
      <w:r w:rsidR="00C243A8" w:rsidRPr="0085128E">
        <w:t>s inscrites au budget ordinaire</w:t>
      </w:r>
      <w:r w:rsidR="00AE7CE9">
        <w:t>;</w:t>
      </w:r>
      <w:r w:rsidR="00E11EEF" w:rsidRPr="0085128E">
        <w:t xml:space="preserve"> et</w:t>
      </w:r>
    </w:p>
    <w:p w:rsidR="00720382" w:rsidRPr="0085128E" w:rsidRDefault="00720382" w:rsidP="0085128E">
      <w:pPr>
        <w:pStyle w:val="DecisionParagraphs"/>
      </w:pPr>
    </w:p>
    <w:p w:rsidR="00720382" w:rsidRPr="0085128E" w:rsidRDefault="00604822" w:rsidP="0085128E">
      <w:pPr>
        <w:pStyle w:val="DecisionParagraphs"/>
      </w:pPr>
      <w:r w:rsidRPr="0085128E">
        <w:tab/>
      </w:r>
      <w:r w:rsidR="00E11EEF" w:rsidRPr="0085128E">
        <w:t>c)</w:t>
      </w:r>
      <w:r w:rsidR="0085128E">
        <w:tab/>
      </w:r>
      <w:r w:rsidR="00E11EEF" w:rsidRPr="0085128E">
        <w:t>le nombre total de postes pour le Bureau de l</w:t>
      </w:r>
      <w:r w:rsidR="008D0CFD" w:rsidRPr="0085128E">
        <w:t>’</w:t>
      </w:r>
      <w:r w:rsidR="00E11EEF" w:rsidRPr="0085128E">
        <w:t>Union.</w:t>
      </w:r>
    </w:p>
    <w:p w:rsidR="00720382" w:rsidRPr="0085128E" w:rsidRDefault="00720382" w:rsidP="0085128E"/>
    <w:p w:rsidR="00720382" w:rsidRPr="0085128E" w:rsidRDefault="00720382" w:rsidP="0085128E"/>
    <w:p w:rsidR="00720382" w:rsidRPr="0085128E" w:rsidRDefault="00720382" w:rsidP="0085128E"/>
    <w:p w:rsidR="00720382" w:rsidRPr="0085128E" w:rsidRDefault="00E11EEF" w:rsidP="0085128E">
      <w:pPr>
        <w:jc w:val="right"/>
      </w:pPr>
      <w:r w:rsidRPr="0085128E">
        <w:t>[L</w:t>
      </w:r>
      <w:r w:rsidR="008D0CFD" w:rsidRPr="0085128E">
        <w:t>’</w:t>
      </w:r>
      <w:r w:rsidRPr="0085128E">
        <w:t>annexe suit]</w:t>
      </w:r>
    </w:p>
    <w:p w:rsidR="00720382" w:rsidRPr="0085128E" w:rsidRDefault="00720382" w:rsidP="0085128E">
      <w:pPr>
        <w:jc w:val="left"/>
      </w:pPr>
    </w:p>
    <w:p w:rsidR="00604822" w:rsidRPr="0085128E" w:rsidRDefault="00604822" w:rsidP="0085128E">
      <w:pPr>
        <w:sectPr w:rsidR="00604822" w:rsidRPr="0085128E" w:rsidSect="003711EE">
          <w:headerReference w:type="default" r:id="rId10"/>
          <w:pgSz w:w="11907" w:h="16840" w:code="9"/>
          <w:pgMar w:top="510" w:right="1134" w:bottom="1134" w:left="1134" w:header="510" w:footer="680" w:gutter="0"/>
          <w:cols w:space="720"/>
          <w:titlePg/>
          <w:docGrid w:linePitch="272"/>
        </w:sectPr>
      </w:pPr>
    </w:p>
    <w:p w:rsidR="003711EE" w:rsidRPr="0085128E" w:rsidRDefault="009C4BBF" w:rsidP="0085128E">
      <w:pPr>
        <w:jc w:val="center"/>
      </w:pPr>
      <w:r w:rsidRPr="0085128E">
        <w:lastRenderedPageBreak/>
        <w:t>ANNEXE</w:t>
      </w:r>
    </w:p>
    <w:p w:rsidR="00720382" w:rsidRPr="0085128E" w:rsidRDefault="00720382" w:rsidP="0085128E">
      <w:pPr>
        <w:jc w:val="center"/>
      </w:pPr>
    </w:p>
    <w:p w:rsidR="00720382" w:rsidRPr="0085128E" w:rsidRDefault="00E11EEF" w:rsidP="0085128E">
      <w:pPr>
        <w:jc w:val="center"/>
      </w:pPr>
      <w:r w:rsidRPr="0085128E">
        <w:t>PROGRAMME ET BUDGET POUR L</w:t>
      </w:r>
      <w:r w:rsidR="008D0CFD" w:rsidRPr="0085128E">
        <w:t>’</w:t>
      </w:r>
      <w:r w:rsidRPr="0085128E">
        <w:t>EXERCICE BIENNAL 2018</w:t>
      </w:r>
      <w:r w:rsidR="008D0CFD" w:rsidRPr="0085128E">
        <w:t>-</w:t>
      </w:r>
      <w:r w:rsidRPr="0085128E">
        <w:t>2019</w:t>
      </w:r>
    </w:p>
    <w:p w:rsidR="00720382" w:rsidRPr="0085128E" w:rsidRDefault="00720382" w:rsidP="0085128E">
      <w:pPr>
        <w:jc w:val="center"/>
      </w:pPr>
    </w:p>
    <w:p w:rsidR="00720382" w:rsidRPr="0085128E" w:rsidRDefault="00720382" w:rsidP="0085128E">
      <w:pPr>
        <w:jc w:val="center"/>
      </w:pPr>
    </w:p>
    <w:p w:rsidR="00720382" w:rsidRPr="0085128E" w:rsidRDefault="00293652" w:rsidP="0085128E">
      <w:pPr>
        <w:keepNext/>
        <w:rPr>
          <w:rFonts w:cs="Arial"/>
          <w:u w:val="single"/>
        </w:rPr>
      </w:pPr>
      <w:r w:rsidRPr="0085128E">
        <w:rPr>
          <w:rFonts w:cs="Arial"/>
          <w:u w:val="single"/>
        </w:rPr>
        <w:t>TABLE DES MATIÈRES</w:t>
      </w:r>
    </w:p>
    <w:p w:rsidR="00720382" w:rsidRPr="0085128E" w:rsidRDefault="00720382" w:rsidP="0085128E">
      <w:pPr>
        <w:keepNext/>
        <w:rPr>
          <w:rFonts w:cs="Arial"/>
        </w:rPr>
      </w:pPr>
    </w:p>
    <w:p w:rsidR="00625EA5" w:rsidRDefault="0075613F">
      <w:pPr>
        <w:pStyle w:val="TOC1"/>
        <w:rPr>
          <w:rFonts w:asciiTheme="minorHAnsi" w:eastAsiaTheme="minorEastAsia" w:hAnsiTheme="minorHAnsi" w:cstheme="minorBidi"/>
          <w:caps w:val="0"/>
          <w:noProof/>
          <w:sz w:val="22"/>
          <w:szCs w:val="22"/>
        </w:rPr>
      </w:pPr>
      <w:r>
        <w:fldChar w:fldCharType="begin"/>
      </w:r>
      <w:r>
        <w:instrText xml:space="preserve"> TOC </w:instrText>
      </w:r>
      <w:r w:rsidR="009E04C4">
        <w:instrText>\o "1-5</w:instrText>
      </w:r>
      <w:r>
        <w:instrText xml:space="preserve">" \n \u </w:instrText>
      </w:r>
      <w:r>
        <w:fldChar w:fldCharType="separate"/>
      </w:r>
      <w:r w:rsidR="00625EA5">
        <w:rPr>
          <w:noProof/>
        </w:rPr>
        <w:t>1.</w:t>
      </w:r>
      <w:r w:rsidR="00625EA5">
        <w:rPr>
          <w:rFonts w:asciiTheme="minorHAnsi" w:eastAsiaTheme="minorEastAsia" w:hAnsiTheme="minorHAnsi" w:cstheme="minorBidi"/>
          <w:caps w:val="0"/>
          <w:noProof/>
          <w:sz w:val="22"/>
          <w:szCs w:val="22"/>
        </w:rPr>
        <w:tab/>
      </w:r>
      <w:r w:rsidR="00625EA5">
        <w:rPr>
          <w:noProof/>
        </w:rPr>
        <w:t>INTRODUCTION</w:t>
      </w:r>
    </w:p>
    <w:p w:rsidR="00625EA5" w:rsidRDefault="00625EA5">
      <w:pPr>
        <w:pStyle w:val="TOC2"/>
        <w:tabs>
          <w:tab w:val="right" w:leader="dot" w:pos="9629"/>
        </w:tabs>
        <w:rPr>
          <w:rFonts w:asciiTheme="minorHAnsi" w:eastAsiaTheme="minorEastAsia" w:hAnsiTheme="minorHAnsi" w:cstheme="minorBidi"/>
          <w:noProof/>
          <w:sz w:val="22"/>
          <w:szCs w:val="22"/>
        </w:rPr>
      </w:pPr>
      <w:r w:rsidRPr="00744879">
        <w:rPr>
          <w:noProof/>
        </w:rPr>
        <w:t>Informations générales</w:t>
      </w:r>
    </w:p>
    <w:p w:rsidR="00625EA5" w:rsidRDefault="00625EA5">
      <w:pPr>
        <w:pStyle w:val="TOC2"/>
        <w:tabs>
          <w:tab w:val="right" w:leader="dot" w:pos="9629"/>
        </w:tabs>
        <w:rPr>
          <w:rFonts w:asciiTheme="minorHAnsi" w:eastAsiaTheme="minorEastAsia" w:hAnsiTheme="minorHAnsi" w:cstheme="minorBidi"/>
          <w:noProof/>
          <w:sz w:val="22"/>
          <w:szCs w:val="22"/>
        </w:rPr>
      </w:pPr>
      <w:r w:rsidRPr="00744879">
        <w:rPr>
          <w:noProof/>
        </w:rPr>
        <w:t>Faits nouveaux survenus au sein de l’UPOV</w:t>
      </w:r>
    </w:p>
    <w:p w:rsidR="00625EA5" w:rsidRDefault="00625EA5">
      <w:pPr>
        <w:pStyle w:val="TOC3"/>
        <w:tabs>
          <w:tab w:val="right" w:leader="dot" w:pos="9629"/>
        </w:tabs>
        <w:rPr>
          <w:rFonts w:asciiTheme="minorHAnsi" w:eastAsiaTheme="minorEastAsia" w:hAnsiTheme="minorHAnsi" w:cstheme="minorBidi"/>
          <w:i w:val="0"/>
          <w:noProof/>
          <w:sz w:val="22"/>
          <w:szCs w:val="22"/>
          <w:lang w:val="en-US"/>
        </w:rPr>
      </w:pPr>
      <w:r w:rsidRPr="00744879">
        <w:rPr>
          <w:noProof/>
        </w:rPr>
        <w:t>Membres de l’UPOV</w:t>
      </w:r>
    </w:p>
    <w:p w:rsidR="00625EA5" w:rsidRDefault="00625EA5">
      <w:pPr>
        <w:pStyle w:val="TOC3"/>
        <w:tabs>
          <w:tab w:val="right" w:leader="dot" w:pos="9629"/>
        </w:tabs>
        <w:rPr>
          <w:rFonts w:asciiTheme="minorHAnsi" w:eastAsiaTheme="minorEastAsia" w:hAnsiTheme="minorHAnsi" w:cstheme="minorBidi"/>
          <w:i w:val="0"/>
          <w:noProof/>
          <w:sz w:val="22"/>
          <w:szCs w:val="22"/>
          <w:lang w:val="en-US"/>
        </w:rPr>
      </w:pPr>
      <w:r w:rsidRPr="00744879">
        <w:rPr>
          <w:noProof/>
        </w:rPr>
        <w:t>Utilisation du système de l’UPOV</w:t>
      </w:r>
    </w:p>
    <w:p w:rsidR="00625EA5" w:rsidRDefault="00625EA5">
      <w:pPr>
        <w:pStyle w:val="TOC2"/>
        <w:tabs>
          <w:tab w:val="right" w:leader="dot" w:pos="9629"/>
        </w:tabs>
        <w:rPr>
          <w:rFonts w:asciiTheme="minorHAnsi" w:eastAsiaTheme="minorEastAsia" w:hAnsiTheme="minorHAnsi" w:cstheme="minorBidi"/>
          <w:noProof/>
          <w:sz w:val="22"/>
          <w:szCs w:val="22"/>
        </w:rPr>
      </w:pPr>
      <w:r w:rsidRPr="00744879">
        <w:rPr>
          <w:noProof/>
        </w:rPr>
        <w:t>Faits nouveaux survenus à l’extérieur de l’UPOV</w:t>
      </w:r>
    </w:p>
    <w:p w:rsidR="00625EA5" w:rsidRDefault="00625EA5">
      <w:pPr>
        <w:pStyle w:val="TOC2"/>
        <w:tabs>
          <w:tab w:val="right" w:leader="dot" w:pos="9629"/>
        </w:tabs>
        <w:rPr>
          <w:rFonts w:asciiTheme="minorHAnsi" w:eastAsiaTheme="minorEastAsia" w:hAnsiTheme="minorHAnsi" w:cstheme="minorBidi"/>
          <w:noProof/>
          <w:sz w:val="22"/>
          <w:szCs w:val="22"/>
        </w:rPr>
      </w:pPr>
      <w:r w:rsidRPr="00744879">
        <w:rPr>
          <w:noProof/>
        </w:rPr>
        <w:t>Considérations relatives aux ressources</w:t>
      </w:r>
    </w:p>
    <w:p w:rsidR="00625EA5" w:rsidRDefault="00625EA5">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OBJECTIFS ET RÉSULTATS ESCOMPTÉS PAR SOUS-PROGRAMME</w:t>
      </w:r>
    </w:p>
    <w:p w:rsidR="00625EA5" w:rsidRDefault="00625EA5">
      <w:pPr>
        <w:pStyle w:val="TOC2"/>
        <w:tabs>
          <w:tab w:val="left" w:pos="1134"/>
          <w:tab w:val="right" w:leader="dot" w:pos="9629"/>
        </w:tabs>
        <w:rPr>
          <w:rFonts w:asciiTheme="minorHAnsi" w:eastAsiaTheme="minorEastAsia" w:hAnsiTheme="minorHAnsi" w:cstheme="minorBidi"/>
          <w:noProof/>
          <w:sz w:val="22"/>
          <w:szCs w:val="22"/>
        </w:rPr>
      </w:pPr>
      <w:r w:rsidRPr="00744879">
        <w:rPr>
          <w:noProof/>
        </w:rPr>
        <w:t>2.1</w:t>
      </w:r>
      <w:r>
        <w:rPr>
          <w:rFonts w:asciiTheme="minorHAnsi" w:eastAsiaTheme="minorEastAsia" w:hAnsiTheme="minorHAnsi" w:cstheme="minorBidi"/>
          <w:noProof/>
          <w:sz w:val="22"/>
          <w:szCs w:val="22"/>
        </w:rPr>
        <w:tab/>
      </w:r>
      <w:r>
        <w:rPr>
          <w:noProof/>
        </w:rPr>
        <w:t>Sous-programme UV.1 : Politique générale en matière de protection des obtentions végétales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2.1.1</w:t>
      </w:r>
      <w:r>
        <w:rPr>
          <w:rFonts w:asciiTheme="minorHAnsi" w:eastAsiaTheme="minorEastAsia" w:hAnsiTheme="minorHAnsi" w:cstheme="minorBidi"/>
          <w:i w:val="0"/>
          <w:noProof/>
          <w:sz w:val="22"/>
          <w:szCs w:val="22"/>
          <w:lang w:val="en-US"/>
        </w:rPr>
        <w:tab/>
      </w:r>
      <w:r>
        <w:rPr>
          <w:noProof/>
        </w:rPr>
        <w:t>Objectifs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2.1.2</w:t>
      </w:r>
      <w:r>
        <w:rPr>
          <w:rFonts w:asciiTheme="minorHAnsi" w:eastAsiaTheme="minorEastAsia" w:hAnsiTheme="minorHAnsi" w:cstheme="minorBidi"/>
          <w:i w:val="0"/>
          <w:noProof/>
          <w:sz w:val="22"/>
          <w:szCs w:val="22"/>
          <w:lang w:val="en-US"/>
        </w:rPr>
        <w:tab/>
      </w:r>
      <w:r>
        <w:rPr>
          <w:noProof/>
        </w:rPr>
        <w:t>Descriptif</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2.1.3</w:t>
      </w:r>
      <w:r>
        <w:rPr>
          <w:rFonts w:asciiTheme="minorHAnsi" w:eastAsiaTheme="minorEastAsia" w:hAnsiTheme="minorHAnsi" w:cstheme="minorBidi"/>
          <w:i w:val="0"/>
          <w:noProof/>
          <w:sz w:val="22"/>
          <w:szCs w:val="22"/>
          <w:lang w:val="en-US"/>
        </w:rPr>
        <w:tab/>
      </w:r>
      <w:r>
        <w:rPr>
          <w:noProof/>
        </w:rPr>
        <w:t>Activités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2.1.4</w:t>
      </w:r>
      <w:r>
        <w:rPr>
          <w:rFonts w:asciiTheme="minorHAnsi" w:eastAsiaTheme="minorEastAsia" w:hAnsiTheme="minorHAnsi" w:cstheme="minorBidi"/>
          <w:i w:val="0"/>
          <w:noProof/>
          <w:sz w:val="22"/>
          <w:szCs w:val="22"/>
          <w:lang w:val="en-US"/>
        </w:rPr>
        <w:tab/>
      </w:r>
      <w:r>
        <w:rPr>
          <w:noProof/>
        </w:rPr>
        <w:t>Résultats escomptés et indicateurs d’exécution</w:t>
      </w:r>
    </w:p>
    <w:p w:rsidR="00625EA5" w:rsidRDefault="00625EA5">
      <w:pPr>
        <w:pStyle w:val="TOC2"/>
        <w:tabs>
          <w:tab w:val="left" w:pos="1134"/>
          <w:tab w:val="right" w:leader="dot" w:pos="9629"/>
        </w:tabs>
        <w:rPr>
          <w:rFonts w:asciiTheme="minorHAnsi" w:eastAsiaTheme="minorEastAsia" w:hAnsiTheme="minorHAnsi" w:cstheme="minorBidi"/>
          <w:noProof/>
          <w:sz w:val="22"/>
          <w:szCs w:val="22"/>
        </w:rPr>
      </w:pPr>
      <w:r w:rsidRPr="00744879">
        <w:rPr>
          <w:noProof/>
        </w:rPr>
        <w:t>2.2</w:t>
      </w:r>
      <w:r>
        <w:rPr>
          <w:rFonts w:asciiTheme="minorHAnsi" w:eastAsiaTheme="minorEastAsia" w:hAnsiTheme="minorHAnsi" w:cstheme="minorBidi"/>
          <w:noProof/>
          <w:sz w:val="22"/>
          <w:szCs w:val="22"/>
        </w:rPr>
        <w:tab/>
      </w:r>
      <w:r>
        <w:rPr>
          <w:noProof/>
        </w:rPr>
        <w:t>Sous-programme UV.2 : Services fournis à l’Union en vue d’augmenter l’efficacité du système de l’UPOV</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2.2.1</w:t>
      </w:r>
      <w:r>
        <w:rPr>
          <w:rFonts w:asciiTheme="minorHAnsi" w:eastAsiaTheme="minorEastAsia" w:hAnsiTheme="minorHAnsi" w:cstheme="minorBidi"/>
          <w:i w:val="0"/>
          <w:noProof/>
          <w:sz w:val="22"/>
          <w:szCs w:val="22"/>
          <w:lang w:val="en-US"/>
        </w:rPr>
        <w:tab/>
      </w:r>
      <w:r>
        <w:rPr>
          <w:noProof/>
        </w:rPr>
        <w:t>Objectifs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2.2.2</w:t>
      </w:r>
      <w:r>
        <w:rPr>
          <w:rFonts w:asciiTheme="minorHAnsi" w:eastAsiaTheme="minorEastAsia" w:hAnsiTheme="minorHAnsi" w:cstheme="minorBidi"/>
          <w:i w:val="0"/>
          <w:noProof/>
          <w:sz w:val="22"/>
          <w:szCs w:val="22"/>
          <w:lang w:val="en-US"/>
        </w:rPr>
        <w:tab/>
      </w:r>
      <w:r>
        <w:rPr>
          <w:noProof/>
        </w:rPr>
        <w:t>Descriptif</w:t>
      </w:r>
    </w:p>
    <w:p w:rsidR="00625EA5" w:rsidRDefault="00625EA5">
      <w:pPr>
        <w:pStyle w:val="TOC4"/>
        <w:rPr>
          <w:rFonts w:asciiTheme="minorHAnsi" w:eastAsiaTheme="minorEastAsia" w:hAnsiTheme="minorHAnsi" w:cstheme="minorBidi"/>
          <w:noProof/>
          <w:sz w:val="22"/>
          <w:szCs w:val="22"/>
          <w:lang w:val="en-US"/>
        </w:rPr>
      </w:pPr>
      <w:r>
        <w:rPr>
          <w:noProof/>
        </w:rPr>
        <w:t>Introduction</w:t>
      </w:r>
    </w:p>
    <w:p w:rsidR="00625EA5" w:rsidRDefault="00625EA5">
      <w:pPr>
        <w:pStyle w:val="TOC4"/>
        <w:rPr>
          <w:rFonts w:asciiTheme="minorHAnsi" w:eastAsiaTheme="minorEastAsia" w:hAnsiTheme="minorHAnsi" w:cstheme="minorBidi"/>
          <w:noProof/>
          <w:sz w:val="22"/>
          <w:szCs w:val="22"/>
          <w:lang w:val="en-US"/>
        </w:rPr>
      </w:pPr>
      <w:r>
        <w:rPr>
          <w:noProof/>
        </w:rPr>
        <w:t>Matériel d’orientation et d’information</w:t>
      </w:r>
    </w:p>
    <w:p w:rsidR="00625EA5" w:rsidRDefault="00625EA5">
      <w:pPr>
        <w:pStyle w:val="TOC4"/>
        <w:rPr>
          <w:rFonts w:asciiTheme="minorHAnsi" w:eastAsiaTheme="minorEastAsia" w:hAnsiTheme="minorHAnsi" w:cstheme="minorBidi"/>
          <w:noProof/>
          <w:sz w:val="22"/>
          <w:szCs w:val="22"/>
          <w:lang w:val="en-US"/>
        </w:rPr>
      </w:pPr>
      <w:r>
        <w:rPr>
          <w:noProof/>
        </w:rPr>
        <w:t>Ressources de l’UPOV en faveur de la coopération entre les membres de l’Union</w:t>
      </w:r>
    </w:p>
    <w:p w:rsidR="00625EA5" w:rsidRDefault="00625EA5">
      <w:pPr>
        <w:pStyle w:val="TOC4"/>
        <w:rPr>
          <w:rFonts w:asciiTheme="minorHAnsi" w:eastAsiaTheme="minorEastAsia" w:hAnsiTheme="minorHAnsi" w:cstheme="minorBidi"/>
          <w:noProof/>
          <w:sz w:val="22"/>
          <w:szCs w:val="22"/>
          <w:lang w:val="en-US"/>
        </w:rPr>
      </w:pPr>
      <w:r>
        <w:rPr>
          <w:noProof/>
        </w:rPr>
        <w:t>Dénominations variétales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2.2.3</w:t>
      </w:r>
      <w:r>
        <w:rPr>
          <w:rFonts w:asciiTheme="minorHAnsi" w:eastAsiaTheme="minorEastAsia" w:hAnsiTheme="minorHAnsi" w:cstheme="minorBidi"/>
          <w:i w:val="0"/>
          <w:noProof/>
          <w:sz w:val="22"/>
          <w:szCs w:val="22"/>
          <w:lang w:val="en-US"/>
        </w:rPr>
        <w:tab/>
      </w:r>
      <w:r>
        <w:rPr>
          <w:noProof/>
        </w:rPr>
        <w:t>Activités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2.2.4</w:t>
      </w:r>
      <w:r>
        <w:rPr>
          <w:rFonts w:asciiTheme="minorHAnsi" w:eastAsiaTheme="minorEastAsia" w:hAnsiTheme="minorHAnsi" w:cstheme="minorBidi"/>
          <w:i w:val="0"/>
          <w:noProof/>
          <w:sz w:val="22"/>
          <w:szCs w:val="22"/>
          <w:lang w:val="en-US"/>
        </w:rPr>
        <w:tab/>
      </w:r>
      <w:r>
        <w:rPr>
          <w:noProof/>
        </w:rPr>
        <w:t>Résultats escomptés et indicateurs d’exécution</w:t>
      </w:r>
    </w:p>
    <w:p w:rsidR="00625EA5" w:rsidRDefault="00625EA5">
      <w:pPr>
        <w:pStyle w:val="TOC2"/>
        <w:tabs>
          <w:tab w:val="left" w:pos="1134"/>
          <w:tab w:val="right" w:leader="dot" w:pos="9629"/>
        </w:tabs>
        <w:rPr>
          <w:rFonts w:asciiTheme="minorHAnsi" w:eastAsiaTheme="minorEastAsia" w:hAnsiTheme="minorHAnsi" w:cstheme="minorBidi"/>
          <w:noProof/>
          <w:sz w:val="22"/>
          <w:szCs w:val="22"/>
        </w:rPr>
      </w:pPr>
      <w:r w:rsidRPr="00744879">
        <w:rPr>
          <w:noProof/>
        </w:rPr>
        <w:t>2.3</w:t>
      </w:r>
      <w:r>
        <w:rPr>
          <w:rFonts w:asciiTheme="minorHAnsi" w:eastAsiaTheme="minorEastAsia" w:hAnsiTheme="minorHAnsi" w:cstheme="minorBidi"/>
          <w:noProof/>
          <w:sz w:val="22"/>
          <w:szCs w:val="22"/>
        </w:rPr>
        <w:tab/>
      </w:r>
      <w:r>
        <w:rPr>
          <w:noProof/>
        </w:rPr>
        <w:t>Sous-programme UV.3 : Aide à la mise en place et à l’application du système de l’UPOV</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2.3.1</w:t>
      </w:r>
      <w:r>
        <w:rPr>
          <w:rFonts w:asciiTheme="minorHAnsi" w:eastAsiaTheme="minorEastAsia" w:hAnsiTheme="minorHAnsi" w:cstheme="minorBidi"/>
          <w:i w:val="0"/>
          <w:noProof/>
          <w:sz w:val="22"/>
          <w:szCs w:val="22"/>
          <w:lang w:val="en-US"/>
        </w:rPr>
        <w:tab/>
      </w:r>
      <w:r>
        <w:rPr>
          <w:noProof/>
        </w:rPr>
        <w:t>Objectifs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2.3.2</w:t>
      </w:r>
      <w:r>
        <w:rPr>
          <w:rFonts w:asciiTheme="minorHAnsi" w:eastAsiaTheme="minorEastAsia" w:hAnsiTheme="minorHAnsi" w:cstheme="minorBidi"/>
          <w:i w:val="0"/>
          <w:noProof/>
          <w:sz w:val="22"/>
          <w:szCs w:val="22"/>
          <w:lang w:val="en-US"/>
        </w:rPr>
        <w:tab/>
      </w:r>
      <w:r>
        <w:rPr>
          <w:noProof/>
        </w:rPr>
        <w:t>Descriptif</w:t>
      </w:r>
    </w:p>
    <w:p w:rsidR="00625EA5" w:rsidRDefault="00625EA5">
      <w:pPr>
        <w:pStyle w:val="TOC4"/>
        <w:rPr>
          <w:rFonts w:asciiTheme="minorHAnsi" w:eastAsiaTheme="minorEastAsia" w:hAnsiTheme="minorHAnsi" w:cstheme="minorBidi"/>
          <w:noProof/>
          <w:sz w:val="22"/>
          <w:szCs w:val="22"/>
          <w:lang w:val="en-US"/>
        </w:rPr>
      </w:pPr>
      <w:r>
        <w:rPr>
          <w:noProof/>
        </w:rPr>
        <w:t>Introduction</w:t>
      </w:r>
    </w:p>
    <w:p w:rsidR="00625EA5" w:rsidRDefault="00625EA5">
      <w:pPr>
        <w:pStyle w:val="TOC4"/>
        <w:rPr>
          <w:rFonts w:asciiTheme="minorHAnsi" w:eastAsiaTheme="minorEastAsia" w:hAnsiTheme="minorHAnsi" w:cstheme="minorBidi"/>
          <w:noProof/>
          <w:sz w:val="22"/>
          <w:szCs w:val="22"/>
          <w:lang w:val="en-US"/>
        </w:rPr>
      </w:pPr>
      <w:r>
        <w:rPr>
          <w:noProof/>
        </w:rPr>
        <w:t>Ressources</w:t>
      </w:r>
    </w:p>
    <w:p w:rsidR="00625EA5" w:rsidRDefault="00625EA5">
      <w:pPr>
        <w:pStyle w:val="TOC4"/>
        <w:rPr>
          <w:rFonts w:asciiTheme="minorHAnsi" w:eastAsiaTheme="minorEastAsia" w:hAnsiTheme="minorHAnsi" w:cstheme="minorBidi"/>
          <w:noProof/>
          <w:sz w:val="22"/>
          <w:szCs w:val="22"/>
          <w:lang w:val="en-US"/>
        </w:rPr>
      </w:pPr>
      <w:r>
        <w:rPr>
          <w:noProof/>
        </w:rPr>
        <w:t>Stratégie en matière de formation et d’assistance</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2.3.3</w:t>
      </w:r>
      <w:r>
        <w:rPr>
          <w:rFonts w:asciiTheme="minorHAnsi" w:eastAsiaTheme="minorEastAsia" w:hAnsiTheme="minorHAnsi" w:cstheme="minorBidi"/>
          <w:i w:val="0"/>
          <w:noProof/>
          <w:sz w:val="22"/>
          <w:szCs w:val="22"/>
          <w:lang w:val="en-US"/>
        </w:rPr>
        <w:tab/>
      </w:r>
      <w:r>
        <w:rPr>
          <w:noProof/>
        </w:rPr>
        <w:t>Activités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2.3.4</w:t>
      </w:r>
      <w:r>
        <w:rPr>
          <w:rFonts w:asciiTheme="minorHAnsi" w:eastAsiaTheme="minorEastAsia" w:hAnsiTheme="minorHAnsi" w:cstheme="minorBidi"/>
          <w:i w:val="0"/>
          <w:noProof/>
          <w:sz w:val="22"/>
          <w:szCs w:val="22"/>
          <w:lang w:val="en-US"/>
        </w:rPr>
        <w:tab/>
      </w:r>
      <w:r>
        <w:rPr>
          <w:noProof/>
        </w:rPr>
        <w:t>Résultats escomptés et indicateurs d’exécution</w:t>
      </w:r>
    </w:p>
    <w:p w:rsidR="00625EA5" w:rsidRDefault="00625EA5">
      <w:pPr>
        <w:pStyle w:val="TOC2"/>
        <w:tabs>
          <w:tab w:val="left" w:pos="1134"/>
          <w:tab w:val="right" w:leader="dot" w:pos="9629"/>
        </w:tabs>
        <w:rPr>
          <w:rFonts w:asciiTheme="minorHAnsi" w:eastAsiaTheme="minorEastAsia" w:hAnsiTheme="minorHAnsi" w:cstheme="minorBidi"/>
          <w:noProof/>
          <w:sz w:val="22"/>
          <w:szCs w:val="22"/>
        </w:rPr>
      </w:pPr>
      <w:r w:rsidRPr="00744879">
        <w:rPr>
          <w:noProof/>
        </w:rPr>
        <w:t>2.4</w:t>
      </w:r>
      <w:r>
        <w:rPr>
          <w:rFonts w:asciiTheme="minorHAnsi" w:eastAsiaTheme="minorEastAsia" w:hAnsiTheme="minorHAnsi" w:cstheme="minorBidi"/>
          <w:noProof/>
          <w:sz w:val="22"/>
          <w:szCs w:val="22"/>
        </w:rPr>
        <w:tab/>
      </w:r>
      <w:r>
        <w:rPr>
          <w:noProof/>
        </w:rPr>
        <w:t>Sous-programme UV.4 : Relations extérieures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2.4.1</w:t>
      </w:r>
      <w:r>
        <w:rPr>
          <w:rFonts w:asciiTheme="minorHAnsi" w:eastAsiaTheme="minorEastAsia" w:hAnsiTheme="minorHAnsi" w:cstheme="minorBidi"/>
          <w:i w:val="0"/>
          <w:noProof/>
          <w:sz w:val="22"/>
          <w:szCs w:val="22"/>
          <w:lang w:val="en-US"/>
        </w:rPr>
        <w:tab/>
      </w:r>
      <w:r>
        <w:rPr>
          <w:noProof/>
        </w:rPr>
        <w:t>Objectifs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2.4.2</w:t>
      </w:r>
      <w:r>
        <w:rPr>
          <w:rFonts w:asciiTheme="minorHAnsi" w:eastAsiaTheme="minorEastAsia" w:hAnsiTheme="minorHAnsi" w:cstheme="minorBidi"/>
          <w:i w:val="0"/>
          <w:noProof/>
          <w:sz w:val="22"/>
          <w:szCs w:val="22"/>
          <w:lang w:val="en-US"/>
        </w:rPr>
        <w:tab/>
      </w:r>
      <w:r>
        <w:rPr>
          <w:noProof/>
        </w:rPr>
        <w:t>Descriptif</w:t>
      </w:r>
    </w:p>
    <w:p w:rsidR="00625EA5" w:rsidRDefault="00625EA5">
      <w:pPr>
        <w:pStyle w:val="TOC4"/>
        <w:rPr>
          <w:rFonts w:asciiTheme="minorHAnsi" w:eastAsiaTheme="minorEastAsia" w:hAnsiTheme="minorHAnsi" w:cstheme="minorBidi"/>
          <w:noProof/>
          <w:sz w:val="22"/>
          <w:szCs w:val="22"/>
          <w:lang w:val="en-US"/>
        </w:rPr>
      </w:pPr>
      <w:r>
        <w:rPr>
          <w:noProof/>
        </w:rPr>
        <w:t>Introduction</w:t>
      </w:r>
    </w:p>
    <w:p w:rsidR="00625EA5" w:rsidRDefault="00625EA5">
      <w:pPr>
        <w:pStyle w:val="TOC4"/>
        <w:rPr>
          <w:rFonts w:asciiTheme="minorHAnsi" w:eastAsiaTheme="minorEastAsia" w:hAnsiTheme="minorHAnsi" w:cstheme="minorBidi"/>
          <w:noProof/>
          <w:sz w:val="22"/>
          <w:szCs w:val="22"/>
          <w:lang w:val="en-US"/>
        </w:rPr>
      </w:pPr>
      <w:r>
        <w:rPr>
          <w:noProof/>
        </w:rPr>
        <w:t>Communication avec les parties prenantes</w:t>
      </w:r>
    </w:p>
    <w:p w:rsidR="00625EA5" w:rsidRDefault="00625EA5">
      <w:pPr>
        <w:pStyle w:val="TOC4"/>
        <w:rPr>
          <w:rFonts w:asciiTheme="minorHAnsi" w:eastAsiaTheme="minorEastAsia" w:hAnsiTheme="minorHAnsi" w:cstheme="minorBidi"/>
          <w:noProof/>
          <w:sz w:val="22"/>
          <w:szCs w:val="22"/>
          <w:lang w:val="en-US"/>
        </w:rPr>
      </w:pPr>
      <w:r>
        <w:rPr>
          <w:noProof/>
        </w:rPr>
        <w:t>Communication avec d’autres organisations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2.4.3</w:t>
      </w:r>
      <w:r>
        <w:rPr>
          <w:rFonts w:asciiTheme="minorHAnsi" w:eastAsiaTheme="minorEastAsia" w:hAnsiTheme="minorHAnsi" w:cstheme="minorBidi"/>
          <w:i w:val="0"/>
          <w:noProof/>
          <w:sz w:val="22"/>
          <w:szCs w:val="22"/>
          <w:lang w:val="en-US"/>
        </w:rPr>
        <w:tab/>
      </w:r>
      <w:r>
        <w:rPr>
          <w:noProof/>
        </w:rPr>
        <w:t>Activités</w:t>
      </w:r>
    </w:p>
    <w:p w:rsidR="00625EA5" w:rsidRDefault="00625EA5">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BUDGET PROPOSÉ</w:t>
      </w:r>
    </w:p>
    <w:p w:rsidR="00625EA5" w:rsidRDefault="00625EA5">
      <w:pPr>
        <w:pStyle w:val="TOC5"/>
        <w:rPr>
          <w:rFonts w:asciiTheme="minorHAnsi" w:eastAsiaTheme="minorEastAsia" w:hAnsiTheme="minorHAnsi" w:cstheme="minorBidi"/>
          <w:noProof/>
          <w:sz w:val="22"/>
          <w:szCs w:val="22"/>
          <w:lang w:val="en-US"/>
        </w:rPr>
      </w:pPr>
      <w:r>
        <w:rPr>
          <w:noProof/>
        </w:rPr>
        <w:t>Tableau 1 : Recettes et dépenses 2014-2015, 2016-2017 et 2018-2019</w:t>
      </w:r>
    </w:p>
    <w:p w:rsidR="00625EA5" w:rsidRDefault="00625EA5">
      <w:pPr>
        <w:pStyle w:val="TOC5"/>
        <w:rPr>
          <w:rFonts w:asciiTheme="minorHAnsi" w:eastAsiaTheme="minorEastAsia" w:hAnsiTheme="minorHAnsi" w:cstheme="minorBidi"/>
          <w:noProof/>
          <w:sz w:val="22"/>
          <w:szCs w:val="22"/>
          <w:lang w:val="en-US"/>
        </w:rPr>
      </w:pPr>
      <w:r>
        <w:rPr>
          <w:noProof/>
        </w:rPr>
        <w:t>Tableau 2 : Structure du budget proposé pour 2018-2019 par rapport à 2014-2015 et 2016-2017</w:t>
      </w:r>
    </w:p>
    <w:p w:rsidR="00625EA5" w:rsidRDefault="00625EA5">
      <w:pPr>
        <w:pStyle w:val="TOC5"/>
        <w:rPr>
          <w:rFonts w:asciiTheme="minorHAnsi" w:eastAsiaTheme="minorEastAsia" w:hAnsiTheme="minorHAnsi" w:cstheme="minorBidi"/>
          <w:noProof/>
          <w:sz w:val="22"/>
          <w:szCs w:val="22"/>
          <w:lang w:val="en-US"/>
        </w:rPr>
      </w:pPr>
      <w:r>
        <w:rPr>
          <w:noProof/>
        </w:rPr>
        <w:t>Tableau 3 : Plan en matière de ressources pour 2016-2017 et 2018-2019</w:t>
      </w:r>
    </w:p>
    <w:p w:rsidR="00625EA5" w:rsidRDefault="00625EA5">
      <w:pPr>
        <w:pStyle w:val="TOC5"/>
        <w:rPr>
          <w:rFonts w:asciiTheme="minorHAnsi" w:eastAsiaTheme="minorEastAsia" w:hAnsiTheme="minorHAnsi" w:cstheme="minorBidi"/>
          <w:noProof/>
          <w:sz w:val="22"/>
          <w:szCs w:val="22"/>
          <w:lang w:val="en-US"/>
        </w:rPr>
      </w:pPr>
      <w:r>
        <w:rPr>
          <w:noProof/>
        </w:rPr>
        <w:t>Tableau 4 : Budget proposé pour 2018-2019 : variations budgétaires par objet de dépense</w:t>
      </w:r>
    </w:p>
    <w:p w:rsidR="00625EA5" w:rsidRDefault="00625EA5">
      <w:pPr>
        <w:pStyle w:val="TOC5"/>
        <w:rPr>
          <w:rFonts w:asciiTheme="minorHAnsi" w:eastAsiaTheme="minorEastAsia" w:hAnsiTheme="minorHAnsi" w:cstheme="minorBidi"/>
          <w:noProof/>
          <w:sz w:val="22"/>
          <w:szCs w:val="22"/>
          <w:lang w:val="en-US"/>
        </w:rPr>
      </w:pPr>
      <w:r>
        <w:rPr>
          <w:noProof/>
        </w:rPr>
        <w:t>Tableau 5 : Budget 2018-2019 : Postes par catégorie</w:t>
      </w:r>
    </w:p>
    <w:p w:rsidR="00625EA5" w:rsidRDefault="00625EA5">
      <w:pPr>
        <w:pStyle w:val="TOC5"/>
        <w:rPr>
          <w:rFonts w:asciiTheme="minorHAnsi" w:eastAsiaTheme="minorEastAsia" w:hAnsiTheme="minorHAnsi" w:cstheme="minorBidi"/>
          <w:noProof/>
          <w:sz w:val="22"/>
          <w:szCs w:val="22"/>
          <w:lang w:val="en-US"/>
        </w:rPr>
      </w:pPr>
      <w:r>
        <w:rPr>
          <w:noProof/>
        </w:rPr>
        <w:t>Tableau 6 : Budget proposé pour 2018-2019 : dotations par objet de dépense</w:t>
      </w:r>
    </w:p>
    <w:p w:rsidR="00625EA5" w:rsidRDefault="00625EA5">
      <w:pPr>
        <w:pStyle w:val="TOC5"/>
        <w:rPr>
          <w:rFonts w:asciiTheme="minorHAnsi" w:eastAsiaTheme="minorEastAsia" w:hAnsiTheme="minorHAnsi" w:cstheme="minorBidi"/>
          <w:noProof/>
          <w:sz w:val="22"/>
          <w:szCs w:val="22"/>
          <w:lang w:val="en-US"/>
        </w:rPr>
      </w:pPr>
      <w:r>
        <w:rPr>
          <w:noProof/>
        </w:rPr>
        <w:t>Tableau 7 : Variations budgétaires par sous-programme</w:t>
      </w:r>
    </w:p>
    <w:p w:rsidR="00625EA5" w:rsidRDefault="00625EA5">
      <w:pPr>
        <w:pStyle w:val="TOC5"/>
        <w:rPr>
          <w:rFonts w:asciiTheme="minorHAnsi" w:eastAsiaTheme="minorEastAsia" w:hAnsiTheme="minorHAnsi" w:cstheme="minorBidi"/>
          <w:noProof/>
          <w:sz w:val="22"/>
          <w:szCs w:val="22"/>
          <w:lang w:val="en-US"/>
        </w:rPr>
      </w:pPr>
      <w:r>
        <w:rPr>
          <w:noProof/>
        </w:rPr>
        <w:t>Tableau 8 : Recettes 2016-2017 et 2018-2019 : variation par source</w:t>
      </w:r>
    </w:p>
    <w:p w:rsidR="00625EA5" w:rsidRDefault="00625EA5">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INDICATEURS FINANCIERS POUR LA PÉRIODE 2012-2021</w:t>
      </w:r>
    </w:p>
    <w:p w:rsidR="00625EA5" w:rsidRDefault="00625EA5">
      <w:pPr>
        <w:pStyle w:val="TOC5"/>
        <w:rPr>
          <w:rFonts w:asciiTheme="minorHAnsi" w:eastAsiaTheme="minorEastAsia" w:hAnsiTheme="minorHAnsi" w:cstheme="minorBidi"/>
          <w:noProof/>
          <w:sz w:val="22"/>
          <w:szCs w:val="22"/>
          <w:lang w:val="en-US"/>
        </w:rPr>
      </w:pPr>
      <w:r>
        <w:rPr>
          <w:noProof/>
        </w:rPr>
        <w:t>Tableau 9 : Recettes, dépenses et réserves pour la période 2012-2021</w:t>
      </w:r>
    </w:p>
    <w:p w:rsidR="000E0D91" w:rsidRDefault="0075613F" w:rsidP="003275C3">
      <w:pPr>
        <w:ind w:left="1701" w:hanging="1701"/>
        <w:rPr>
          <w:rFonts w:cs="Arial"/>
        </w:rPr>
      </w:pPr>
      <w:r>
        <w:rPr>
          <w:rFonts w:cs="Arial"/>
        </w:rPr>
        <w:fldChar w:fldCharType="end"/>
      </w:r>
    </w:p>
    <w:p w:rsidR="00720382" w:rsidRPr="0085128E" w:rsidRDefault="005C13A1" w:rsidP="003275C3">
      <w:pPr>
        <w:ind w:left="1701" w:hanging="1701"/>
        <w:rPr>
          <w:rFonts w:cs="Arial"/>
        </w:rPr>
      </w:pPr>
      <w:r w:rsidRPr="0085128E">
        <w:rPr>
          <w:rFonts w:cs="Arial"/>
        </w:rPr>
        <w:t>APPENDICE I</w:t>
      </w:r>
      <w:r w:rsidR="008D0CFD" w:rsidRPr="0085128E">
        <w:rPr>
          <w:rFonts w:cs="Arial"/>
        </w:rPr>
        <w:t> :</w:t>
      </w:r>
      <w:r w:rsidRPr="0085128E">
        <w:rPr>
          <w:rFonts w:cs="Arial"/>
        </w:rPr>
        <w:t xml:space="preserve"> </w:t>
      </w:r>
      <w:r w:rsidRPr="0085128E">
        <w:rPr>
          <w:rFonts w:cs="Arial"/>
        </w:rPr>
        <w:tab/>
        <w:t>SITUATION EN CE QUI CONCERNE L</w:t>
      </w:r>
      <w:r w:rsidR="008D0CFD" w:rsidRPr="0085128E">
        <w:rPr>
          <w:rFonts w:cs="Arial"/>
        </w:rPr>
        <w:t>’</w:t>
      </w:r>
      <w:r w:rsidRPr="0085128E">
        <w:rPr>
          <w:rFonts w:cs="Arial"/>
        </w:rPr>
        <w:t>UNION INTERNATIONALE POUR LA PROTECTION DES OBTENTIONS VÉGÉTALES (UPOV)</w:t>
      </w:r>
    </w:p>
    <w:p w:rsidR="00720382" w:rsidRPr="0085128E" w:rsidRDefault="00720382" w:rsidP="003275C3">
      <w:pPr>
        <w:ind w:left="1701" w:hanging="1701"/>
        <w:rPr>
          <w:rFonts w:cs="Arial"/>
        </w:rPr>
      </w:pPr>
    </w:p>
    <w:p w:rsidR="00720382" w:rsidRPr="0085128E" w:rsidRDefault="005C13A1" w:rsidP="003275C3">
      <w:pPr>
        <w:ind w:left="1701" w:hanging="1701"/>
        <w:rPr>
          <w:rFonts w:cs="Arial"/>
        </w:rPr>
      </w:pPr>
      <w:r w:rsidRPr="0085128E">
        <w:rPr>
          <w:rFonts w:cs="Arial"/>
        </w:rPr>
        <w:t>APPENDICE II</w:t>
      </w:r>
      <w:r w:rsidR="008D0CFD" w:rsidRPr="0085128E">
        <w:rPr>
          <w:rFonts w:cs="Arial"/>
        </w:rPr>
        <w:t> :</w:t>
      </w:r>
      <w:r w:rsidRPr="0085128E">
        <w:rPr>
          <w:rFonts w:cs="Arial"/>
        </w:rPr>
        <w:t xml:space="preserve"> </w:t>
      </w:r>
      <w:r w:rsidRPr="0085128E">
        <w:rPr>
          <w:rFonts w:cs="Arial"/>
        </w:rPr>
        <w:tab/>
        <w:t>MÉTHODOLOGIE UTILISÉE POUR ÉTABLIR LE BUDGET</w:t>
      </w:r>
    </w:p>
    <w:p w:rsidR="00720382" w:rsidRPr="0085128E" w:rsidRDefault="00720382" w:rsidP="003275C3">
      <w:pPr>
        <w:ind w:left="1701" w:hanging="1701"/>
        <w:rPr>
          <w:rFonts w:cs="Arial"/>
        </w:rPr>
      </w:pPr>
    </w:p>
    <w:p w:rsidR="00720382" w:rsidRPr="0085128E" w:rsidRDefault="005C13A1" w:rsidP="003275C3">
      <w:pPr>
        <w:ind w:left="1701" w:hanging="1701"/>
        <w:rPr>
          <w:rFonts w:cs="Arial"/>
        </w:rPr>
      </w:pPr>
      <w:r w:rsidRPr="0085128E">
        <w:rPr>
          <w:rFonts w:cs="Arial"/>
        </w:rPr>
        <w:t>APPENDICE III</w:t>
      </w:r>
      <w:r w:rsidR="008D0CFD" w:rsidRPr="0085128E">
        <w:rPr>
          <w:rFonts w:cs="Arial"/>
        </w:rPr>
        <w:t> :</w:t>
      </w:r>
      <w:r w:rsidRPr="0085128E">
        <w:rPr>
          <w:rFonts w:cs="Arial"/>
        </w:rPr>
        <w:t xml:space="preserve"> </w:t>
      </w:r>
      <w:r w:rsidRPr="0085128E">
        <w:rPr>
          <w:rFonts w:cs="Arial"/>
        </w:rPr>
        <w:tab/>
        <w:t>CONTRIBUTIONS DES MEMBRES</w:t>
      </w:r>
    </w:p>
    <w:p w:rsidR="00720382" w:rsidRPr="0085128E" w:rsidRDefault="00720382" w:rsidP="003275C3">
      <w:pPr>
        <w:ind w:left="1701" w:hanging="1701"/>
        <w:rPr>
          <w:rFonts w:cs="Arial"/>
        </w:rPr>
      </w:pPr>
    </w:p>
    <w:p w:rsidR="00720382" w:rsidRPr="0085128E" w:rsidRDefault="005C13A1" w:rsidP="003275C3">
      <w:pPr>
        <w:ind w:left="1701" w:hanging="1701"/>
        <w:rPr>
          <w:rFonts w:cs="Arial"/>
        </w:rPr>
      </w:pPr>
      <w:r w:rsidRPr="0085128E">
        <w:rPr>
          <w:rFonts w:cs="Arial"/>
        </w:rPr>
        <w:t>APPENDICE IV</w:t>
      </w:r>
      <w:r w:rsidR="008D0CFD" w:rsidRPr="0085128E">
        <w:rPr>
          <w:rFonts w:cs="Arial"/>
        </w:rPr>
        <w:t> :</w:t>
      </w:r>
      <w:r w:rsidRPr="0085128E">
        <w:rPr>
          <w:rFonts w:cs="Arial"/>
        </w:rPr>
        <w:t xml:space="preserve"> </w:t>
      </w:r>
      <w:r w:rsidRPr="0085128E">
        <w:rPr>
          <w:rFonts w:cs="Arial"/>
        </w:rPr>
        <w:tab/>
        <w:t>DÉFINITIONS DES RUBRIQUES BUDGÉTAIRES</w:t>
      </w:r>
    </w:p>
    <w:p w:rsidR="00720382" w:rsidRPr="0085128E" w:rsidRDefault="00720382" w:rsidP="0085128E">
      <w:pPr>
        <w:rPr>
          <w:rFonts w:cs="Arial"/>
        </w:rPr>
      </w:pPr>
    </w:p>
    <w:p w:rsidR="00720382" w:rsidRPr="0085128E" w:rsidRDefault="00604822" w:rsidP="0085128E">
      <w:pPr>
        <w:jc w:val="left"/>
      </w:pPr>
      <w:r w:rsidRPr="0085128E">
        <w:rPr>
          <w:b/>
          <w:bCs/>
        </w:rPr>
        <w:br w:type="page"/>
      </w:r>
    </w:p>
    <w:p w:rsidR="00720382" w:rsidRPr="0085128E" w:rsidRDefault="005C13A1" w:rsidP="0085128E">
      <w:pPr>
        <w:pStyle w:val="Heading1"/>
      </w:pPr>
      <w:bookmarkStart w:id="2" w:name="_Toc489954534"/>
      <w:bookmarkStart w:id="3" w:name="_Toc489954592"/>
      <w:bookmarkStart w:id="4" w:name="_Toc489954771"/>
      <w:bookmarkStart w:id="5" w:name="_Toc489954777"/>
      <w:bookmarkStart w:id="6" w:name="_Toc489956725"/>
      <w:bookmarkStart w:id="7" w:name="_Toc489956739"/>
      <w:bookmarkStart w:id="8" w:name="_Toc489956827"/>
      <w:bookmarkStart w:id="9" w:name="_Toc490572889"/>
      <w:bookmarkStart w:id="10" w:name="_Toc490572893"/>
      <w:bookmarkStart w:id="11" w:name="_Toc491088264"/>
      <w:bookmarkStart w:id="12" w:name="_Toc491088268"/>
      <w:r w:rsidRPr="0085128E">
        <w:t>1.</w:t>
      </w:r>
      <w:r w:rsidRPr="0085128E">
        <w:tab/>
      </w:r>
      <w:r w:rsidR="00293652" w:rsidRPr="0085128E">
        <w:t>INTRODUCTION</w:t>
      </w:r>
      <w:bookmarkEnd w:id="2"/>
      <w:bookmarkEnd w:id="3"/>
      <w:bookmarkEnd w:id="4"/>
      <w:bookmarkEnd w:id="5"/>
      <w:bookmarkEnd w:id="6"/>
      <w:bookmarkEnd w:id="7"/>
      <w:bookmarkEnd w:id="8"/>
      <w:bookmarkEnd w:id="9"/>
      <w:bookmarkEnd w:id="10"/>
      <w:bookmarkEnd w:id="11"/>
      <w:bookmarkEnd w:id="12"/>
    </w:p>
    <w:p w:rsidR="00720382" w:rsidRPr="0085128E" w:rsidRDefault="00720382" w:rsidP="0085128E"/>
    <w:p w:rsidR="00720382" w:rsidRPr="0085128E" w:rsidRDefault="005C13A1" w:rsidP="0085128E">
      <w:pPr>
        <w:pBdr>
          <w:top w:val="single" w:sz="4" w:space="4" w:color="auto"/>
          <w:left w:val="single" w:sz="4" w:space="4" w:color="auto"/>
          <w:bottom w:val="single" w:sz="4" w:space="4" w:color="auto"/>
          <w:right w:val="single" w:sz="4" w:space="4" w:color="auto"/>
        </w:pBdr>
        <w:jc w:val="center"/>
        <w:rPr>
          <w:b/>
          <w:u w:val="single"/>
        </w:rPr>
      </w:pPr>
      <w:r w:rsidRPr="0085128E">
        <w:rPr>
          <w:b/>
          <w:u w:val="single"/>
        </w:rPr>
        <w:t>Mission de l</w:t>
      </w:r>
      <w:r w:rsidR="008D0CFD" w:rsidRPr="0085128E">
        <w:rPr>
          <w:b/>
          <w:u w:val="single"/>
        </w:rPr>
        <w:t>’</w:t>
      </w:r>
      <w:r w:rsidRPr="0085128E">
        <w:rPr>
          <w:b/>
          <w:u w:val="single"/>
        </w:rPr>
        <w:t>UPOV</w:t>
      </w:r>
    </w:p>
    <w:p w:rsidR="00720382" w:rsidRPr="0085128E" w:rsidRDefault="00720382" w:rsidP="0085128E">
      <w:pPr>
        <w:pBdr>
          <w:top w:val="single" w:sz="4" w:space="4" w:color="auto"/>
          <w:left w:val="single" w:sz="4" w:space="4" w:color="auto"/>
          <w:bottom w:val="single" w:sz="4" w:space="4" w:color="auto"/>
          <w:right w:val="single" w:sz="4" w:space="4" w:color="auto"/>
        </w:pBdr>
        <w:jc w:val="center"/>
        <w:rPr>
          <w:b/>
        </w:rPr>
      </w:pPr>
    </w:p>
    <w:p w:rsidR="00720382" w:rsidRPr="0085128E" w:rsidRDefault="005C13A1" w:rsidP="0085128E">
      <w:pPr>
        <w:pBdr>
          <w:top w:val="single" w:sz="4" w:space="4" w:color="auto"/>
          <w:left w:val="single" w:sz="4" w:space="4" w:color="auto"/>
          <w:bottom w:val="single" w:sz="4" w:space="4" w:color="auto"/>
          <w:right w:val="single" w:sz="4" w:space="4" w:color="auto"/>
        </w:pBdr>
        <w:jc w:val="center"/>
        <w:rPr>
          <w:b/>
        </w:rPr>
      </w:pPr>
      <w:r w:rsidRPr="0085128E">
        <w:rPr>
          <w:b/>
        </w:rPr>
        <w:t>Mettre en place et promouvoir un système efficace de protection des variétés végétales afin d</w:t>
      </w:r>
      <w:r w:rsidR="008D0CFD" w:rsidRPr="0085128E">
        <w:rPr>
          <w:b/>
        </w:rPr>
        <w:t>’</w:t>
      </w:r>
      <w:r w:rsidRPr="0085128E">
        <w:rPr>
          <w:b/>
        </w:rPr>
        <w:t>encourager l</w:t>
      </w:r>
      <w:r w:rsidR="008D0CFD" w:rsidRPr="0085128E">
        <w:rPr>
          <w:b/>
        </w:rPr>
        <w:t>’</w:t>
      </w:r>
      <w:r w:rsidRPr="0085128E">
        <w:rPr>
          <w:b/>
        </w:rPr>
        <w:t>obtention de variétés dans l</w:t>
      </w:r>
      <w:r w:rsidR="008D0CFD" w:rsidRPr="0085128E">
        <w:rPr>
          <w:b/>
        </w:rPr>
        <w:t>’</w:t>
      </w:r>
      <w:r w:rsidRPr="0085128E">
        <w:rPr>
          <w:b/>
        </w:rPr>
        <w:t>intérêt de tous</w:t>
      </w:r>
    </w:p>
    <w:p w:rsidR="00720382" w:rsidRPr="0085128E" w:rsidRDefault="00720382" w:rsidP="0085128E"/>
    <w:p w:rsidR="00720382" w:rsidRPr="0085128E" w:rsidRDefault="00720382" w:rsidP="0085128E"/>
    <w:p w:rsidR="00720382" w:rsidRPr="00571132" w:rsidRDefault="005C13A1" w:rsidP="00571132">
      <w:pPr>
        <w:pStyle w:val="Heading2"/>
        <w:rPr>
          <w:b w:val="0"/>
        </w:rPr>
      </w:pPr>
      <w:bookmarkStart w:id="13" w:name="_Toc489954593"/>
      <w:bookmarkStart w:id="14" w:name="_Toc489954778"/>
      <w:bookmarkStart w:id="15" w:name="_Toc489956740"/>
      <w:bookmarkStart w:id="16" w:name="_Toc489956828"/>
      <w:bookmarkStart w:id="17" w:name="_Toc490572894"/>
      <w:bookmarkStart w:id="18" w:name="_Toc491088269"/>
      <w:r w:rsidRPr="00571132">
        <w:rPr>
          <w:b w:val="0"/>
        </w:rPr>
        <w:t>Informations générales</w:t>
      </w:r>
      <w:bookmarkEnd w:id="13"/>
      <w:bookmarkEnd w:id="14"/>
      <w:bookmarkEnd w:id="15"/>
      <w:bookmarkEnd w:id="16"/>
      <w:bookmarkEnd w:id="17"/>
      <w:bookmarkEnd w:id="18"/>
    </w:p>
    <w:p w:rsidR="00720382" w:rsidRPr="0085128E" w:rsidRDefault="00720382" w:rsidP="0085128E"/>
    <w:p w:rsidR="003711EE" w:rsidRPr="0085128E" w:rsidRDefault="00604822" w:rsidP="0085128E">
      <w:r w:rsidRPr="0085128E">
        <w:t>1.1</w:t>
      </w:r>
      <w:r w:rsidRPr="0085128E">
        <w:tab/>
      </w:r>
      <w:r w:rsidR="001E40CD" w:rsidRPr="0085128E">
        <w:t>L</w:t>
      </w:r>
      <w:r w:rsidR="008D0CFD" w:rsidRPr="0085128E">
        <w:t>’</w:t>
      </w:r>
      <w:r w:rsidR="001E40CD" w:rsidRPr="0085128E">
        <w:t>UPOV a pour mission de “mettre en place et promouvoir un système efficace de protection des variétés végétales afin d</w:t>
      </w:r>
      <w:r w:rsidR="008D0CFD" w:rsidRPr="0085128E">
        <w:t>’</w:t>
      </w:r>
      <w:r w:rsidR="001E40CD" w:rsidRPr="0085128E">
        <w:t>encourager l</w:t>
      </w:r>
      <w:r w:rsidR="008D0CFD" w:rsidRPr="0085128E">
        <w:t>’</w:t>
      </w:r>
      <w:r w:rsidR="001E40CD" w:rsidRPr="0085128E">
        <w:t>obtention de variétés dans l</w:t>
      </w:r>
      <w:r w:rsidR="008D0CFD" w:rsidRPr="0085128E">
        <w:t>’</w:t>
      </w:r>
      <w:r w:rsidR="001E40CD" w:rsidRPr="0085128E">
        <w:t>intérêt de tous”.</w:t>
      </w:r>
    </w:p>
    <w:p w:rsidR="00720382" w:rsidRPr="0085128E" w:rsidRDefault="00720382" w:rsidP="0085128E"/>
    <w:p w:rsidR="00720382" w:rsidRPr="0085128E" w:rsidRDefault="001E40CD" w:rsidP="0085128E">
      <w:r w:rsidRPr="0085128E">
        <w:t>1.2</w:t>
      </w:r>
      <w:r w:rsidRPr="0085128E">
        <w:tab/>
        <w:t>Concernant la mise en place d</w:t>
      </w:r>
      <w:r w:rsidR="008D0CFD" w:rsidRPr="0085128E">
        <w:t>’</w:t>
      </w:r>
      <w:r w:rsidRPr="0085128E">
        <w:t>un système efficace de protection des variétés végétales, l</w:t>
      </w:r>
      <w:r w:rsidR="008D0CFD" w:rsidRPr="0085128E">
        <w:t>’</w:t>
      </w:r>
      <w:r w:rsidRPr="0085128E">
        <w:t>UPOV a toujours considéré les services fournis à ses membres comme prioritair</w:t>
      </w:r>
      <w:r w:rsidR="009F5A99" w:rsidRPr="0085128E">
        <w:t>es.  Ce</w:t>
      </w:r>
      <w:r w:rsidRPr="0085128E">
        <w:t>la s</w:t>
      </w:r>
      <w:r w:rsidR="008D0CFD" w:rsidRPr="0085128E">
        <w:t>’</w:t>
      </w:r>
      <w:r w:rsidRPr="0085128E">
        <w:t>est vérifié au fil du temps par l</w:t>
      </w:r>
      <w:r w:rsidR="008D0CFD" w:rsidRPr="0085128E">
        <w:t>’</w:t>
      </w:r>
      <w:r w:rsidRPr="0085128E">
        <w:t>allocation d</w:t>
      </w:r>
      <w:r w:rsidR="008D0CFD" w:rsidRPr="0085128E">
        <w:t>’</w:t>
      </w:r>
      <w:r w:rsidRPr="0085128E">
        <w:t>une part importante des ressources de l</w:t>
      </w:r>
      <w:r w:rsidR="008D0CFD" w:rsidRPr="0085128E">
        <w:t>’</w:t>
      </w:r>
      <w:r w:rsidRPr="0085128E">
        <w:t>UPOV au sous</w:t>
      </w:r>
      <w:r w:rsidR="008D0CFD" w:rsidRPr="0085128E">
        <w:t>-</w:t>
      </w:r>
      <w:r w:rsidRPr="0085128E">
        <w:t>programme UV.2 “Services fournis à l</w:t>
      </w:r>
      <w:r w:rsidR="008D0CFD" w:rsidRPr="0085128E">
        <w:t>’</w:t>
      </w:r>
      <w:r w:rsidRPr="0085128E">
        <w:t>Union en vue d</w:t>
      </w:r>
      <w:r w:rsidR="008D0CFD" w:rsidRPr="0085128E">
        <w:t>’</w:t>
      </w:r>
      <w:r w:rsidRPr="0085128E">
        <w:t>augmenter l</w:t>
      </w:r>
      <w:r w:rsidR="008D0CFD" w:rsidRPr="0085128E">
        <w:t>’</w:t>
      </w:r>
      <w:r w:rsidRPr="0085128E">
        <w:t>efficacité du système de l</w:t>
      </w:r>
      <w:r w:rsidR="008D0CFD" w:rsidRPr="0085128E">
        <w:t>’</w:t>
      </w:r>
      <w:r w:rsidRPr="0085128E">
        <w:t>UPOV” (62% du budget alloué dans le programme et budget pour l</w:t>
      </w:r>
      <w:r w:rsidR="008D0CFD" w:rsidRPr="0085128E">
        <w:t>’</w:t>
      </w:r>
      <w:r w:rsidRPr="0085128E">
        <w:t xml:space="preserve">exercice </w:t>
      </w:r>
      <w:r w:rsidR="008D0CFD" w:rsidRPr="0085128E">
        <w:t>biennal 2016-</w:t>
      </w:r>
      <w:r w:rsidRPr="0085128E">
        <w:t>2017).</w:t>
      </w:r>
      <w:r w:rsidR="00604822" w:rsidRPr="0085128E">
        <w:t xml:space="preserve">  </w:t>
      </w:r>
      <w:r w:rsidRPr="0085128E">
        <w:t>De plus, dans le cadre du sous</w:t>
      </w:r>
      <w:r w:rsidR="008D0CFD" w:rsidRPr="0085128E">
        <w:t>-</w:t>
      </w:r>
      <w:r w:rsidRPr="0085128E">
        <w:t>programme UV.3 “Aide à la mise en place et à l</w:t>
      </w:r>
      <w:r w:rsidR="008D0CFD" w:rsidRPr="0085128E">
        <w:t>’</w:t>
      </w:r>
      <w:r w:rsidRPr="0085128E">
        <w:t>application du système de l</w:t>
      </w:r>
      <w:r w:rsidR="008D0CFD" w:rsidRPr="0085128E">
        <w:t>’</w:t>
      </w:r>
      <w:r w:rsidRPr="0085128E">
        <w:t>UPOV” (22% du budget alloué dans le programme et budget pour l</w:t>
      </w:r>
      <w:r w:rsidR="008D0CFD" w:rsidRPr="0085128E">
        <w:t>’</w:t>
      </w:r>
      <w:r w:rsidRPr="0085128E">
        <w:t xml:space="preserve">exercice </w:t>
      </w:r>
      <w:r w:rsidR="008D0CFD" w:rsidRPr="0085128E">
        <w:t>biennal 2016-</w:t>
      </w:r>
      <w:r w:rsidRPr="0085128E">
        <w:t>2017), la priorité est donnée à l</w:t>
      </w:r>
      <w:r w:rsidR="008D0CFD" w:rsidRPr="0085128E">
        <w:t>’</w:t>
      </w:r>
      <w:r w:rsidRPr="0085128E">
        <w:t>assistance aux membres de l</w:t>
      </w:r>
      <w:r w:rsidR="008D0CFD" w:rsidRPr="0085128E">
        <w:t>’</w:t>
      </w:r>
      <w:r w:rsidRPr="0085128E">
        <w:t xml:space="preserve">Union </w:t>
      </w:r>
      <w:r w:rsidR="00D93C51">
        <w:br/>
      </w:r>
      <w:r w:rsidRPr="0085128E">
        <w:t>(voir le document C/49/4</w:t>
      </w:r>
      <w:r w:rsidR="006946D9" w:rsidRPr="0085128E">
        <w:t> </w:t>
      </w:r>
      <w:r w:rsidRPr="0085128E">
        <w:t>Rev. “Programme et budget pour l</w:t>
      </w:r>
      <w:r w:rsidR="008D0CFD" w:rsidRPr="0085128E">
        <w:t>’</w:t>
      </w:r>
      <w:r w:rsidRPr="0085128E">
        <w:t xml:space="preserve">exercice </w:t>
      </w:r>
      <w:r w:rsidR="008D0CFD" w:rsidRPr="0085128E">
        <w:t>biennal 2016-</w:t>
      </w:r>
      <w:r w:rsidRPr="0085128E">
        <w:t xml:space="preserve">2017”, annexe, </w:t>
      </w:r>
      <w:r w:rsidR="008D0CFD" w:rsidRPr="0085128E">
        <w:t>paragraphe 2</w:t>
      </w:r>
      <w:r w:rsidRPr="0085128E">
        <w:t>.3.2.2).</w:t>
      </w:r>
    </w:p>
    <w:p w:rsidR="00720382" w:rsidRPr="0085128E" w:rsidRDefault="00720382" w:rsidP="0085128E"/>
    <w:p w:rsidR="00720382" w:rsidRPr="0085128E" w:rsidRDefault="001E40CD" w:rsidP="0085128E">
      <w:r w:rsidRPr="0085128E">
        <w:t>1.3</w:t>
      </w:r>
      <w:r w:rsidRPr="0085128E">
        <w:tab/>
        <w:t>En parallèle, le Rapport de l</w:t>
      </w:r>
      <w:r w:rsidR="008D0CFD" w:rsidRPr="0085128E">
        <w:t>’</w:t>
      </w:r>
      <w:r w:rsidRPr="0085128E">
        <w:t>UPOV sur l</w:t>
      </w:r>
      <w:r w:rsidR="008D0CFD" w:rsidRPr="0085128E">
        <w:t>’</w:t>
      </w:r>
      <w:r w:rsidRPr="0085128E">
        <w:t>impact de la protection des obtentions végétales</w:t>
      </w:r>
      <w:r w:rsidRPr="0085128E">
        <w:rPr>
          <w:rStyle w:val="FootnoteReference"/>
        </w:rPr>
        <w:footnoteReference w:id="2"/>
      </w:r>
      <w:r w:rsidRPr="0085128E">
        <w:t xml:space="preserve"> soulignait combien il est important de promouvoir le système de l</w:t>
      </w:r>
      <w:r w:rsidR="008D0CFD" w:rsidRPr="0085128E">
        <w:t>’</w:t>
      </w:r>
      <w:r w:rsidRPr="0085128E">
        <w:t>UPOV et démontrait que les membres de l</w:t>
      </w:r>
      <w:r w:rsidR="008D0CFD" w:rsidRPr="0085128E">
        <w:t>’</w:t>
      </w:r>
      <w:r w:rsidRPr="0085128E">
        <w:t>UPOV, anciens et nouveaux, bénéficiaient des avantages qu</w:t>
      </w:r>
      <w:r w:rsidR="008D0CFD" w:rsidRPr="0085128E">
        <w:t>’</w:t>
      </w:r>
      <w:r w:rsidRPr="0085128E">
        <w:t>offre l</w:t>
      </w:r>
      <w:r w:rsidR="008D0CFD" w:rsidRPr="0085128E">
        <w:t>’</w:t>
      </w:r>
      <w:r w:rsidRPr="0085128E">
        <w:t>organisation (voir “Expansion de l</w:t>
      </w:r>
      <w:r w:rsidR="008D0CFD" w:rsidRPr="0085128E">
        <w:t>’</w:t>
      </w:r>
      <w:r w:rsidRPr="0085128E">
        <w:t>UPOV</w:t>
      </w:r>
      <w:r w:rsidR="008D0CFD" w:rsidRPr="0085128E">
        <w:t> :</w:t>
      </w:r>
      <w:r w:rsidRPr="0085128E">
        <w:t xml:space="preserve"> un bénéfice partagé par les anciens et les nouveaux membres de l</w:t>
      </w:r>
      <w:r w:rsidR="008D0CFD" w:rsidRPr="0085128E">
        <w:t>’</w:t>
      </w:r>
      <w:r w:rsidRPr="0085128E">
        <w:t>UPOV”).</w:t>
      </w:r>
      <w:r w:rsidR="00604822" w:rsidRPr="0085128E">
        <w:t xml:space="preserve">  </w:t>
      </w:r>
      <w:r w:rsidRPr="0085128E">
        <w:t>À cette fin, les activités de promotion du système de l</w:t>
      </w:r>
      <w:r w:rsidR="008D0CFD" w:rsidRPr="0085128E">
        <w:t>’</w:t>
      </w:r>
      <w:r w:rsidRPr="0085128E">
        <w:t>UPOV se fondent sur deux</w:t>
      </w:r>
      <w:r w:rsidR="00C833CB" w:rsidRPr="0085128E">
        <w:t> </w:t>
      </w:r>
      <w:r w:rsidRPr="0085128E">
        <w:t>considérations essentiell</w:t>
      </w:r>
      <w:r w:rsidR="009F5A99" w:rsidRPr="0085128E">
        <w:t>es.  D’u</w:t>
      </w:r>
      <w:r w:rsidRPr="0085128E">
        <w:t>ne part, l</w:t>
      </w:r>
      <w:r w:rsidR="008D0CFD" w:rsidRPr="0085128E">
        <w:t>’</w:t>
      </w:r>
      <w:r w:rsidRPr="0085128E">
        <w:t>UPOV met l</w:t>
      </w:r>
      <w:r w:rsidR="008D0CFD" w:rsidRPr="0085128E">
        <w:t>’</w:t>
      </w:r>
      <w:r w:rsidRPr="0085128E">
        <w:t>accent sur le fait qu</w:t>
      </w:r>
      <w:r w:rsidR="008D0CFD" w:rsidRPr="0085128E">
        <w:t>’</w:t>
      </w:r>
      <w:r w:rsidRPr="0085128E">
        <w:t>il appartient à chaque État ou organisation de décider d</w:t>
      </w:r>
      <w:r w:rsidR="008D0CFD" w:rsidRPr="0085128E">
        <w:t>’</w:t>
      </w:r>
      <w:r w:rsidRPr="0085128E">
        <w:t xml:space="preserve">élaborer une législation conforme à la </w:t>
      </w:r>
      <w:r w:rsidR="008D0CFD" w:rsidRPr="0085128E">
        <w:t>Convention UPOV</w:t>
      </w:r>
      <w:r w:rsidRPr="0085128E">
        <w:t xml:space="preserve"> et de devenir membre de l</w:t>
      </w:r>
      <w:r w:rsidR="008D0CFD" w:rsidRPr="0085128E">
        <w:t>’</w:t>
      </w:r>
      <w:r w:rsidRPr="0085128E">
        <w:t>Union;  d</w:t>
      </w:r>
      <w:r w:rsidR="008D0CFD" w:rsidRPr="0085128E">
        <w:t>’</w:t>
      </w:r>
      <w:r w:rsidRPr="0085128E">
        <w:t>autre part, les ressources dédiées à ces activités sont limitées dans le cadre du programme et budget ordinaire.</w:t>
      </w:r>
    </w:p>
    <w:p w:rsidR="00720382" w:rsidRPr="0085128E" w:rsidRDefault="00720382" w:rsidP="0085128E"/>
    <w:p w:rsidR="003711EE" w:rsidRPr="0085128E" w:rsidRDefault="001E40CD" w:rsidP="0085128E">
      <w:r w:rsidRPr="0085128E">
        <w:t>1.4</w:t>
      </w:r>
      <w:r w:rsidRPr="0085128E">
        <w:tab/>
        <w:t>L</w:t>
      </w:r>
      <w:r w:rsidR="008D0CFD" w:rsidRPr="0085128E">
        <w:t>’</w:t>
      </w:r>
      <w:r w:rsidRPr="0085128E">
        <w:t>évolution récente du nombre de membres de l</w:t>
      </w:r>
      <w:r w:rsidR="008D0CFD" w:rsidRPr="0085128E">
        <w:t>’</w:t>
      </w:r>
      <w:r w:rsidRPr="0085128E">
        <w:t>UPOV (voir les figures 2 et 3) et la meilleure compréhension du besoin d</w:t>
      </w:r>
      <w:r w:rsidR="008D0CFD" w:rsidRPr="0085128E">
        <w:t>’</w:t>
      </w:r>
      <w:r w:rsidRPr="0085128E">
        <w:t>élaborer des politiques efficaces visant à répondre aux demandes croissantes en matière d</w:t>
      </w:r>
      <w:r w:rsidR="008D0CFD" w:rsidRPr="0085128E">
        <w:t>’</w:t>
      </w:r>
      <w:r w:rsidRPr="0085128E">
        <w:t>agriculture montrent la nécessité pour l</w:t>
      </w:r>
      <w:r w:rsidR="008D0CFD" w:rsidRPr="0085128E">
        <w:t>’</w:t>
      </w:r>
      <w:r w:rsidRPr="0085128E">
        <w:t>UPOV de réexaminer les ressources dont elle dispose pour atteindre ses objectifs en termes de services fournis aux membres et de communication à l</w:t>
      </w:r>
      <w:r w:rsidR="008D0CFD" w:rsidRPr="0085128E">
        <w:t>’</w:t>
      </w:r>
      <w:r w:rsidRPr="0085128E">
        <w:t>intention des États et organisations qui ne sont pas encore membres de l</w:t>
      </w:r>
      <w:r w:rsidR="008D0CFD" w:rsidRPr="0085128E">
        <w:t>’</w:t>
      </w:r>
      <w:r w:rsidRPr="0085128E">
        <w:t>Union sur les avantages qu</w:t>
      </w:r>
      <w:r w:rsidR="008D0CFD" w:rsidRPr="0085128E">
        <w:t>’</w:t>
      </w:r>
      <w:r w:rsidRPr="0085128E">
        <w:t>offrent la protection des obtentions végétales et l</w:t>
      </w:r>
      <w:r w:rsidR="008D0CFD" w:rsidRPr="0085128E">
        <w:t>’</w:t>
      </w:r>
      <w:r w:rsidRPr="0085128E">
        <w:t>adhésion à l</w:t>
      </w:r>
      <w:r w:rsidR="008D0CFD" w:rsidRPr="0085128E">
        <w:t>’</w:t>
      </w:r>
      <w:r w:rsidRPr="0085128E">
        <w:t>U</w:t>
      </w:r>
      <w:r w:rsidR="009F5A99" w:rsidRPr="0085128E">
        <w:t>POV.  Ce</w:t>
      </w:r>
      <w:r w:rsidRPr="0085128E">
        <w:t>tte situation était mise en lumière dans le rapport d</w:t>
      </w:r>
      <w:r w:rsidR="008D0CFD" w:rsidRPr="0085128E">
        <w:t>’</w:t>
      </w:r>
      <w:r w:rsidRPr="0085128E">
        <w:t>évaluation de la Division de la supervision interne (DSI) de l</w:t>
      </w:r>
      <w:r w:rsidR="008D0CFD" w:rsidRPr="0085128E">
        <w:t>’</w:t>
      </w:r>
      <w:r w:rsidRPr="0085128E">
        <w:t>Organisation Mondiale de la Propriété Intellectuelle (OMPI) intitulé “Évaluation de l</w:t>
      </w:r>
      <w:r w:rsidR="008D0CFD" w:rsidRPr="0085128E">
        <w:t>’</w:t>
      </w:r>
      <w:r w:rsidRPr="0085128E">
        <w:t xml:space="preserve">Union internationale pour la protection des obtentions végétales (UPOV)”, réalisé </w:t>
      </w:r>
      <w:r w:rsidR="008D0CFD" w:rsidRPr="0085128E">
        <w:t>en 2016</w:t>
      </w:r>
      <w:r w:rsidRPr="0085128E">
        <w:t>.</w:t>
      </w:r>
      <w:r w:rsidR="00604822" w:rsidRPr="0085128E">
        <w:t xml:space="preserve">  </w:t>
      </w:r>
      <w:r w:rsidRPr="0085128E">
        <w:rPr>
          <w:spacing w:val="-2"/>
        </w:rPr>
        <w:t>L</w:t>
      </w:r>
      <w:r w:rsidR="008D0CFD" w:rsidRPr="0085128E">
        <w:rPr>
          <w:spacing w:val="-2"/>
        </w:rPr>
        <w:t>’</w:t>
      </w:r>
      <w:r w:rsidRPr="0085128E">
        <w:rPr>
          <w:spacing w:val="-2"/>
        </w:rPr>
        <w:t>unique recommandation soulevée dans ce rapport était que l</w:t>
      </w:r>
      <w:r w:rsidR="008D0CFD" w:rsidRPr="0085128E">
        <w:rPr>
          <w:spacing w:val="-2"/>
        </w:rPr>
        <w:t>’</w:t>
      </w:r>
      <w:r w:rsidRPr="0085128E">
        <w:rPr>
          <w:spacing w:val="-2"/>
        </w:rPr>
        <w:t>UPOV “envisage d</w:t>
      </w:r>
      <w:r w:rsidR="008D0CFD" w:rsidRPr="0085128E">
        <w:rPr>
          <w:spacing w:val="-2"/>
        </w:rPr>
        <w:t>’</w:t>
      </w:r>
      <w:r w:rsidRPr="0085128E">
        <w:rPr>
          <w:spacing w:val="-2"/>
        </w:rPr>
        <w:t>élaborer un plan de développement stratégique pour diversifier ses sources de revenus afin d</w:t>
      </w:r>
      <w:r w:rsidR="008D0CFD" w:rsidRPr="0085128E">
        <w:rPr>
          <w:spacing w:val="-2"/>
        </w:rPr>
        <w:t>’</w:t>
      </w:r>
      <w:r w:rsidRPr="0085128E">
        <w:rPr>
          <w:spacing w:val="-2"/>
        </w:rPr>
        <w:t>assurer et de renforcer la viabilité des activités et services existants […]”.</w:t>
      </w:r>
    </w:p>
    <w:p w:rsidR="00720382" w:rsidRPr="0085128E" w:rsidRDefault="00720382" w:rsidP="0085128E"/>
    <w:p w:rsidR="00720382" w:rsidRPr="0085128E" w:rsidRDefault="00720382" w:rsidP="0085128E"/>
    <w:p w:rsidR="00720382" w:rsidRPr="00571132" w:rsidRDefault="001E40CD" w:rsidP="00571132">
      <w:pPr>
        <w:pStyle w:val="Heading2"/>
        <w:rPr>
          <w:b w:val="0"/>
        </w:rPr>
      </w:pPr>
      <w:bookmarkStart w:id="19" w:name="_Toc489954594"/>
      <w:bookmarkStart w:id="20" w:name="_Toc489954779"/>
      <w:bookmarkStart w:id="21" w:name="_Toc489956741"/>
      <w:bookmarkStart w:id="22" w:name="_Toc489956829"/>
      <w:bookmarkStart w:id="23" w:name="_Toc490572895"/>
      <w:bookmarkStart w:id="24" w:name="_Toc491088270"/>
      <w:r w:rsidRPr="00571132">
        <w:rPr>
          <w:b w:val="0"/>
        </w:rPr>
        <w:t>Faits nouveaux survenus au sein de l</w:t>
      </w:r>
      <w:r w:rsidR="008D0CFD" w:rsidRPr="00571132">
        <w:rPr>
          <w:b w:val="0"/>
        </w:rPr>
        <w:t>’</w:t>
      </w:r>
      <w:r w:rsidRPr="00571132">
        <w:rPr>
          <w:b w:val="0"/>
        </w:rPr>
        <w:t>UPOV</w:t>
      </w:r>
      <w:bookmarkEnd w:id="19"/>
      <w:bookmarkEnd w:id="20"/>
      <w:bookmarkEnd w:id="21"/>
      <w:bookmarkEnd w:id="22"/>
      <w:bookmarkEnd w:id="23"/>
      <w:bookmarkEnd w:id="24"/>
    </w:p>
    <w:p w:rsidR="00720382" w:rsidRPr="0085128E" w:rsidRDefault="00720382" w:rsidP="0085128E"/>
    <w:p w:rsidR="003711EE" w:rsidRPr="0085128E" w:rsidRDefault="001E40CD" w:rsidP="0085128E">
      <w:r w:rsidRPr="0085128E">
        <w:t>1.5</w:t>
      </w:r>
      <w:r w:rsidRPr="0085128E">
        <w:tab/>
        <w:t>Les paragraphes ci</w:t>
      </w:r>
      <w:r w:rsidR="008D0CFD" w:rsidRPr="0085128E">
        <w:t>-</w:t>
      </w:r>
      <w:r w:rsidRPr="0085128E">
        <w:t>après présentent les faits nouveaux survenus dans le cadre de la mission de l</w:t>
      </w:r>
      <w:r w:rsidR="008D0CFD" w:rsidRPr="0085128E">
        <w:t>’</w:t>
      </w:r>
      <w:r w:rsidRPr="0085128E">
        <w:t>UPOV.</w:t>
      </w:r>
    </w:p>
    <w:p w:rsidR="00720382" w:rsidRPr="0085128E" w:rsidRDefault="00720382" w:rsidP="0085128E"/>
    <w:p w:rsidR="00720382" w:rsidRPr="0085128E" w:rsidRDefault="00720382" w:rsidP="0085128E"/>
    <w:p w:rsidR="00720382" w:rsidRPr="00571132" w:rsidRDefault="001E40CD" w:rsidP="0085128E">
      <w:pPr>
        <w:pStyle w:val="Heading3"/>
        <w:rPr>
          <w:b w:val="0"/>
          <w:i/>
        </w:rPr>
      </w:pPr>
      <w:bookmarkStart w:id="25" w:name="_Toc489954595"/>
      <w:bookmarkStart w:id="26" w:name="_Toc489954780"/>
      <w:bookmarkStart w:id="27" w:name="_Toc489956742"/>
      <w:bookmarkStart w:id="28" w:name="_Toc489956830"/>
      <w:bookmarkStart w:id="29" w:name="_Toc490572896"/>
      <w:bookmarkStart w:id="30" w:name="_Toc491088271"/>
      <w:r w:rsidRPr="00571132">
        <w:rPr>
          <w:b w:val="0"/>
          <w:i/>
        </w:rPr>
        <w:t>Membres de l</w:t>
      </w:r>
      <w:r w:rsidR="008D0CFD" w:rsidRPr="00571132">
        <w:rPr>
          <w:b w:val="0"/>
          <w:i/>
        </w:rPr>
        <w:t>’</w:t>
      </w:r>
      <w:r w:rsidRPr="00571132">
        <w:rPr>
          <w:b w:val="0"/>
          <w:i/>
        </w:rPr>
        <w:t>UPOV</w:t>
      </w:r>
      <w:bookmarkEnd w:id="25"/>
      <w:bookmarkEnd w:id="26"/>
      <w:bookmarkEnd w:id="27"/>
      <w:bookmarkEnd w:id="28"/>
      <w:bookmarkEnd w:id="29"/>
      <w:bookmarkEnd w:id="30"/>
    </w:p>
    <w:p w:rsidR="00720382" w:rsidRPr="0085128E" w:rsidRDefault="00720382" w:rsidP="0085128E"/>
    <w:p w:rsidR="00720382" w:rsidRPr="0085128E" w:rsidRDefault="001E40CD" w:rsidP="0085128E">
      <w:r w:rsidRPr="0085128E">
        <w:t>1.6</w:t>
      </w:r>
      <w:r w:rsidRPr="0085128E">
        <w:tab/>
        <w:t>À la fin de l</w:t>
      </w:r>
      <w:r w:rsidR="008D0CFD" w:rsidRPr="0085128E">
        <w:t>’</w:t>
      </w:r>
      <w:r w:rsidRPr="0085128E">
        <w:t>année 2016, l</w:t>
      </w:r>
      <w:r w:rsidR="008D0CFD" w:rsidRPr="0085128E">
        <w:t>’</w:t>
      </w:r>
      <w:r w:rsidRPr="0085128E">
        <w:t>UPOV comptait 74</w:t>
      </w:r>
      <w:r w:rsidR="00E06D97" w:rsidRPr="0085128E">
        <w:t> </w:t>
      </w:r>
      <w:r w:rsidRPr="0085128E">
        <w:t>membres et couvrait 93</w:t>
      </w:r>
      <w:r w:rsidR="00E06D97" w:rsidRPr="0085128E">
        <w:t> </w:t>
      </w:r>
      <w:r w:rsidRPr="0085128E">
        <w:t>États (voir la figure</w:t>
      </w:r>
      <w:r w:rsidR="00E73CFB" w:rsidRPr="0085128E">
        <w:t> </w:t>
      </w:r>
      <w:r w:rsidRPr="0085128E">
        <w:t>1 “Membres de l</w:t>
      </w:r>
      <w:r w:rsidR="008D0CFD" w:rsidRPr="0085128E">
        <w:t>’</w:t>
      </w:r>
      <w:r w:rsidRPr="0085128E">
        <w:t>UPOV au 3</w:t>
      </w:r>
      <w:r w:rsidR="008D0CFD" w:rsidRPr="0085128E">
        <w:t>1 décembre 20</w:t>
      </w:r>
      <w:r w:rsidRPr="0085128E">
        <w:t>16”).</w:t>
      </w:r>
    </w:p>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rPr>
          <w:cantSplit/>
        </w:trPr>
        <w:tc>
          <w:tcPr>
            <w:tcW w:w="9855" w:type="dxa"/>
          </w:tcPr>
          <w:p w:rsidR="00604822" w:rsidRPr="0085128E" w:rsidRDefault="001E40CD" w:rsidP="0085128E">
            <w:pPr>
              <w:pStyle w:val="figures"/>
            </w:pPr>
            <w:r w:rsidRPr="0085128E">
              <w:t>Figure</w:t>
            </w:r>
            <w:r w:rsidR="00E73CFB" w:rsidRPr="0085128E">
              <w:t> </w:t>
            </w:r>
            <w:r w:rsidRPr="0085128E">
              <w:t>1</w:t>
            </w:r>
            <w:r w:rsidR="008D0CFD" w:rsidRPr="0085128E">
              <w:t> :</w:t>
            </w:r>
            <w:r w:rsidRPr="0085128E">
              <w:t xml:space="preserve"> Membres de l</w:t>
            </w:r>
            <w:r w:rsidR="008D0CFD" w:rsidRPr="0085128E">
              <w:t>’</w:t>
            </w:r>
            <w:r w:rsidRPr="0085128E">
              <w:t>UPOV au 3</w:t>
            </w:r>
            <w:r w:rsidR="008D0CFD" w:rsidRPr="0085128E">
              <w:t>1 décembre 20</w:t>
            </w:r>
            <w:r w:rsidRPr="0085128E">
              <w:t>16 [les territoires des membres de l</w:t>
            </w:r>
            <w:r w:rsidR="008D0CFD" w:rsidRPr="0085128E">
              <w:t>’</w:t>
            </w:r>
            <w:r w:rsidRPr="0085128E">
              <w:t>UPOV sont indiqués en vert]</w:t>
            </w:r>
          </w:p>
        </w:tc>
      </w:tr>
      <w:tr w:rsidR="0085128E" w:rsidRPr="0085128E" w:rsidTr="00962988">
        <w:trPr>
          <w:cantSplit/>
        </w:trPr>
        <w:tc>
          <w:tcPr>
            <w:tcW w:w="9855" w:type="dxa"/>
          </w:tcPr>
          <w:p w:rsidR="00604822" w:rsidRPr="0085128E" w:rsidRDefault="00604822" w:rsidP="0085128E">
            <w:pPr>
              <w:keepNext/>
              <w:rPr>
                <w:sz w:val="14"/>
                <w:szCs w:val="14"/>
              </w:rPr>
            </w:pPr>
            <w:r w:rsidRPr="0085128E">
              <w:rPr>
                <w:noProof/>
                <w:sz w:val="14"/>
                <w:szCs w:val="14"/>
                <w:lang w:val="en-US"/>
              </w:rPr>
              <w:drawing>
                <wp:inline distT="0" distB="0" distL="0" distR="0" wp14:anchorId="69EB1691" wp14:editId="7ACD9DC0">
                  <wp:extent cx="6040103" cy="3060319"/>
                  <wp:effectExtent l="0" t="0" r="0" b="6985"/>
                  <wp:docPr id="28" name="Picture 28" descr="\\Wipogvafs01\DAT1\OrgUPOV\Shared\Present-speeches\_Model Presentations &amp;Speeches\maps\2017_02_03_one_colour_(74me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pogvafs01\DAT1\OrgUPOV\Shared\Present-speeches\_Model Presentations &amp;Speeches\maps\2017_02_03_one_colour_(74member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761" cy="3064706"/>
                          </a:xfrm>
                          <a:prstGeom prst="rect">
                            <a:avLst/>
                          </a:prstGeom>
                          <a:noFill/>
                          <a:ln>
                            <a:noFill/>
                          </a:ln>
                        </pic:spPr>
                      </pic:pic>
                    </a:graphicData>
                  </a:graphic>
                </wp:inline>
              </w:drawing>
            </w:r>
          </w:p>
        </w:tc>
      </w:tr>
      <w:tr w:rsidR="00604822" w:rsidRPr="0085128E" w:rsidTr="00962988">
        <w:trPr>
          <w:cantSplit/>
        </w:trPr>
        <w:tc>
          <w:tcPr>
            <w:tcW w:w="9855" w:type="dxa"/>
          </w:tcPr>
          <w:p w:rsidR="00604822" w:rsidRPr="0085128E" w:rsidRDefault="001E40CD" w:rsidP="0085128E">
            <w:pPr>
              <w:keepNext/>
              <w:rPr>
                <w:noProof/>
                <w:sz w:val="14"/>
                <w:szCs w:val="14"/>
              </w:rPr>
            </w:pPr>
            <w:r w:rsidRPr="0085128E">
              <w:rPr>
                <w:noProof/>
                <w:sz w:val="14"/>
                <w:szCs w:val="14"/>
              </w:rPr>
              <w:t>Les limites indiquées sur cette carte ne représentent en aucun cas l</w:t>
            </w:r>
            <w:r w:rsidR="008D0CFD" w:rsidRPr="0085128E">
              <w:rPr>
                <w:noProof/>
                <w:sz w:val="14"/>
                <w:szCs w:val="14"/>
              </w:rPr>
              <w:t>’</w:t>
            </w:r>
            <w:r w:rsidRPr="0085128E">
              <w:rPr>
                <w:noProof/>
                <w:sz w:val="14"/>
                <w:szCs w:val="14"/>
              </w:rPr>
              <w:t>expression d</w:t>
            </w:r>
            <w:r w:rsidR="008D0CFD" w:rsidRPr="0085128E">
              <w:rPr>
                <w:noProof/>
                <w:sz w:val="14"/>
                <w:szCs w:val="14"/>
              </w:rPr>
              <w:t>’</w:t>
            </w:r>
            <w:r w:rsidRPr="0085128E">
              <w:rPr>
                <w:noProof/>
                <w:sz w:val="14"/>
                <w:szCs w:val="14"/>
              </w:rPr>
              <w:t>une opinion de la part de l</w:t>
            </w:r>
            <w:r w:rsidR="008D0CFD" w:rsidRPr="0085128E">
              <w:rPr>
                <w:noProof/>
                <w:sz w:val="14"/>
                <w:szCs w:val="14"/>
              </w:rPr>
              <w:t>’</w:t>
            </w:r>
            <w:r w:rsidRPr="0085128E">
              <w:rPr>
                <w:noProof/>
                <w:sz w:val="14"/>
                <w:szCs w:val="14"/>
              </w:rPr>
              <w:t>UPOV concernant le statut juridique d</w:t>
            </w:r>
            <w:r w:rsidR="008D0CFD" w:rsidRPr="0085128E">
              <w:rPr>
                <w:noProof/>
                <w:sz w:val="14"/>
                <w:szCs w:val="14"/>
              </w:rPr>
              <w:t>’</w:t>
            </w:r>
            <w:r w:rsidRPr="0085128E">
              <w:rPr>
                <w:noProof/>
                <w:sz w:val="14"/>
                <w:szCs w:val="14"/>
              </w:rPr>
              <w:t>un pays ou d</w:t>
            </w:r>
            <w:r w:rsidR="008D0CFD" w:rsidRPr="0085128E">
              <w:rPr>
                <w:noProof/>
                <w:sz w:val="14"/>
                <w:szCs w:val="14"/>
              </w:rPr>
              <w:t>’</w:t>
            </w:r>
            <w:r w:rsidRPr="0085128E">
              <w:rPr>
                <w:noProof/>
                <w:sz w:val="14"/>
                <w:szCs w:val="14"/>
              </w:rPr>
              <w:t>un territoire.</w:t>
            </w:r>
          </w:p>
        </w:tc>
      </w:tr>
    </w:tbl>
    <w:p w:rsidR="00720382" w:rsidRPr="0085128E" w:rsidRDefault="00720382" w:rsidP="0085128E"/>
    <w:p w:rsidR="003711EE" w:rsidRPr="0085128E" w:rsidRDefault="00CB5AB2" w:rsidP="0085128E">
      <w:r w:rsidRPr="0085128E">
        <w:t>1.7</w:t>
      </w:r>
      <w:r w:rsidRPr="0085128E">
        <w:tab/>
        <w:t>La figure</w:t>
      </w:r>
      <w:r w:rsidR="00E73CFB" w:rsidRPr="0085128E">
        <w:t> </w:t>
      </w:r>
      <w:r w:rsidRPr="0085128E">
        <w:t xml:space="preserve">2 </w:t>
      </w:r>
      <w:r w:rsidR="00AA62C0" w:rsidRPr="0085128E">
        <w:t>présente</w:t>
      </w:r>
      <w:r w:rsidRPr="0085128E">
        <w:t xml:space="preserve"> l</w:t>
      </w:r>
      <w:r w:rsidR="008D0CFD" w:rsidRPr="0085128E">
        <w:t>’</w:t>
      </w:r>
      <w:r w:rsidRPr="0085128E">
        <w:t>évolution du nombre de membres de l</w:t>
      </w:r>
      <w:r w:rsidR="008D0CFD" w:rsidRPr="0085128E">
        <w:t>’</w:t>
      </w:r>
      <w:r w:rsidRPr="0085128E">
        <w:t>U</w:t>
      </w:r>
      <w:r w:rsidR="009F5A99" w:rsidRPr="0085128E">
        <w:t>POV.  La</w:t>
      </w:r>
      <w:r w:rsidRPr="0085128E">
        <w:t xml:space="preserve"> figure</w:t>
      </w:r>
      <w:r w:rsidR="00E73CFB" w:rsidRPr="0085128E">
        <w:t> </w:t>
      </w:r>
      <w:r w:rsidRPr="0085128E">
        <w:t>3 montre les territoires des membres qui ont intégré l</w:t>
      </w:r>
      <w:r w:rsidR="008D0CFD" w:rsidRPr="0085128E">
        <w:t>’</w:t>
      </w:r>
      <w:r w:rsidRPr="0085128E">
        <w:t>UPOV au cours de la pério</w:t>
      </w:r>
      <w:r w:rsidR="008D0CFD" w:rsidRPr="0085128E">
        <w:t>de 2011-</w:t>
      </w:r>
      <w:r w:rsidRPr="0085128E">
        <w:t>2016</w:t>
      </w:r>
      <w:r w:rsidRPr="0085128E">
        <w:rPr>
          <w:rStyle w:val="FootnoteReference"/>
        </w:rPr>
        <w:footnoteReference w:id="3"/>
      </w:r>
      <w:r w:rsidRPr="0085128E">
        <w:t>, illustrant l</w:t>
      </w:r>
      <w:r w:rsidR="008D0CFD" w:rsidRPr="0085128E">
        <w:t>’</w:t>
      </w:r>
      <w:r w:rsidRPr="0085128E">
        <w:t>importante expansion géographique de l</w:t>
      </w:r>
      <w:r w:rsidR="008D0CFD" w:rsidRPr="0085128E">
        <w:t>’</w:t>
      </w:r>
      <w:r w:rsidRPr="0085128E">
        <w:t>UPOV en Afriq</w:t>
      </w:r>
      <w:r w:rsidR="009F5A99" w:rsidRPr="0085128E">
        <w:t>ue.  Du</w:t>
      </w:r>
      <w:r w:rsidRPr="0085128E">
        <w:t>rant la période concernée, 18</w:t>
      </w:r>
      <w:r w:rsidR="00E06D97" w:rsidRPr="0085128E">
        <w:t> </w:t>
      </w:r>
      <w:r w:rsidRPr="0085128E">
        <w:t>États africains (17 États membres de l</w:t>
      </w:r>
      <w:r w:rsidR="008D0CFD" w:rsidRPr="0085128E">
        <w:t>’</w:t>
      </w:r>
      <w:r w:rsidRPr="0085128E">
        <w:t>OAPI et la République</w:t>
      </w:r>
      <w:r w:rsidR="008D0CFD" w:rsidRPr="0085128E">
        <w:t>-</w:t>
      </w:r>
      <w:r w:rsidRPr="0085128E">
        <w:t>Unie de Tanzanie) ont adhéré au système de l</w:t>
      </w:r>
      <w:r w:rsidR="008D0CFD" w:rsidRPr="0085128E">
        <w:t>’</w:t>
      </w:r>
      <w:r w:rsidRPr="0085128E">
        <w:t>UPOV et l</w:t>
      </w:r>
      <w:r w:rsidR="008D0CFD" w:rsidRPr="0085128E">
        <w:t>’</w:t>
      </w:r>
      <w:r w:rsidR="00CB4E48">
        <w:t>U</w:t>
      </w:r>
      <w:r w:rsidR="0015096D" w:rsidRPr="0085128E">
        <w:t>nion</w:t>
      </w:r>
      <w:r w:rsidRPr="0085128E">
        <w:t xml:space="preserve"> devra assurer formation et aide à ces territoires pour la mise en place du</w:t>
      </w:r>
      <w:r w:rsidR="0015096D" w:rsidRPr="0085128E">
        <w:t>dit</w:t>
      </w:r>
      <w:r w:rsidRPr="0085128E">
        <w:t xml:space="preserve"> système.</w:t>
      </w:r>
    </w:p>
    <w:p w:rsidR="00604822" w:rsidRPr="0085128E" w:rsidRDefault="00604822" w:rsidP="0085128E">
      <w:pPr>
        <w:rPr>
          <w:rFonts w:eastAsia="MS Mincho"/>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CB5AB2" w:rsidP="0085128E">
            <w:pPr>
              <w:pStyle w:val="figures"/>
            </w:pPr>
            <w:r w:rsidRPr="0085128E">
              <w:t>Figure</w:t>
            </w:r>
            <w:r w:rsidR="00E73CFB" w:rsidRPr="0085128E">
              <w:t> </w:t>
            </w:r>
            <w:r w:rsidRPr="0085128E">
              <w:t>2</w:t>
            </w:r>
            <w:r w:rsidR="008D0CFD" w:rsidRPr="0085128E">
              <w:t> :</w:t>
            </w:r>
            <w:r w:rsidRPr="0085128E">
              <w:t xml:space="preserve"> Évolution du nombre de membres de l</w:t>
            </w:r>
            <w:r w:rsidR="008D0CFD" w:rsidRPr="0085128E">
              <w:t>’</w:t>
            </w:r>
            <w:r w:rsidRPr="0085128E">
              <w:t>UPOV</w:t>
            </w:r>
          </w:p>
        </w:tc>
      </w:tr>
      <w:tr w:rsidR="0085128E" w:rsidRPr="0085128E" w:rsidTr="00962988">
        <w:tc>
          <w:tcPr>
            <w:tcW w:w="9855" w:type="dxa"/>
          </w:tcPr>
          <w:p w:rsidR="00604822" w:rsidRPr="0085128E" w:rsidRDefault="00893962" w:rsidP="0085128E">
            <w:pPr>
              <w:jc w:val="center"/>
              <w:rPr>
                <w:noProof/>
                <w:highlight w:val="cyan"/>
              </w:rPr>
            </w:pPr>
            <w:r w:rsidRPr="0085128E">
              <w:rPr>
                <w:noProof/>
                <w:lang w:val="en-US"/>
              </w:rPr>
              <w:drawing>
                <wp:inline distT="0" distB="0" distL="0" distR="0" wp14:anchorId="3D29D03A" wp14:editId="0826161E">
                  <wp:extent cx="5724000" cy="3892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000" cy="3892603"/>
                          </a:xfrm>
                          <a:prstGeom prst="rect">
                            <a:avLst/>
                          </a:prstGeom>
                          <a:noFill/>
                          <a:ln>
                            <a:noFill/>
                          </a:ln>
                        </pic:spPr>
                      </pic:pic>
                    </a:graphicData>
                  </a:graphic>
                </wp:inline>
              </w:drawing>
            </w:r>
          </w:p>
        </w:tc>
      </w:tr>
      <w:tr w:rsidR="0085128E" w:rsidRPr="0085128E"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85128E" w:rsidRDefault="00CB5AB2" w:rsidP="0085128E">
            <w:pPr>
              <w:pStyle w:val="figures"/>
            </w:pPr>
            <w:r w:rsidRPr="0085128E">
              <w:t>Figure</w:t>
            </w:r>
            <w:r w:rsidR="00E73CFB" w:rsidRPr="0085128E">
              <w:t> </w:t>
            </w:r>
            <w:r w:rsidRPr="0085128E">
              <w:t>3</w:t>
            </w:r>
            <w:r w:rsidR="008D0CFD" w:rsidRPr="0085128E">
              <w:t> :</w:t>
            </w:r>
            <w:r w:rsidRPr="0085128E">
              <w:t xml:space="preserve"> Nouveaux membres de l</w:t>
            </w:r>
            <w:r w:rsidR="008D0CFD" w:rsidRPr="0085128E">
              <w:t>’</w:t>
            </w:r>
            <w:r w:rsidRPr="0085128E">
              <w:t>UPOV au cours de la pério</w:t>
            </w:r>
            <w:r w:rsidR="008D0CFD" w:rsidRPr="0085128E">
              <w:t>de 2011-</w:t>
            </w:r>
            <w:r w:rsidRPr="0085128E">
              <w:t>2016</w:t>
            </w:r>
          </w:p>
        </w:tc>
      </w:tr>
      <w:tr w:rsidR="0085128E" w:rsidRPr="0085128E"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85128E" w:rsidRDefault="00604822" w:rsidP="0085128E">
            <w:pPr>
              <w:jc w:val="center"/>
              <w:rPr>
                <w:noProof/>
              </w:rPr>
            </w:pPr>
            <w:r w:rsidRPr="0085128E">
              <w:rPr>
                <w:noProof/>
                <w:lang w:val="en-US"/>
              </w:rPr>
              <w:drawing>
                <wp:inline distT="0" distB="0" distL="0" distR="0" wp14:anchorId="382B3698" wp14:editId="6CDA39CF">
                  <wp:extent cx="6120765" cy="3101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_Map.png"/>
                          <pic:cNvPicPr/>
                        </pic:nvPicPr>
                        <pic:blipFill>
                          <a:blip r:embed="rId13">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604822" w:rsidRPr="0085128E"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39138C" w:rsidRDefault="00CB5AB2" w:rsidP="0039138C">
            <w:pPr>
              <w:jc w:val="left"/>
              <w:rPr>
                <w:noProof/>
                <w:sz w:val="14"/>
                <w:szCs w:val="14"/>
                <w:highlight w:val="cyan"/>
              </w:rPr>
            </w:pPr>
            <w:r w:rsidRPr="0039138C">
              <w:rPr>
                <w:noProof/>
                <w:sz w:val="14"/>
                <w:szCs w:val="14"/>
              </w:rPr>
              <w:t>Les limites indiquées sur cette carte ne représentent en aucun cas l</w:t>
            </w:r>
            <w:r w:rsidR="008D0CFD" w:rsidRPr="0039138C">
              <w:rPr>
                <w:noProof/>
                <w:sz w:val="14"/>
                <w:szCs w:val="14"/>
              </w:rPr>
              <w:t>’</w:t>
            </w:r>
            <w:r w:rsidRPr="0039138C">
              <w:rPr>
                <w:noProof/>
                <w:sz w:val="14"/>
                <w:szCs w:val="14"/>
              </w:rPr>
              <w:t>expression d</w:t>
            </w:r>
            <w:r w:rsidR="008D0CFD" w:rsidRPr="0039138C">
              <w:rPr>
                <w:noProof/>
                <w:sz w:val="14"/>
                <w:szCs w:val="14"/>
              </w:rPr>
              <w:t>’</w:t>
            </w:r>
            <w:r w:rsidRPr="0039138C">
              <w:rPr>
                <w:noProof/>
                <w:sz w:val="14"/>
                <w:szCs w:val="14"/>
              </w:rPr>
              <w:t>une opinion de la part de l</w:t>
            </w:r>
            <w:r w:rsidR="008D0CFD" w:rsidRPr="0039138C">
              <w:rPr>
                <w:noProof/>
                <w:sz w:val="14"/>
                <w:szCs w:val="14"/>
              </w:rPr>
              <w:t>’</w:t>
            </w:r>
            <w:r w:rsidRPr="0039138C">
              <w:rPr>
                <w:noProof/>
                <w:sz w:val="14"/>
                <w:szCs w:val="14"/>
              </w:rPr>
              <w:t>UPOV concernant le statut juridique d</w:t>
            </w:r>
            <w:r w:rsidR="008D0CFD" w:rsidRPr="0039138C">
              <w:rPr>
                <w:noProof/>
                <w:sz w:val="14"/>
                <w:szCs w:val="14"/>
              </w:rPr>
              <w:t>’</w:t>
            </w:r>
            <w:r w:rsidRPr="0039138C">
              <w:rPr>
                <w:noProof/>
                <w:sz w:val="14"/>
                <w:szCs w:val="14"/>
              </w:rPr>
              <w:t>un pays ou d</w:t>
            </w:r>
            <w:r w:rsidR="008D0CFD" w:rsidRPr="0039138C">
              <w:rPr>
                <w:noProof/>
                <w:sz w:val="14"/>
                <w:szCs w:val="14"/>
              </w:rPr>
              <w:t>’</w:t>
            </w:r>
            <w:r w:rsidRPr="0039138C">
              <w:rPr>
                <w:noProof/>
                <w:sz w:val="14"/>
                <w:szCs w:val="14"/>
              </w:rPr>
              <w:t>un territoire.</w:t>
            </w:r>
          </w:p>
        </w:tc>
      </w:tr>
    </w:tbl>
    <w:p w:rsidR="00720382" w:rsidRPr="0085128E" w:rsidRDefault="00720382" w:rsidP="0085128E">
      <w:pPr>
        <w:rPr>
          <w:rFonts w:eastAsia="MS Mincho"/>
          <w:lang w:eastAsia="ja-JP"/>
        </w:rPr>
      </w:pPr>
    </w:p>
    <w:p w:rsidR="00720382" w:rsidRPr="0085128E" w:rsidRDefault="00CB5AB2" w:rsidP="0085128E">
      <w:r w:rsidRPr="0085128E">
        <w:t>1.8</w:t>
      </w:r>
      <w:r w:rsidRPr="0085128E">
        <w:tab/>
        <w:t>La figure</w:t>
      </w:r>
      <w:r w:rsidR="00E73CFB" w:rsidRPr="0085128E">
        <w:t> </w:t>
      </w:r>
      <w:r w:rsidRPr="0085128E">
        <w:t>4 contient un aperçu graphique de la situation en ce qui concerne l</w:t>
      </w:r>
      <w:r w:rsidR="008D0CFD" w:rsidRPr="0085128E">
        <w:t>’</w:t>
      </w:r>
      <w:r w:rsidRPr="0085128E">
        <w:t>UPOV au 3</w:t>
      </w:r>
      <w:r w:rsidR="008D0CFD" w:rsidRPr="0085128E">
        <w:t>1 décembre 20</w:t>
      </w:r>
      <w:r w:rsidRPr="0085128E">
        <w:t>16 ainsi que des informations sur les membres de l</w:t>
      </w:r>
      <w:r w:rsidR="008D0CFD" w:rsidRPr="0085128E">
        <w:t>’</w:t>
      </w:r>
      <w:r w:rsidRPr="0085128E">
        <w:t>UPOV, les États et organisations intergouvernementales ayant engagé la procédure d</w:t>
      </w:r>
      <w:r w:rsidR="008D0CFD" w:rsidRPr="0085128E">
        <w:t>’</w:t>
      </w:r>
      <w:r w:rsidRPr="0085128E">
        <w:t xml:space="preserve">adhésion à la </w:t>
      </w:r>
      <w:r w:rsidR="008D0CFD" w:rsidRPr="0085128E">
        <w:t>Convention UPOV</w:t>
      </w:r>
      <w:r w:rsidRPr="0085128E">
        <w:t xml:space="preserve"> et ceux ayant été en rapport avec le Bureau de l</w:t>
      </w:r>
      <w:r w:rsidR="008D0CFD" w:rsidRPr="0085128E">
        <w:t>’</w:t>
      </w:r>
      <w:r w:rsidRPr="0085128E">
        <w:t>Union en vue d</w:t>
      </w:r>
      <w:r w:rsidR="008D0CFD" w:rsidRPr="0085128E">
        <w:t>’</w:t>
      </w:r>
      <w:r w:rsidRPr="0085128E">
        <w:t>obtenir une assistance pour l</w:t>
      </w:r>
      <w:r w:rsidR="008D0CFD" w:rsidRPr="0085128E">
        <w:t>’</w:t>
      </w:r>
      <w:r w:rsidRPr="0085128E">
        <w:t xml:space="preserve">élaboration de lois fondées sur la </w:t>
      </w:r>
      <w:r w:rsidR="008D0CFD" w:rsidRPr="0085128E">
        <w:t>Convention UPOV</w:t>
      </w:r>
      <w:r w:rsidRPr="0085128E">
        <w:t>.</w:t>
      </w:r>
      <w:r w:rsidR="00604822" w:rsidRPr="0085128E">
        <w:t xml:space="preserve">  </w:t>
      </w:r>
      <w:r w:rsidRPr="0085128E">
        <w:t>L</w:t>
      </w:r>
      <w:r w:rsidR="008D0CFD" w:rsidRPr="0085128E">
        <w:t>’</w:t>
      </w:r>
      <w:r w:rsidRPr="0085128E">
        <w:t>Appendice I contient des informations détaillées.</w:t>
      </w:r>
    </w:p>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CB5AB2" w:rsidP="0085128E">
            <w:pPr>
              <w:pStyle w:val="figures"/>
            </w:pPr>
            <w:r w:rsidRPr="0085128E">
              <w:t>Figure</w:t>
            </w:r>
            <w:r w:rsidR="00E73CFB" w:rsidRPr="0085128E">
              <w:t> </w:t>
            </w:r>
            <w:r w:rsidRPr="0085128E">
              <w:t>4</w:t>
            </w:r>
            <w:r w:rsidR="008D0CFD" w:rsidRPr="0085128E">
              <w:t> :</w:t>
            </w:r>
            <w:r w:rsidRPr="0085128E">
              <w:t xml:space="preserve"> Situation en ce qui concerne l</w:t>
            </w:r>
            <w:r w:rsidR="008D0CFD" w:rsidRPr="0085128E">
              <w:t>’</w:t>
            </w:r>
            <w:r w:rsidRPr="0085128E">
              <w:t>UPOV</w:t>
            </w:r>
          </w:p>
        </w:tc>
      </w:tr>
      <w:tr w:rsidR="0085128E" w:rsidRPr="0085128E" w:rsidTr="00962988">
        <w:tc>
          <w:tcPr>
            <w:tcW w:w="9855" w:type="dxa"/>
          </w:tcPr>
          <w:p w:rsidR="00604822" w:rsidRPr="0085128E" w:rsidRDefault="00604822" w:rsidP="0085128E">
            <w:pPr>
              <w:keepNext/>
              <w:jc w:val="center"/>
              <w:rPr>
                <w:rFonts w:eastAsia="MS Mincho"/>
                <w:lang w:eastAsia="ja-JP"/>
              </w:rPr>
            </w:pPr>
            <w:r w:rsidRPr="0085128E">
              <w:rPr>
                <w:rFonts w:eastAsia="MS Mincho"/>
                <w:noProof/>
                <w:lang w:val="en-US"/>
              </w:rPr>
              <w:drawing>
                <wp:inline distT="0" distB="0" distL="0" distR="0" wp14:anchorId="0AE8BD2D" wp14:editId="1DAE2E4F">
                  <wp:extent cx="6146382" cy="3114167"/>
                  <wp:effectExtent l="0" t="0" r="6985" b="0"/>
                  <wp:docPr id="10" name="Picture 10" descr="N:\OrgUPOV\Shared\Present-speeches\_Model Presentations &amp;Speeches\maps\_2016_10_31_three_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2016_10_31_three_colour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8271" cy="3120191"/>
                          </a:xfrm>
                          <a:prstGeom prst="rect">
                            <a:avLst/>
                          </a:prstGeom>
                          <a:noFill/>
                          <a:ln>
                            <a:noFill/>
                          </a:ln>
                        </pic:spPr>
                      </pic:pic>
                    </a:graphicData>
                  </a:graphic>
                </wp:inline>
              </w:drawing>
            </w:r>
          </w:p>
        </w:tc>
      </w:tr>
      <w:tr w:rsidR="0085128E" w:rsidRPr="0085128E" w:rsidTr="00962988">
        <w:tc>
          <w:tcPr>
            <w:tcW w:w="9855" w:type="dxa"/>
          </w:tcPr>
          <w:p w:rsidR="00604822" w:rsidRPr="0085128E" w:rsidRDefault="00CB5AB2" w:rsidP="0085128E">
            <w:pPr>
              <w:keepNext/>
              <w:spacing w:before="60" w:after="60"/>
              <w:jc w:val="left"/>
              <w:rPr>
                <w:rFonts w:eastAsia="MS Mincho"/>
                <w:sz w:val="14"/>
                <w:szCs w:val="14"/>
                <w:highlight w:val="cyan"/>
                <w:lang w:eastAsia="ja-JP"/>
              </w:rPr>
            </w:pPr>
            <w:r w:rsidRPr="0085128E">
              <w:rPr>
                <w:rFonts w:eastAsia="MS Mincho"/>
                <w:sz w:val="14"/>
                <w:szCs w:val="14"/>
                <w:lang w:eastAsia="ja-JP"/>
              </w:rPr>
              <w:t>Les limites indiquées sur cette carte ne représentent en aucun cas l</w:t>
            </w:r>
            <w:r w:rsidR="008D0CFD" w:rsidRPr="0085128E">
              <w:rPr>
                <w:rFonts w:eastAsia="MS Mincho"/>
                <w:sz w:val="14"/>
                <w:szCs w:val="14"/>
                <w:lang w:eastAsia="ja-JP"/>
              </w:rPr>
              <w:t>’</w:t>
            </w:r>
            <w:r w:rsidRPr="0085128E">
              <w:rPr>
                <w:rFonts w:eastAsia="MS Mincho"/>
                <w:sz w:val="14"/>
                <w:szCs w:val="14"/>
                <w:lang w:eastAsia="ja-JP"/>
              </w:rPr>
              <w:t>expression d</w:t>
            </w:r>
            <w:r w:rsidR="008D0CFD" w:rsidRPr="0085128E">
              <w:rPr>
                <w:rFonts w:eastAsia="MS Mincho"/>
                <w:sz w:val="14"/>
                <w:szCs w:val="14"/>
                <w:lang w:eastAsia="ja-JP"/>
              </w:rPr>
              <w:t>’</w:t>
            </w:r>
            <w:r w:rsidRPr="0085128E">
              <w:rPr>
                <w:rFonts w:eastAsia="MS Mincho"/>
                <w:sz w:val="14"/>
                <w:szCs w:val="14"/>
                <w:lang w:eastAsia="ja-JP"/>
              </w:rPr>
              <w:t>une opinion de la part de l</w:t>
            </w:r>
            <w:r w:rsidR="008D0CFD" w:rsidRPr="0085128E">
              <w:rPr>
                <w:rFonts w:eastAsia="MS Mincho"/>
                <w:sz w:val="14"/>
                <w:szCs w:val="14"/>
                <w:lang w:eastAsia="ja-JP"/>
              </w:rPr>
              <w:t>’</w:t>
            </w:r>
            <w:r w:rsidRPr="0085128E">
              <w:rPr>
                <w:rFonts w:eastAsia="MS Mincho"/>
                <w:sz w:val="14"/>
                <w:szCs w:val="14"/>
                <w:lang w:eastAsia="ja-JP"/>
              </w:rPr>
              <w:t>UPOV concernant le statut juridique d</w:t>
            </w:r>
            <w:r w:rsidR="008D0CFD" w:rsidRPr="0085128E">
              <w:rPr>
                <w:rFonts w:eastAsia="MS Mincho"/>
                <w:sz w:val="14"/>
                <w:szCs w:val="14"/>
                <w:lang w:eastAsia="ja-JP"/>
              </w:rPr>
              <w:t>’</w:t>
            </w:r>
            <w:r w:rsidRPr="0085128E">
              <w:rPr>
                <w:rFonts w:eastAsia="MS Mincho"/>
                <w:sz w:val="14"/>
                <w:szCs w:val="14"/>
                <w:lang w:eastAsia="ja-JP"/>
              </w:rPr>
              <w:t>un pays ou d</w:t>
            </w:r>
            <w:r w:rsidR="008D0CFD" w:rsidRPr="0085128E">
              <w:rPr>
                <w:rFonts w:eastAsia="MS Mincho"/>
                <w:sz w:val="14"/>
                <w:szCs w:val="14"/>
                <w:lang w:eastAsia="ja-JP"/>
              </w:rPr>
              <w:t>’</w:t>
            </w:r>
            <w:r w:rsidRPr="0085128E">
              <w:rPr>
                <w:rFonts w:eastAsia="MS Mincho"/>
                <w:sz w:val="14"/>
                <w:szCs w:val="14"/>
                <w:lang w:eastAsia="ja-JP"/>
              </w:rPr>
              <w:t>un territoire.</w:t>
            </w:r>
          </w:p>
        </w:tc>
      </w:tr>
      <w:tr w:rsidR="00604822" w:rsidRPr="0085128E" w:rsidTr="00962988">
        <w:tc>
          <w:tcPr>
            <w:tcW w:w="9855" w:type="dxa"/>
          </w:tcPr>
          <w:p w:rsidR="003711EE" w:rsidRPr="0085128E" w:rsidRDefault="00CB5AB2" w:rsidP="0085128E">
            <w:r w:rsidRPr="0085128E">
              <w:t>Carte indiquant</w:t>
            </w:r>
            <w:r w:rsidR="008D0CFD" w:rsidRPr="0085128E">
              <w:t> :</w:t>
            </w:r>
          </w:p>
          <w:p w:rsidR="00720382" w:rsidRPr="0085128E" w:rsidRDefault="0085128E" w:rsidP="0085128E">
            <w:pPr>
              <w:ind w:left="567" w:hanging="567"/>
              <w:jc w:val="left"/>
              <w:rPr>
                <w:sz w:val="18"/>
                <w:szCs w:val="18"/>
              </w:rPr>
            </w:pPr>
            <w:r>
              <w:rPr>
                <w:sz w:val="18"/>
                <w:szCs w:val="18"/>
              </w:rPr>
              <w:t>–</w:t>
            </w:r>
            <w:r>
              <w:rPr>
                <w:sz w:val="18"/>
                <w:szCs w:val="18"/>
              </w:rPr>
              <w:tab/>
            </w:r>
            <w:r w:rsidR="00CB5AB2" w:rsidRPr="0085128E">
              <w:rPr>
                <w:sz w:val="18"/>
                <w:szCs w:val="18"/>
              </w:rPr>
              <w:t>les membres de l</w:t>
            </w:r>
            <w:r w:rsidR="008D0CFD" w:rsidRPr="0085128E">
              <w:rPr>
                <w:sz w:val="18"/>
                <w:szCs w:val="18"/>
              </w:rPr>
              <w:t>’</w:t>
            </w:r>
            <w:r w:rsidR="00CB5AB2" w:rsidRPr="0085128E">
              <w:rPr>
                <w:sz w:val="18"/>
                <w:szCs w:val="18"/>
              </w:rPr>
              <w:t>UPOV (en vert);</w:t>
            </w:r>
          </w:p>
          <w:p w:rsidR="003711EE" w:rsidRPr="0085128E" w:rsidRDefault="0085128E" w:rsidP="0085128E">
            <w:pPr>
              <w:ind w:left="567" w:hanging="567"/>
              <w:jc w:val="left"/>
              <w:rPr>
                <w:sz w:val="18"/>
                <w:szCs w:val="18"/>
              </w:rPr>
            </w:pPr>
            <w:r>
              <w:rPr>
                <w:sz w:val="18"/>
                <w:szCs w:val="18"/>
              </w:rPr>
              <w:t>–</w:t>
            </w:r>
            <w:r>
              <w:rPr>
                <w:sz w:val="18"/>
                <w:szCs w:val="18"/>
              </w:rPr>
              <w:tab/>
            </w:r>
            <w:r w:rsidR="00CB5AB2" w:rsidRPr="0085128E">
              <w:rPr>
                <w:sz w:val="18"/>
                <w:szCs w:val="18"/>
              </w:rPr>
              <w:t>les États (15) et l</w:t>
            </w:r>
            <w:r w:rsidR="008D0CFD" w:rsidRPr="0085128E">
              <w:rPr>
                <w:sz w:val="18"/>
                <w:szCs w:val="18"/>
              </w:rPr>
              <w:t>’</w:t>
            </w:r>
            <w:r w:rsidR="00CB5AB2" w:rsidRPr="0085128E">
              <w:rPr>
                <w:sz w:val="18"/>
                <w:szCs w:val="18"/>
              </w:rPr>
              <w:t>organisation intergouvernementale (1) ayant engagé la procédure d</w:t>
            </w:r>
            <w:r w:rsidR="008D0CFD" w:rsidRPr="0085128E">
              <w:rPr>
                <w:sz w:val="18"/>
                <w:szCs w:val="18"/>
              </w:rPr>
              <w:t>’</w:t>
            </w:r>
            <w:r w:rsidR="00CB5AB2" w:rsidRPr="0085128E">
              <w:rPr>
                <w:sz w:val="18"/>
                <w:szCs w:val="18"/>
              </w:rPr>
              <w:t>adhésion à l</w:t>
            </w:r>
            <w:r w:rsidR="008D0CFD" w:rsidRPr="0085128E">
              <w:rPr>
                <w:sz w:val="18"/>
                <w:szCs w:val="18"/>
              </w:rPr>
              <w:t>’</w:t>
            </w:r>
            <w:r w:rsidR="00CB5AB2" w:rsidRPr="0085128E">
              <w:rPr>
                <w:sz w:val="18"/>
                <w:szCs w:val="18"/>
              </w:rPr>
              <w:t>UPOV (en brun);  et</w:t>
            </w:r>
          </w:p>
          <w:p w:rsidR="00604822" w:rsidRPr="0085128E" w:rsidRDefault="0085128E" w:rsidP="0085128E">
            <w:pPr>
              <w:ind w:left="567" w:hanging="567"/>
              <w:jc w:val="left"/>
              <w:rPr>
                <w:rFonts w:eastAsia="MS Mincho"/>
                <w:lang w:eastAsia="ja-JP"/>
              </w:rPr>
            </w:pPr>
            <w:r>
              <w:rPr>
                <w:rFonts w:eastAsia="MS Mincho"/>
                <w:sz w:val="18"/>
                <w:szCs w:val="18"/>
                <w:lang w:eastAsia="ja-JP"/>
              </w:rPr>
              <w:t>–</w:t>
            </w:r>
            <w:r>
              <w:rPr>
                <w:rFonts w:eastAsia="MS Mincho"/>
                <w:sz w:val="18"/>
                <w:szCs w:val="18"/>
                <w:lang w:eastAsia="ja-JP"/>
              </w:rPr>
              <w:tab/>
            </w:r>
            <w:r w:rsidR="00CB5AB2" w:rsidRPr="0085128E">
              <w:rPr>
                <w:rFonts w:eastAsia="MS Mincho"/>
                <w:sz w:val="18"/>
                <w:szCs w:val="18"/>
                <w:lang w:eastAsia="ja-JP"/>
              </w:rPr>
              <w:t>les États (25) et l</w:t>
            </w:r>
            <w:r w:rsidR="008D0CFD" w:rsidRPr="0085128E">
              <w:rPr>
                <w:rFonts w:eastAsia="MS Mincho"/>
                <w:sz w:val="18"/>
                <w:szCs w:val="18"/>
                <w:lang w:eastAsia="ja-JP"/>
              </w:rPr>
              <w:t>’</w:t>
            </w:r>
            <w:r w:rsidR="00CB5AB2" w:rsidRPr="0085128E">
              <w:rPr>
                <w:rFonts w:eastAsia="MS Mincho"/>
                <w:sz w:val="18"/>
                <w:szCs w:val="18"/>
                <w:lang w:eastAsia="ja-JP"/>
              </w:rPr>
              <w:t>organisation intergouvernementale (1) ayant été en rapport avec le Bureau de l</w:t>
            </w:r>
            <w:r w:rsidR="008D0CFD" w:rsidRPr="0085128E">
              <w:rPr>
                <w:rFonts w:eastAsia="MS Mincho"/>
                <w:sz w:val="18"/>
                <w:szCs w:val="18"/>
                <w:lang w:eastAsia="ja-JP"/>
              </w:rPr>
              <w:t>’</w:t>
            </w:r>
            <w:r w:rsidR="00CB5AB2" w:rsidRPr="0085128E">
              <w:rPr>
                <w:rFonts w:eastAsia="MS Mincho"/>
                <w:sz w:val="18"/>
                <w:szCs w:val="18"/>
                <w:lang w:eastAsia="ja-JP"/>
              </w:rPr>
              <w:t>Union en vue d</w:t>
            </w:r>
            <w:r w:rsidR="008D0CFD" w:rsidRPr="0085128E">
              <w:rPr>
                <w:rFonts w:eastAsia="MS Mincho"/>
                <w:sz w:val="18"/>
                <w:szCs w:val="18"/>
                <w:lang w:eastAsia="ja-JP"/>
              </w:rPr>
              <w:t>’</w:t>
            </w:r>
            <w:r w:rsidR="00CB5AB2" w:rsidRPr="0085128E">
              <w:rPr>
                <w:rFonts w:eastAsia="MS Mincho"/>
                <w:sz w:val="18"/>
                <w:szCs w:val="18"/>
                <w:lang w:eastAsia="ja-JP"/>
              </w:rPr>
              <w:t>obtenir une assistance pour l</w:t>
            </w:r>
            <w:r w:rsidR="008D0CFD" w:rsidRPr="0085128E">
              <w:rPr>
                <w:rFonts w:eastAsia="MS Mincho"/>
                <w:sz w:val="18"/>
                <w:szCs w:val="18"/>
                <w:lang w:eastAsia="ja-JP"/>
              </w:rPr>
              <w:t>’</w:t>
            </w:r>
            <w:r w:rsidR="00CB5AB2" w:rsidRPr="0085128E">
              <w:rPr>
                <w:rFonts w:eastAsia="MS Mincho"/>
                <w:sz w:val="18"/>
                <w:szCs w:val="18"/>
                <w:lang w:eastAsia="ja-JP"/>
              </w:rPr>
              <w:t xml:space="preserve">élaboration de lois fondées sur la </w:t>
            </w:r>
            <w:r w:rsidR="008D0CFD" w:rsidRPr="0085128E">
              <w:rPr>
                <w:rFonts w:eastAsia="MS Mincho"/>
                <w:sz w:val="18"/>
                <w:szCs w:val="18"/>
                <w:lang w:eastAsia="ja-JP"/>
              </w:rPr>
              <w:t>Convention UPOV</w:t>
            </w:r>
            <w:r w:rsidR="00CB5AB2" w:rsidRPr="0085128E">
              <w:rPr>
                <w:rFonts w:eastAsia="MS Mincho"/>
                <w:sz w:val="18"/>
                <w:szCs w:val="18"/>
                <w:lang w:eastAsia="ja-JP"/>
              </w:rPr>
              <w:t xml:space="preserve"> (en orange).</w:t>
            </w:r>
          </w:p>
        </w:tc>
      </w:tr>
    </w:tbl>
    <w:p w:rsidR="00720382" w:rsidRPr="0085128E" w:rsidRDefault="00720382" w:rsidP="0085128E"/>
    <w:p w:rsidR="003711EE" w:rsidRPr="0085128E" w:rsidRDefault="00CB5AB2" w:rsidP="0085128E">
      <w:r w:rsidRPr="0085128E">
        <w:t>1.9</w:t>
      </w:r>
      <w:r w:rsidRPr="0085128E">
        <w:tab/>
        <w:t>La figure</w:t>
      </w:r>
      <w:r w:rsidR="00E73CFB" w:rsidRPr="0085128E">
        <w:t> </w:t>
      </w:r>
      <w:r w:rsidRPr="0085128E">
        <w:t>5 contient des informations sur l</w:t>
      </w:r>
      <w:r w:rsidR="008D0CFD" w:rsidRPr="0085128E">
        <w:t>’</w:t>
      </w:r>
      <w:r w:rsidRPr="0085128E">
        <w:t>évolution de la situation en ce qui concerne l</w:t>
      </w:r>
      <w:r w:rsidR="008D0CFD" w:rsidRPr="0085128E">
        <w:t>’</w:t>
      </w:r>
      <w:r w:rsidRPr="0085128E">
        <w:t xml:space="preserve">UPOV </w:t>
      </w:r>
      <w:r w:rsidR="008D0CFD" w:rsidRPr="0085128E">
        <w:t>depuis 2000</w:t>
      </w:r>
      <w:r w:rsidRPr="0085128E">
        <w:t>.</w:t>
      </w:r>
      <w:r w:rsidR="00604822" w:rsidRPr="0085128E">
        <w:t xml:space="preserve">  </w:t>
      </w:r>
      <w:r w:rsidR="006D3801" w:rsidRPr="0085128E">
        <w:t>L</w:t>
      </w:r>
      <w:r w:rsidR="008D0CFD" w:rsidRPr="0085128E">
        <w:t>’</w:t>
      </w:r>
      <w:r w:rsidR="006D3801" w:rsidRPr="0085128E">
        <w:t>augmentation du nombre d</w:t>
      </w:r>
      <w:r w:rsidR="008D0CFD" w:rsidRPr="0085128E">
        <w:t>’</w:t>
      </w:r>
      <w:r w:rsidR="006D3801" w:rsidRPr="0085128E">
        <w:t xml:space="preserve">États </w:t>
      </w:r>
      <w:r w:rsidR="0015096D" w:rsidRPr="0085128E">
        <w:t>couverts par</w:t>
      </w:r>
      <w:r w:rsidR="006D3801" w:rsidRPr="0085128E">
        <w:t xml:space="preserve"> la </w:t>
      </w:r>
      <w:r w:rsidR="008D0CFD" w:rsidRPr="0085128E">
        <w:t>Convention UPOV</w:t>
      </w:r>
      <w:r w:rsidR="006D3801" w:rsidRPr="0085128E">
        <w:t xml:space="preserve"> </w:t>
      </w:r>
      <w:r w:rsidR="0015096D" w:rsidRPr="0085128E">
        <w:t>a été</w:t>
      </w:r>
      <w:r w:rsidR="006D3801" w:rsidRPr="0085128E">
        <w:t xml:space="preserve"> particulièrement importante au cours de la pério</w:t>
      </w:r>
      <w:r w:rsidR="008D0CFD" w:rsidRPr="0085128E">
        <w:t>de 2000-</w:t>
      </w:r>
      <w:r w:rsidR="006D3801" w:rsidRPr="0085128E">
        <w:t xml:space="preserve">2016, nombre qui a </w:t>
      </w:r>
      <w:r w:rsidR="0015096D" w:rsidRPr="0085128E">
        <w:t>augmenté de plus du double</w:t>
      </w:r>
      <w:r w:rsidR="006D3801" w:rsidRPr="0085128E">
        <w:t xml:space="preserve"> en passant </w:t>
      </w:r>
      <w:r w:rsidR="00F83527">
        <w:br/>
      </w:r>
      <w:r w:rsidR="006D3801" w:rsidRPr="0085128E">
        <w:t>de 46 à 93.  Cela étant, l</w:t>
      </w:r>
      <w:r w:rsidR="008D0CFD" w:rsidRPr="0085128E">
        <w:t>’</w:t>
      </w:r>
      <w:r w:rsidR="006D3801" w:rsidRPr="0085128E">
        <w:t>intérêt général pour l</w:t>
      </w:r>
      <w:r w:rsidR="008D0CFD" w:rsidRPr="0085128E">
        <w:t>’</w:t>
      </w:r>
      <w:r w:rsidR="006D3801" w:rsidRPr="0085128E">
        <w:t>UPOV a également augmenté de manière significati</w:t>
      </w:r>
      <w:r w:rsidR="009F5A99" w:rsidRPr="0085128E">
        <w:t>ve.  Le</w:t>
      </w:r>
      <w:r w:rsidR="00F83527">
        <w:t> </w:t>
      </w:r>
      <w:r w:rsidR="006D3801" w:rsidRPr="0085128E">
        <w:t>nombre d</w:t>
      </w:r>
      <w:r w:rsidR="008D0CFD" w:rsidRPr="0085128E">
        <w:t>’</w:t>
      </w:r>
      <w:r w:rsidR="006D3801" w:rsidRPr="0085128E">
        <w:t>États participant à titre individuel ou en tant que membres d</w:t>
      </w:r>
      <w:r w:rsidR="008D0CFD" w:rsidRPr="0085128E">
        <w:t>’</w:t>
      </w:r>
      <w:r w:rsidR="006D3801" w:rsidRPr="0085128E">
        <w:t xml:space="preserve">une organisation, couverts par la </w:t>
      </w:r>
      <w:r w:rsidR="008D0CFD" w:rsidRPr="0085128E">
        <w:t>Convention UPOV</w:t>
      </w:r>
      <w:r w:rsidR="00BF44C6" w:rsidRPr="0085128E">
        <w:t>,</w:t>
      </w:r>
      <w:r w:rsidR="006D3801" w:rsidRPr="0085128E">
        <w:t xml:space="preserve"> ayant engagé la procédure d</w:t>
      </w:r>
      <w:r w:rsidR="008D0CFD" w:rsidRPr="0085128E">
        <w:t>’</w:t>
      </w:r>
      <w:r w:rsidR="006D3801" w:rsidRPr="0085128E">
        <w:t xml:space="preserve">adhésion à la </w:t>
      </w:r>
      <w:r w:rsidR="008D0CFD" w:rsidRPr="0085128E">
        <w:t>Convention UPOV</w:t>
      </w:r>
      <w:r w:rsidR="006D3801" w:rsidRPr="0085128E">
        <w:t xml:space="preserve"> ou ayant été en rapport avec le Bureau de l</w:t>
      </w:r>
      <w:r w:rsidR="008D0CFD" w:rsidRPr="0085128E">
        <w:t>’</w:t>
      </w:r>
      <w:r w:rsidR="006D3801" w:rsidRPr="0085128E">
        <w:t>Union en vue d</w:t>
      </w:r>
      <w:r w:rsidR="008D0CFD" w:rsidRPr="0085128E">
        <w:t>’</w:t>
      </w:r>
      <w:r w:rsidR="006D3801" w:rsidRPr="0085128E">
        <w:t>obtenir une assistance pour l</w:t>
      </w:r>
      <w:r w:rsidR="008D0CFD" w:rsidRPr="0085128E">
        <w:t>’</w:t>
      </w:r>
      <w:r w:rsidR="006D3801" w:rsidRPr="0085128E">
        <w:t xml:space="preserve">élaboration de lois fondées sur la </w:t>
      </w:r>
      <w:r w:rsidR="008D0CFD" w:rsidRPr="0085128E">
        <w:t>Convention UPOV</w:t>
      </w:r>
      <w:r w:rsidR="006D3801" w:rsidRPr="0085128E">
        <w:t xml:space="preserve">, est passé de 118 </w:t>
      </w:r>
      <w:r w:rsidR="008D0CFD" w:rsidRPr="0085128E">
        <w:t>en 2000</w:t>
      </w:r>
      <w:r w:rsidR="006D3801" w:rsidRPr="0085128E">
        <w:t xml:space="preserve"> à 149 </w:t>
      </w:r>
      <w:r w:rsidR="008D0CFD" w:rsidRPr="0085128E">
        <w:t>en 2016</w:t>
      </w:r>
      <w:r w:rsidR="006D3801" w:rsidRPr="0085128E">
        <w:t xml:space="preserve"> (soit une hausse de 26%).</w:t>
      </w:r>
      <w:r w:rsidR="00604822" w:rsidRPr="0085128E">
        <w:t xml:space="preserve">  </w:t>
      </w:r>
      <w:r w:rsidR="006D3801" w:rsidRPr="0085128E">
        <w:t>La figure</w:t>
      </w:r>
      <w:r w:rsidR="00E73CFB" w:rsidRPr="0085128E">
        <w:t> </w:t>
      </w:r>
      <w:r w:rsidR="006D3801" w:rsidRPr="0085128E">
        <w:t>4 indique en outre que le territoire couvert par ces institutions représente en grande majorité des terres agricoles.</w:t>
      </w:r>
    </w:p>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6D3801" w:rsidP="0085128E">
            <w:pPr>
              <w:pStyle w:val="figures"/>
            </w:pPr>
            <w:r w:rsidRPr="0085128E">
              <w:t>Figure</w:t>
            </w:r>
            <w:r w:rsidR="00E73CFB" w:rsidRPr="0085128E">
              <w:t> </w:t>
            </w:r>
            <w:r w:rsidRPr="0085128E">
              <w:t>5</w:t>
            </w:r>
            <w:r w:rsidR="008D0CFD" w:rsidRPr="0085128E">
              <w:t> :</w:t>
            </w:r>
            <w:r w:rsidRPr="0085128E">
              <w:t xml:space="preserve"> Évolution du nombre de membres de l</w:t>
            </w:r>
            <w:r w:rsidR="008D0CFD" w:rsidRPr="0085128E">
              <w:t>’</w:t>
            </w:r>
            <w:r w:rsidRPr="0085128E">
              <w:t>UPOV, les États et organisations intergouvernementales ayant engagé la procédure d</w:t>
            </w:r>
            <w:r w:rsidR="008D0CFD" w:rsidRPr="0085128E">
              <w:t>’</w:t>
            </w:r>
            <w:r w:rsidRPr="0085128E">
              <w:t xml:space="preserve">adhésion à la </w:t>
            </w:r>
            <w:r w:rsidR="008D0CFD" w:rsidRPr="0085128E">
              <w:t>Convention UPOV</w:t>
            </w:r>
            <w:r w:rsidRPr="0085128E">
              <w:t xml:space="preserve"> et les États et organisations intergouvernementales ayant été en rapport avec le Bureau de l</w:t>
            </w:r>
            <w:r w:rsidR="008D0CFD" w:rsidRPr="0085128E">
              <w:t>’</w:t>
            </w:r>
            <w:r w:rsidRPr="0085128E">
              <w:t>Union en vue d</w:t>
            </w:r>
            <w:r w:rsidR="008D0CFD" w:rsidRPr="0085128E">
              <w:t>’</w:t>
            </w:r>
            <w:r w:rsidRPr="0085128E">
              <w:t>obtenir une assistance pour l</w:t>
            </w:r>
            <w:r w:rsidR="008D0CFD" w:rsidRPr="0085128E">
              <w:t>’</w:t>
            </w:r>
            <w:r w:rsidRPr="0085128E">
              <w:t xml:space="preserve">élaboration de lois fondées sur la </w:t>
            </w:r>
            <w:r w:rsidR="008D0CFD" w:rsidRPr="0085128E">
              <w:t>Convention UPOV</w:t>
            </w:r>
          </w:p>
        </w:tc>
      </w:tr>
      <w:tr w:rsidR="00604822" w:rsidRPr="0085128E" w:rsidTr="00962988">
        <w:tc>
          <w:tcPr>
            <w:tcW w:w="9855" w:type="dxa"/>
          </w:tcPr>
          <w:p w:rsidR="00604822" w:rsidRPr="0085128E" w:rsidRDefault="00893962" w:rsidP="0085128E">
            <w:pPr>
              <w:jc w:val="center"/>
              <w:rPr>
                <w:rFonts w:eastAsia="MS Mincho"/>
              </w:rPr>
            </w:pPr>
            <w:r w:rsidRPr="0085128E">
              <w:rPr>
                <w:rFonts w:eastAsia="MS Mincho"/>
                <w:noProof/>
                <w:lang w:val="en-US"/>
              </w:rPr>
              <w:drawing>
                <wp:inline distT="0" distB="0" distL="0" distR="0" wp14:anchorId="3E3340B3" wp14:editId="4F45EF1D">
                  <wp:extent cx="5923280" cy="318706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3280" cy="3187065"/>
                          </a:xfrm>
                          <a:prstGeom prst="rect">
                            <a:avLst/>
                          </a:prstGeom>
                          <a:noFill/>
                          <a:ln>
                            <a:noFill/>
                          </a:ln>
                        </pic:spPr>
                      </pic:pic>
                    </a:graphicData>
                  </a:graphic>
                </wp:inline>
              </w:drawing>
            </w:r>
          </w:p>
        </w:tc>
      </w:tr>
    </w:tbl>
    <w:p w:rsidR="00720382" w:rsidRPr="0085128E" w:rsidRDefault="00720382" w:rsidP="0085128E">
      <w:pPr>
        <w:jc w:val="left"/>
      </w:pPr>
    </w:p>
    <w:p w:rsidR="00720382" w:rsidRPr="0085128E" w:rsidRDefault="00720382" w:rsidP="0085128E">
      <w:pPr>
        <w:jc w:val="left"/>
      </w:pPr>
    </w:p>
    <w:p w:rsidR="00720382" w:rsidRPr="00571132" w:rsidRDefault="006D3801" w:rsidP="0085128E">
      <w:pPr>
        <w:pStyle w:val="Heading3"/>
        <w:rPr>
          <w:b w:val="0"/>
          <w:i/>
        </w:rPr>
      </w:pPr>
      <w:bookmarkStart w:id="31" w:name="_Toc489954596"/>
      <w:bookmarkStart w:id="32" w:name="_Toc489954781"/>
      <w:bookmarkStart w:id="33" w:name="_Toc489956743"/>
      <w:bookmarkStart w:id="34" w:name="_Toc489956831"/>
      <w:bookmarkStart w:id="35" w:name="_Toc490572897"/>
      <w:bookmarkStart w:id="36" w:name="_Toc491088272"/>
      <w:r w:rsidRPr="00571132">
        <w:rPr>
          <w:b w:val="0"/>
          <w:i/>
        </w:rPr>
        <w:t>Utilisation du système de l</w:t>
      </w:r>
      <w:r w:rsidR="008D0CFD" w:rsidRPr="00571132">
        <w:rPr>
          <w:b w:val="0"/>
          <w:i/>
        </w:rPr>
        <w:t>’</w:t>
      </w:r>
      <w:r w:rsidRPr="00571132">
        <w:rPr>
          <w:b w:val="0"/>
          <w:i/>
        </w:rPr>
        <w:t>UPOV</w:t>
      </w:r>
      <w:bookmarkEnd w:id="31"/>
      <w:bookmarkEnd w:id="32"/>
      <w:bookmarkEnd w:id="33"/>
      <w:bookmarkEnd w:id="34"/>
      <w:bookmarkEnd w:id="35"/>
      <w:bookmarkEnd w:id="36"/>
    </w:p>
    <w:p w:rsidR="00720382" w:rsidRPr="0085128E" w:rsidRDefault="00720382" w:rsidP="0085128E"/>
    <w:p w:rsidR="00720382" w:rsidRPr="0085128E" w:rsidRDefault="006D3801" w:rsidP="0085128E">
      <w:r w:rsidRPr="0085128E">
        <w:t>1.10</w:t>
      </w:r>
      <w:r w:rsidRPr="0085128E">
        <w:tab/>
        <w:t>Le système de l</w:t>
      </w:r>
      <w:r w:rsidR="008D0CFD" w:rsidRPr="0085128E">
        <w:t>’</w:t>
      </w:r>
      <w:r w:rsidRPr="0085128E">
        <w:t>UPOV continue de croître eu égard au nombre</w:t>
      </w:r>
      <w:r w:rsidR="008D0CFD" w:rsidRPr="0085128E">
        <w:t> :</w:t>
      </w:r>
    </w:p>
    <w:p w:rsidR="00720382" w:rsidRPr="0085128E" w:rsidRDefault="00720382" w:rsidP="0085128E"/>
    <w:p w:rsidR="003711EE" w:rsidRPr="0085128E" w:rsidRDefault="006D3801" w:rsidP="0085128E">
      <w:pPr>
        <w:pStyle w:val="ListParagraph"/>
        <w:numPr>
          <w:ilvl w:val="0"/>
          <w:numId w:val="18"/>
        </w:numPr>
        <w:ind w:left="1134" w:hanging="567"/>
      </w:pPr>
      <w:r w:rsidRPr="0085128E">
        <w:t>de demandes, de titres délivrés et de titres en vigueur (voir la figure</w:t>
      </w:r>
      <w:r w:rsidR="00E73CFB" w:rsidRPr="0085128E">
        <w:t> </w:t>
      </w:r>
      <w:r w:rsidRPr="0085128E">
        <w:t>6);</w:t>
      </w:r>
    </w:p>
    <w:p w:rsidR="00720382" w:rsidRPr="0085128E" w:rsidRDefault="006D3801" w:rsidP="0085128E">
      <w:pPr>
        <w:pStyle w:val="ListParagraph"/>
        <w:numPr>
          <w:ilvl w:val="0"/>
          <w:numId w:val="18"/>
        </w:numPr>
        <w:ind w:left="1134" w:hanging="567"/>
      </w:pPr>
      <w:r w:rsidRPr="0085128E">
        <w:t>de genres et espèces pouvant être protégés par des membres de l</w:t>
      </w:r>
      <w:r w:rsidR="008D0CFD" w:rsidRPr="0085128E">
        <w:t>’</w:t>
      </w:r>
      <w:r w:rsidRPr="0085128E">
        <w:t>Union (voir la figure</w:t>
      </w:r>
      <w:r w:rsidR="00E73CFB" w:rsidRPr="0085128E">
        <w:t> </w:t>
      </w:r>
      <w:r w:rsidRPr="0085128E">
        <w:t>7);  et</w:t>
      </w:r>
    </w:p>
    <w:p w:rsidR="003711EE" w:rsidRPr="0085128E" w:rsidRDefault="006D3801" w:rsidP="0085128E">
      <w:pPr>
        <w:pStyle w:val="ListParagraph"/>
        <w:numPr>
          <w:ilvl w:val="0"/>
          <w:numId w:val="18"/>
        </w:numPr>
        <w:ind w:left="1134" w:hanging="567"/>
      </w:pPr>
      <w:r w:rsidRPr="0085128E">
        <w:t>de genres et espèces/sous</w:t>
      </w:r>
      <w:r w:rsidR="008D0CFD" w:rsidRPr="0085128E">
        <w:t>-</w:t>
      </w:r>
      <w:r w:rsidRPr="0085128E">
        <w:t>espèces dont la protection a été demandée dans les membres de l</w:t>
      </w:r>
      <w:r w:rsidR="008D0CFD" w:rsidRPr="0085128E">
        <w:t>’</w:t>
      </w:r>
      <w:r w:rsidRPr="0085128E">
        <w:t>Union (voir la figure</w:t>
      </w:r>
      <w:r w:rsidR="00E73CFB" w:rsidRPr="0085128E">
        <w:t> </w:t>
      </w:r>
      <w:r w:rsidRPr="0085128E">
        <w:t>8).</w:t>
      </w:r>
    </w:p>
    <w:p w:rsidR="00720382" w:rsidRPr="0085128E" w:rsidRDefault="00720382" w:rsidP="0085128E"/>
    <w:p w:rsidR="003711EE" w:rsidRPr="0085128E" w:rsidRDefault="006D3801" w:rsidP="0085128E">
      <w:r w:rsidRPr="0085128E">
        <w:t>Ces chiffres montrent pourquoi la coopération entre membres de l</w:t>
      </w:r>
      <w:r w:rsidR="008D0CFD" w:rsidRPr="0085128E">
        <w:t>’</w:t>
      </w:r>
      <w:r w:rsidRPr="0085128E">
        <w:t>Union représente un avantage essentiel découlant de l</w:t>
      </w:r>
      <w:r w:rsidR="008D0CFD" w:rsidRPr="0085128E">
        <w:t>’</w:t>
      </w:r>
      <w:r w:rsidRPr="0085128E">
        <w:t>adhésion à l</w:t>
      </w:r>
      <w:r w:rsidR="008D0CFD" w:rsidRPr="0085128E">
        <w:t>’</w:t>
      </w:r>
      <w:r w:rsidRPr="0085128E">
        <w:t>UPOV.</w:t>
      </w:r>
    </w:p>
    <w:p w:rsidR="00720382" w:rsidRPr="0085128E" w:rsidRDefault="00720382" w:rsidP="0085128E"/>
    <w:p w:rsidR="00720382" w:rsidRPr="0085128E" w:rsidRDefault="006D3801" w:rsidP="0085128E">
      <w:r w:rsidRPr="0085128E">
        <w:t>1.11</w:t>
      </w:r>
      <w:r w:rsidRPr="0085128E">
        <w:tab/>
        <w:t>Comme le montre la figure</w:t>
      </w:r>
      <w:r w:rsidR="00E73CFB" w:rsidRPr="0085128E">
        <w:t> </w:t>
      </w:r>
      <w:r w:rsidRPr="0085128E">
        <w:t>8, le nombre de genres et espèces pour lesquels des accords de coopération en matière d</w:t>
      </w:r>
      <w:r w:rsidR="008D0CFD" w:rsidRPr="0085128E">
        <w:t>’</w:t>
      </w:r>
      <w:r w:rsidRPr="0085128E">
        <w:t>examen</w:t>
      </w:r>
      <w:r w:rsidR="00C833CB" w:rsidRPr="0085128E">
        <w:t> </w:t>
      </w:r>
      <w:r w:rsidRPr="0085128E">
        <w:t>DHS ont été conclus entre les membres de l</w:t>
      </w:r>
      <w:r w:rsidR="008D0CFD" w:rsidRPr="0085128E">
        <w:t>’</w:t>
      </w:r>
      <w:r w:rsidRPr="0085128E">
        <w:t>Union n</w:t>
      </w:r>
      <w:r w:rsidR="008D0CFD" w:rsidRPr="0085128E">
        <w:t>’</w:t>
      </w:r>
      <w:r w:rsidRPr="0085128E">
        <w:t>a sensiblement augmenté qu</w:t>
      </w:r>
      <w:r w:rsidR="008D0CFD" w:rsidRPr="0085128E">
        <w:t>’</w:t>
      </w:r>
      <w:r w:rsidRPr="0085128E">
        <w:t xml:space="preserve">une fois </w:t>
      </w:r>
      <w:r w:rsidR="008D0CFD" w:rsidRPr="0085128E">
        <w:t>depuis 2007</w:t>
      </w:r>
      <w:r w:rsidRPr="0085128E">
        <w:t>.</w:t>
      </w:r>
      <w:r w:rsidR="00604822" w:rsidRPr="0085128E">
        <w:t xml:space="preserve">  </w:t>
      </w:r>
      <w:r w:rsidRPr="0085128E">
        <w:t>Ces accords sont bilatéraux et s</w:t>
      </w:r>
      <w:r w:rsidR="008D0CFD" w:rsidRPr="0085128E">
        <w:t>’</w:t>
      </w:r>
      <w:r w:rsidRPr="0085128E">
        <w:t>établissent sur une base volontaire.</w:t>
      </w:r>
      <w:r w:rsidR="00604822" w:rsidRPr="0085128E">
        <w:t xml:space="preserve">  </w:t>
      </w:r>
      <w:r w:rsidRPr="0085128E">
        <w:t>L</w:t>
      </w:r>
      <w:r w:rsidR="008D0CFD" w:rsidRPr="0085128E">
        <w:t>’</w:t>
      </w:r>
      <w:r w:rsidRPr="0085128E">
        <w:t>UPOV a commencé de débattre des éventuelles possibilités d</w:t>
      </w:r>
      <w:r w:rsidR="008D0CFD" w:rsidRPr="0085128E">
        <w:t>’</w:t>
      </w:r>
      <w:r w:rsidRPr="0085128E">
        <w:t>améliorer ce type de coopération pour les membres de l</w:t>
      </w:r>
      <w:r w:rsidR="008D0CFD" w:rsidRPr="0085128E">
        <w:t>’</w:t>
      </w:r>
      <w:r w:rsidRPr="0085128E">
        <w:t>Union à l</w:t>
      </w:r>
      <w:r w:rsidR="008D0CFD" w:rsidRPr="0085128E">
        <w:t>’</w:t>
      </w:r>
      <w:r w:rsidRPr="0085128E">
        <w:t>avenir.</w:t>
      </w:r>
    </w:p>
    <w:p w:rsidR="00720382" w:rsidRPr="0085128E" w:rsidRDefault="00720382" w:rsidP="0085128E"/>
    <w:p w:rsidR="00720382" w:rsidRPr="0085128E" w:rsidRDefault="006D3801" w:rsidP="0085128E">
      <w:r w:rsidRPr="0085128E">
        <w:t>1.12</w:t>
      </w:r>
      <w:r w:rsidRPr="0085128E">
        <w:tab/>
        <w:t>Afin de faciliter l</w:t>
      </w:r>
      <w:r w:rsidR="008D0CFD" w:rsidRPr="0085128E">
        <w:t>’</w:t>
      </w:r>
      <w:r w:rsidRPr="0085128E">
        <w:t>examen des dénominations variétales par les membres de l</w:t>
      </w:r>
      <w:r w:rsidR="008D0CFD" w:rsidRPr="0085128E">
        <w:t>’</w:t>
      </w:r>
      <w:r w:rsidRPr="0085128E">
        <w:t xml:space="preserve">Union, les travaux portant sur la révision des “Notes explicatives concernant les dénominations variétales en vertu de la </w:t>
      </w:r>
      <w:r w:rsidR="008D0CFD" w:rsidRPr="0085128E">
        <w:t>Convention UPOV</w:t>
      </w:r>
      <w:r w:rsidRPr="0085128E">
        <w:t>” ont débuté et, en parallèle, ceux relatifs à l</w:t>
      </w:r>
      <w:r w:rsidR="008D0CFD" w:rsidRPr="0085128E">
        <w:t>’</w:t>
      </w:r>
      <w:r w:rsidRPr="0085128E">
        <w:t>élaboration de propositions relatives à un outil de recherche de l</w:t>
      </w:r>
      <w:r w:rsidR="008D0CFD" w:rsidRPr="0085128E">
        <w:t>’</w:t>
      </w:r>
      <w:r w:rsidRPr="0085128E">
        <w:t>UPOV de similarité aux fins de la dénomination variétale se poursuivro</w:t>
      </w:r>
      <w:r w:rsidR="009F5A99" w:rsidRPr="0085128E">
        <w:t>nt.  Le</w:t>
      </w:r>
      <w:r w:rsidRPr="0085128E">
        <w:t>s travaux visant à augmenter la qualité et la quantité des données figurant dans la base de données PLUTO se poursuivront aussi et nécessiteront peut</w:t>
      </w:r>
      <w:r w:rsidR="008D0CFD" w:rsidRPr="0085128E">
        <w:t>-</w:t>
      </w:r>
      <w:r w:rsidRPr="0085128E">
        <w:t>être la mise en œuvre de mécanismes et de ressources additionnels visant à aider les membres de l</w:t>
      </w:r>
      <w:r w:rsidR="008D0CFD" w:rsidRPr="0085128E">
        <w:t>’</w:t>
      </w:r>
      <w:r w:rsidRPr="0085128E">
        <w:t>Union à fournir des données régulièrement.</w:t>
      </w:r>
    </w:p>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6D3801" w:rsidP="0085128E">
            <w:pPr>
              <w:pStyle w:val="figures"/>
            </w:pPr>
            <w:r w:rsidRPr="0085128E">
              <w:t>Figure</w:t>
            </w:r>
            <w:r w:rsidR="00E73CFB" w:rsidRPr="0085128E">
              <w:t> </w:t>
            </w:r>
            <w:r w:rsidRPr="0085128E">
              <w:t>6</w:t>
            </w:r>
            <w:r w:rsidR="008D0CFD" w:rsidRPr="0085128E">
              <w:t> :</w:t>
            </w:r>
            <w:r w:rsidRPr="0085128E">
              <w:t xml:space="preserve"> Nombre de demandes, de titres délivrés et de titres en vigueur parmi les membres de l</w:t>
            </w:r>
            <w:r w:rsidR="008D0CFD" w:rsidRPr="0085128E">
              <w:t>’</w:t>
            </w:r>
            <w:r w:rsidRPr="0085128E">
              <w:t>Union</w:t>
            </w:r>
          </w:p>
        </w:tc>
      </w:tr>
      <w:tr w:rsidR="00604822" w:rsidRPr="0085128E" w:rsidTr="00962988">
        <w:tc>
          <w:tcPr>
            <w:tcW w:w="9855" w:type="dxa"/>
          </w:tcPr>
          <w:p w:rsidR="00604822" w:rsidRPr="0085128E" w:rsidRDefault="00893962" w:rsidP="0085128E">
            <w:pPr>
              <w:jc w:val="center"/>
            </w:pPr>
            <w:r w:rsidRPr="0085128E">
              <w:rPr>
                <w:noProof/>
                <w:lang w:val="en-US"/>
              </w:rPr>
              <w:drawing>
                <wp:inline distT="0" distB="0" distL="0" distR="0" wp14:anchorId="48F30E71" wp14:editId="2F7DD5E6">
                  <wp:extent cx="6120765" cy="39579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3957955"/>
                          </a:xfrm>
                          <a:prstGeom prst="rect">
                            <a:avLst/>
                          </a:prstGeom>
                          <a:noFill/>
                          <a:ln>
                            <a:noFill/>
                          </a:ln>
                        </pic:spPr>
                      </pic:pic>
                    </a:graphicData>
                  </a:graphic>
                </wp:inline>
              </w:drawing>
            </w:r>
          </w:p>
        </w:tc>
      </w:tr>
    </w:tbl>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6D3801" w:rsidP="0085128E">
            <w:pPr>
              <w:pStyle w:val="figures"/>
            </w:pPr>
            <w:r w:rsidRPr="0085128E">
              <w:t>Figure</w:t>
            </w:r>
            <w:r w:rsidR="00E73CFB" w:rsidRPr="0085128E">
              <w:t> </w:t>
            </w:r>
            <w:r w:rsidRPr="0085128E">
              <w:t>7</w:t>
            </w:r>
            <w:r w:rsidR="008D0CFD" w:rsidRPr="0085128E">
              <w:t> :</w:t>
            </w:r>
            <w:r w:rsidRPr="0085128E">
              <w:t xml:space="preserve"> Évolution de la protection des genres et espèces végétaux</w:t>
            </w:r>
          </w:p>
        </w:tc>
      </w:tr>
      <w:tr w:rsidR="00604822" w:rsidRPr="0085128E" w:rsidTr="00962988">
        <w:tc>
          <w:tcPr>
            <w:tcW w:w="9855" w:type="dxa"/>
          </w:tcPr>
          <w:p w:rsidR="00604822" w:rsidRPr="0085128E" w:rsidRDefault="00893962" w:rsidP="0085128E">
            <w:pPr>
              <w:jc w:val="center"/>
            </w:pPr>
            <w:r w:rsidRPr="0085128E">
              <w:rPr>
                <w:noProof/>
                <w:lang w:val="en-US"/>
              </w:rPr>
              <w:drawing>
                <wp:inline distT="0" distB="0" distL="0" distR="0" wp14:anchorId="0983B206" wp14:editId="1C513F03">
                  <wp:extent cx="6114415" cy="434657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4415" cy="4346575"/>
                          </a:xfrm>
                          <a:prstGeom prst="rect">
                            <a:avLst/>
                          </a:prstGeom>
                          <a:noFill/>
                          <a:ln>
                            <a:noFill/>
                          </a:ln>
                        </pic:spPr>
                      </pic:pic>
                    </a:graphicData>
                  </a:graphic>
                </wp:inline>
              </w:drawing>
            </w:r>
          </w:p>
        </w:tc>
      </w:tr>
    </w:tbl>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6D3801" w:rsidP="0085128E">
            <w:pPr>
              <w:pStyle w:val="figures"/>
            </w:pPr>
            <w:r w:rsidRPr="0085128E">
              <w:t>Figure</w:t>
            </w:r>
            <w:r w:rsidR="00E73CFB" w:rsidRPr="0085128E">
              <w:t> </w:t>
            </w:r>
            <w:r w:rsidRPr="0085128E">
              <w:t>8</w:t>
            </w:r>
            <w:r w:rsidR="008D0CFD" w:rsidRPr="0085128E">
              <w:t> :</w:t>
            </w:r>
            <w:r w:rsidRPr="0085128E">
              <w:t xml:space="preserve"> Genres/espèces pour lesquels il existe des accords de coopération, de l</w:t>
            </w:r>
            <w:r w:rsidR="008D0CFD" w:rsidRPr="0085128E">
              <w:t>’</w:t>
            </w:r>
            <w:r w:rsidRPr="0085128E">
              <w:t>expérience pratique et des entrées de droits d</w:t>
            </w:r>
            <w:r w:rsidR="008D0CFD" w:rsidRPr="0085128E">
              <w:t>’</w:t>
            </w:r>
            <w:r w:rsidRPr="0085128E">
              <w:t>obtenteur dans la base de données sur les variétés végétales</w:t>
            </w:r>
          </w:p>
        </w:tc>
      </w:tr>
      <w:tr w:rsidR="00604822" w:rsidRPr="0085128E" w:rsidTr="00962988">
        <w:tc>
          <w:tcPr>
            <w:tcW w:w="9855" w:type="dxa"/>
          </w:tcPr>
          <w:p w:rsidR="00604822" w:rsidRPr="0085128E" w:rsidRDefault="00CD3A24" w:rsidP="0085128E">
            <w:pPr>
              <w:jc w:val="center"/>
            </w:pPr>
            <w:r w:rsidRPr="0085128E">
              <w:rPr>
                <w:noProof/>
                <w:lang w:val="en-US"/>
              </w:rPr>
              <w:drawing>
                <wp:inline distT="0" distB="0" distL="0" distR="0" wp14:anchorId="73EB1DB8" wp14:editId="1DE00E90">
                  <wp:extent cx="6115050" cy="44259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4425950"/>
                          </a:xfrm>
                          <a:prstGeom prst="rect">
                            <a:avLst/>
                          </a:prstGeom>
                          <a:noFill/>
                          <a:ln>
                            <a:noFill/>
                          </a:ln>
                        </pic:spPr>
                      </pic:pic>
                    </a:graphicData>
                  </a:graphic>
                </wp:inline>
              </w:drawing>
            </w:r>
          </w:p>
        </w:tc>
      </w:tr>
    </w:tbl>
    <w:p w:rsidR="00720382" w:rsidRPr="0085128E" w:rsidRDefault="00720382" w:rsidP="0085128E"/>
    <w:p w:rsidR="003711EE" w:rsidRPr="0085128E" w:rsidRDefault="006D3801" w:rsidP="0085128E">
      <w:r w:rsidRPr="0085128E">
        <w:t>1.13</w:t>
      </w:r>
      <w:r w:rsidRPr="0085128E">
        <w:tab/>
        <w:t xml:space="preserve">En </w:t>
      </w:r>
      <w:r w:rsidR="008D0CFD" w:rsidRPr="0085128E">
        <w:t>janvier 20</w:t>
      </w:r>
      <w:r w:rsidRPr="0085128E">
        <w:t>17, l</w:t>
      </w:r>
      <w:r w:rsidR="008D0CFD" w:rsidRPr="0085128E">
        <w:t>’</w:t>
      </w:r>
      <w:r w:rsidRPr="0085128E">
        <w:t>UPOV a lancé son formulaire de demande électronique, un outil de demande de droit d</w:t>
      </w:r>
      <w:r w:rsidR="008D0CFD" w:rsidRPr="0085128E">
        <w:t>’</w:t>
      </w:r>
      <w:r w:rsidRPr="0085128E">
        <w:t>obtenteur multilingue en ligne qui peut être utilisé pour fournir les données relatives aux demandes à tous les services de protection des obtentions végétales participant au format exi</w:t>
      </w:r>
      <w:r w:rsidR="009F5A99" w:rsidRPr="0085128E">
        <w:t>gé.  Au</w:t>
      </w:r>
      <w:r w:rsidRPr="0085128E">
        <w:t xml:space="preserve"> lancement du formulaire de demande électronique, 11</w:t>
      </w:r>
      <w:r w:rsidR="00E06D97" w:rsidRPr="0085128E">
        <w:t> </w:t>
      </w:r>
      <w:r w:rsidRPr="0085128E">
        <w:t>membres de l</w:t>
      </w:r>
      <w:r w:rsidR="008D0CFD" w:rsidRPr="0085128E">
        <w:t>’</w:t>
      </w:r>
      <w:r w:rsidRPr="0085128E">
        <w:t>Union et cinq</w:t>
      </w:r>
      <w:r w:rsidR="00C833CB" w:rsidRPr="0085128E">
        <w:t> </w:t>
      </w:r>
      <w:r w:rsidRPr="0085128E">
        <w:t>plantes et espèces étaient couver</w:t>
      </w:r>
      <w:r w:rsidR="009F5A99" w:rsidRPr="0085128E">
        <w:t xml:space="preserve">ts.  À </w:t>
      </w:r>
      <w:r w:rsidRPr="0085128E">
        <w:t>l</w:t>
      </w:r>
      <w:r w:rsidR="008D0CFD" w:rsidRPr="0085128E">
        <w:t>’</w:t>
      </w:r>
      <w:r w:rsidRPr="0085128E">
        <w:t>avenir, l</w:t>
      </w:r>
      <w:r w:rsidR="008D0CFD" w:rsidRPr="0085128E">
        <w:t>’</w:t>
      </w:r>
      <w:r w:rsidRPr="0085128E">
        <w:t>objectif sera d</w:t>
      </w:r>
      <w:r w:rsidR="008D0CFD" w:rsidRPr="0085128E">
        <w:t>’</w:t>
      </w:r>
      <w:r w:rsidRPr="0085128E">
        <w:t>étendre son champ d</w:t>
      </w:r>
      <w:r w:rsidR="008D0CFD" w:rsidRPr="0085128E">
        <w:t>’</w:t>
      </w:r>
      <w:r w:rsidRPr="0085128E">
        <w:t>application à tous les membres de l</w:t>
      </w:r>
      <w:r w:rsidR="008D0CFD" w:rsidRPr="0085128E">
        <w:t>’</w:t>
      </w:r>
      <w:r w:rsidRPr="0085128E">
        <w:t>Union qui souhaitent participer et d</w:t>
      </w:r>
      <w:r w:rsidR="008D0CFD" w:rsidRPr="0085128E">
        <w:t>’</w:t>
      </w:r>
      <w:r w:rsidRPr="0085128E">
        <w:t>y intégrer toutes les plantes et espèces.</w:t>
      </w:r>
    </w:p>
    <w:p w:rsidR="00720382" w:rsidRPr="0085128E" w:rsidRDefault="00720382" w:rsidP="0085128E"/>
    <w:p w:rsidR="00720382" w:rsidRPr="0085128E" w:rsidRDefault="00720382" w:rsidP="0085128E"/>
    <w:p w:rsidR="00720382" w:rsidRPr="00571132" w:rsidRDefault="006D3801" w:rsidP="00571132">
      <w:pPr>
        <w:pStyle w:val="Heading2"/>
        <w:rPr>
          <w:b w:val="0"/>
        </w:rPr>
      </w:pPr>
      <w:bookmarkStart w:id="37" w:name="_Toc489954597"/>
      <w:bookmarkStart w:id="38" w:name="_Toc489954782"/>
      <w:bookmarkStart w:id="39" w:name="_Toc489956744"/>
      <w:bookmarkStart w:id="40" w:name="_Toc489956832"/>
      <w:bookmarkStart w:id="41" w:name="_Toc490572898"/>
      <w:bookmarkStart w:id="42" w:name="_Toc491088273"/>
      <w:r w:rsidRPr="00571132">
        <w:rPr>
          <w:b w:val="0"/>
        </w:rPr>
        <w:t>Faits nouveaux survenus à l</w:t>
      </w:r>
      <w:r w:rsidR="008D0CFD" w:rsidRPr="00571132">
        <w:rPr>
          <w:b w:val="0"/>
        </w:rPr>
        <w:t>’</w:t>
      </w:r>
      <w:r w:rsidRPr="00571132">
        <w:rPr>
          <w:b w:val="0"/>
        </w:rPr>
        <w:t>extérieur de l</w:t>
      </w:r>
      <w:r w:rsidR="008D0CFD" w:rsidRPr="00571132">
        <w:rPr>
          <w:b w:val="0"/>
        </w:rPr>
        <w:t>’</w:t>
      </w:r>
      <w:r w:rsidRPr="00571132">
        <w:rPr>
          <w:b w:val="0"/>
        </w:rPr>
        <w:t>UPOV</w:t>
      </w:r>
      <w:bookmarkEnd w:id="37"/>
      <w:bookmarkEnd w:id="38"/>
      <w:bookmarkEnd w:id="39"/>
      <w:bookmarkEnd w:id="40"/>
      <w:bookmarkEnd w:id="41"/>
      <w:bookmarkEnd w:id="42"/>
    </w:p>
    <w:p w:rsidR="00720382" w:rsidRPr="0085128E" w:rsidRDefault="00720382" w:rsidP="0085128E">
      <w:pPr>
        <w:jc w:val="left"/>
        <w:rPr>
          <w:snapToGrid w:val="0"/>
          <w:u w:val="single"/>
        </w:rPr>
      </w:pPr>
    </w:p>
    <w:p w:rsidR="00720382" w:rsidRPr="0085128E" w:rsidRDefault="006D3801" w:rsidP="0085128E">
      <w:pPr>
        <w:rPr>
          <w:snapToGrid w:val="0"/>
        </w:rPr>
      </w:pPr>
      <w:r w:rsidRPr="0085128E">
        <w:rPr>
          <w:snapToGrid w:val="0"/>
        </w:rPr>
        <w:t>1.14</w:t>
      </w:r>
      <w:r w:rsidRPr="0085128E">
        <w:rPr>
          <w:snapToGrid w:val="0"/>
        </w:rPr>
        <w:tab/>
        <w:t>S</w:t>
      </w:r>
      <w:r w:rsidR="008D0CFD" w:rsidRPr="0085128E">
        <w:rPr>
          <w:snapToGrid w:val="0"/>
        </w:rPr>
        <w:t>’</w:t>
      </w:r>
      <w:r w:rsidRPr="0085128E">
        <w:rPr>
          <w:snapToGrid w:val="0"/>
        </w:rPr>
        <w:t>agissant des relations extérieures, l</w:t>
      </w:r>
      <w:r w:rsidR="008D0CFD" w:rsidRPr="0085128E">
        <w:rPr>
          <w:snapToGrid w:val="0"/>
        </w:rPr>
        <w:t>’</w:t>
      </w:r>
      <w:r w:rsidRPr="0085128E">
        <w:rPr>
          <w:snapToGrid w:val="0"/>
        </w:rPr>
        <w:t>UPOV vise à élargir et renforcer la compréhension du système de l</w:t>
      </w:r>
      <w:r w:rsidR="008D0CFD" w:rsidRPr="0085128E">
        <w:rPr>
          <w:snapToGrid w:val="0"/>
        </w:rPr>
        <w:t>’</w:t>
      </w:r>
      <w:r w:rsidRPr="0085128E">
        <w:rPr>
          <w:snapToGrid w:val="0"/>
        </w:rPr>
        <w:t>UPOV de protection des obtentions végétales ainsi qu</w:t>
      </w:r>
      <w:r w:rsidR="008D0CFD" w:rsidRPr="0085128E">
        <w:rPr>
          <w:snapToGrid w:val="0"/>
        </w:rPr>
        <w:t>’</w:t>
      </w:r>
      <w:r w:rsidRPr="0085128E">
        <w:rPr>
          <w:snapToGrid w:val="0"/>
        </w:rPr>
        <w:t xml:space="preserve">à fournir aux autres organisations intergouvernementales des informations sur la </w:t>
      </w:r>
      <w:r w:rsidR="008D0CFD" w:rsidRPr="0085128E">
        <w:rPr>
          <w:snapToGrid w:val="0"/>
        </w:rPr>
        <w:t>Convention UPOV</w:t>
      </w:r>
      <w:r w:rsidRPr="0085128E">
        <w:rPr>
          <w:snapToGrid w:val="0"/>
        </w:rPr>
        <w:t xml:space="preserve"> en vue d</w:t>
      </w:r>
      <w:r w:rsidR="008D0CFD" w:rsidRPr="0085128E">
        <w:rPr>
          <w:snapToGrid w:val="0"/>
        </w:rPr>
        <w:t>’</w:t>
      </w:r>
      <w:r w:rsidRPr="0085128E">
        <w:rPr>
          <w:snapToGrid w:val="0"/>
        </w:rPr>
        <w:t>assurer sa complémentarité avec les autres traités internationaux.</w:t>
      </w:r>
    </w:p>
    <w:p w:rsidR="00720382" w:rsidRPr="0085128E" w:rsidRDefault="00720382" w:rsidP="0085128E">
      <w:pPr>
        <w:rPr>
          <w:snapToGrid w:val="0"/>
        </w:rPr>
      </w:pPr>
    </w:p>
    <w:p w:rsidR="003711EE" w:rsidRPr="0085128E" w:rsidRDefault="006D3801" w:rsidP="0085128E">
      <w:pPr>
        <w:rPr>
          <w:snapToGrid w:val="0"/>
        </w:rPr>
      </w:pPr>
      <w:r w:rsidRPr="0085128E">
        <w:rPr>
          <w:snapToGrid w:val="0"/>
        </w:rPr>
        <w:t>1.15</w:t>
      </w:r>
      <w:r w:rsidRPr="0085128E">
        <w:rPr>
          <w:snapToGrid w:val="0"/>
        </w:rPr>
        <w:tab/>
        <w:t>Le paysage des instruments internationaux ayant une incidence sur les obtentions végétales est devenu plus complexe ces dernières anné</w:t>
      </w:r>
      <w:r w:rsidR="009F5A99" w:rsidRPr="0085128E">
        <w:rPr>
          <w:snapToGrid w:val="0"/>
        </w:rPr>
        <w:t>es.  Av</w:t>
      </w:r>
      <w:r w:rsidRPr="0085128E">
        <w:rPr>
          <w:snapToGrid w:val="0"/>
        </w:rPr>
        <w:t>ant les années</w:t>
      </w:r>
      <w:r w:rsidR="00E73CFB" w:rsidRPr="0085128E">
        <w:rPr>
          <w:snapToGrid w:val="0"/>
        </w:rPr>
        <w:t> </w:t>
      </w:r>
      <w:r w:rsidRPr="0085128E">
        <w:rPr>
          <w:snapToGrid w:val="0"/>
        </w:rPr>
        <w:t>2000, les instruments internationaux concernés comprenaient les Systèmes de l</w:t>
      </w:r>
      <w:r w:rsidR="008D0CFD" w:rsidRPr="0085128E">
        <w:rPr>
          <w:snapToGrid w:val="0"/>
        </w:rPr>
        <w:t>’</w:t>
      </w:r>
      <w:r w:rsidRPr="0085128E">
        <w:rPr>
          <w:snapToGrid w:val="0"/>
        </w:rPr>
        <w:t>Organisation de coopération et de développement économiques (OCDE) pour la certification variétale ou le contrôle des semences destinées au commerce international (Systèmes de</w:t>
      </w:r>
      <w:r w:rsidR="00253DE3" w:rsidRPr="0085128E">
        <w:rPr>
          <w:snapToGrid w:val="0"/>
        </w:rPr>
        <w:t>s</w:t>
      </w:r>
      <w:r w:rsidRPr="0085128E">
        <w:rPr>
          <w:snapToGrid w:val="0"/>
        </w:rPr>
        <w:t xml:space="preserve"> semences de l</w:t>
      </w:r>
      <w:r w:rsidR="008D0CFD" w:rsidRPr="0085128E">
        <w:rPr>
          <w:snapToGrid w:val="0"/>
        </w:rPr>
        <w:t>’</w:t>
      </w:r>
      <w:r w:rsidRPr="0085128E">
        <w:rPr>
          <w:snapToGrid w:val="0"/>
        </w:rPr>
        <w:t>OCDE) et l</w:t>
      </w:r>
      <w:r w:rsidR="008D0CFD" w:rsidRPr="0085128E">
        <w:rPr>
          <w:snapToGrid w:val="0"/>
        </w:rPr>
        <w:t>’</w:t>
      </w:r>
      <w:r w:rsidRPr="0085128E">
        <w:rPr>
          <w:snapToGrid w:val="0"/>
        </w:rPr>
        <w:t>Accord sur les aspects des droits de propriété intellectuelle qui touchent au commerce (Accord sur</w:t>
      </w:r>
      <w:r w:rsidR="008D0CFD" w:rsidRPr="0085128E">
        <w:rPr>
          <w:snapToGrid w:val="0"/>
        </w:rPr>
        <w:t xml:space="preserve"> les ADP</w:t>
      </w:r>
      <w:r w:rsidR="00075565">
        <w:rPr>
          <w:snapToGrid w:val="0"/>
        </w:rPr>
        <w:t xml:space="preserve">IC) de </w:t>
      </w:r>
      <w:r w:rsidR="00075565" w:rsidRPr="00075565">
        <w:rPr>
          <w:snapToGrid w:val="0"/>
        </w:rPr>
        <w:t>l’Organisation mondiale du commerce (OMC)</w:t>
      </w:r>
      <w:r w:rsidRPr="0085128E">
        <w:rPr>
          <w:snapToGrid w:val="0"/>
        </w:rPr>
        <w:t>.</w:t>
      </w:r>
      <w:r w:rsidR="00604822" w:rsidRPr="0085128E">
        <w:t xml:space="preserve">  </w:t>
      </w:r>
      <w:r w:rsidR="008D0CFD" w:rsidRPr="0085128E">
        <w:rPr>
          <w:snapToGrid w:val="0"/>
        </w:rPr>
        <w:t>Depuis 2000</w:t>
      </w:r>
      <w:r w:rsidRPr="0085128E">
        <w:rPr>
          <w:snapToGrid w:val="0"/>
        </w:rPr>
        <w:t>, le Protocole de Cartagena sur la prévention des risques biotechnologiques relatif à la Convention sur la diversité biologique (CDB) (2000), le Traité international sur les ressources phytogénétiques pour l</w:t>
      </w:r>
      <w:r w:rsidR="008D0CFD" w:rsidRPr="0085128E">
        <w:rPr>
          <w:snapToGrid w:val="0"/>
        </w:rPr>
        <w:t>’</w:t>
      </w:r>
      <w:r w:rsidRPr="0085128E">
        <w:rPr>
          <w:snapToGrid w:val="0"/>
        </w:rPr>
        <w:t>alimentation et l</w:t>
      </w:r>
      <w:r w:rsidR="008D0CFD" w:rsidRPr="0085128E">
        <w:rPr>
          <w:snapToGrid w:val="0"/>
        </w:rPr>
        <w:t>’</w:t>
      </w:r>
      <w:r w:rsidRPr="0085128E">
        <w:rPr>
          <w:snapToGrid w:val="0"/>
        </w:rPr>
        <w:t>agriculture (Traité international) de l</w:t>
      </w:r>
      <w:r w:rsidR="008D0CFD" w:rsidRPr="0085128E">
        <w:rPr>
          <w:snapToGrid w:val="0"/>
        </w:rPr>
        <w:t>’</w:t>
      </w:r>
      <w:r w:rsidRPr="0085128E">
        <w:rPr>
          <w:snapToGrid w:val="0"/>
        </w:rPr>
        <w:t xml:space="preserve">Organisation des </w:t>
      </w:r>
      <w:r w:rsidR="008D0CFD" w:rsidRPr="0085128E">
        <w:rPr>
          <w:snapToGrid w:val="0"/>
        </w:rPr>
        <w:t>Nations Unies</w:t>
      </w:r>
      <w:r w:rsidRPr="0085128E">
        <w:rPr>
          <w:snapToGrid w:val="0"/>
        </w:rPr>
        <w:t xml:space="preserve"> pour l</w:t>
      </w:r>
      <w:r w:rsidR="008D0CFD" w:rsidRPr="0085128E">
        <w:rPr>
          <w:snapToGrid w:val="0"/>
        </w:rPr>
        <w:t>’</w:t>
      </w:r>
      <w:r w:rsidRPr="0085128E">
        <w:rPr>
          <w:snapToGrid w:val="0"/>
        </w:rPr>
        <w:t>alimentation et l</w:t>
      </w:r>
      <w:r w:rsidR="008D0CFD" w:rsidRPr="0085128E">
        <w:rPr>
          <w:snapToGrid w:val="0"/>
        </w:rPr>
        <w:t>’</w:t>
      </w:r>
      <w:r w:rsidRPr="0085128E">
        <w:rPr>
          <w:snapToGrid w:val="0"/>
        </w:rPr>
        <w:t>agriculture (FAO) (2001) et le Protocole de Nagoya sur l</w:t>
      </w:r>
      <w:r w:rsidR="008D0CFD" w:rsidRPr="0085128E">
        <w:rPr>
          <w:snapToGrid w:val="0"/>
        </w:rPr>
        <w:t>’</w:t>
      </w:r>
      <w:r w:rsidRPr="0085128E">
        <w:rPr>
          <w:snapToGrid w:val="0"/>
        </w:rPr>
        <w:t>accès aux ressources génétiques et le partage juste et équitable des avantages découlant de leur utilisation relatif à la Convention sur la diversité biologique (Protocole de Nagoya) (2010) ont été adopt</w:t>
      </w:r>
      <w:r w:rsidR="009F5A99" w:rsidRPr="0085128E">
        <w:rPr>
          <w:snapToGrid w:val="0"/>
        </w:rPr>
        <w:t>és.  L’é</w:t>
      </w:r>
      <w:r w:rsidRPr="0085128E">
        <w:rPr>
          <w:snapToGrid w:val="0"/>
        </w:rPr>
        <w:t>volution des techniques de sélection végétale a également renforcé le rôle de l</w:t>
      </w:r>
      <w:r w:rsidR="008D0CFD" w:rsidRPr="0085128E">
        <w:rPr>
          <w:snapToGrid w:val="0"/>
        </w:rPr>
        <w:t>’</w:t>
      </w:r>
      <w:r w:rsidRPr="0085128E">
        <w:rPr>
          <w:snapToGrid w:val="0"/>
        </w:rPr>
        <w:t>Accord sur</w:t>
      </w:r>
      <w:r w:rsidR="008D0CFD" w:rsidRPr="0085128E">
        <w:rPr>
          <w:snapToGrid w:val="0"/>
        </w:rPr>
        <w:t xml:space="preserve"> les ADP</w:t>
      </w:r>
      <w:r w:rsidRPr="0085128E">
        <w:rPr>
          <w:snapToGrid w:val="0"/>
        </w:rPr>
        <w:t>IC, suscitant l</w:t>
      </w:r>
      <w:r w:rsidR="008D0CFD" w:rsidRPr="0085128E">
        <w:rPr>
          <w:snapToGrid w:val="0"/>
        </w:rPr>
        <w:t>’</w:t>
      </w:r>
      <w:r w:rsidRPr="0085128E">
        <w:rPr>
          <w:snapToGrid w:val="0"/>
        </w:rPr>
        <w:t xml:space="preserve">intérêt accru des obtenteurs pour les </w:t>
      </w:r>
      <w:r w:rsidR="009C4BBF" w:rsidRPr="0085128E">
        <w:rPr>
          <w:snapToGrid w:val="0"/>
        </w:rPr>
        <w:t>brevets</w:t>
      </w:r>
      <w:r w:rsidR="009F5A99" w:rsidRPr="0085128E">
        <w:rPr>
          <w:snapToGrid w:val="0"/>
        </w:rPr>
        <w:t>.  Ce</w:t>
      </w:r>
      <w:r w:rsidR="000151A5" w:rsidRPr="0085128E">
        <w:rPr>
          <w:snapToGrid w:val="0"/>
        </w:rPr>
        <w:t>s faits nouveaux, associés à la nécessité pour les gouvernements de mettre en œuvre le Traité international et le Protocole de Nagoya, soulignent d</w:t>
      </w:r>
      <w:r w:rsidR="008D0CFD" w:rsidRPr="0085128E">
        <w:rPr>
          <w:snapToGrid w:val="0"/>
        </w:rPr>
        <w:t>’</w:t>
      </w:r>
      <w:r w:rsidR="000151A5" w:rsidRPr="0085128E">
        <w:rPr>
          <w:snapToGrid w:val="0"/>
        </w:rPr>
        <w:t>autant plus le besoin pour l</w:t>
      </w:r>
      <w:r w:rsidR="008D0CFD" w:rsidRPr="0085128E">
        <w:rPr>
          <w:snapToGrid w:val="0"/>
        </w:rPr>
        <w:t>’</w:t>
      </w:r>
      <w:r w:rsidR="000151A5" w:rsidRPr="0085128E">
        <w:rPr>
          <w:snapToGrid w:val="0"/>
        </w:rPr>
        <w:t xml:space="preserve">UPOV de fournir aux autres organisations intergouvernementales des informations sur la </w:t>
      </w:r>
      <w:r w:rsidR="008D0CFD" w:rsidRPr="0085128E">
        <w:rPr>
          <w:snapToGrid w:val="0"/>
        </w:rPr>
        <w:t>Convention UPOV</w:t>
      </w:r>
      <w:r w:rsidR="000151A5" w:rsidRPr="0085128E">
        <w:rPr>
          <w:snapToGrid w:val="0"/>
        </w:rPr>
        <w:t>, en vue d</w:t>
      </w:r>
      <w:r w:rsidR="008D0CFD" w:rsidRPr="0085128E">
        <w:rPr>
          <w:snapToGrid w:val="0"/>
        </w:rPr>
        <w:t>’</w:t>
      </w:r>
      <w:r w:rsidR="000151A5" w:rsidRPr="0085128E">
        <w:rPr>
          <w:snapToGrid w:val="0"/>
        </w:rPr>
        <w:t>assurer sa complémentarité avec les autres traités internationaux.</w:t>
      </w:r>
    </w:p>
    <w:p w:rsidR="00720382" w:rsidRPr="0085128E" w:rsidRDefault="00720382" w:rsidP="0085128E">
      <w:pPr>
        <w:jc w:val="left"/>
        <w:rPr>
          <w:snapToGrid w:val="0"/>
        </w:rPr>
      </w:pPr>
    </w:p>
    <w:p w:rsidR="00720382" w:rsidRPr="0085128E" w:rsidRDefault="000151A5" w:rsidP="0085128E">
      <w:pPr>
        <w:rPr>
          <w:snapToGrid w:val="0"/>
        </w:rPr>
      </w:pPr>
      <w:r w:rsidRPr="0085128E">
        <w:rPr>
          <w:snapToGrid w:val="0"/>
        </w:rPr>
        <w:t>1.16</w:t>
      </w:r>
      <w:r w:rsidRPr="0085128E">
        <w:rPr>
          <w:snapToGrid w:val="0"/>
        </w:rPr>
        <w:tab/>
        <w:t>Ce besoin de complémentarité a été débattu à l</w:t>
      </w:r>
      <w:r w:rsidR="008D0CFD" w:rsidRPr="0085128E">
        <w:rPr>
          <w:snapToGrid w:val="0"/>
        </w:rPr>
        <w:t>’</w:t>
      </w:r>
      <w:r w:rsidRPr="0085128E">
        <w:rPr>
          <w:snapToGrid w:val="0"/>
        </w:rPr>
        <w:t>occasion du “Colloque sur les éventuels domaines d</w:t>
      </w:r>
      <w:r w:rsidR="008D0CFD" w:rsidRPr="0085128E">
        <w:rPr>
          <w:snapToGrid w:val="0"/>
        </w:rPr>
        <w:t>’</w:t>
      </w:r>
      <w:r w:rsidRPr="0085128E">
        <w:rPr>
          <w:snapToGrid w:val="0"/>
        </w:rPr>
        <w:t xml:space="preserve">interaction entre le Traité international et la </w:t>
      </w:r>
      <w:r w:rsidR="008D0CFD" w:rsidRPr="0085128E">
        <w:rPr>
          <w:snapToGrid w:val="0"/>
        </w:rPr>
        <w:t>Convention UPOV</w:t>
      </w:r>
      <w:r w:rsidRPr="0085128E">
        <w:rPr>
          <w:snapToGrid w:val="0"/>
        </w:rPr>
        <w:t>”, qui s</w:t>
      </w:r>
      <w:r w:rsidR="008D0CFD" w:rsidRPr="0085128E">
        <w:rPr>
          <w:snapToGrid w:val="0"/>
        </w:rPr>
        <w:t>’</w:t>
      </w:r>
      <w:r w:rsidRPr="0085128E">
        <w:rPr>
          <w:snapToGrid w:val="0"/>
        </w:rPr>
        <w:t>est tenu au siège de l</w:t>
      </w:r>
      <w:r w:rsidR="008D0CFD" w:rsidRPr="0085128E">
        <w:rPr>
          <w:snapToGrid w:val="0"/>
        </w:rPr>
        <w:t>’</w:t>
      </w:r>
      <w:r w:rsidRPr="0085128E">
        <w:rPr>
          <w:snapToGrid w:val="0"/>
        </w:rPr>
        <w:t>UPOV à Genève le 2</w:t>
      </w:r>
      <w:r w:rsidR="008D0CFD" w:rsidRPr="0085128E">
        <w:rPr>
          <w:snapToGrid w:val="0"/>
        </w:rPr>
        <w:t>6 octobre 20</w:t>
      </w:r>
      <w:r w:rsidRPr="0085128E">
        <w:rPr>
          <w:snapToGrid w:val="0"/>
        </w:rPr>
        <w:t xml:space="preserve">16. </w:t>
      </w:r>
      <w:r w:rsidR="00C833CB" w:rsidRPr="0085128E">
        <w:rPr>
          <w:snapToGrid w:val="0"/>
        </w:rPr>
        <w:t xml:space="preserve"> </w:t>
      </w:r>
      <w:r w:rsidRPr="0085128E">
        <w:rPr>
          <w:snapToGrid w:val="0"/>
        </w:rPr>
        <w:t>Lors de l</w:t>
      </w:r>
      <w:r w:rsidR="008D0CFD" w:rsidRPr="0085128E">
        <w:rPr>
          <w:snapToGrid w:val="0"/>
        </w:rPr>
        <w:t>’</w:t>
      </w:r>
      <w:r w:rsidRPr="0085128E">
        <w:rPr>
          <w:snapToGrid w:val="0"/>
        </w:rPr>
        <w:t>allocution de clôture, les comodérateurs M.</w:t>
      </w:r>
      <w:r w:rsidR="00C833CB" w:rsidRPr="0085128E">
        <w:rPr>
          <w:snapToGrid w:val="0"/>
        </w:rPr>
        <w:t> </w:t>
      </w:r>
      <w:r w:rsidRPr="0085128E">
        <w:rPr>
          <w:snapToGrid w:val="0"/>
        </w:rPr>
        <w:t>Muhamad</w:t>
      </w:r>
      <w:r w:rsidR="006946D9" w:rsidRPr="0085128E">
        <w:rPr>
          <w:snapToGrid w:val="0"/>
        </w:rPr>
        <w:t> </w:t>
      </w:r>
      <w:r w:rsidRPr="0085128E">
        <w:rPr>
          <w:snapToGrid w:val="0"/>
        </w:rPr>
        <w:t>Sabran, président de la sept</w:t>
      </w:r>
      <w:r w:rsidR="008D0CFD" w:rsidRPr="0085128E">
        <w:rPr>
          <w:snapToGrid w:val="0"/>
        </w:rPr>
        <w:t>ième session</w:t>
      </w:r>
      <w:r w:rsidRPr="0085128E">
        <w:rPr>
          <w:snapToGrid w:val="0"/>
        </w:rPr>
        <w:t xml:space="preserve"> de l</w:t>
      </w:r>
      <w:r w:rsidR="008D0CFD" w:rsidRPr="0085128E">
        <w:rPr>
          <w:snapToGrid w:val="0"/>
        </w:rPr>
        <w:t>’</w:t>
      </w:r>
      <w:r w:rsidRPr="0085128E">
        <w:rPr>
          <w:snapToGrid w:val="0"/>
        </w:rPr>
        <w:t>Organe directeur du Traité international, et M.</w:t>
      </w:r>
      <w:r w:rsidR="00C833CB" w:rsidRPr="0085128E">
        <w:rPr>
          <w:snapToGrid w:val="0"/>
        </w:rPr>
        <w:t> </w:t>
      </w:r>
      <w:r w:rsidRPr="0085128E">
        <w:rPr>
          <w:snapToGrid w:val="0"/>
        </w:rPr>
        <w:t>Raimundo</w:t>
      </w:r>
      <w:r w:rsidR="006946D9" w:rsidRPr="0085128E">
        <w:rPr>
          <w:snapToGrid w:val="0"/>
        </w:rPr>
        <w:t> </w:t>
      </w:r>
      <w:r w:rsidRPr="0085128E">
        <w:rPr>
          <w:snapToGrid w:val="0"/>
        </w:rPr>
        <w:t>Lavignolle, vice</w:t>
      </w:r>
      <w:r w:rsidR="008D0CFD" w:rsidRPr="0085128E">
        <w:rPr>
          <w:snapToGrid w:val="0"/>
        </w:rPr>
        <w:t>-</w:t>
      </w:r>
      <w:r w:rsidRPr="0085128E">
        <w:rPr>
          <w:snapToGrid w:val="0"/>
        </w:rPr>
        <w:t>président du Conseil de l</w:t>
      </w:r>
      <w:r w:rsidR="008D0CFD" w:rsidRPr="0085128E">
        <w:rPr>
          <w:snapToGrid w:val="0"/>
        </w:rPr>
        <w:t>’</w:t>
      </w:r>
      <w:r w:rsidRPr="0085128E">
        <w:rPr>
          <w:snapToGrid w:val="0"/>
        </w:rPr>
        <w:t>UPOV, ont conclu que “[…] il était important d</w:t>
      </w:r>
      <w:r w:rsidR="008D0CFD" w:rsidRPr="0085128E">
        <w:rPr>
          <w:snapToGrid w:val="0"/>
        </w:rPr>
        <w:t>’</w:t>
      </w:r>
      <w:r w:rsidRPr="0085128E">
        <w:rPr>
          <w:snapToGrid w:val="0"/>
        </w:rPr>
        <w:t>interpréter et d</w:t>
      </w:r>
      <w:r w:rsidR="008D0CFD" w:rsidRPr="0085128E">
        <w:rPr>
          <w:snapToGrid w:val="0"/>
        </w:rPr>
        <w:t>’</w:t>
      </w:r>
      <w:r w:rsidRPr="0085128E">
        <w:rPr>
          <w:snapToGrid w:val="0"/>
        </w:rPr>
        <w:t>appliquer de manière complémentaire les deux</w:t>
      </w:r>
      <w:r w:rsidR="00C833CB" w:rsidRPr="0085128E">
        <w:rPr>
          <w:snapToGrid w:val="0"/>
        </w:rPr>
        <w:t> </w:t>
      </w:r>
      <w:r w:rsidRPr="0085128E">
        <w:rPr>
          <w:snapToGrid w:val="0"/>
        </w:rPr>
        <w:t>traités dans le contexte de chaque partie contractante”.</w:t>
      </w:r>
      <w:r w:rsidR="00604822" w:rsidRPr="0085128E">
        <w:t xml:space="preserve">  </w:t>
      </w:r>
      <w:r w:rsidRPr="0085128E">
        <w:rPr>
          <w:snapToGrid w:val="0"/>
        </w:rPr>
        <w:t>La figure</w:t>
      </w:r>
      <w:r w:rsidR="00E73CFB" w:rsidRPr="0085128E">
        <w:rPr>
          <w:snapToGrid w:val="0"/>
        </w:rPr>
        <w:t> </w:t>
      </w:r>
      <w:r w:rsidRPr="0085128E">
        <w:rPr>
          <w:snapToGrid w:val="0"/>
        </w:rPr>
        <w:t>9 indique que beaucoup d</w:t>
      </w:r>
      <w:r w:rsidR="008D0CFD" w:rsidRPr="0085128E">
        <w:rPr>
          <w:snapToGrid w:val="0"/>
        </w:rPr>
        <w:t>’</w:t>
      </w:r>
      <w:r w:rsidRPr="0085128E">
        <w:rPr>
          <w:snapToGrid w:val="0"/>
        </w:rPr>
        <w:t>États et d</w:t>
      </w:r>
      <w:r w:rsidR="008D0CFD" w:rsidRPr="0085128E">
        <w:rPr>
          <w:snapToGrid w:val="0"/>
        </w:rPr>
        <w:t>’</w:t>
      </w:r>
      <w:r w:rsidRPr="0085128E">
        <w:rPr>
          <w:snapToGrid w:val="0"/>
        </w:rPr>
        <w:t xml:space="preserve">organisations ont adhéré à la </w:t>
      </w:r>
      <w:r w:rsidR="008D0CFD" w:rsidRPr="0085128E">
        <w:rPr>
          <w:snapToGrid w:val="0"/>
        </w:rPr>
        <w:t>Convention UPOV</w:t>
      </w:r>
      <w:r w:rsidRPr="0085128E">
        <w:rPr>
          <w:snapToGrid w:val="0"/>
        </w:rPr>
        <w:t xml:space="preserve">, au Traité international </w:t>
      </w:r>
      <w:r w:rsidR="00713CE6">
        <w:rPr>
          <w:snapToGrid w:val="0"/>
        </w:rPr>
        <w:t>et/</w:t>
      </w:r>
      <w:r w:rsidRPr="0085128E">
        <w:rPr>
          <w:snapToGrid w:val="0"/>
        </w:rPr>
        <w:t>ou au Protocole de Nago</w:t>
      </w:r>
      <w:r w:rsidR="009F5A99" w:rsidRPr="0085128E">
        <w:rPr>
          <w:snapToGrid w:val="0"/>
        </w:rPr>
        <w:t>ya.  Ce</w:t>
      </w:r>
      <w:r w:rsidRPr="0085128E">
        <w:rPr>
          <w:snapToGrid w:val="0"/>
        </w:rPr>
        <w:t xml:space="preserve">s faits nouveaux renforcent la nécessité de fournir aux autres organisations intergouvernementales des informations sur la </w:t>
      </w:r>
      <w:r w:rsidR="008D0CFD" w:rsidRPr="0085128E">
        <w:rPr>
          <w:snapToGrid w:val="0"/>
        </w:rPr>
        <w:t>Convention UPOV</w:t>
      </w:r>
      <w:r w:rsidRPr="0085128E">
        <w:rPr>
          <w:snapToGrid w:val="0"/>
        </w:rPr>
        <w:t>, en vue d</w:t>
      </w:r>
      <w:r w:rsidR="008D0CFD" w:rsidRPr="0085128E">
        <w:rPr>
          <w:snapToGrid w:val="0"/>
        </w:rPr>
        <w:t>’</w:t>
      </w:r>
      <w:r w:rsidRPr="0085128E">
        <w:rPr>
          <w:snapToGrid w:val="0"/>
        </w:rPr>
        <w:t>assurer sa complémentarité avec les autres traités internationaux.</w:t>
      </w:r>
    </w:p>
    <w:p w:rsidR="00604822" w:rsidRPr="0085128E" w:rsidRDefault="00604822" w:rsidP="0085128E">
      <w:pPr>
        <w:jc w:val="left"/>
        <w:rPr>
          <w:snapToGrid w:val="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85128E" w:rsidRPr="0085128E" w:rsidTr="00962988">
        <w:tc>
          <w:tcPr>
            <w:tcW w:w="9747" w:type="dxa"/>
          </w:tcPr>
          <w:p w:rsidR="00604822" w:rsidRPr="0085128E" w:rsidRDefault="000151A5" w:rsidP="0085128E">
            <w:pPr>
              <w:pStyle w:val="figures"/>
            </w:pPr>
            <w:r w:rsidRPr="0085128E">
              <w:t>Figure</w:t>
            </w:r>
            <w:r w:rsidR="00E73CFB" w:rsidRPr="0085128E">
              <w:t> </w:t>
            </w:r>
            <w:r w:rsidRPr="0085128E">
              <w:t>9</w:t>
            </w:r>
            <w:r w:rsidR="008D0CFD" w:rsidRPr="0085128E">
              <w:t> :</w:t>
            </w:r>
            <w:r w:rsidRPr="0085128E">
              <w:t xml:space="preserve"> États et organisations liés par la </w:t>
            </w:r>
            <w:r w:rsidR="008D0CFD" w:rsidRPr="0085128E">
              <w:t>Convention UPOV</w:t>
            </w:r>
            <w:r w:rsidRPr="0085128E">
              <w:t xml:space="preserve">, le Traité international </w:t>
            </w:r>
            <w:r w:rsidR="00713CE6">
              <w:t>et/</w:t>
            </w:r>
            <w:r w:rsidRPr="0085128E">
              <w:t xml:space="preserve">ou le Protocole de Nagoya </w:t>
            </w:r>
            <w:r w:rsidR="006E6317">
              <w:br/>
            </w:r>
            <w:r w:rsidRPr="0085128E">
              <w:t>au 1</w:t>
            </w:r>
            <w:r w:rsidR="008D0CFD" w:rsidRPr="0085128E">
              <w:t>4 mars 20</w:t>
            </w:r>
            <w:r w:rsidRPr="0085128E">
              <w:t>17</w:t>
            </w:r>
          </w:p>
        </w:tc>
      </w:tr>
      <w:tr w:rsidR="0085128E" w:rsidRPr="0085128E" w:rsidTr="00962988">
        <w:tc>
          <w:tcPr>
            <w:tcW w:w="9747" w:type="dxa"/>
          </w:tcPr>
          <w:p w:rsidR="00604822" w:rsidRPr="0085128E" w:rsidRDefault="00F179AF" w:rsidP="0085128E">
            <w:pPr>
              <w:keepNext/>
              <w:jc w:val="left"/>
              <w:rPr>
                <w:noProof/>
              </w:rPr>
            </w:pPr>
            <w:r w:rsidRPr="007B15E1">
              <w:rPr>
                <w:noProof/>
                <w:lang w:val="en-US"/>
              </w:rPr>
              <w:drawing>
                <wp:inline distT="0" distB="0" distL="0" distR="0" wp14:anchorId="418B6EAD" wp14:editId="1D21BA71">
                  <wp:extent cx="6076950" cy="3079375"/>
                  <wp:effectExtent l="0" t="0" r="0" b="6985"/>
                  <wp:docPr id="11" name="Picture 2" descr="N:\OrgUPOV\Shared\Present-speeches\_Model Presentations &amp;Speeches\maps\upov_itpgrfa_nagoya_7_colours_2017_02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OrgUPOV\Shared\Present-speeches\_Model Presentations &amp;Speeches\maps\upov_itpgrfa_nagoya_7_colours_2017_02_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0048" cy="3091080"/>
                          </a:xfrm>
                          <a:prstGeom prst="rect">
                            <a:avLst/>
                          </a:prstGeom>
                          <a:noFill/>
                          <a:extLst/>
                        </pic:spPr>
                      </pic:pic>
                    </a:graphicData>
                  </a:graphic>
                </wp:inline>
              </w:drawing>
            </w:r>
          </w:p>
        </w:tc>
      </w:tr>
      <w:tr w:rsidR="0085128E" w:rsidRPr="0085128E" w:rsidTr="00962988">
        <w:tc>
          <w:tcPr>
            <w:tcW w:w="9747" w:type="dxa"/>
          </w:tcPr>
          <w:p w:rsidR="00604822" w:rsidRPr="0085128E" w:rsidRDefault="000151A5" w:rsidP="0085128E">
            <w:pPr>
              <w:keepNext/>
              <w:rPr>
                <w:i/>
                <w:sz w:val="14"/>
              </w:rPr>
            </w:pPr>
            <w:r w:rsidRPr="0085128E">
              <w:rPr>
                <w:i/>
                <w:sz w:val="14"/>
              </w:rPr>
              <w:t>Les limites indiquées sur cette carte ne représentent en aucun cas l</w:t>
            </w:r>
            <w:r w:rsidR="008D0CFD" w:rsidRPr="0085128E">
              <w:rPr>
                <w:i/>
                <w:sz w:val="14"/>
              </w:rPr>
              <w:t>’</w:t>
            </w:r>
            <w:r w:rsidRPr="0085128E">
              <w:rPr>
                <w:i/>
                <w:sz w:val="14"/>
              </w:rPr>
              <w:t>expression d</w:t>
            </w:r>
            <w:r w:rsidR="008D0CFD" w:rsidRPr="0085128E">
              <w:rPr>
                <w:i/>
                <w:sz w:val="14"/>
              </w:rPr>
              <w:t>’</w:t>
            </w:r>
            <w:r w:rsidRPr="0085128E">
              <w:rPr>
                <w:i/>
                <w:sz w:val="14"/>
              </w:rPr>
              <w:t>une opinion de la part de l</w:t>
            </w:r>
            <w:r w:rsidR="008D0CFD" w:rsidRPr="0085128E">
              <w:rPr>
                <w:i/>
                <w:sz w:val="14"/>
              </w:rPr>
              <w:t>’</w:t>
            </w:r>
            <w:r w:rsidRPr="0085128E">
              <w:rPr>
                <w:i/>
                <w:sz w:val="14"/>
              </w:rPr>
              <w:t>UPOV concernant le statut juridique d</w:t>
            </w:r>
            <w:r w:rsidR="008D0CFD" w:rsidRPr="0085128E">
              <w:rPr>
                <w:i/>
                <w:sz w:val="14"/>
              </w:rPr>
              <w:t>’</w:t>
            </w:r>
            <w:r w:rsidRPr="0085128E">
              <w:rPr>
                <w:i/>
                <w:sz w:val="14"/>
              </w:rPr>
              <w:t>un pays ou d</w:t>
            </w:r>
            <w:r w:rsidR="008D0CFD" w:rsidRPr="0085128E">
              <w:rPr>
                <w:i/>
                <w:sz w:val="14"/>
              </w:rPr>
              <w:t>’</w:t>
            </w:r>
            <w:r w:rsidRPr="0085128E">
              <w:rPr>
                <w:i/>
                <w:sz w:val="14"/>
              </w:rPr>
              <w:t>un territoire.</w:t>
            </w:r>
          </w:p>
        </w:tc>
      </w:tr>
      <w:tr w:rsidR="00604822" w:rsidRPr="0085128E" w:rsidTr="00962988">
        <w:tc>
          <w:tcPr>
            <w:tcW w:w="9747" w:type="dxa"/>
          </w:tcPr>
          <w:p w:rsidR="00604822" w:rsidRPr="0085128E" w:rsidRDefault="005E4780" w:rsidP="0085128E">
            <w:pPr>
              <w:spacing w:before="40"/>
              <w:jc w:val="center"/>
            </w:pPr>
            <w:r w:rsidRPr="00001287">
              <w:rPr>
                <w:noProof/>
                <w:lang w:val="en-US"/>
              </w:rPr>
              <w:drawing>
                <wp:inline distT="0" distB="0" distL="0" distR="0" wp14:anchorId="539FD39E" wp14:editId="35863CD9">
                  <wp:extent cx="5943600" cy="6832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683260"/>
                          </a:xfrm>
                          <a:prstGeom prst="rect">
                            <a:avLst/>
                          </a:prstGeom>
                        </pic:spPr>
                      </pic:pic>
                    </a:graphicData>
                  </a:graphic>
                </wp:inline>
              </w:drawing>
            </w:r>
          </w:p>
        </w:tc>
      </w:tr>
    </w:tbl>
    <w:p w:rsidR="00720382" w:rsidRPr="0085128E" w:rsidRDefault="00720382" w:rsidP="0085128E">
      <w:pPr>
        <w:jc w:val="left"/>
        <w:rPr>
          <w:snapToGrid w:val="0"/>
        </w:rPr>
      </w:pPr>
    </w:p>
    <w:p w:rsidR="00720382" w:rsidRPr="0085128E" w:rsidRDefault="000151A5" w:rsidP="0085128E">
      <w:pPr>
        <w:rPr>
          <w:snapToGrid w:val="0"/>
        </w:rPr>
      </w:pPr>
      <w:r w:rsidRPr="0085128E">
        <w:rPr>
          <w:snapToGrid w:val="0"/>
        </w:rPr>
        <w:t>1.17</w:t>
      </w:r>
      <w:r w:rsidRPr="0085128E">
        <w:rPr>
          <w:snapToGrid w:val="0"/>
        </w:rPr>
        <w:tab/>
        <w:t>La communication entre l</w:t>
      </w:r>
      <w:r w:rsidR="008D0CFD" w:rsidRPr="0085128E">
        <w:rPr>
          <w:snapToGrid w:val="0"/>
        </w:rPr>
        <w:t>’</w:t>
      </w:r>
      <w:r w:rsidRPr="0085128E">
        <w:rPr>
          <w:snapToGrid w:val="0"/>
        </w:rPr>
        <w:t>UPOV et les autres organisations intergouvernementales concernées seront essentielles pour assurer cet objectif de complémentari</w:t>
      </w:r>
      <w:r w:rsidR="009F5A99" w:rsidRPr="0085128E">
        <w:rPr>
          <w:snapToGrid w:val="0"/>
        </w:rPr>
        <w:t>té.  En</w:t>
      </w:r>
      <w:r w:rsidR="00060779" w:rsidRPr="0085128E">
        <w:rPr>
          <w:snapToGrid w:val="0"/>
        </w:rPr>
        <w:t xml:space="preserve"> </w:t>
      </w:r>
      <w:r w:rsidR="008D0CFD" w:rsidRPr="0085128E">
        <w:rPr>
          <w:snapToGrid w:val="0"/>
        </w:rPr>
        <w:t>mai 20</w:t>
      </w:r>
      <w:r w:rsidR="00733405" w:rsidRPr="0085128E">
        <w:rPr>
          <w:snapToGrid w:val="0"/>
        </w:rPr>
        <w:t>17, l</w:t>
      </w:r>
      <w:r w:rsidR="008D0CFD" w:rsidRPr="0085128E">
        <w:rPr>
          <w:snapToGrid w:val="0"/>
        </w:rPr>
        <w:t>’</w:t>
      </w:r>
      <w:r w:rsidR="00733405" w:rsidRPr="0085128E">
        <w:rPr>
          <w:snapToGrid w:val="0"/>
        </w:rPr>
        <w:t>OCDE, l</w:t>
      </w:r>
      <w:r w:rsidR="008D0CFD" w:rsidRPr="0085128E">
        <w:rPr>
          <w:snapToGrid w:val="0"/>
        </w:rPr>
        <w:t>’</w:t>
      </w:r>
      <w:r w:rsidR="00733405" w:rsidRPr="0085128E">
        <w:rPr>
          <w:snapToGrid w:val="0"/>
        </w:rPr>
        <w:t>UPOV, l</w:t>
      </w:r>
      <w:r w:rsidR="008D0CFD" w:rsidRPr="0085128E">
        <w:rPr>
          <w:snapToGrid w:val="0"/>
        </w:rPr>
        <w:t>’</w:t>
      </w:r>
      <w:r w:rsidR="00733405" w:rsidRPr="0085128E">
        <w:rPr>
          <w:snapToGrid w:val="0"/>
        </w:rPr>
        <w:t>Association internationale d</w:t>
      </w:r>
      <w:r w:rsidR="008D0CFD" w:rsidRPr="0085128E">
        <w:rPr>
          <w:snapToGrid w:val="0"/>
        </w:rPr>
        <w:t>’</w:t>
      </w:r>
      <w:r w:rsidR="00733405" w:rsidRPr="0085128E">
        <w:rPr>
          <w:snapToGrid w:val="0"/>
        </w:rPr>
        <w:t>essais de semences (ISTA) et l</w:t>
      </w:r>
      <w:r w:rsidR="008D0CFD" w:rsidRPr="0085128E">
        <w:rPr>
          <w:snapToGrid w:val="0"/>
        </w:rPr>
        <w:t>’</w:t>
      </w:r>
      <w:r w:rsidR="00733405" w:rsidRPr="006E6317">
        <w:rPr>
          <w:i/>
          <w:snapToGrid w:val="0"/>
        </w:rPr>
        <w:t>International Seed Federation</w:t>
      </w:r>
      <w:r w:rsidR="00733405" w:rsidRPr="0085128E">
        <w:rPr>
          <w:snapToGrid w:val="0"/>
        </w:rPr>
        <w:t xml:space="preserve"> (ISF) ont lancé le Partenariat mondial sur les semences, ayant pour mission d</w:t>
      </w:r>
      <w:r w:rsidR="00142C41" w:rsidRPr="0085128E">
        <w:rPr>
          <w:snapToGrid w:val="0"/>
        </w:rPr>
        <w:t xml:space="preserve">e servir de référence unique </w:t>
      </w:r>
      <w:r w:rsidR="009C4BBF" w:rsidRPr="0085128E">
        <w:rPr>
          <w:snapToGrid w:val="0"/>
        </w:rPr>
        <w:t>pour la fourniture, de manière cohérente, d</w:t>
      </w:r>
      <w:r w:rsidR="008D0CFD" w:rsidRPr="0085128E">
        <w:rPr>
          <w:snapToGrid w:val="0"/>
        </w:rPr>
        <w:t>’</w:t>
      </w:r>
      <w:r w:rsidR="00733405" w:rsidRPr="0085128E">
        <w:rPr>
          <w:snapToGrid w:val="0"/>
        </w:rPr>
        <w:t>information</w:t>
      </w:r>
      <w:r w:rsidR="009C4BBF" w:rsidRPr="0085128E">
        <w:rPr>
          <w:snapToGrid w:val="0"/>
        </w:rPr>
        <w:t>s</w:t>
      </w:r>
      <w:r w:rsidR="00733405" w:rsidRPr="0085128E">
        <w:rPr>
          <w:snapToGrid w:val="0"/>
        </w:rPr>
        <w:t xml:space="preserve"> relative</w:t>
      </w:r>
      <w:r w:rsidR="009C4BBF" w:rsidRPr="0085128E">
        <w:rPr>
          <w:snapToGrid w:val="0"/>
        </w:rPr>
        <w:t>s</w:t>
      </w:r>
      <w:r w:rsidR="00733405" w:rsidRPr="0085128E">
        <w:rPr>
          <w:snapToGrid w:val="0"/>
        </w:rPr>
        <w:t xml:space="preserve"> aux différents systèmes et dispositifs.</w:t>
      </w:r>
    </w:p>
    <w:p w:rsidR="00720382" w:rsidRPr="0085128E" w:rsidRDefault="00720382" w:rsidP="0085128E">
      <w:pPr>
        <w:jc w:val="left"/>
        <w:rPr>
          <w:snapToGrid w:val="0"/>
        </w:rPr>
      </w:pPr>
    </w:p>
    <w:p w:rsidR="003711EE" w:rsidRPr="0085128E" w:rsidRDefault="00733405" w:rsidP="0085128E">
      <w:pPr>
        <w:rPr>
          <w:snapToGrid w:val="0"/>
        </w:rPr>
      </w:pPr>
      <w:r w:rsidRPr="0085128E">
        <w:t>1.18</w:t>
      </w:r>
      <w:r w:rsidRPr="0085128E">
        <w:tab/>
        <w:t>Comme le paysage des instruments internationaux ayant une incidence sur les obtentions végétales est devenu plus complexe, il apparaissait de plus en plus important d</w:t>
      </w:r>
      <w:r w:rsidR="008D0CFD" w:rsidRPr="0085128E">
        <w:t>’</w:t>
      </w:r>
      <w:r w:rsidRPr="0085128E">
        <w:t>expliquer le rôle de la sélection végétale, de la protection des obtentions végétales et de l</w:t>
      </w:r>
      <w:r w:rsidR="008D0CFD" w:rsidRPr="0085128E">
        <w:t>’</w:t>
      </w:r>
      <w:r w:rsidRPr="0085128E">
        <w:t>UPOV à un public plus lar</w:t>
      </w:r>
      <w:r w:rsidR="009F5A99" w:rsidRPr="0085128E">
        <w:t>ge.  L’é</w:t>
      </w:r>
      <w:r w:rsidRPr="0085128E">
        <w:t>laboration de nouvelles rubriques sur le site</w:t>
      </w:r>
      <w:r w:rsidR="00C833CB" w:rsidRPr="0085128E">
        <w:t> </w:t>
      </w:r>
      <w:r w:rsidRPr="0085128E">
        <w:t>Web de l</w:t>
      </w:r>
      <w:r w:rsidR="008D0CFD" w:rsidRPr="0085128E">
        <w:t>’</w:t>
      </w:r>
      <w:r w:rsidRPr="0085128E">
        <w:t>UPOV à l</w:t>
      </w:r>
      <w:r w:rsidR="008D0CFD" w:rsidRPr="0085128E">
        <w:t>’</w:t>
      </w:r>
      <w:r w:rsidRPr="0085128E">
        <w:t xml:space="preserve">intention des différentes parties prenantes, </w:t>
      </w:r>
      <w:r w:rsidR="008D0CFD" w:rsidRPr="0085128E">
        <w:t>à savoir</w:t>
      </w:r>
      <w:r w:rsidRPr="0085128E">
        <w:t xml:space="preserve"> les obtenteurs, les agriculteurs, les producteurs, les responsables de l</w:t>
      </w:r>
      <w:r w:rsidR="008D0CFD" w:rsidRPr="0085128E">
        <w:t>’</w:t>
      </w:r>
      <w:r w:rsidRPr="0085128E">
        <w:t>élaboration des politiques et le grand public, était l</w:t>
      </w:r>
      <w:r w:rsidR="008D0CFD" w:rsidRPr="0085128E">
        <w:t>’</w:t>
      </w:r>
      <w:r w:rsidRPr="0085128E">
        <w:t xml:space="preserve">une des initiatives </w:t>
      </w:r>
      <w:r w:rsidR="008D0CFD" w:rsidRPr="0085128E">
        <w:t>de 2016</w:t>
      </w:r>
      <w:r w:rsidRPr="0085128E">
        <w:t xml:space="preserve"> conçues pour répondre à ce beso</w:t>
      </w:r>
      <w:r w:rsidR="009F5A99" w:rsidRPr="0085128E">
        <w:t xml:space="preserve">in.  </w:t>
      </w:r>
      <w:r w:rsidR="009F5A99" w:rsidRPr="0085128E">
        <w:rPr>
          <w:snapToGrid w:val="0"/>
        </w:rPr>
        <w:t>De</w:t>
      </w:r>
      <w:r w:rsidRPr="0085128E">
        <w:rPr>
          <w:snapToGrid w:val="0"/>
        </w:rPr>
        <w:t xml:space="preserve"> plus, l</w:t>
      </w:r>
      <w:r w:rsidR="008D0CFD" w:rsidRPr="0085128E">
        <w:rPr>
          <w:snapToGrid w:val="0"/>
        </w:rPr>
        <w:t>’</w:t>
      </w:r>
      <w:r w:rsidRPr="0085128E">
        <w:rPr>
          <w:snapToGrid w:val="0"/>
        </w:rPr>
        <w:t>élaboration de documents d</w:t>
      </w:r>
      <w:r w:rsidR="008D0CFD" w:rsidRPr="0085128E">
        <w:rPr>
          <w:snapToGrid w:val="0"/>
        </w:rPr>
        <w:t>’</w:t>
      </w:r>
      <w:r w:rsidRPr="0085128E">
        <w:rPr>
          <w:snapToGrid w:val="0"/>
        </w:rPr>
        <w:t>information générale, utiles pour un large éventail de parties prenantes, restera un point importa</w:t>
      </w:r>
      <w:r w:rsidR="009F5A99" w:rsidRPr="0085128E">
        <w:rPr>
          <w:snapToGrid w:val="0"/>
        </w:rPr>
        <w:t>nt.  Ce</w:t>
      </w:r>
      <w:r w:rsidRPr="0085128E">
        <w:rPr>
          <w:snapToGrid w:val="0"/>
        </w:rPr>
        <w:t>la concernera, par exemple, les réponses aux questions fréquemment posées sur le système de l</w:t>
      </w:r>
      <w:r w:rsidR="008D0CFD" w:rsidRPr="0085128E">
        <w:rPr>
          <w:snapToGrid w:val="0"/>
        </w:rPr>
        <w:t>’</w:t>
      </w:r>
      <w:r w:rsidRPr="0085128E">
        <w:rPr>
          <w:snapToGrid w:val="0"/>
        </w:rPr>
        <w:t>UPOV ainsi que l</w:t>
      </w:r>
      <w:r w:rsidR="008D0CFD" w:rsidRPr="0085128E">
        <w:rPr>
          <w:snapToGrid w:val="0"/>
        </w:rPr>
        <w:t>’</w:t>
      </w:r>
      <w:r w:rsidRPr="0085128E">
        <w:rPr>
          <w:snapToGrid w:val="0"/>
        </w:rPr>
        <w:t>élaboration d</w:t>
      </w:r>
      <w:r w:rsidR="008D0CFD" w:rsidRPr="0085128E">
        <w:rPr>
          <w:snapToGrid w:val="0"/>
        </w:rPr>
        <w:t>’</w:t>
      </w:r>
      <w:r w:rsidRPr="0085128E">
        <w:rPr>
          <w:snapToGrid w:val="0"/>
        </w:rPr>
        <w:t>explications et d</w:t>
      </w:r>
      <w:r w:rsidR="008D0CFD" w:rsidRPr="0085128E">
        <w:rPr>
          <w:snapToGrid w:val="0"/>
        </w:rPr>
        <w:t>’</w:t>
      </w:r>
      <w:r w:rsidRPr="0085128E">
        <w:rPr>
          <w:snapToGrid w:val="0"/>
        </w:rPr>
        <w:t>exemples d</w:t>
      </w:r>
      <w:r w:rsidR="008D0CFD" w:rsidRPr="0085128E">
        <w:rPr>
          <w:snapToGrid w:val="0"/>
        </w:rPr>
        <w:t>’</w:t>
      </w:r>
      <w:r w:rsidRPr="0085128E">
        <w:rPr>
          <w:snapToGrid w:val="0"/>
        </w:rPr>
        <w:t>illustration sur les avantages du système de l</w:t>
      </w:r>
      <w:r w:rsidR="008D0CFD" w:rsidRPr="0085128E">
        <w:rPr>
          <w:snapToGrid w:val="0"/>
        </w:rPr>
        <w:t>’</w:t>
      </w:r>
      <w:r w:rsidRPr="0085128E">
        <w:rPr>
          <w:snapToGrid w:val="0"/>
        </w:rPr>
        <w:t>UPOV.</w:t>
      </w:r>
    </w:p>
    <w:p w:rsidR="00720382" w:rsidRPr="0085128E" w:rsidRDefault="00604822" w:rsidP="0085128E">
      <w:pPr>
        <w:jc w:val="left"/>
        <w:rPr>
          <w:u w:val="single"/>
        </w:rPr>
      </w:pPr>
      <w:r w:rsidRPr="0085128E">
        <w:br w:type="page"/>
      </w:r>
    </w:p>
    <w:p w:rsidR="00720382" w:rsidRPr="00571132" w:rsidRDefault="00733405" w:rsidP="00571132">
      <w:pPr>
        <w:pStyle w:val="Heading2"/>
        <w:rPr>
          <w:b w:val="0"/>
        </w:rPr>
      </w:pPr>
      <w:bookmarkStart w:id="43" w:name="_Toc489954598"/>
      <w:bookmarkStart w:id="44" w:name="_Toc489954783"/>
      <w:bookmarkStart w:id="45" w:name="_Toc489956745"/>
      <w:bookmarkStart w:id="46" w:name="_Toc489956833"/>
      <w:bookmarkStart w:id="47" w:name="_Toc490572899"/>
      <w:bookmarkStart w:id="48" w:name="_Toc491088274"/>
      <w:r w:rsidRPr="00571132">
        <w:rPr>
          <w:b w:val="0"/>
        </w:rPr>
        <w:t>Considérations relatives aux ressources</w:t>
      </w:r>
      <w:bookmarkEnd w:id="43"/>
      <w:bookmarkEnd w:id="44"/>
      <w:bookmarkEnd w:id="45"/>
      <w:bookmarkEnd w:id="46"/>
      <w:bookmarkEnd w:id="47"/>
      <w:bookmarkEnd w:id="48"/>
    </w:p>
    <w:p w:rsidR="00720382" w:rsidRPr="0085128E" w:rsidRDefault="00720382" w:rsidP="0085128E"/>
    <w:p w:rsidR="00720382" w:rsidRPr="0085128E" w:rsidRDefault="00733405" w:rsidP="0085128E">
      <w:pPr>
        <w:rPr>
          <w:spacing w:val="-2"/>
          <w:szCs w:val="24"/>
        </w:rPr>
      </w:pPr>
      <w:r w:rsidRPr="0085128E">
        <w:t>1.19</w:t>
      </w:r>
      <w:r w:rsidRPr="0085128E">
        <w:tab/>
        <w:t>Actuellement, l</w:t>
      </w:r>
      <w:r w:rsidR="008D0CFD" w:rsidRPr="0085128E">
        <w:t>’</w:t>
      </w:r>
      <w:r w:rsidRPr="0085128E">
        <w:t>UPOV est financée presque exclusivement par les recettes provenant des contributions (98% des recettes totales pour l</w:t>
      </w:r>
      <w:r w:rsidR="008D0CFD" w:rsidRPr="0085128E">
        <w:t>’</w:t>
      </w:r>
      <w:r w:rsidRPr="0085128E">
        <w:t xml:space="preserve">exercice </w:t>
      </w:r>
      <w:r w:rsidR="008D0CFD" w:rsidRPr="0085128E">
        <w:t>biennal 2014-</w:t>
      </w:r>
      <w:r w:rsidRPr="0085128E">
        <w:t>2015), sans augmentation de la valeur de l</w:t>
      </w:r>
      <w:r w:rsidR="008D0CFD" w:rsidRPr="0085128E">
        <w:t>’</w:t>
      </w:r>
      <w:r w:rsidRPr="0085128E">
        <w:t xml:space="preserve">unité de contribution </w:t>
      </w:r>
      <w:r w:rsidR="008D0CFD" w:rsidRPr="0085128E">
        <w:t>depuis 1995</w:t>
      </w:r>
      <w:r w:rsidRPr="0085128E">
        <w:t>.</w:t>
      </w:r>
      <w:r w:rsidR="00604822" w:rsidRPr="0085128E">
        <w:t xml:space="preserve">  </w:t>
      </w:r>
      <w:r w:rsidRPr="0085128E">
        <w:t>En outre, les recettes de l</w:t>
      </w:r>
      <w:r w:rsidR="008D0CFD" w:rsidRPr="0085128E">
        <w:t>’</w:t>
      </w:r>
      <w:r w:rsidRPr="0085128E">
        <w:t>UPOV ont été particulièrement touchées par la perte de toutes les recettes provenant des intérêts et des publications ces dernières anné</w:t>
      </w:r>
      <w:r w:rsidR="009F5A99" w:rsidRPr="0085128E">
        <w:t xml:space="preserve">es.  </w:t>
      </w:r>
      <w:r w:rsidR="009F5A99" w:rsidRPr="0085128E">
        <w:rPr>
          <w:spacing w:val="-2"/>
          <w:szCs w:val="24"/>
        </w:rPr>
        <w:t>De</w:t>
      </w:r>
      <w:r w:rsidRPr="0085128E">
        <w:rPr>
          <w:spacing w:val="-2"/>
          <w:szCs w:val="24"/>
        </w:rPr>
        <w:t xml:space="preserve"> fait, le montant des recettes de l</w:t>
      </w:r>
      <w:r w:rsidR="008D0CFD" w:rsidRPr="0085128E">
        <w:rPr>
          <w:spacing w:val="-2"/>
          <w:szCs w:val="24"/>
        </w:rPr>
        <w:t>’</w:t>
      </w:r>
      <w:r w:rsidRPr="0085128E">
        <w:rPr>
          <w:spacing w:val="-2"/>
          <w:szCs w:val="24"/>
        </w:rPr>
        <w:t xml:space="preserve">exercice </w:t>
      </w:r>
      <w:r w:rsidR="008D0CFD" w:rsidRPr="0085128E">
        <w:rPr>
          <w:spacing w:val="-2"/>
          <w:szCs w:val="24"/>
        </w:rPr>
        <w:t>biennal 2014-</w:t>
      </w:r>
      <w:r w:rsidRPr="0085128E">
        <w:rPr>
          <w:spacing w:val="-2"/>
          <w:szCs w:val="24"/>
        </w:rPr>
        <w:t>2015 (qui s</w:t>
      </w:r>
      <w:r w:rsidR="008D0CFD" w:rsidRPr="0085128E">
        <w:rPr>
          <w:spacing w:val="-2"/>
          <w:szCs w:val="24"/>
        </w:rPr>
        <w:t>’</w:t>
      </w:r>
      <w:r w:rsidRPr="0085128E">
        <w:rPr>
          <w:spacing w:val="-2"/>
          <w:szCs w:val="24"/>
        </w:rPr>
        <w:t>élève à 6</w:t>
      </w:r>
      <w:r w:rsidR="00E73CFB" w:rsidRPr="0085128E">
        <w:rPr>
          <w:spacing w:val="-2"/>
          <w:szCs w:val="24"/>
        </w:rPr>
        <w:t> </w:t>
      </w:r>
      <w:r w:rsidRPr="0085128E">
        <w:rPr>
          <w:spacing w:val="-2"/>
          <w:szCs w:val="24"/>
        </w:rPr>
        <w:t>794</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suisses) n</w:t>
      </w:r>
      <w:r w:rsidR="008D0CFD" w:rsidRPr="0085128E">
        <w:rPr>
          <w:spacing w:val="-2"/>
          <w:szCs w:val="24"/>
        </w:rPr>
        <w:t>’</w:t>
      </w:r>
      <w:r w:rsidRPr="0085128E">
        <w:rPr>
          <w:spacing w:val="-2"/>
          <w:szCs w:val="24"/>
        </w:rPr>
        <w:t>était pas beaucoup plus élevé que celui de l</w:t>
      </w:r>
      <w:r w:rsidR="008D0CFD" w:rsidRPr="0085128E">
        <w:rPr>
          <w:spacing w:val="-2"/>
          <w:szCs w:val="24"/>
        </w:rPr>
        <w:t>’</w:t>
      </w:r>
      <w:r w:rsidRPr="0085128E">
        <w:rPr>
          <w:spacing w:val="-2"/>
          <w:szCs w:val="24"/>
        </w:rPr>
        <w:t xml:space="preserve">exercice </w:t>
      </w:r>
      <w:r w:rsidR="008D0CFD" w:rsidRPr="0085128E">
        <w:rPr>
          <w:spacing w:val="-2"/>
          <w:szCs w:val="24"/>
        </w:rPr>
        <w:t>biennal 2006-</w:t>
      </w:r>
      <w:r w:rsidRPr="0085128E">
        <w:rPr>
          <w:spacing w:val="-2"/>
          <w:szCs w:val="24"/>
        </w:rPr>
        <w:t>2007 (s</w:t>
      </w:r>
      <w:r w:rsidR="008D0CFD" w:rsidRPr="0085128E">
        <w:rPr>
          <w:spacing w:val="-2"/>
          <w:szCs w:val="24"/>
        </w:rPr>
        <w:t>’</w:t>
      </w:r>
      <w:r w:rsidRPr="0085128E">
        <w:rPr>
          <w:spacing w:val="-2"/>
          <w:szCs w:val="24"/>
        </w:rPr>
        <w:t>élevant à 6</w:t>
      </w:r>
      <w:r w:rsidR="00E73CFB" w:rsidRPr="0085128E">
        <w:rPr>
          <w:spacing w:val="-2"/>
          <w:szCs w:val="24"/>
        </w:rPr>
        <w:t> </w:t>
      </w:r>
      <w:r w:rsidRPr="0085128E">
        <w:rPr>
          <w:spacing w:val="-2"/>
          <w:szCs w:val="24"/>
        </w:rPr>
        <w:t>761</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suisses), les recettes supplémentaires provenant des contributions des nouveaux membres de l</w:t>
      </w:r>
      <w:r w:rsidR="008D0CFD" w:rsidRPr="0085128E">
        <w:rPr>
          <w:spacing w:val="-2"/>
          <w:szCs w:val="24"/>
        </w:rPr>
        <w:t>’</w:t>
      </w:r>
      <w:r w:rsidRPr="0085128E">
        <w:rPr>
          <w:spacing w:val="-2"/>
          <w:szCs w:val="24"/>
        </w:rPr>
        <w:t>UPOV ayant été compensées par la perte des recettes provenant des intérêts et des publications.</w:t>
      </w:r>
      <w:r w:rsidR="00604822" w:rsidRPr="0085128E">
        <w:rPr>
          <w:spacing w:val="-2"/>
        </w:rPr>
        <w:t xml:space="preserve">  </w:t>
      </w:r>
      <w:r w:rsidRPr="0085128E">
        <w:rPr>
          <w:spacing w:val="-2"/>
          <w:szCs w:val="24"/>
        </w:rPr>
        <w:t>L</w:t>
      </w:r>
      <w:r w:rsidR="008D0CFD" w:rsidRPr="0085128E">
        <w:rPr>
          <w:spacing w:val="-2"/>
          <w:szCs w:val="24"/>
        </w:rPr>
        <w:t>’</w:t>
      </w:r>
      <w:r w:rsidRPr="0085128E">
        <w:rPr>
          <w:spacing w:val="-2"/>
          <w:szCs w:val="24"/>
        </w:rPr>
        <w:t>UPOV ayant réduit son personnel, qui était de 14</w:t>
      </w:r>
      <w:r w:rsidR="00E06D97" w:rsidRPr="0085128E">
        <w:rPr>
          <w:spacing w:val="-2"/>
          <w:szCs w:val="24"/>
        </w:rPr>
        <w:t> </w:t>
      </w:r>
      <w:r w:rsidRPr="0085128E">
        <w:rPr>
          <w:spacing w:val="-2"/>
          <w:szCs w:val="24"/>
        </w:rPr>
        <w:t xml:space="preserve">membres </w:t>
      </w:r>
      <w:r w:rsidR="008D0CFD" w:rsidRPr="0085128E">
        <w:rPr>
          <w:spacing w:val="-2"/>
          <w:szCs w:val="24"/>
        </w:rPr>
        <w:t>en 2003</w:t>
      </w:r>
      <w:r w:rsidRPr="0085128E">
        <w:rPr>
          <w:spacing w:val="-2"/>
          <w:szCs w:val="24"/>
        </w:rPr>
        <w:t>, a, depuis lors, maintenu ce nombre à 11.</w:t>
      </w:r>
    </w:p>
    <w:p w:rsidR="00720382" w:rsidRPr="0085128E" w:rsidRDefault="00720382" w:rsidP="0085128E">
      <w:pPr>
        <w:rPr>
          <w:spacing w:val="-2"/>
          <w:szCs w:val="24"/>
        </w:rPr>
      </w:pPr>
    </w:p>
    <w:p w:rsidR="00720382" w:rsidRPr="006E6317" w:rsidRDefault="00733405" w:rsidP="0085128E">
      <w:pPr>
        <w:rPr>
          <w:spacing w:val="-2"/>
        </w:rPr>
      </w:pPr>
      <w:r w:rsidRPr="0085128E">
        <w:t>1.20</w:t>
      </w:r>
      <w:r w:rsidRPr="0085128E">
        <w:tab/>
        <w:t>Dans ce contexte, au cours des derniers exercices, l</w:t>
      </w:r>
      <w:r w:rsidR="008D0CFD" w:rsidRPr="0085128E">
        <w:t>’</w:t>
      </w:r>
      <w:r w:rsidRPr="0085128E">
        <w:t>UPOV a su maintenir et améliorer ses services aux membres par l</w:t>
      </w:r>
      <w:r w:rsidR="008D0CFD" w:rsidRPr="0085128E">
        <w:t>’</w:t>
      </w:r>
      <w:r w:rsidRPr="0085128E">
        <w:t>élaboration de documents d</w:t>
      </w:r>
      <w:r w:rsidR="008D0CFD" w:rsidRPr="0085128E">
        <w:t>’</w:t>
      </w:r>
      <w:r w:rsidRPr="0085128E">
        <w:t>orientation et d</w:t>
      </w:r>
      <w:r w:rsidR="008D0CFD" w:rsidRPr="0085128E">
        <w:t>’</w:t>
      </w:r>
      <w:r w:rsidRPr="0085128E">
        <w:t>information, de cours d</w:t>
      </w:r>
      <w:r w:rsidR="008D0CFD" w:rsidRPr="0085128E">
        <w:t>’</w:t>
      </w:r>
      <w:r w:rsidRPr="0085128E">
        <w:t>enseignement à distance et d</w:t>
      </w:r>
      <w:r w:rsidR="008D0CFD" w:rsidRPr="0085128E">
        <w:t>’</w:t>
      </w:r>
      <w:r w:rsidRPr="0085128E">
        <w:t>initiatives dans le domaine informatique (par exemple</w:t>
      </w:r>
      <w:r w:rsidR="008D0CFD" w:rsidRPr="0085128E">
        <w:t> :</w:t>
      </w:r>
      <w:r w:rsidRPr="0085128E">
        <w:t xml:space="preserve"> un site</w:t>
      </w:r>
      <w:r w:rsidR="00C833CB" w:rsidRPr="0085128E">
        <w:t> </w:t>
      </w:r>
      <w:r w:rsidRPr="0085128E">
        <w:t>Web actualisé, les bases de données GENIE, PLUTO et UPOV Lex, le modèle de principes directeurs d</w:t>
      </w:r>
      <w:r w:rsidR="008D0CFD" w:rsidRPr="0085128E">
        <w:t>’</w:t>
      </w:r>
      <w:r w:rsidRPr="0085128E">
        <w:t>examen fondé sur le Web (modèle TG) et, dernièrement, le formulaire de demande électronique de l</w:t>
      </w:r>
      <w:r w:rsidR="008D0CFD" w:rsidRPr="0085128E">
        <w:t>’</w:t>
      </w:r>
      <w:r w:rsidRPr="0085128E">
        <w:t>UPOV).</w:t>
      </w:r>
      <w:r w:rsidR="00604822" w:rsidRPr="0085128E">
        <w:t xml:space="preserve">  </w:t>
      </w:r>
      <w:r w:rsidRPr="0085128E">
        <w:t>L</w:t>
      </w:r>
      <w:r w:rsidR="008D0CFD" w:rsidRPr="0085128E">
        <w:t>’</w:t>
      </w:r>
      <w:r w:rsidRPr="0085128E">
        <w:t>élaboration et la mise à jour informatiques des bases de données et du modèle TG ont été entreprises ou gérées par les spécialistes en informatique de l</w:t>
      </w:r>
      <w:r w:rsidR="008D0CFD" w:rsidRPr="0085128E">
        <w:t>’</w:t>
      </w:r>
      <w:r w:rsidRPr="0085128E">
        <w:t>OMPI en tant que dépenses communes au titre de l</w:t>
      </w:r>
      <w:r w:rsidR="008D0CFD" w:rsidRPr="0085128E">
        <w:t>’</w:t>
      </w:r>
      <w:r w:rsidRPr="0085128E">
        <w:t>“Accord entre l</w:t>
      </w:r>
      <w:r w:rsidR="008D0CFD" w:rsidRPr="0085128E">
        <w:t>’</w:t>
      </w:r>
      <w:r w:rsidRPr="0085128E">
        <w:t>Organisation Mondiale de la Propriété Intellectuelle et l</w:t>
      </w:r>
      <w:r w:rsidR="008D0CFD" w:rsidRPr="0085128E">
        <w:t>’</w:t>
      </w:r>
      <w:r w:rsidRPr="0085128E">
        <w:t>Union internationale pour la protection des obtentions végétales” (voir le document UPOV/INF/8).</w:t>
      </w:r>
      <w:r w:rsidR="00604822" w:rsidRPr="0085128E">
        <w:t xml:space="preserve">  </w:t>
      </w:r>
      <w:r w:rsidRPr="0085128E">
        <w:rPr>
          <w:rFonts w:cs="Arial"/>
        </w:rPr>
        <w:t>Ces services ne sont plus fournis en tant que services commu</w:t>
      </w:r>
      <w:r w:rsidR="009F5A99" w:rsidRPr="0085128E">
        <w:rPr>
          <w:rFonts w:cs="Arial"/>
        </w:rPr>
        <w:t>ns.  Bi</w:t>
      </w:r>
      <w:r w:rsidRPr="0085128E">
        <w:rPr>
          <w:rFonts w:cs="Arial"/>
        </w:rPr>
        <w:t>en que ce projet ait permis à l</w:t>
      </w:r>
      <w:r w:rsidR="008D0CFD" w:rsidRPr="0085128E">
        <w:rPr>
          <w:rFonts w:cs="Arial"/>
        </w:rPr>
        <w:t>’</w:t>
      </w:r>
      <w:r w:rsidRPr="0085128E">
        <w:rPr>
          <w:rFonts w:cs="Arial"/>
        </w:rPr>
        <w:t>UPOV de maîtriser ses dépenses de fonctionnement imputées par l</w:t>
      </w:r>
      <w:r w:rsidR="008D0CFD" w:rsidRPr="0085128E">
        <w:rPr>
          <w:rFonts w:cs="Arial"/>
        </w:rPr>
        <w:t>’</w:t>
      </w:r>
      <w:r w:rsidRPr="0085128E">
        <w:rPr>
          <w:rFonts w:cs="Arial"/>
        </w:rPr>
        <w:t>OMPI à l</w:t>
      </w:r>
      <w:r w:rsidR="008D0CFD" w:rsidRPr="0085128E">
        <w:rPr>
          <w:rFonts w:cs="Arial"/>
        </w:rPr>
        <w:t>’</w:t>
      </w:r>
      <w:r w:rsidRPr="0085128E">
        <w:rPr>
          <w:rFonts w:cs="Arial"/>
        </w:rPr>
        <w:t>UPOV, l</w:t>
      </w:r>
      <w:r w:rsidR="008D0CFD" w:rsidRPr="0085128E">
        <w:rPr>
          <w:rFonts w:cs="Arial"/>
        </w:rPr>
        <w:t>’</w:t>
      </w:r>
      <w:r w:rsidRPr="0085128E">
        <w:rPr>
          <w:rFonts w:cs="Arial"/>
        </w:rPr>
        <w:t>Union devra prendre les dispositions nécessaires en matière de compétence informatique afin d</w:t>
      </w:r>
      <w:r w:rsidR="008D0CFD" w:rsidRPr="0085128E">
        <w:rPr>
          <w:rFonts w:cs="Arial"/>
        </w:rPr>
        <w:t>’</w:t>
      </w:r>
      <w:r w:rsidRPr="0085128E">
        <w:rPr>
          <w:rFonts w:cs="Arial"/>
        </w:rPr>
        <w:t>assurer la mise à jour et l</w:t>
      </w:r>
      <w:r w:rsidR="008D0CFD" w:rsidRPr="0085128E">
        <w:rPr>
          <w:rFonts w:cs="Arial"/>
        </w:rPr>
        <w:t>’</w:t>
      </w:r>
      <w:r w:rsidRPr="0085128E">
        <w:rPr>
          <w:rFonts w:cs="Arial"/>
        </w:rPr>
        <w:t>élaboration de ses systèmes informatiques à l</w:t>
      </w:r>
      <w:r w:rsidR="008D0CFD" w:rsidRPr="0085128E">
        <w:rPr>
          <w:rFonts w:cs="Arial"/>
        </w:rPr>
        <w:t>’</w:t>
      </w:r>
      <w:r w:rsidRPr="0085128E">
        <w:rPr>
          <w:rFonts w:cs="Arial"/>
        </w:rPr>
        <w:t>aven</w:t>
      </w:r>
      <w:r w:rsidR="009F5A99" w:rsidRPr="0085128E">
        <w:rPr>
          <w:rFonts w:cs="Arial"/>
        </w:rPr>
        <w:t>ir.  C’e</w:t>
      </w:r>
      <w:r w:rsidRPr="0085128E">
        <w:rPr>
          <w:rFonts w:cs="Arial"/>
        </w:rPr>
        <w:t xml:space="preserve">st pourquoi il est prévu de créer un </w:t>
      </w:r>
      <w:r w:rsidRPr="006E6317">
        <w:rPr>
          <w:rFonts w:cs="Arial"/>
          <w:spacing w:val="-2"/>
        </w:rPr>
        <w:t>poste de fonctionnaire supplémentaire pour un spécialiste en informatique pour l</w:t>
      </w:r>
      <w:r w:rsidR="008D0CFD" w:rsidRPr="006E6317">
        <w:rPr>
          <w:rFonts w:cs="Arial"/>
          <w:spacing w:val="-2"/>
        </w:rPr>
        <w:t>’</w:t>
      </w:r>
      <w:r w:rsidRPr="006E6317">
        <w:rPr>
          <w:rFonts w:cs="Arial"/>
          <w:spacing w:val="-2"/>
        </w:rPr>
        <w:t xml:space="preserve">exercice </w:t>
      </w:r>
      <w:r w:rsidR="006E6317" w:rsidRPr="006E6317">
        <w:rPr>
          <w:rFonts w:cs="Arial"/>
          <w:spacing w:val="-2"/>
        </w:rPr>
        <w:t>biennal 2018</w:t>
      </w:r>
      <w:r w:rsidR="006E6317" w:rsidRPr="006E6317">
        <w:rPr>
          <w:rFonts w:cs="Arial"/>
          <w:spacing w:val="-2"/>
        </w:rPr>
        <w:noBreakHyphen/>
      </w:r>
      <w:r w:rsidRPr="006E6317">
        <w:rPr>
          <w:rFonts w:cs="Arial"/>
          <w:spacing w:val="-2"/>
        </w:rPr>
        <w:t>2019.</w:t>
      </w:r>
    </w:p>
    <w:p w:rsidR="00720382" w:rsidRPr="0085128E" w:rsidRDefault="00720382" w:rsidP="0085128E"/>
    <w:p w:rsidR="003711EE" w:rsidRPr="0085128E" w:rsidRDefault="00733405" w:rsidP="0085128E">
      <w:pPr>
        <w:rPr>
          <w:spacing w:val="-2"/>
          <w:szCs w:val="24"/>
        </w:rPr>
      </w:pPr>
      <w:r w:rsidRPr="0085128E">
        <w:rPr>
          <w:spacing w:val="-2"/>
          <w:szCs w:val="24"/>
        </w:rPr>
        <w:t>1.21</w:t>
      </w:r>
      <w:r w:rsidRPr="0085128E">
        <w:rPr>
          <w:spacing w:val="-2"/>
          <w:szCs w:val="24"/>
        </w:rPr>
        <w:tab/>
        <w:t>Malgré une stagnation des recettes, les initiatives susmentionnées ont eu à disposition les ressources financières suffisantes au cours des derniers exercices, cela étant dû en grande partie au fait que les changements de personnel ont permis de maîtriser les coûts des 11</w:t>
      </w:r>
      <w:r w:rsidR="00E06D97" w:rsidRPr="0085128E">
        <w:rPr>
          <w:spacing w:val="-2"/>
          <w:szCs w:val="24"/>
        </w:rPr>
        <w:t> </w:t>
      </w:r>
      <w:r w:rsidRPr="0085128E">
        <w:rPr>
          <w:spacing w:val="-2"/>
          <w:szCs w:val="24"/>
        </w:rPr>
        <w:t>postes de fonctionnaires</w:t>
      </w:r>
      <w:r w:rsidR="008D0CFD" w:rsidRPr="0085128E">
        <w:rPr>
          <w:spacing w:val="-2"/>
          <w:szCs w:val="24"/>
        </w:rPr>
        <w:t> :</w:t>
      </w:r>
      <w:r w:rsidRPr="0085128E">
        <w:rPr>
          <w:spacing w:val="-2"/>
          <w:szCs w:val="24"/>
        </w:rPr>
        <w:t xml:space="preserve"> par exemple, les dépenses de personnel pour l</w:t>
      </w:r>
      <w:r w:rsidR="008D0CFD" w:rsidRPr="0085128E">
        <w:rPr>
          <w:spacing w:val="-2"/>
          <w:szCs w:val="24"/>
        </w:rPr>
        <w:t>’</w:t>
      </w:r>
      <w:r w:rsidRPr="0085128E">
        <w:rPr>
          <w:spacing w:val="-2"/>
          <w:szCs w:val="24"/>
        </w:rPr>
        <w:t xml:space="preserve">exercice </w:t>
      </w:r>
      <w:r w:rsidR="008D0CFD" w:rsidRPr="0085128E">
        <w:rPr>
          <w:spacing w:val="-2"/>
          <w:szCs w:val="24"/>
        </w:rPr>
        <w:t>biennal 2014-</w:t>
      </w:r>
      <w:r w:rsidRPr="0085128E">
        <w:rPr>
          <w:spacing w:val="-2"/>
          <w:szCs w:val="24"/>
        </w:rPr>
        <w:t>2015 (4</w:t>
      </w:r>
      <w:r w:rsidR="00E73CFB" w:rsidRPr="0085128E">
        <w:rPr>
          <w:spacing w:val="-2"/>
          <w:szCs w:val="24"/>
        </w:rPr>
        <w:t> </w:t>
      </w:r>
      <w:r w:rsidRPr="0085128E">
        <w:rPr>
          <w:spacing w:val="-2"/>
          <w:szCs w:val="24"/>
        </w:rPr>
        <w:t>159</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suisses) étaient inférieures à celles pour l</w:t>
      </w:r>
      <w:r w:rsidR="008D0CFD" w:rsidRPr="0085128E">
        <w:rPr>
          <w:spacing w:val="-2"/>
          <w:szCs w:val="24"/>
        </w:rPr>
        <w:t>’</w:t>
      </w:r>
      <w:r w:rsidRPr="0085128E">
        <w:rPr>
          <w:spacing w:val="-2"/>
          <w:szCs w:val="24"/>
        </w:rPr>
        <w:t xml:space="preserve">exercice </w:t>
      </w:r>
      <w:r w:rsidR="008D0CFD" w:rsidRPr="0085128E">
        <w:rPr>
          <w:spacing w:val="-2"/>
          <w:szCs w:val="24"/>
        </w:rPr>
        <w:t>biennal 2004-</w:t>
      </w:r>
      <w:r w:rsidRPr="0085128E">
        <w:rPr>
          <w:spacing w:val="-2"/>
          <w:szCs w:val="24"/>
        </w:rPr>
        <w:t>2005 (4</w:t>
      </w:r>
      <w:r w:rsidR="00E73CFB" w:rsidRPr="0085128E">
        <w:rPr>
          <w:spacing w:val="-2"/>
          <w:szCs w:val="24"/>
        </w:rPr>
        <w:t> </w:t>
      </w:r>
      <w:r w:rsidRPr="0085128E">
        <w:rPr>
          <w:spacing w:val="-2"/>
          <w:szCs w:val="24"/>
        </w:rPr>
        <w:t>001</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w:t>
      </w:r>
      <w:r w:rsidR="009F5A99" w:rsidRPr="0085128E">
        <w:rPr>
          <w:spacing w:val="-2"/>
          <w:szCs w:val="24"/>
        </w:rPr>
        <w:t>es).  Ce</w:t>
      </w:r>
      <w:r w:rsidRPr="0085128E">
        <w:rPr>
          <w:spacing w:val="-2"/>
          <w:szCs w:val="24"/>
        </w:rPr>
        <w:t>pendant, pour l</w:t>
      </w:r>
      <w:r w:rsidR="008D0CFD" w:rsidRPr="0085128E">
        <w:rPr>
          <w:spacing w:val="-2"/>
          <w:szCs w:val="24"/>
        </w:rPr>
        <w:t>’</w:t>
      </w:r>
      <w:r w:rsidRPr="0085128E">
        <w:rPr>
          <w:spacing w:val="-2"/>
          <w:szCs w:val="24"/>
        </w:rPr>
        <w:t>exercice biennal suivant et pour ceux à venir, des ressources supplémentaires seront nécessaires afin de maintenir et, le cas échéant, d</w:t>
      </w:r>
      <w:r w:rsidR="008D0CFD" w:rsidRPr="0085128E">
        <w:rPr>
          <w:spacing w:val="-2"/>
          <w:szCs w:val="24"/>
        </w:rPr>
        <w:t>’</w:t>
      </w:r>
      <w:r w:rsidRPr="0085128E">
        <w:rPr>
          <w:spacing w:val="-2"/>
          <w:szCs w:val="24"/>
        </w:rPr>
        <w:t>augmenter le volume des activités et services actue</w:t>
      </w:r>
      <w:r w:rsidR="009F5A99" w:rsidRPr="0085128E">
        <w:rPr>
          <w:spacing w:val="-2"/>
          <w:szCs w:val="24"/>
        </w:rPr>
        <w:t xml:space="preserve">ls.  </w:t>
      </w:r>
      <w:r w:rsidR="009F5A99" w:rsidRPr="0085128E">
        <w:t>En</w:t>
      </w:r>
      <w:r w:rsidRPr="0085128E">
        <w:t xml:space="preserve"> ce qui concerne les dépenses de personnel, l</w:t>
      </w:r>
      <w:r w:rsidR="008D0CFD" w:rsidRPr="0085128E">
        <w:t>’</w:t>
      </w:r>
      <w:r w:rsidRPr="0085128E">
        <w:t>UPOV devra prévoir un poste de spécialiste en informatique afin de mettre à jour et d</w:t>
      </w:r>
      <w:r w:rsidR="008D0CFD" w:rsidRPr="0085128E">
        <w:t>’</w:t>
      </w:r>
      <w:r w:rsidRPr="0085128E">
        <w:t>élaborer ses initiatives dans ce domaine.</w:t>
      </w:r>
    </w:p>
    <w:p w:rsidR="00720382" w:rsidRPr="0085128E" w:rsidRDefault="00720382" w:rsidP="0085128E">
      <w:pPr>
        <w:rPr>
          <w:spacing w:val="-2"/>
          <w:szCs w:val="24"/>
        </w:rPr>
      </w:pPr>
    </w:p>
    <w:p w:rsidR="003711EE" w:rsidRPr="0085128E" w:rsidRDefault="00733405" w:rsidP="0085128E">
      <w:r w:rsidRPr="0085128E">
        <w:t>1.22</w:t>
      </w:r>
      <w:r w:rsidRPr="0085128E">
        <w:tab/>
        <w:t xml:space="preserve">Le lancement du formulaire de demande électronique </w:t>
      </w:r>
      <w:r w:rsidR="008D0CFD" w:rsidRPr="0085128E">
        <w:t>en 2017</w:t>
      </w:r>
      <w:r w:rsidRPr="0085128E">
        <w:t xml:space="preserve"> constituait une étape importante pour la facilitation du dépôt des demandes des membres de l</w:t>
      </w:r>
      <w:r w:rsidR="008D0CFD" w:rsidRPr="0085128E">
        <w:t>’</w:t>
      </w:r>
      <w:r w:rsidRPr="0085128E">
        <w:t>Union et n</w:t>
      </w:r>
      <w:r w:rsidR="008D0CFD" w:rsidRPr="0085128E">
        <w:t>’</w:t>
      </w:r>
      <w:r w:rsidRPr="0085128E">
        <w:t>a été rendu possible qu</w:t>
      </w:r>
      <w:r w:rsidR="008D0CFD" w:rsidRPr="0085128E">
        <w:t>’</w:t>
      </w:r>
      <w:r w:rsidRPr="0085128E">
        <w:t>en partant du principe que les taxes acquittées par les demandeurs finiraient par couvrir les coûts d</w:t>
      </w:r>
      <w:r w:rsidR="008D0CFD" w:rsidRPr="0085128E">
        <w:t>’</w:t>
      </w:r>
      <w:r w:rsidRPr="0085128E">
        <w:t>élaboration et de mise à jour du formulai</w:t>
      </w:r>
      <w:r w:rsidR="009F5A99" w:rsidRPr="0085128E">
        <w:t>re.  Le</w:t>
      </w:r>
      <w:r w:rsidRPr="0085128E">
        <w:t>s recettes découlant de l</w:t>
      </w:r>
      <w:r w:rsidR="008D0CFD" w:rsidRPr="0085128E">
        <w:t>’</w:t>
      </w:r>
      <w:r w:rsidRPr="0085128E">
        <w:t>utilisation du formulaire dépendront de l</w:t>
      </w:r>
      <w:r w:rsidR="008D0CFD" w:rsidRPr="0085128E">
        <w:t>’</w:t>
      </w:r>
      <w:r w:rsidRPr="0085128E">
        <w:t>utilisation qui en sera faite par les obtenteurs, qui dépendront à leur tour de la participation des membres de l</w:t>
      </w:r>
      <w:r w:rsidR="008D0CFD" w:rsidRPr="0085128E">
        <w:t>’</w:t>
      </w:r>
      <w:r w:rsidRPr="0085128E">
        <w:t>Union.</w:t>
      </w:r>
    </w:p>
    <w:p w:rsidR="00720382" w:rsidRPr="0085128E" w:rsidRDefault="00720382" w:rsidP="0085128E"/>
    <w:p w:rsidR="00720382" w:rsidRPr="0085128E" w:rsidRDefault="00733405" w:rsidP="0085128E">
      <w:r w:rsidRPr="0085128E">
        <w:t>1.23</w:t>
      </w:r>
      <w:r w:rsidRPr="0085128E">
        <w:tab/>
        <w:t>L</w:t>
      </w:r>
      <w:r w:rsidR="008D0CFD" w:rsidRPr="0085128E">
        <w:t>’</w:t>
      </w:r>
      <w:r w:rsidRPr="0085128E">
        <w:t>UPOV a grandement bénéficié de ressources financières supplémentaires fournies par les membres de l</w:t>
      </w:r>
      <w:r w:rsidR="008D0CFD" w:rsidRPr="0085128E">
        <w:t>’</w:t>
      </w:r>
      <w:r w:rsidRPr="0085128E">
        <w:t>Union, par exemple sous forme de fonds fiduciaires, ainsi que de l</w:t>
      </w:r>
      <w:r w:rsidR="008D0CFD" w:rsidRPr="0085128E">
        <w:t>’</w:t>
      </w:r>
      <w:r w:rsidRPr="0085128E">
        <w:t>aide en nature fournie par de nombreux membres de l</w:t>
      </w:r>
      <w:r w:rsidR="008D0CFD" w:rsidRPr="0085128E">
        <w:t>’</w:t>
      </w:r>
      <w:r w:rsidRPr="0085128E">
        <w:t>Union sous forme de contributions d</w:t>
      </w:r>
      <w:r w:rsidR="008D0CFD" w:rsidRPr="0085128E">
        <w:t>’</w:t>
      </w:r>
      <w:r w:rsidRPr="0085128E">
        <w:t>experts participant aux activités de l</w:t>
      </w:r>
      <w:r w:rsidR="008D0CFD" w:rsidRPr="0085128E">
        <w:t>’</w:t>
      </w:r>
      <w:r w:rsidRPr="0085128E">
        <w:t>U</w:t>
      </w:r>
      <w:r w:rsidR="009F5A99" w:rsidRPr="0085128E">
        <w:t>POV.  Ce</w:t>
      </w:r>
      <w:r w:rsidRPr="0085128E">
        <w:t>s ressources seront tout aussi importantes les unes que les autres pour les années à ven</w:t>
      </w:r>
      <w:r w:rsidR="009F5A99" w:rsidRPr="0085128E">
        <w:t>ir.  En</w:t>
      </w:r>
      <w:r w:rsidR="008A2FA2" w:rsidRPr="0085128E">
        <w:t xml:space="preserve"> parallèle, l</w:t>
      </w:r>
      <w:r w:rsidR="008D0CFD" w:rsidRPr="0085128E">
        <w:t>’</w:t>
      </w:r>
      <w:r w:rsidR="008A2FA2" w:rsidRPr="0085128E">
        <w:t>UPOV cherchera d</w:t>
      </w:r>
      <w:r w:rsidR="008D0CFD" w:rsidRPr="0085128E">
        <w:t>’</w:t>
      </w:r>
      <w:r w:rsidR="008A2FA2" w:rsidRPr="0085128E">
        <w:t>autres moyens de compléter ses ressources humaines en engageant des fonctionnaires dûment qualifiés, entièrement financés par des membr</w:t>
      </w:r>
      <w:r w:rsidR="00142C41" w:rsidRPr="0085128E">
        <w:t>es de l</w:t>
      </w:r>
      <w:r w:rsidR="008D0CFD" w:rsidRPr="0085128E">
        <w:t>’</w:t>
      </w:r>
      <w:r w:rsidR="00142C41" w:rsidRPr="0085128E">
        <w:t>Union dans le cadre du P</w:t>
      </w:r>
      <w:r w:rsidR="008A2FA2" w:rsidRPr="0085128E">
        <w:t>rogramme des administrateurs auxiliaires et du programme de bourses, ainsi que d</w:t>
      </w:r>
      <w:r w:rsidR="008D0CFD" w:rsidRPr="0085128E">
        <w:t>’</w:t>
      </w:r>
      <w:r w:rsidR="008A2FA2" w:rsidRPr="0085128E">
        <w:t>autres accords, notamment des stages.</w:t>
      </w:r>
    </w:p>
    <w:p w:rsidR="00720382" w:rsidRPr="0085128E" w:rsidRDefault="00720382" w:rsidP="0085128E"/>
    <w:p w:rsidR="00720382" w:rsidRPr="0085128E" w:rsidRDefault="00720382" w:rsidP="0085128E"/>
    <w:p w:rsidR="00720382" w:rsidRPr="0085128E" w:rsidRDefault="00604822" w:rsidP="0085128E">
      <w:r w:rsidRPr="0085128E">
        <w:br w:type="page"/>
      </w:r>
    </w:p>
    <w:p w:rsidR="00720382" w:rsidRPr="0085128E" w:rsidRDefault="008A2FA2" w:rsidP="0075613F">
      <w:pPr>
        <w:pStyle w:val="Heading1"/>
      </w:pPr>
      <w:bookmarkStart w:id="49" w:name="_Toc489954772"/>
      <w:bookmarkStart w:id="50" w:name="_Toc489954784"/>
      <w:bookmarkStart w:id="51" w:name="_Toc489956726"/>
      <w:bookmarkStart w:id="52" w:name="_Toc489956746"/>
      <w:bookmarkStart w:id="53" w:name="_Toc489956834"/>
      <w:bookmarkStart w:id="54" w:name="_Toc490572890"/>
      <w:bookmarkStart w:id="55" w:name="_Toc490572900"/>
      <w:bookmarkStart w:id="56" w:name="_Toc491088265"/>
      <w:bookmarkStart w:id="57" w:name="_Toc491088275"/>
      <w:r w:rsidRPr="0085128E">
        <w:t>2.</w:t>
      </w:r>
      <w:r w:rsidRPr="0085128E">
        <w:tab/>
        <w:t>OBJECTIFS ET RÉSULTATS ESCOMPTÉS PAR SOUS</w:t>
      </w:r>
      <w:r w:rsidR="008D0CFD" w:rsidRPr="0085128E">
        <w:t>-</w:t>
      </w:r>
      <w:r w:rsidRPr="0085128E">
        <w:t>PROGRAMME</w:t>
      </w:r>
      <w:bookmarkEnd w:id="49"/>
      <w:bookmarkEnd w:id="50"/>
      <w:bookmarkEnd w:id="51"/>
      <w:bookmarkEnd w:id="52"/>
      <w:bookmarkEnd w:id="53"/>
      <w:bookmarkEnd w:id="54"/>
      <w:bookmarkEnd w:id="55"/>
      <w:bookmarkEnd w:id="56"/>
      <w:bookmarkEnd w:id="57"/>
    </w:p>
    <w:p w:rsidR="00720382" w:rsidRPr="0085128E" w:rsidRDefault="00720382" w:rsidP="008512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720382" w:rsidRPr="0085128E" w:rsidRDefault="008A2FA2" w:rsidP="00571132">
      <w:pPr>
        <w:pStyle w:val="Heading2"/>
      </w:pPr>
      <w:bookmarkStart w:id="58" w:name="_Toc489954599"/>
      <w:bookmarkStart w:id="59" w:name="_Toc489954785"/>
      <w:bookmarkStart w:id="60" w:name="_Toc489956747"/>
      <w:bookmarkStart w:id="61" w:name="_Toc489956835"/>
      <w:bookmarkStart w:id="62" w:name="_Toc490572901"/>
      <w:bookmarkStart w:id="63" w:name="_Toc491088276"/>
      <w:r w:rsidRPr="00571132">
        <w:rPr>
          <w:u w:val="none"/>
        </w:rPr>
        <w:t>2.1</w:t>
      </w:r>
      <w:r w:rsidRPr="00571132">
        <w:rPr>
          <w:u w:val="none"/>
        </w:rPr>
        <w:tab/>
      </w:r>
      <w:r w:rsidRPr="0085128E">
        <w:t>Sous</w:t>
      </w:r>
      <w:r w:rsidR="008D0CFD" w:rsidRPr="0085128E">
        <w:t>-</w:t>
      </w:r>
      <w:r w:rsidRPr="0085128E">
        <w:t>programme UV.1</w:t>
      </w:r>
      <w:r w:rsidR="008D0CFD" w:rsidRPr="0085128E">
        <w:t> :</w:t>
      </w:r>
      <w:r w:rsidRPr="0085128E">
        <w:t xml:space="preserve"> Politique générale en matière de protection des obtentions végétales</w:t>
      </w:r>
      <w:bookmarkEnd w:id="58"/>
      <w:bookmarkEnd w:id="59"/>
      <w:bookmarkEnd w:id="60"/>
      <w:bookmarkEnd w:id="61"/>
      <w:bookmarkEnd w:id="62"/>
      <w:bookmarkEnd w:id="63"/>
    </w:p>
    <w:p w:rsidR="00720382" w:rsidRPr="0085128E" w:rsidRDefault="00720382" w:rsidP="0085128E"/>
    <w:p w:rsidR="00720382" w:rsidRPr="0085128E" w:rsidRDefault="008A2FA2" w:rsidP="00571132">
      <w:pPr>
        <w:pStyle w:val="Heading3"/>
      </w:pPr>
      <w:bookmarkStart w:id="64" w:name="_Toc489954600"/>
      <w:bookmarkStart w:id="65" w:name="_Toc489954786"/>
      <w:bookmarkStart w:id="66" w:name="_Toc489956748"/>
      <w:bookmarkStart w:id="67" w:name="_Toc489956836"/>
      <w:bookmarkStart w:id="68" w:name="_Toc490572902"/>
      <w:bookmarkStart w:id="69" w:name="_Toc491088277"/>
      <w:r w:rsidRPr="0085128E">
        <w:t>2.1.1</w:t>
      </w:r>
      <w:r w:rsidRPr="0085128E">
        <w:tab/>
        <w:t>Objectifs</w:t>
      </w:r>
      <w:bookmarkEnd w:id="64"/>
      <w:bookmarkEnd w:id="65"/>
      <w:bookmarkEnd w:id="66"/>
      <w:bookmarkEnd w:id="67"/>
      <w:bookmarkEnd w:id="68"/>
      <w:bookmarkEnd w:id="69"/>
    </w:p>
    <w:p w:rsidR="00720382" w:rsidRPr="0085128E" w:rsidRDefault="00720382" w:rsidP="0085128E"/>
    <w:p w:rsidR="00720382" w:rsidRPr="0085128E" w:rsidRDefault="00604822" w:rsidP="0085128E">
      <w:r w:rsidRPr="0085128E">
        <w:tab/>
      </w:r>
      <w:r w:rsidR="008A2FA2" w:rsidRPr="0085128E">
        <w:t>a)</w:t>
      </w:r>
      <w:r w:rsidR="008A2FA2" w:rsidRPr="0085128E">
        <w:tab/>
        <w:t>Orientations politiques et gestion à l</w:t>
      </w:r>
      <w:r w:rsidR="008D0CFD" w:rsidRPr="0085128E">
        <w:t>’</w:t>
      </w:r>
      <w:r w:rsidR="008A2FA2" w:rsidRPr="0085128E">
        <w:t>échelon exécutif.</w:t>
      </w:r>
    </w:p>
    <w:p w:rsidR="00720382" w:rsidRPr="0085128E" w:rsidRDefault="00720382" w:rsidP="0085128E"/>
    <w:p w:rsidR="00720382" w:rsidRPr="0085128E" w:rsidRDefault="00604822" w:rsidP="0085128E">
      <w:r w:rsidRPr="0085128E">
        <w:tab/>
      </w:r>
      <w:r w:rsidR="008A2FA2" w:rsidRPr="0085128E">
        <w:t>b)</w:t>
      </w:r>
      <w:r w:rsidR="008A2FA2" w:rsidRPr="0085128E">
        <w:tab/>
        <w:t>Planification, mise en œuvre et évaluation du programme et budget.</w:t>
      </w:r>
    </w:p>
    <w:p w:rsidR="00720382" w:rsidRPr="0085128E" w:rsidRDefault="00720382" w:rsidP="0085128E"/>
    <w:p w:rsidR="00720382" w:rsidRPr="0085128E" w:rsidRDefault="008A2FA2" w:rsidP="00571132">
      <w:pPr>
        <w:pStyle w:val="Heading3"/>
      </w:pPr>
      <w:bookmarkStart w:id="70" w:name="_Toc489954601"/>
      <w:bookmarkStart w:id="71" w:name="_Toc489954787"/>
      <w:bookmarkStart w:id="72" w:name="_Toc489956749"/>
      <w:bookmarkStart w:id="73" w:name="_Toc489956837"/>
      <w:bookmarkStart w:id="74" w:name="_Toc490572903"/>
      <w:bookmarkStart w:id="75" w:name="_Toc491088278"/>
      <w:r w:rsidRPr="0085128E">
        <w:t>2.1.2</w:t>
      </w:r>
      <w:r w:rsidRPr="0085128E">
        <w:tab/>
        <w:t>Descriptif</w:t>
      </w:r>
      <w:bookmarkEnd w:id="70"/>
      <w:bookmarkEnd w:id="71"/>
      <w:bookmarkEnd w:id="72"/>
      <w:bookmarkEnd w:id="73"/>
      <w:bookmarkEnd w:id="74"/>
      <w:bookmarkEnd w:id="75"/>
    </w:p>
    <w:p w:rsidR="00720382" w:rsidRPr="0085128E" w:rsidRDefault="00720382" w:rsidP="008512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720382" w:rsidRPr="0085128E" w:rsidRDefault="008A2FA2" w:rsidP="0085128E">
      <w:pPr>
        <w:tabs>
          <w:tab w:val="left" w:pos="567"/>
        </w:tabs>
        <w:rPr>
          <w:spacing w:val="-2"/>
        </w:rPr>
      </w:pPr>
      <w:r w:rsidRPr="0085128E">
        <w:rPr>
          <w:spacing w:val="-2"/>
        </w:rPr>
        <w:t>2.1.2.1</w:t>
      </w:r>
      <w:r w:rsidRPr="0085128E">
        <w:rPr>
          <w:spacing w:val="-2"/>
        </w:rPr>
        <w:tab/>
        <w:t>Le présent sous</w:t>
      </w:r>
      <w:r w:rsidR="008D0CFD" w:rsidRPr="0085128E">
        <w:rPr>
          <w:spacing w:val="-2"/>
        </w:rPr>
        <w:t>-</w:t>
      </w:r>
      <w:r w:rsidRPr="0085128E">
        <w:rPr>
          <w:spacing w:val="-2"/>
        </w:rPr>
        <w:t>programme couvre la définition des politiques, la gestion et la coordination des activités du programme général de l</w:t>
      </w:r>
      <w:r w:rsidR="008D0CFD" w:rsidRPr="0085128E">
        <w:rPr>
          <w:spacing w:val="-2"/>
        </w:rPr>
        <w:t>’</w:t>
      </w:r>
      <w:r w:rsidRPr="0085128E">
        <w:rPr>
          <w:spacing w:val="-2"/>
        </w:rPr>
        <w:t>UPOV, tel qu</w:t>
      </w:r>
      <w:r w:rsidR="008D0CFD" w:rsidRPr="0085128E">
        <w:rPr>
          <w:spacing w:val="-2"/>
        </w:rPr>
        <w:t>’</w:t>
      </w:r>
      <w:r w:rsidRPr="0085128E">
        <w:rPr>
          <w:spacing w:val="-2"/>
        </w:rPr>
        <w:t>il a été défini par le Conseil selon les orientations données par le Comité consultatif.</w:t>
      </w:r>
    </w:p>
    <w:p w:rsidR="00720382" w:rsidRPr="0085128E" w:rsidRDefault="00720382" w:rsidP="0085128E">
      <w:pPr>
        <w:tabs>
          <w:tab w:val="left" w:pos="567"/>
        </w:tabs>
        <w:rPr>
          <w:spacing w:val="-2"/>
        </w:rPr>
      </w:pPr>
    </w:p>
    <w:p w:rsidR="00720382" w:rsidRPr="0085128E" w:rsidRDefault="008A2FA2" w:rsidP="0085128E">
      <w:pPr>
        <w:tabs>
          <w:tab w:val="left" w:pos="567"/>
        </w:tabs>
        <w:rPr>
          <w:spacing w:val="-2"/>
        </w:rPr>
      </w:pPr>
      <w:r w:rsidRPr="0085128E">
        <w:rPr>
          <w:spacing w:val="-2"/>
        </w:rPr>
        <w:t>2.1.2.2</w:t>
      </w:r>
      <w:r w:rsidRPr="0085128E">
        <w:rPr>
          <w:spacing w:val="-2"/>
        </w:rPr>
        <w:tab/>
        <w:t>L</w:t>
      </w:r>
      <w:r w:rsidR="008D0CFD" w:rsidRPr="0085128E">
        <w:rPr>
          <w:spacing w:val="-2"/>
        </w:rPr>
        <w:t>’</w:t>
      </w:r>
      <w:r w:rsidRPr="0085128E">
        <w:rPr>
          <w:spacing w:val="-2"/>
        </w:rPr>
        <w:t>élaboration et le suivi d</w:t>
      </w:r>
      <w:r w:rsidR="008D0CFD" w:rsidRPr="0085128E">
        <w:rPr>
          <w:spacing w:val="-2"/>
        </w:rPr>
        <w:t>’</w:t>
      </w:r>
      <w:r w:rsidRPr="0085128E">
        <w:rPr>
          <w:spacing w:val="-2"/>
        </w:rPr>
        <w:t>un plan de développement stratégique, tel que l</w:t>
      </w:r>
      <w:r w:rsidR="008D0CFD" w:rsidRPr="0085128E">
        <w:rPr>
          <w:spacing w:val="-2"/>
        </w:rPr>
        <w:t>’</w:t>
      </w:r>
      <w:r w:rsidRPr="0085128E">
        <w:rPr>
          <w:spacing w:val="-2"/>
        </w:rPr>
        <w:t>a recommandé la Division de la supervision interne (DSI) de l</w:t>
      </w:r>
      <w:r w:rsidR="008D0CFD" w:rsidRPr="0085128E">
        <w:rPr>
          <w:spacing w:val="-2"/>
        </w:rPr>
        <w:t>’</w:t>
      </w:r>
      <w:r w:rsidRPr="0085128E">
        <w:rPr>
          <w:spacing w:val="-2"/>
        </w:rPr>
        <w:t>OMPI dans son “Évaluation de l</w:t>
      </w:r>
      <w:r w:rsidR="008D0CFD" w:rsidRPr="0085128E">
        <w:rPr>
          <w:spacing w:val="-2"/>
        </w:rPr>
        <w:t>’</w:t>
      </w:r>
      <w:r w:rsidRPr="0085128E">
        <w:rPr>
          <w:spacing w:val="-2"/>
        </w:rPr>
        <w:t>Union internationale pour la protection des obtentions végétales (UPOV)”, établira le cadre des objectifs du présent sous</w:t>
      </w:r>
      <w:r w:rsidR="008D0CFD" w:rsidRPr="0085128E">
        <w:rPr>
          <w:spacing w:val="-2"/>
        </w:rPr>
        <w:t>-</w:t>
      </w:r>
      <w:r w:rsidRPr="0085128E">
        <w:rPr>
          <w:spacing w:val="-2"/>
        </w:rPr>
        <w:t>program</w:t>
      </w:r>
      <w:r w:rsidR="009F5A99" w:rsidRPr="0085128E">
        <w:rPr>
          <w:spacing w:val="-2"/>
        </w:rPr>
        <w:t>me.  En</w:t>
      </w:r>
      <w:r w:rsidRPr="0085128E">
        <w:rPr>
          <w:spacing w:val="-2"/>
        </w:rPr>
        <w:t xml:space="preserve"> particulier, le plan de développement stratégique</w:t>
      </w:r>
    </w:p>
    <w:p w:rsidR="00720382" w:rsidRPr="0085128E" w:rsidRDefault="00720382" w:rsidP="0085128E">
      <w:pPr>
        <w:tabs>
          <w:tab w:val="left" w:pos="567"/>
        </w:tabs>
        <w:rPr>
          <w:spacing w:val="-2"/>
        </w:rPr>
      </w:pPr>
    </w:p>
    <w:p w:rsidR="00720382" w:rsidRPr="0085128E" w:rsidRDefault="008A2FA2" w:rsidP="0085128E">
      <w:pPr>
        <w:tabs>
          <w:tab w:val="left" w:pos="567"/>
        </w:tabs>
        <w:ind w:left="567"/>
        <w:rPr>
          <w:spacing w:val="-2"/>
        </w:rPr>
      </w:pPr>
      <w:r w:rsidRPr="0085128E">
        <w:rPr>
          <w:spacing w:val="-2"/>
        </w:rPr>
        <w:t>a)</w:t>
      </w:r>
      <w:r w:rsidRPr="0085128E">
        <w:rPr>
          <w:spacing w:val="-2"/>
        </w:rPr>
        <w:tab/>
        <w:t>fait office de feuille de route destinée à mettre en œuvre les orientations stratégiques et les objectifs définis par l</w:t>
      </w:r>
      <w:r w:rsidR="008D0CFD" w:rsidRPr="0085128E">
        <w:rPr>
          <w:spacing w:val="-2"/>
        </w:rPr>
        <w:t>’</w:t>
      </w:r>
      <w:r w:rsidRPr="0085128E">
        <w:rPr>
          <w:spacing w:val="-2"/>
        </w:rPr>
        <w:t>Union,</w:t>
      </w:r>
    </w:p>
    <w:p w:rsidR="00720382" w:rsidRPr="0085128E" w:rsidRDefault="00720382" w:rsidP="0085128E">
      <w:pPr>
        <w:tabs>
          <w:tab w:val="left" w:pos="567"/>
        </w:tabs>
        <w:ind w:left="567"/>
        <w:rPr>
          <w:spacing w:val="-2"/>
        </w:rPr>
      </w:pPr>
    </w:p>
    <w:p w:rsidR="00720382" w:rsidRPr="0085128E" w:rsidRDefault="008A2FA2" w:rsidP="0085128E">
      <w:pPr>
        <w:tabs>
          <w:tab w:val="left" w:pos="567"/>
        </w:tabs>
        <w:ind w:left="567"/>
        <w:rPr>
          <w:spacing w:val="-2"/>
        </w:rPr>
      </w:pPr>
      <w:r w:rsidRPr="0085128E">
        <w:rPr>
          <w:spacing w:val="-2"/>
        </w:rPr>
        <w:t>b)</w:t>
      </w:r>
      <w:r w:rsidRPr="0085128E">
        <w:rPr>
          <w:spacing w:val="-2"/>
        </w:rPr>
        <w:tab/>
        <w:t>détermine les ressources financières nécessaires à la réalisation des orientations stratégiques et des objectifs stratégiques définis par l</w:t>
      </w:r>
      <w:r w:rsidR="008D0CFD" w:rsidRPr="0085128E">
        <w:rPr>
          <w:spacing w:val="-2"/>
        </w:rPr>
        <w:t>’</w:t>
      </w:r>
      <w:r w:rsidRPr="0085128E">
        <w:rPr>
          <w:spacing w:val="-2"/>
        </w:rPr>
        <w:t>Union,</w:t>
      </w:r>
    </w:p>
    <w:p w:rsidR="00720382" w:rsidRPr="0085128E" w:rsidRDefault="00720382" w:rsidP="0085128E">
      <w:pPr>
        <w:tabs>
          <w:tab w:val="left" w:pos="567"/>
        </w:tabs>
        <w:ind w:left="567"/>
        <w:rPr>
          <w:spacing w:val="-2"/>
        </w:rPr>
      </w:pPr>
    </w:p>
    <w:p w:rsidR="00720382" w:rsidRPr="0085128E" w:rsidRDefault="008A2FA2" w:rsidP="0085128E">
      <w:pPr>
        <w:tabs>
          <w:tab w:val="left" w:pos="567"/>
        </w:tabs>
        <w:ind w:left="567"/>
        <w:rPr>
          <w:spacing w:val="-2"/>
        </w:rPr>
      </w:pPr>
      <w:r w:rsidRPr="0085128E">
        <w:rPr>
          <w:spacing w:val="-2"/>
        </w:rPr>
        <w:t>c)</w:t>
      </w:r>
      <w:r w:rsidRPr="0085128E">
        <w:rPr>
          <w:spacing w:val="-2"/>
        </w:rPr>
        <w:tab/>
        <w:t>définit les besoins en matière de ressources humaines conformément aux priorités stratégiques de l</w:t>
      </w:r>
      <w:r w:rsidR="008D0CFD" w:rsidRPr="0085128E">
        <w:rPr>
          <w:spacing w:val="-2"/>
        </w:rPr>
        <w:t>’</w:t>
      </w:r>
      <w:r w:rsidRPr="0085128E">
        <w:rPr>
          <w:spacing w:val="-2"/>
        </w:rPr>
        <w:t>Organisation, et</w:t>
      </w:r>
    </w:p>
    <w:p w:rsidR="00720382" w:rsidRPr="0085128E" w:rsidRDefault="00720382" w:rsidP="0085128E">
      <w:pPr>
        <w:tabs>
          <w:tab w:val="left" w:pos="567"/>
        </w:tabs>
        <w:ind w:left="567"/>
        <w:rPr>
          <w:spacing w:val="-2"/>
        </w:rPr>
      </w:pPr>
    </w:p>
    <w:p w:rsidR="00720382" w:rsidRPr="0085128E" w:rsidRDefault="00C338F2" w:rsidP="0085128E">
      <w:pPr>
        <w:tabs>
          <w:tab w:val="left" w:pos="567"/>
        </w:tabs>
        <w:ind w:left="567"/>
        <w:rPr>
          <w:spacing w:val="-2"/>
        </w:rPr>
      </w:pPr>
      <w:r w:rsidRPr="0085128E">
        <w:rPr>
          <w:spacing w:val="-2"/>
        </w:rPr>
        <w:t>d)</w:t>
      </w:r>
      <w:r w:rsidRPr="0085128E">
        <w:rPr>
          <w:spacing w:val="-2"/>
        </w:rPr>
        <w:tab/>
        <w:t>définit les mesures à long terme et les étapes clés de l</w:t>
      </w:r>
      <w:r w:rsidR="008D0CFD" w:rsidRPr="0085128E">
        <w:rPr>
          <w:spacing w:val="-2"/>
        </w:rPr>
        <w:t>’</w:t>
      </w:r>
      <w:r w:rsidRPr="0085128E">
        <w:rPr>
          <w:spacing w:val="-2"/>
        </w:rPr>
        <w:t>activité de sensibilisation visant à améliorer la visibilité de l</w:t>
      </w:r>
      <w:r w:rsidR="008D0CFD" w:rsidRPr="0085128E">
        <w:rPr>
          <w:spacing w:val="-2"/>
        </w:rPr>
        <w:t>’</w:t>
      </w:r>
      <w:r w:rsidRPr="0085128E">
        <w:rPr>
          <w:spacing w:val="-2"/>
        </w:rPr>
        <w:t>Organisation et à renforcer les efforts en vue de générer des recettes.</w:t>
      </w:r>
    </w:p>
    <w:p w:rsidR="00720382" w:rsidRPr="0085128E" w:rsidRDefault="00720382" w:rsidP="0085128E">
      <w:pPr>
        <w:tabs>
          <w:tab w:val="left" w:pos="567"/>
        </w:tabs>
        <w:rPr>
          <w:spacing w:val="-2"/>
        </w:rPr>
      </w:pPr>
    </w:p>
    <w:p w:rsidR="003711EE" w:rsidRPr="0085128E" w:rsidRDefault="00C338F2" w:rsidP="0085128E">
      <w:pPr>
        <w:tabs>
          <w:tab w:val="left" w:pos="567"/>
        </w:tabs>
      </w:pPr>
      <w:r w:rsidRPr="0085128E">
        <w:t>2.1.2.3</w:t>
      </w:r>
      <w:r w:rsidRPr="0085128E">
        <w:tab/>
        <w:t>L</w:t>
      </w:r>
      <w:r w:rsidR="008D0CFD" w:rsidRPr="0085128E">
        <w:t>’</w:t>
      </w:r>
      <w:r w:rsidRPr="0085128E">
        <w:t>augmentation du nombre de membres de l</w:t>
      </w:r>
      <w:r w:rsidR="008D0CFD" w:rsidRPr="0085128E">
        <w:t>’</w:t>
      </w:r>
      <w:r w:rsidRPr="0085128E">
        <w:t>UPOV, associée à l</w:t>
      </w:r>
      <w:r w:rsidR="008D0CFD" w:rsidRPr="0085128E">
        <w:t>’</w:t>
      </w:r>
      <w:r w:rsidRPr="0085128E">
        <w:t>intérêt constant des États et organisations à devenir membres de l</w:t>
      </w:r>
      <w:r w:rsidR="008D0CFD" w:rsidRPr="0085128E">
        <w:t>’</w:t>
      </w:r>
      <w:r w:rsidRPr="0085128E">
        <w:t>Union montre qu</w:t>
      </w:r>
      <w:r w:rsidR="008D0CFD" w:rsidRPr="0085128E">
        <w:t>’</w:t>
      </w:r>
      <w:r w:rsidRPr="0085128E">
        <w:t>il est nécessaire d</w:t>
      </w:r>
      <w:r w:rsidR="008D0CFD" w:rsidRPr="0085128E">
        <w:t>’</w:t>
      </w:r>
      <w:r w:rsidRPr="0085128E">
        <w:t>envisager de nouvelles mesures destinées à faciliter le dépôt des demandes de droits d</w:t>
      </w:r>
      <w:r w:rsidR="008D0CFD" w:rsidRPr="0085128E">
        <w:t>’</w:t>
      </w:r>
      <w:r w:rsidRPr="0085128E">
        <w:t>obtenteur, encourager la coopération entre les membres de l</w:t>
      </w:r>
      <w:r w:rsidR="008D0CFD" w:rsidRPr="0085128E">
        <w:t>’</w:t>
      </w:r>
      <w:r w:rsidRPr="0085128E">
        <w:t>UPOV (voir le sous</w:t>
      </w:r>
      <w:r w:rsidR="008D0CFD" w:rsidRPr="0085128E">
        <w:t>-</w:t>
      </w:r>
      <w:r w:rsidRPr="0085128E">
        <w:t>programme UV.2) et fournir une aide pour mettre en place et appliquer le système de l</w:t>
      </w:r>
      <w:r w:rsidR="008D0CFD" w:rsidRPr="0085128E">
        <w:t>’</w:t>
      </w:r>
      <w:r w:rsidRPr="0085128E">
        <w:t>UPOV le plus efficacement possible dans les limites des ressources disponibles (voir le sous</w:t>
      </w:r>
      <w:r w:rsidR="008D0CFD" w:rsidRPr="0085128E">
        <w:t>-</w:t>
      </w:r>
      <w:r w:rsidRPr="0085128E">
        <w:t>programme UV.3).</w:t>
      </w:r>
    </w:p>
    <w:p w:rsidR="00720382" w:rsidRPr="0085128E" w:rsidRDefault="00720382" w:rsidP="0085128E">
      <w:pPr>
        <w:tabs>
          <w:tab w:val="left" w:pos="567"/>
        </w:tabs>
      </w:pPr>
    </w:p>
    <w:p w:rsidR="003711EE" w:rsidRPr="0085128E" w:rsidRDefault="00C338F2" w:rsidP="0085128E">
      <w:pPr>
        <w:tabs>
          <w:tab w:val="left" w:pos="567"/>
        </w:tabs>
      </w:pPr>
      <w:r w:rsidRPr="0085128E">
        <w:t>2.1.2.4</w:t>
      </w:r>
      <w:r w:rsidRPr="0085128E">
        <w:tab/>
      </w:r>
      <w:r w:rsidR="008D0CFD" w:rsidRPr="0085128E">
        <w:t>En 2017</w:t>
      </w:r>
      <w:r w:rsidRPr="0085128E">
        <w:t>, une première version du formulaire de demande électronique de l</w:t>
      </w:r>
      <w:r w:rsidR="008D0CFD" w:rsidRPr="0085128E">
        <w:t>’</w:t>
      </w:r>
      <w:r w:rsidRPr="0085128E">
        <w:t>UPOV était mise en service pour certaines plantes et espèces et certaines langues, permettant aux obtenteurs de fournir des informations sur les demandes de droit d</w:t>
      </w:r>
      <w:r w:rsidR="008D0CFD" w:rsidRPr="0085128E">
        <w:t>’</w:t>
      </w:r>
      <w:r w:rsidRPr="0085128E">
        <w:t>obtenteur à l</w:t>
      </w:r>
      <w:r w:rsidR="008D0CFD" w:rsidRPr="0085128E">
        <w:t>’</w:t>
      </w:r>
      <w:r w:rsidRPr="0085128E">
        <w:t>intention des membres participants de l</w:t>
      </w:r>
      <w:r w:rsidR="008D0CFD" w:rsidRPr="0085128E">
        <w:t>’</w:t>
      </w:r>
      <w:r w:rsidRPr="0085128E">
        <w:t>Union, par l</w:t>
      </w:r>
      <w:r w:rsidR="008D0CFD" w:rsidRPr="0085128E">
        <w:t>’</w:t>
      </w:r>
      <w:r w:rsidRPr="0085128E">
        <w:t>intermédiaire du site</w:t>
      </w:r>
      <w:r w:rsidR="00C833CB" w:rsidRPr="0085128E">
        <w:t> </w:t>
      </w:r>
      <w:r w:rsidRPr="0085128E">
        <w:t>Web de l</w:t>
      </w:r>
      <w:r w:rsidR="008D0CFD" w:rsidRPr="0085128E">
        <w:t>’</w:t>
      </w:r>
      <w:r w:rsidRPr="0085128E">
        <w:t>U</w:t>
      </w:r>
      <w:r w:rsidR="009F5A99" w:rsidRPr="0085128E">
        <w:t>POV.  Le</w:t>
      </w:r>
      <w:r w:rsidRPr="0085128E">
        <w:t xml:space="preserve"> Comité consultatif et le Conseil seront chargés de définir la politique de perfectionnement du formulaire, de déterminer l</w:t>
      </w:r>
      <w:r w:rsidR="008D0CFD" w:rsidRPr="0085128E">
        <w:t>’</w:t>
      </w:r>
      <w:r w:rsidRPr="0085128E">
        <w:t>étendue de son champ d</w:t>
      </w:r>
      <w:r w:rsidR="008D0CFD" w:rsidRPr="0085128E">
        <w:t>’</w:t>
      </w:r>
      <w:r w:rsidRPr="0085128E">
        <w:t>application et d</w:t>
      </w:r>
      <w:r w:rsidR="008D0CFD" w:rsidRPr="0085128E">
        <w:t>’</w:t>
      </w:r>
      <w:r w:rsidRPr="0085128E">
        <w:t>en gérer les aspects financiers.</w:t>
      </w:r>
    </w:p>
    <w:p w:rsidR="00720382" w:rsidRPr="0085128E" w:rsidRDefault="00720382" w:rsidP="0085128E">
      <w:pPr>
        <w:tabs>
          <w:tab w:val="left" w:pos="567"/>
        </w:tabs>
      </w:pPr>
    </w:p>
    <w:p w:rsidR="003711EE" w:rsidRPr="0085128E" w:rsidRDefault="00C338F2" w:rsidP="0085128E">
      <w:pPr>
        <w:tabs>
          <w:tab w:val="left" w:pos="567"/>
        </w:tabs>
      </w:pPr>
      <w:r w:rsidRPr="0085128E">
        <w:t>2.1.2.5</w:t>
      </w:r>
      <w:r w:rsidRPr="0085128E">
        <w:tab/>
      </w:r>
      <w:r w:rsidR="008D0CFD" w:rsidRPr="0085128E">
        <w:t>En 2016</w:t>
      </w:r>
      <w:r w:rsidRPr="0085128E">
        <w:t>, le Comité consultatif a adopté le projet de mandat concernant un groupe de travail sur un éventuel système international de coopération (</w:t>
      </w:r>
      <w:r w:rsidR="00E44DFD">
        <w:t>WG</w:t>
      </w:r>
      <w:r w:rsidR="00E44DFD">
        <w:noBreakHyphen/>
        <w:t>ISC</w:t>
      </w:r>
      <w:r w:rsidRPr="0085128E">
        <w:t>) dont l</w:t>
      </w:r>
      <w:r w:rsidR="008D0CFD" w:rsidRPr="0085128E">
        <w:t>’</w:t>
      </w:r>
      <w:r w:rsidRPr="0085128E">
        <w:t>objectif serait d</w:t>
      </w:r>
      <w:r w:rsidR="008D0CFD" w:rsidRPr="0085128E">
        <w:t>’</w:t>
      </w:r>
      <w:r w:rsidRPr="0085128E">
        <w:t>élaborer des propositions, pour examen par le Comité consultatif, concernant un éventuel système international de coopération, établi selon certaines exigences</w:t>
      </w:r>
      <w:r w:rsidRPr="0085128E">
        <w:rPr>
          <w:rStyle w:val="FootnoteReference"/>
        </w:rPr>
        <w:footnoteReference w:id="4"/>
      </w:r>
      <w:r w:rsidRPr="0085128E">
        <w:t>.</w:t>
      </w:r>
      <w:r w:rsidR="00604822" w:rsidRPr="0085128E">
        <w:t xml:space="preserve">  </w:t>
      </w:r>
      <w:r w:rsidRPr="0085128E">
        <w:t>Le Comité consultatif et le Conseil seront chargés d</w:t>
      </w:r>
      <w:r w:rsidR="008D0CFD" w:rsidRPr="0085128E">
        <w:t>’</w:t>
      </w:r>
      <w:r w:rsidRPr="0085128E">
        <w:t>examiner les propositions élaborées par le groupe de travail.</w:t>
      </w:r>
    </w:p>
    <w:p w:rsidR="00720382" w:rsidRPr="0085128E" w:rsidRDefault="00720382" w:rsidP="0085128E">
      <w:pPr>
        <w:tabs>
          <w:tab w:val="left" w:pos="567"/>
        </w:tabs>
      </w:pPr>
    </w:p>
    <w:p w:rsidR="00720382" w:rsidRPr="0085128E" w:rsidRDefault="00C338F2" w:rsidP="0085128E">
      <w:pPr>
        <w:tabs>
          <w:tab w:val="left" w:pos="567"/>
        </w:tabs>
      </w:pPr>
      <w:r w:rsidRPr="0085128E">
        <w:t>2.1.2.6</w:t>
      </w:r>
      <w:r w:rsidRPr="0085128E">
        <w:tab/>
        <w:t>Les stratégies adoptées par le Comité consultatif en matière de formation et d</w:t>
      </w:r>
      <w:r w:rsidR="008D0CFD" w:rsidRPr="0085128E">
        <w:t>’</w:t>
      </w:r>
      <w:r w:rsidRPr="0085128E">
        <w:t>assistance devront être contrôlées en ce qui concerne, d</w:t>
      </w:r>
      <w:r w:rsidR="008D0CFD" w:rsidRPr="0085128E">
        <w:t>’</w:t>
      </w:r>
      <w:r w:rsidRPr="0085128E">
        <w:t>une part, l</w:t>
      </w:r>
      <w:r w:rsidR="008D0CFD" w:rsidRPr="0085128E">
        <w:t>’</w:t>
      </w:r>
      <w:r w:rsidRPr="0085128E">
        <w:t>évolution des demandes d</w:t>
      </w:r>
      <w:r w:rsidR="008D0CFD" w:rsidRPr="0085128E">
        <w:t>’</w:t>
      </w:r>
      <w:r w:rsidRPr="0085128E">
        <w:t>assistance formulées par les membres de l</w:t>
      </w:r>
      <w:r w:rsidR="008D0CFD" w:rsidRPr="0085128E">
        <w:t>’</w:t>
      </w:r>
      <w:r w:rsidRPr="0085128E">
        <w:t>Union et les États et organisations qui souhaitent intégrer l</w:t>
      </w:r>
      <w:r w:rsidR="008D0CFD" w:rsidRPr="0085128E">
        <w:t>’</w:t>
      </w:r>
      <w:r w:rsidRPr="0085128E">
        <w:t>Union, et, d</w:t>
      </w:r>
      <w:r w:rsidR="008D0CFD" w:rsidRPr="0085128E">
        <w:t>’</w:t>
      </w:r>
      <w:r w:rsidRPr="0085128E">
        <w:t>autre part, la disponibilité des ressources.</w:t>
      </w:r>
    </w:p>
    <w:p w:rsidR="00720382" w:rsidRPr="0085128E" w:rsidRDefault="00720382" w:rsidP="0085128E">
      <w:pPr>
        <w:tabs>
          <w:tab w:val="left" w:pos="567"/>
        </w:tabs>
      </w:pPr>
    </w:p>
    <w:p w:rsidR="003711EE" w:rsidRPr="0085128E" w:rsidRDefault="00C338F2" w:rsidP="0085128E">
      <w:pPr>
        <w:tabs>
          <w:tab w:val="left" w:pos="567"/>
        </w:tabs>
      </w:pPr>
      <w:r w:rsidRPr="0085128E">
        <w:t>2.1.2.7</w:t>
      </w:r>
      <w:r w:rsidRPr="0085128E">
        <w:tab/>
        <w:t xml:space="preserve">La </w:t>
      </w:r>
      <w:r w:rsidR="009E5B04" w:rsidRPr="0085128E">
        <w:t xml:space="preserve">mise en œuvre de la </w:t>
      </w:r>
      <w:r w:rsidRPr="0085128E">
        <w:t xml:space="preserve">stratégie de communication approuvée par le Comité consultatif continuera </w:t>
      </w:r>
      <w:r w:rsidR="009E5B04" w:rsidRPr="0085128E">
        <w:t>de faire l</w:t>
      </w:r>
      <w:r w:rsidR="008D0CFD" w:rsidRPr="0085128E">
        <w:t>’</w:t>
      </w:r>
      <w:r w:rsidR="009E5B04" w:rsidRPr="0085128E">
        <w:t>objet d</w:t>
      </w:r>
      <w:r w:rsidR="008D0CFD" w:rsidRPr="0085128E">
        <w:t>’</w:t>
      </w:r>
      <w:r w:rsidR="009E5B04" w:rsidRPr="0085128E">
        <w:t>un suivi</w:t>
      </w:r>
      <w:r w:rsidRPr="0085128E">
        <w:t xml:space="preserve"> avec pour objectif d</w:t>
      </w:r>
      <w:r w:rsidR="008D0CFD" w:rsidRPr="0085128E">
        <w:t>’</w:t>
      </w:r>
      <w:r w:rsidRPr="0085128E">
        <w:t>améliorer la compréhension du système de l</w:t>
      </w:r>
      <w:r w:rsidR="008D0CFD" w:rsidRPr="0085128E">
        <w:t>’</w:t>
      </w:r>
      <w:r w:rsidRPr="0085128E">
        <w:t>U</w:t>
      </w:r>
      <w:r w:rsidR="009F5A99" w:rsidRPr="0085128E">
        <w:t>POV.  Le</w:t>
      </w:r>
      <w:r w:rsidRPr="0085128E">
        <w:t>s orientations politiques relatives aux interactions avec d</w:t>
      </w:r>
      <w:r w:rsidR="008D0CFD" w:rsidRPr="0085128E">
        <w:t>’</w:t>
      </w:r>
      <w:r w:rsidRPr="0085128E">
        <w:t>autres organisations demeureront un objectif important durant l</w:t>
      </w:r>
      <w:r w:rsidR="008D0CFD" w:rsidRPr="0085128E">
        <w:t>’</w:t>
      </w:r>
      <w:r w:rsidRPr="0085128E">
        <w:t xml:space="preserve">exercice </w:t>
      </w:r>
      <w:r w:rsidR="008D0CFD" w:rsidRPr="0085128E">
        <w:t>biennal 2018-</w:t>
      </w:r>
      <w:r w:rsidRPr="0085128E">
        <w:t>2019 (voir le sous</w:t>
      </w:r>
      <w:r w:rsidR="008D0CFD" w:rsidRPr="0085128E">
        <w:t>-</w:t>
      </w:r>
      <w:r w:rsidRPr="0085128E">
        <w:t>programme UV.4).</w:t>
      </w:r>
    </w:p>
    <w:p w:rsidR="00720382" w:rsidRPr="0085128E" w:rsidRDefault="00720382" w:rsidP="0085128E">
      <w:pPr>
        <w:tabs>
          <w:tab w:val="left" w:pos="567"/>
        </w:tabs>
      </w:pPr>
    </w:p>
    <w:p w:rsidR="00720382" w:rsidRPr="0085128E" w:rsidRDefault="00720382" w:rsidP="008512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720382" w:rsidRPr="0085128E" w:rsidRDefault="00C338F2" w:rsidP="00462B44">
      <w:pPr>
        <w:pStyle w:val="Heading3"/>
      </w:pPr>
      <w:bookmarkStart w:id="76" w:name="_Toc489956750"/>
      <w:bookmarkStart w:id="77" w:name="_Toc489956838"/>
      <w:bookmarkStart w:id="78" w:name="_Toc490572904"/>
      <w:bookmarkStart w:id="79" w:name="_Toc491088279"/>
      <w:r w:rsidRPr="0085128E">
        <w:t>2.1.3</w:t>
      </w:r>
      <w:r w:rsidRPr="0085128E">
        <w:tab/>
        <w:t>Activités</w:t>
      </w:r>
      <w:bookmarkEnd w:id="76"/>
      <w:bookmarkEnd w:id="77"/>
      <w:bookmarkEnd w:id="78"/>
      <w:bookmarkEnd w:id="79"/>
    </w:p>
    <w:p w:rsidR="00720382" w:rsidRPr="0085128E" w:rsidRDefault="00720382" w:rsidP="0085128E">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p>
    <w:p w:rsidR="00720382" w:rsidRPr="0085128E" w:rsidRDefault="00C338F2" w:rsidP="00462B44">
      <w:pPr>
        <w:spacing w:after="120"/>
        <w:ind w:left="1134" w:hanging="567"/>
      </w:pPr>
      <w:r w:rsidRPr="0085128E">
        <w:t>i)</w:t>
      </w:r>
      <w:r w:rsidRPr="0085128E">
        <w:tab/>
        <w:t>Deux sessions du Conseil et deux</w:t>
      </w:r>
      <w:r w:rsidR="00C833CB" w:rsidRPr="0085128E">
        <w:t> </w:t>
      </w:r>
      <w:r w:rsidRPr="0085128E">
        <w:t>sessions du Comité consultatif.</w:t>
      </w:r>
    </w:p>
    <w:p w:rsidR="00720382" w:rsidRPr="0085128E" w:rsidRDefault="00C338F2" w:rsidP="00462B44">
      <w:pPr>
        <w:spacing w:after="120"/>
        <w:ind w:left="1134" w:hanging="567"/>
      </w:pPr>
      <w:r w:rsidRPr="0085128E">
        <w:t>ii)</w:t>
      </w:r>
      <w:r w:rsidRPr="0085128E">
        <w:tab/>
        <w:t>Coordination, suivi et évaluation de l</w:t>
      </w:r>
      <w:r w:rsidR="008D0CFD" w:rsidRPr="0085128E">
        <w:t>’</w:t>
      </w:r>
      <w:r w:rsidRPr="0085128E">
        <w:t>exécution du programme et budget pour l</w:t>
      </w:r>
      <w:r w:rsidR="008D0CFD" w:rsidRPr="0085128E">
        <w:t>’</w:t>
      </w:r>
      <w:r w:rsidRPr="0085128E">
        <w:t xml:space="preserve">exercice </w:t>
      </w:r>
      <w:r w:rsidR="008D0CFD" w:rsidRPr="0085128E">
        <w:t>biennal 2018-</w:t>
      </w:r>
      <w:r w:rsidRPr="0085128E">
        <w:t>2019.</w:t>
      </w:r>
    </w:p>
    <w:p w:rsidR="00720382" w:rsidRPr="0085128E" w:rsidRDefault="00C338F2" w:rsidP="00462B44">
      <w:pPr>
        <w:spacing w:after="120"/>
        <w:ind w:left="1134" w:hanging="567"/>
      </w:pPr>
      <w:r w:rsidRPr="0085128E">
        <w:t>iii)</w:t>
      </w:r>
      <w:r w:rsidRPr="0085128E">
        <w:tab/>
        <w:t>Élaboration et adoption du programme et budget pour l</w:t>
      </w:r>
      <w:r w:rsidR="008D0CFD" w:rsidRPr="0085128E">
        <w:t>’</w:t>
      </w:r>
      <w:r w:rsidRPr="0085128E">
        <w:t xml:space="preserve">exercice </w:t>
      </w:r>
      <w:r w:rsidR="008D0CFD" w:rsidRPr="0085128E">
        <w:t>biennal 2020-</w:t>
      </w:r>
      <w:r w:rsidRPr="0085128E">
        <w:t>2021.</w:t>
      </w:r>
    </w:p>
    <w:p w:rsidR="00720382" w:rsidRDefault="00720382" w:rsidP="00462B44"/>
    <w:p w:rsidR="00462B44" w:rsidRPr="0085128E" w:rsidRDefault="00462B44" w:rsidP="00462B44"/>
    <w:p w:rsidR="00720382" w:rsidRPr="0085128E" w:rsidRDefault="00C338F2" w:rsidP="00462B44">
      <w:pPr>
        <w:pStyle w:val="Heading3"/>
      </w:pPr>
      <w:bookmarkStart w:id="80" w:name="_Toc489956751"/>
      <w:bookmarkStart w:id="81" w:name="_Toc489956839"/>
      <w:bookmarkStart w:id="82" w:name="_Toc490572905"/>
      <w:bookmarkStart w:id="83" w:name="_Toc491088280"/>
      <w:r w:rsidRPr="0085128E">
        <w:t>2.1.4</w:t>
      </w:r>
      <w:r w:rsidRPr="0085128E">
        <w:tab/>
        <w:t>Résultats escomptés et indicateurs d</w:t>
      </w:r>
      <w:r w:rsidR="008D0CFD" w:rsidRPr="0085128E">
        <w:t>’</w:t>
      </w:r>
      <w:r w:rsidRPr="0085128E">
        <w:t>exécution</w:t>
      </w:r>
      <w:bookmarkEnd w:id="80"/>
      <w:bookmarkEnd w:id="81"/>
      <w:bookmarkEnd w:id="82"/>
      <w:bookmarkEnd w:id="83"/>
    </w:p>
    <w:p w:rsidR="00604822" w:rsidRPr="0085128E" w:rsidRDefault="00604822" w:rsidP="00462B44"/>
    <w:tbl>
      <w:tblPr>
        <w:tblW w:w="5070" w:type="pct"/>
        <w:tblCellMar>
          <w:top w:w="57" w:type="dxa"/>
          <w:bottom w:w="57" w:type="dxa"/>
        </w:tblCellMar>
        <w:tblLook w:val="0000" w:firstRow="0" w:lastRow="0" w:firstColumn="0" w:lastColumn="0" w:noHBand="0" w:noVBand="0"/>
      </w:tblPr>
      <w:tblGrid>
        <w:gridCol w:w="4692"/>
        <w:gridCol w:w="5301"/>
      </w:tblGrid>
      <w:tr w:rsidR="0085128E" w:rsidRPr="0085128E" w:rsidTr="00462B44">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C338F2" w:rsidP="00462B44">
            <w:pPr>
              <w:keepNext/>
              <w:ind w:hanging="397"/>
              <w:jc w:val="center"/>
              <w:rPr>
                <w:rFonts w:cs="Arial"/>
                <w:u w:val="single"/>
              </w:rPr>
            </w:pPr>
            <w:r w:rsidRPr="0085128E">
              <w:rPr>
                <w:rFonts w:cs="Arial"/>
                <w:u w:val="single"/>
              </w:rPr>
              <w:t>Résultats escomptés</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C338F2" w:rsidP="00462B44">
            <w:pPr>
              <w:keepNext/>
              <w:ind w:hanging="397"/>
              <w:jc w:val="center"/>
              <w:rPr>
                <w:rFonts w:cs="Arial"/>
                <w:u w:val="single"/>
              </w:rPr>
            </w:pPr>
            <w:r w:rsidRPr="0085128E">
              <w:rPr>
                <w:rFonts w:cs="Arial"/>
                <w:u w:val="single"/>
              </w:rPr>
              <w:t>Indicateurs d</w:t>
            </w:r>
            <w:r w:rsidR="008D0CFD" w:rsidRPr="0085128E">
              <w:rPr>
                <w:rFonts w:cs="Arial"/>
                <w:u w:val="single"/>
              </w:rPr>
              <w:t>’</w:t>
            </w:r>
            <w:r w:rsidRPr="0085128E">
              <w:rPr>
                <w:rFonts w:cs="Arial"/>
                <w:u w:val="single"/>
              </w:rPr>
              <w:t>exécution</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1.</w:t>
            </w:r>
            <w:r w:rsidRPr="0085128E">
              <w:rPr>
                <w:rFonts w:cs="Arial"/>
              </w:rPr>
              <w:tab/>
              <w:t>Identification et mise en œuvre des orientations stratégiques et des objectifs définis de l</w:t>
            </w:r>
            <w:r w:rsidR="008D0CFD" w:rsidRPr="0085128E">
              <w:rPr>
                <w:rFonts w:cs="Arial"/>
              </w:rPr>
              <w:t>’</w:t>
            </w:r>
            <w:r w:rsidRPr="0085128E">
              <w:rPr>
                <w:rFonts w:cs="Arial"/>
              </w:rPr>
              <w:t>UPOV</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a)</w:t>
            </w:r>
            <w:r w:rsidRPr="0085128E">
              <w:rPr>
                <w:rFonts w:cs="Arial"/>
              </w:rPr>
              <w:tab/>
              <w:t>élaboration d</w:t>
            </w:r>
            <w:r w:rsidR="008D0CFD" w:rsidRPr="0085128E">
              <w:rPr>
                <w:rFonts w:cs="Arial"/>
              </w:rPr>
              <w:t>’</w:t>
            </w:r>
            <w:r w:rsidRPr="0085128E">
              <w:rPr>
                <w:rFonts w:cs="Arial"/>
              </w:rPr>
              <w:t>un plan de développement stratégique.</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2.</w:t>
            </w:r>
            <w:r w:rsidRPr="0085128E">
              <w:rPr>
                <w:rFonts w:cs="Arial"/>
              </w:rPr>
              <w:tab/>
              <w:t>Organisation des sessions du Conseil et du Comité consultatif</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a)</w:t>
            </w:r>
            <w:r w:rsidRPr="0085128E">
              <w:rPr>
                <w:rFonts w:cs="Arial"/>
              </w:rPr>
              <w:tab/>
              <w:t>participation aux sessions du Conseil et du Comité consultatif</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3.</w:t>
            </w:r>
            <w:r w:rsidRPr="0085128E">
              <w:rPr>
                <w:rFonts w:cs="Arial"/>
              </w:rPr>
              <w:tab/>
              <w:t>Organisation et suivi des travaux des comités de l</w:t>
            </w:r>
            <w:r w:rsidR="008D0CFD" w:rsidRPr="0085128E">
              <w:rPr>
                <w:rFonts w:cs="Arial"/>
              </w:rPr>
              <w:t>’</w:t>
            </w:r>
            <w:r w:rsidRPr="0085128E">
              <w:rPr>
                <w:rFonts w:cs="Arial"/>
              </w:rPr>
              <w:t>UPOV</w:t>
            </w:r>
          </w:p>
        </w:tc>
        <w:tc>
          <w:tcPr>
            <w:tcW w:w="5246" w:type="dxa"/>
            <w:tcBorders>
              <w:top w:val="single" w:sz="4" w:space="0" w:color="000000"/>
              <w:left w:val="single" w:sz="4" w:space="0" w:color="000000"/>
              <w:bottom w:val="single" w:sz="4" w:space="0" w:color="000000"/>
              <w:right w:val="single" w:sz="4" w:space="0" w:color="000000"/>
            </w:tcBorders>
          </w:tcPr>
          <w:p w:rsidR="003711EE" w:rsidRPr="0085128E" w:rsidRDefault="00ED0696" w:rsidP="00462B44">
            <w:pPr>
              <w:keepNext/>
              <w:ind w:left="567" w:hanging="567"/>
              <w:jc w:val="left"/>
              <w:rPr>
                <w:rFonts w:cs="Arial"/>
              </w:rPr>
            </w:pPr>
            <w:r w:rsidRPr="0085128E">
              <w:rPr>
                <w:rFonts w:cs="Arial"/>
              </w:rPr>
              <w:t>a)</w:t>
            </w:r>
            <w:r w:rsidRPr="0085128E">
              <w:rPr>
                <w:rFonts w:cs="Arial"/>
              </w:rPr>
              <w:tab/>
              <w:t>approbation et suivi des programmes de travail</w:t>
            </w:r>
            <w:r w:rsidR="008D0CFD" w:rsidRPr="0085128E">
              <w:rPr>
                <w:rFonts w:cs="Arial"/>
              </w:rPr>
              <w:t xml:space="preserve"> du CAJ</w:t>
            </w:r>
            <w:r w:rsidRPr="0085128E">
              <w:rPr>
                <w:rFonts w:cs="Arial"/>
              </w:rPr>
              <w:t>, du</w:t>
            </w:r>
            <w:r w:rsidR="008D0CFD" w:rsidRPr="0085128E">
              <w:rPr>
                <w:rFonts w:cs="Arial"/>
              </w:rPr>
              <w:t> TC</w:t>
            </w:r>
            <w:r w:rsidRPr="0085128E">
              <w:rPr>
                <w:rFonts w:cs="Arial"/>
              </w:rPr>
              <w:t>,</w:t>
            </w:r>
            <w:r w:rsidR="008D0CFD" w:rsidRPr="0085128E">
              <w:rPr>
                <w:rFonts w:cs="Arial"/>
              </w:rPr>
              <w:t xml:space="preserve"> des TWP</w:t>
            </w:r>
            <w:r w:rsidRPr="0085128E">
              <w:rPr>
                <w:rFonts w:cs="Arial"/>
              </w:rPr>
              <w:t xml:space="preserve"> et des groupes de travail ad</w:t>
            </w:r>
            <w:r w:rsidR="00C833CB" w:rsidRPr="0085128E">
              <w:rPr>
                <w:rFonts w:cs="Arial"/>
              </w:rPr>
              <w:t> </w:t>
            </w:r>
            <w:r w:rsidRPr="0085128E">
              <w:rPr>
                <w:rFonts w:cs="Arial"/>
              </w:rPr>
              <w:t>hoc;</w:t>
            </w:r>
          </w:p>
          <w:p w:rsidR="003711EE" w:rsidRPr="0085128E" w:rsidRDefault="00ED0696" w:rsidP="00462B44">
            <w:pPr>
              <w:keepNext/>
              <w:ind w:left="567" w:hanging="567"/>
              <w:jc w:val="left"/>
              <w:rPr>
                <w:rFonts w:cs="Arial"/>
              </w:rPr>
            </w:pPr>
            <w:r w:rsidRPr="0085128E">
              <w:rPr>
                <w:rFonts w:cs="Arial"/>
              </w:rPr>
              <w:t>b)</w:t>
            </w:r>
            <w:r w:rsidRPr="0085128E">
              <w:rPr>
                <w:rFonts w:cs="Arial"/>
              </w:rPr>
              <w:tab/>
              <w:t>élection des présidents</w:t>
            </w:r>
            <w:r w:rsidR="008D0CFD" w:rsidRPr="0085128E">
              <w:rPr>
                <w:rFonts w:cs="Arial"/>
              </w:rPr>
              <w:t xml:space="preserve"> du CAJ</w:t>
            </w:r>
            <w:r w:rsidRPr="0085128E">
              <w:rPr>
                <w:rFonts w:cs="Arial"/>
              </w:rPr>
              <w:t>, du</w:t>
            </w:r>
            <w:r w:rsidR="008D0CFD" w:rsidRPr="0085128E">
              <w:rPr>
                <w:rFonts w:cs="Arial"/>
              </w:rPr>
              <w:t> TC</w:t>
            </w:r>
            <w:r w:rsidRPr="0085128E">
              <w:rPr>
                <w:rFonts w:cs="Arial"/>
              </w:rPr>
              <w:t>,</w:t>
            </w:r>
            <w:r w:rsidR="008D0CFD" w:rsidRPr="0085128E">
              <w:rPr>
                <w:rFonts w:cs="Arial"/>
              </w:rPr>
              <w:t xml:space="preserve"> des TWP</w:t>
            </w:r>
            <w:r w:rsidRPr="0085128E">
              <w:rPr>
                <w:rFonts w:cs="Arial"/>
              </w:rPr>
              <w:t xml:space="preserve"> et des groupes de travail ad</w:t>
            </w:r>
            <w:r w:rsidR="00C833CB" w:rsidRPr="0085128E">
              <w:rPr>
                <w:rFonts w:cs="Arial"/>
              </w:rPr>
              <w:t> </w:t>
            </w:r>
            <w:r w:rsidRPr="0085128E">
              <w:rPr>
                <w:rFonts w:cs="Arial"/>
              </w:rPr>
              <w:t>hoc, ainsi que des vice</w:t>
            </w:r>
            <w:r w:rsidR="008D0CFD" w:rsidRPr="0085128E">
              <w:rPr>
                <w:rFonts w:cs="Arial"/>
              </w:rPr>
              <w:t>-</w:t>
            </w:r>
            <w:r w:rsidRPr="0085128E">
              <w:rPr>
                <w:rFonts w:cs="Arial"/>
              </w:rPr>
              <w:t>présidents</w:t>
            </w:r>
            <w:r w:rsidR="008D0CFD" w:rsidRPr="0085128E">
              <w:rPr>
                <w:rFonts w:cs="Arial"/>
              </w:rPr>
              <w:t xml:space="preserve"> du CAJ</w:t>
            </w:r>
            <w:r w:rsidRPr="0085128E">
              <w:rPr>
                <w:rFonts w:cs="Arial"/>
              </w:rPr>
              <w:t xml:space="preserve"> et du</w:t>
            </w:r>
            <w:r w:rsidR="008D0CFD" w:rsidRPr="0085128E">
              <w:rPr>
                <w:rFonts w:cs="Arial"/>
              </w:rPr>
              <w:t> TC</w:t>
            </w:r>
            <w:r w:rsidRPr="0085128E">
              <w:rPr>
                <w:rFonts w:cs="Arial"/>
              </w:rPr>
              <w:t>;  et</w:t>
            </w:r>
          </w:p>
          <w:p w:rsidR="00604822" w:rsidRPr="0085128E" w:rsidRDefault="00ED0696" w:rsidP="00462B44">
            <w:pPr>
              <w:keepNext/>
              <w:ind w:left="567" w:hanging="567"/>
              <w:jc w:val="left"/>
              <w:rPr>
                <w:rFonts w:cs="Arial"/>
              </w:rPr>
            </w:pPr>
            <w:r w:rsidRPr="0085128E">
              <w:rPr>
                <w:rFonts w:cs="Arial"/>
              </w:rPr>
              <w:t>c)</w:t>
            </w:r>
            <w:r w:rsidRPr="0085128E">
              <w:rPr>
                <w:rFonts w:cs="Arial"/>
              </w:rPr>
              <w:tab/>
              <w:t>approbation des calendriers annuels des réunions.</w:t>
            </w:r>
            <w:r w:rsidR="00604822" w:rsidRPr="0085128E">
              <w:t xml:space="preserve"> </w:t>
            </w:r>
            <w:r w:rsidR="00C833CB" w:rsidRPr="0085128E">
              <w:rPr>
                <w:rFonts w:cs="Arial"/>
              </w:rPr>
              <w:t xml:space="preserve"> </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4.</w:t>
            </w:r>
            <w:r w:rsidRPr="0085128E">
              <w:rPr>
                <w:rFonts w:cs="Arial"/>
              </w:rPr>
              <w:tab/>
              <w:t>Coordination, suivi et évaluation de l</w:t>
            </w:r>
            <w:r w:rsidR="008D0CFD" w:rsidRPr="0085128E">
              <w:rPr>
                <w:rFonts w:cs="Arial"/>
              </w:rPr>
              <w:t>’</w:t>
            </w:r>
            <w:r w:rsidRPr="0085128E">
              <w:rPr>
                <w:rFonts w:cs="Arial"/>
              </w:rPr>
              <w:t>exécution du programme et budget pour l</w:t>
            </w:r>
            <w:r w:rsidR="008D0CFD" w:rsidRPr="0085128E">
              <w:rPr>
                <w:rFonts w:cs="Arial"/>
              </w:rPr>
              <w:t>’</w:t>
            </w:r>
            <w:r w:rsidRPr="0085128E">
              <w:rPr>
                <w:rFonts w:cs="Arial"/>
              </w:rPr>
              <w:t xml:space="preserve">exercice </w:t>
            </w:r>
            <w:r w:rsidR="008D0CFD" w:rsidRPr="0085128E">
              <w:rPr>
                <w:rFonts w:cs="Arial"/>
              </w:rPr>
              <w:t>biennal 2018-</w:t>
            </w:r>
            <w:r w:rsidRPr="0085128E">
              <w:rPr>
                <w:rFonts w:cs="Arial"/>
              </w:rPr>
              <w:t>2019</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Mise en œuvre du programme dans les limites du budget pour l</w:t>
            </w:r>
            <w:r w:rsidR="008D0CFD" w:rsidRPr="0085128E">
              <w:rPr>
                <w:rFonts w:cs="Arial"/>
              </w:rPr>
              <w:t>’</w:t>
            </w:r>
            <w:r w:rsidRPr="0085128E">
              <w:rPr>
                <w:rFonts w:cs="Arial"/>
              </w:rPr>
              <w:t xml:space="preserve">exercice </w:t>
            </w:r>
            <w:r w:rsidR="008D0CFD" w:rsidRPr="0085128E">
              <w:rPr>
                <w:rFonts w:cs="Arial"/>
              </w:rPr>
              <w:t>biennal 2018-</w:t>
            </w:r>
            <w:r w:rsidRPr="0085128E">
              <w:rPr>
                <w:rFonts w:cs="Arial"/>
              </w:rPr>
              <w:t>2019</w:t>
            </w:r>
          </w:p>
          <w:p w:rsidR="00720382" w:rsidRPr="0085128E" w:rsidRDefault="00ED0696" w:rsidP="00462B44">
            <w:pPr>
              <w:keepNext/>
              <w:ind w:left="567" w:hanging="567"/>
              <w:jc w:val="left"/>
              <w:rPr>
                <w:rFonts w:cs="Arial"/>
              </w:rPr>
            </w:pPr>
            <w:r w:rsidRPr="0085128E">
              <w:rPr>
                <w:rFonts w:cs="Arial"/>
              </w:rPr>
              <w:t>b)</w:t>
            </w:r>
            <w:r w:rsidRPr="0085128E">
              <w:rPr>
                <w:rFonts w:cs="Arial"/>
              </w:rPr>
              <w:tab/>
              <w:t>approbation des états financiers;  et</w:t>
            </w:r>
          </w:p>
          <w:p w:rsidR="00604822" w:rsidRPr="0085128E" w:rsidRDefault="00ED0696" w:rsidP="00462B44">
            <w:pPr>
              <w:keepNext/>
              <w:ind w:left="567" w:hanging="567"/>
              <w:jc w:val="left"/>
              <w:rPr>
                <w:rFonts w:cs="Arial"/>
              </w:rPr>
            </w:pPr>
            <w:r w:rsidRPr="0085128E">
              <w:rPr>
                <w:rFonts w:cs="Arial"/>
              </w:rPr>
              <w:t>c)</w:t>
            </w:r>
            <w:r w:rsidRPr="0085128E">
              <w:rPr>
                <w:rFonts w:cs="Arial"/>
              </w:rPr>
              <w:tab/>
              <w:t>approbation du rapport de gestion financière.</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5.</w:t>
            </w:r>
            <w:r w:rsidRPr="0085128E">
              <w:rPr>
                <w:rFonts w:cs="Arial"/>
              </w:rPr>
              <w:tab/>
              <w:t>Élaboration et adoption du programme et budget pour l</w:t>
            </w:r>
            <w:r w:rsidR="008D0CFD" w:rsidRPr="0085128E">
              <w:rPr>
                <w:rFonts w:cs="Arial"/>
              </w:rPr>
              <w:t>’</w:t>
            </w:r>
            <w:r w:rsidRPr="0085128E">
              <w:rPr>
                <w:rFonts w:cs="Arial"/>
              </w:rPr>
              <w:t xml:space="preserve">exercice </w:t>
            </w:r>
            <w:r w:rsidR="008D0CFD" w:rsidRPr="0085128E">
              <w:rPr>
                <w:rFonts w:cs="Arial"/>
              </w:rPr>
              <w:t>biennal 2020-</w:t>
            </w:r>
            <w:r w:rsidRPr="0085128E">
              <w:rPr>
                <w:rFonts w:cs="Arial"/>
              </w:rPr>
              <w:t>2021</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a)</w:t>
            </w:r>
            <w:r w:rsidRPr="0085128E">
              <w:rPr>
                <w:rFonts w:cs="Arial"/>
              </w:rPr>
              <w:tab/>
              <w:t>élaboration et adoption du programme et budget pour l</w:t>
            </w:r>
            <w:r w:rsidR="008D0CFD" w:rsidRPr="0085128E">
              <w:rPr>
                <w:rFonts w:cs="Arial"/>
              </w:rPr>
              <w:t>’</w:t>
            </w:r>
            <w:r w:rsidRPr="0085128E">
              <w:rPr>
                <w:rFonts w:cs="Arial"/>
              </w:rPr>
              <w:t xml:space="preserve">exercice </w:t>
            </w:r>
            <w:r w:rsidR="008D0CFD" w:rsidRPr="0085128E">
              <w:rPr>
                <w:rFonts w:cs="Arial"/>
              </w:rPr>
              <w:t>biennal 2020-</w:t>
            </w:r>
            <w:r w:rsidRPr="0085128E">
              <w:rPr>
                <w:rFonts w:cs="Arial"/>
              </w:rPr>
              <w:t>2021.</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6.</w:t>
            </w:r>
            <w:r w:rsidRPr="0085128E">
              <w:rPr>
                <w:rFonts w:cs="Arial"/>
              </w:rPr>
              <w:tab/>
              <w:t>Examen de la conformité des lois ou projets de loi avec l</w:t>
            </w:r>
            <w:r w:rsidR="008D0CFD" w:rsidRPr="0085128E">
              <w:rPr>
                <w:rFonts w:cs="Arial"/>
              </w:rPr>
              <w:t>’</w:t>
            </w:r>
            <w:r w:rsidRPr="0085128E">
              <w:rPr>
                <w:rFonts w:cs="Arial"/>
              </w:rPr>
              <w:t xml:space="preserve">Acte </w:t>
            </w:r>
            <w:r w:rsidR="008D0CFD" w:rsidRPr="0085128E">
              <w:rPr>
                <w:rFonts w:cs="Arial"/>
              </w:rPr>
              <w:t>de 1991</w:t>
            </w:r>
            <w:r w:rsidRPr="0085128E">
              <w:rPr>
                <w:rFonts w:cs="Arial"/>
              </w:rPr>
              <w:t xml:space="preserve"> de la </w:t>
            </w:r>
            <w:r w:rsidR="008D0CFD" w:rsidRPr="0085128E">
              <w:rPr>
                <w:rFonts w:cs="Arial"/>
              </w:rPr>
              <w:t>Convention 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recommandations formulées par le Comité consultatif;  et</w:t>
            </w:r>
          </w:p>
          <w:p w:rsidR="00604822" w:rsidRPr="0085128E" w:rsidRDefault="00ED0696" w:rsidP="00462B44">
            <w:pPr>
              <w:keepNext/>
              <w:ind w:left="567" w:hanging="567"/>
              <w:jc w:val="left"/>
              <w:rPr>
                <w:rFonts w:cs="Arial"/>
              </w:rPr>
            </w:pPr>
            <w:r w:rsidRPr="0085128E">
              <w:rPr>
                <w:rFonts w:cs="Arial"/>
              </w:rPr>
              <w:t>b)</w:t>
            </w:r>
            <w:r w:rsidRPr="0085128E">
              <w:rPr>
                <w:rFonts w:cs="Arial"/>
              </w:rPr>
              <w:tab/>
              <w:t>décisions adoptées par le Conseil.</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Lines/>
              <w:ind w:left="567" w:hanging="567"/>
              <w:jc w:val="left"/>
              <w:rPr>
                <w:rFonts w:cs="Arial"/>
              </w:rPr>
            </w:pPr>
            <w:r w:rsidRPr="0085128E">
              <w:rPr>
                <w:rFonts w:cs="Arial"/>
              </w:rPr>
              <w:t>7.</w:t>
            </w:r>
            <w:r w:rsidRPr="0085128E">
              <w:rPr>
                <w:rFonts w:cs="Arial"/>
              </w:rPr>
              <w:tab/>
              <w:t>Examen des faits nouveaux concernant les demandes de droits d</w:t>
            </w:r>
            <w:r w:rsidR="008D0CFD" w:rsidRPr="0085128E">
              <w:rPr>
                <w:rFonts w:cs="Arial"/>
              </w:rPr>
              <w:t>’</w:t>
            </w:r>
            <w:r w:rsidRPr="0085128E">
              <w:rPr>
                <w:rFonts w:cs="Arial"/>
              </w:rPr>
              <w:t>obtenteur et les droits d</w:t>
            </w:r>
            <w:r w:rsidR="008D0CFD" w:rsidRPr="0085128E">
              <w:rPr>
                <w:rFonts w:cs="Arial"/>
              </w:rPr>
              <w:t>’</w:t>
            </w:r>
            <w:r w:rsidRPr="0085128E">
              <w:rPr>
                <w:rFonts w:cs="Arial"/>
              </w:rPr>
              <w:t>obtenteurs délivrés</w:t>
            </w:r>
            <w:r w:rsidR="00604822" w:rsidRPr="0085128E">
              <w:rPr>
                <w:rFonts w:cs="Arial"/>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nombre de demandes déposées;</w:t>
            </w:r>
          </w:p>
          <w:p w:rsidR="00720382" w:rsidRPr="0085128E" w:rsidRDefault="00ED0696" w:rsidP="00462B44">
            <w:pPr>
              <w:keepNext/>
              <w:ind w:left="567" w:hanging="567"/>
              <w:jc w:val="left"/>
              <w:rPr>
                <w:rFonts w:cs="Arial"/>
              </w:rPr>
            </w:pPr>
            <w:r w:rsidRPr="0085128E">
              <w:rPr>
                <w:rFonts w:cs="Arial"/>
              </w:rPr>
              <w:t>b)</w:t>
            </w:r>
            <w:r w:rsidRPr="0085128E">
              <w:rPr>
                <w:rFonts w:cs="Arial"/>
              </w:rPr>
              <w:tab/>
              <w:t>Nombre de titres octroyés</w:t>
            </w:r>
          </w:p>
          <w:p w:rsidR="00720382" w:rsidRPr="0085128E" w:rsidRDefault="00ED0696" w:rsidP="00462B44">
            <w:pPr>
              <w:keepNext/>
              <w:ind w:left="567" w:hanging="567"/>
              <w:jc w:val="left"/>
              <w:rPr>
                <w:rFonts w:cs="Arial"/>
              </w:rPr>
            </w:pPr>
            <w:r w:rsidRPr="0085128E">
              <w:rPr>
                <w:rFonts w:cs="Arial"/>
              </w:rPr>
              <w:t>c)</w:t>
            </w:r>
            <w:r w:rsidRPr="0085128E">
              <w:rPr>
                <w:rFonts w:cs="Arial"/>
              </w:rPr>
              <w:tab/>
              <w:t>Nombre de titres en vigueur</w:t>
            </w:r>
          </w:p>
          <w:p w:rsidR="00720382" w:rsidRPr="0085128E" w:rsidRDefault="00ED0696" w:rsidP="00462B44">
            <w:pPr>
              <w:keepNext/>
              <w:ind w:left="567" w:hanging="567"/>
              <w:jc w:val="left"/>
              <w:rPr>
                <w:rFonts w:cs="Arial"/>
              </w:rPr>
            </w:pPr>
            <w:r w:rsidRPr="0085128E">
              <w:rPr>
                <w:rFonts w:cs="Arial"/>
              </w:rPr>
              <w:t>d)</w:t>
            </w:r>
            <w:r w:rsidRPr="0085128E">
              <w:rPr>
                <w:rFonts w:cs="Arial"/>
              </w:rPr>
              <w:tab/>
              <w:t>Nombre de genres ou espèces protégés par des membres de l</w:t>
            </w:r>
            <w:r w:rsidR="008D0CFD" w:rsidRPr="0085128E">
              <w:rPr>
                <w:rFonts w:cs="Arial"/>
              </w:rPr>
              <w:t>’</w:t>
            </w:r>
            <w:r w:rsidRPr="0085128E">
              <w:rPr>
                <w:rFonts w:cs="Arial"/>
              </w:rPr>
              <w:t>Union</w:t>
            </w:r>
          </w:p>
          <w:p w:rsidR="00720382" w:rsidRPr="0085128E" w:rsidRDefault="00ED0696" w:rsidP="00462B44">
            <w:pPr>
              <w:keepNext/>
              <w:ind w:left="567" w:hanging="567"/>
              <w:jc w:val="left"/>
              <w:rPr>
                <w:rFonts w:cs="Arial"/>
              </w:rPr>
            </w:pPr>
            <w:r w:rsidRPr="0085128E">
              <w:rPr>
                <w:rFonts w:cs="Arial"/>
              </w:rPr>
              <w:t>e)</w:t>
            </w:r>
            <w:r w:rsidRPr="0085128E">
              <w:rPr>
                <w:rFonts w:cs="Arial"/>
              </w:rPr>
              <w:tab/>
              <w:t>nombre de genres ou espèces dont des variétés sont protégées;  et</w:t>
            </w:r>
          </w:p>
          <w:p w:rsidR="00604822" w:rsidRPr="0085128E" w:rsidRDefault="00ED0696" w:rsidP="00462B44">
            <w:pPr>
              <w:keepLines/>
              <w:ind w:left="567" w:hanging="567"/>
              <w:jc w:val="left"/>
              <w:rPr>
                <w:rFonts w:cs="Arial"/>
              </w:rPr>
            </w:pPr>
            <w:r w:rsidRPr="0085128E">
              <w:rPr>
                <w:rFonts w:cs="Arial"/>
              </w:rPr>
              <w:t>f)</w:t>
            </w:r>
            <w:r w:rsidRPr="0085128E">
              <w:rPr>
                <w:rFonts w:cs="Arial"/>
              </w:rPr>
              <w:tab/>
              <w:t>analyse par type de plante.</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ind w:left="567" w:hanging="567"/>
              <w:jc w:val="left"/>
              <w:rPr>
                <w:rFonts w:cs="Arial"/>
              </w:rPr>
            </w:pPr>
            <w:r w:rsidRPr="0085128E">
              <w:rPr>
                <w:rFonts w:cs="Arial"/>
              </w:rPr>
              <w:t>8.</w:t>
            </w:r>
            <w:r w:rsidRPr="0085128E">
              <w:rPr>
                <w:rFonts w:cs="Arial"/>
              </w:rPr>
              <w:tab/>
              <w:t>Facilitation des demandes au moyen du formulaire de demande électronique de l</w:t>
            </w:r>
            <w:r w:rsidR="008D0CFD" w:rsidRPr="0085128E">
              <w:rPr>
                <w:rFonts w:cs="Arial"/>
              </w:rPr>
              <w:t>’</w:t>
            </w:r>
            <w:r w:rsidRPr="0085128E">
              <w:rPr>
                <w:rFonts w:cs="Arial"/>
              </w:rPr>
              <w:t>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recommandations formulées par le Comité consultatif;</w:t>
            </w:r>
          </w:p>
          <w:p w:rsidR="003711EE" w:rsidRPr="0085128E" w:rsidRDefault="00ED0696" w:rsidP="00462B44">
            <w:pPr>
              <w:keepNext/>
              <w:ind w:left="567" w:hanging="567"/>
              <w:jc w:val="left"/>
              <w:rPr>
                <w:rFonts w:cs="Arial"/>
              </w:rPr>
            </w:pPr>
            <w:r w:rsidRPr="0085128E">
              <w:rPr>
                <w:rFonts w:cs="Arial"/>
              </w:rPr>
              <w:t>b)</w:t>
            </w:r>
            <w:r w:rsidRPr="0085128E">
              <w:rPr>
                <w:rFonts w:cs="Arial"/>
              </w:rPr>
              <w:tab/>
              <w:t>décisions adoptées par le Conseil.</w:t>
            </w:r>
          </w:p>
          <w:p w:rsidR="00720382" w:rsidRPr="0085128E" w:rsidRDefault="00ED0696" w:rsidP="00462B44">
            <w:pPr>
              <w:keepNext/>
              <w:ind w:left="567" w:hanging="567"/>
              <w:jc w:val="left"/>
              <w:rPr>
                <w:rFonts w:cs="Arial"/>
              </w:rPr>
            </w:pPr>
            <w:r w:rsidRPr="0085128E">
              <w:rPr>
                <w:rFonts w:cs="Arial"/>
              </w:rPr>
              <w:t>c)</w:t>
            </w:r>
            <w:r w:rsidRPr="0085128E">
              <w:rPr>
                <w:rFonts w:cs="Arial"/>
              </w:rPr>
              <w:tab/>
              <w:t>nombre de membres de l</w:t>
            </w:r>
            <w:r w:rsidR="008D0CFD" w:rsidRPr="0085128E">
              <w:rPr>
                <w:rFonts w:cs="Arial"/>
              </w:rPr>
              <w:t>’</w:t>
            </w:r>
            <w:r w:rsidRPr="0085128E">
              <w:rPr>
                <w:rFonts w:cs="Arial"/>
              </w:rPr>
              <w:t>UPOV participant à l</w:t>
            </w:r>
            <w:r w:rsidR="008D0CFD" w:rsidRPr="0085128E">
              <w:rPr>
                <w:rFonts w:cs="Arial"/>
              </w:rPr>
              <w:t>’</w:t>
            </w:r>
            <w:r w:rsidRPr="0085128E">
              <w:rPr>
                <w:rFonts w:cs="Arial"/>
              </w:rPr>
              <w:t>utilisation du formulaire de demande électronique;</w:t>
            </w:r>
          </w:p>
          <w:p w:rsidR="003711EE" w:rsidRPr="0085128E" w:rsidRDefault="00ED0696" w:rsidP="00462B44">
            <w:pPr>
              <w:keepNext/>
              <w:ind w:left="567" w:hanging="567"/>
              <w:jc w:val="left"/>
              <w:rPr>
                <w:rFonts w:cs="Arial"/>
              </w:rPr>
            </w:pPr>
            <w:r w:rsidRPr="0085128E">
              <w:rPr>
                <w:rFonts w:cs="Arial"/>
              </w:rPr>
              <w:t>d)</w:t>
            </w:r>
            <w:r w:rsidRPr="0085128E">
              <w:rPr>
                <w:rFonts w:cs="Arial"/>
              </w:rPr>
              <w:tab/>
              <w:t>nombre de plantes et espèces couvertes par le formulaire de demande électronique;  et</w:t>
            </w:r>
          </w:p>
          <w:p w:rsidR="00604822" w:rsidRPr="0085128E" w:rsidRDefault="00ED0696" w:rsidP="00462B44">
            <w:pPr>
              <w:ind w:left="567" w:hanging="567"/>
              <w:jc w:val="left"/>
              <w:rPr>
                <w:rFonts w:cs="Arial"/>
              </w:rPr>
            </w:pPr>
            <w:r w:rsidRPr="0085128E">
              <w:rPr>
                <w:rFonts w:cs="Arial"/>
              </w:rPr>
              <w:t>e)</w:t>
            </w:r>
            <w:r w:rsidRPr="0085128E">
              <w:rPr>
                <w:rFonts w:cs="Arial"/>
              </w:rPr>
              <w:tab/>
              <w:t>nombre de demandes faites au moyen du formulaire de demande électronique (voir le sous</w:t>
            </w:r>
            <w:r w:rsidR="008D0CFD" w:rsidRPr="0085128E">
              <w:rPr>
                <w:rFonts w:cs="Arial"/>
              </w:rPr>
              <w:t>-</w:t>
            </w:r>
            <w:r w:rsidRPr="0085128E">
              <w:rPr>
                <w:rFonts w:cs="Arial"/>
              </w:rPr>
              <w:t>programme UV.2).</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ind w:left="567" w:hanging="567"/>
              <w:jc w:val="left"/>
              <w:rPr>
                <w:rFonts w:cs="Arial"/>
              </w:rPr>
            </w:pPr>
            <w:r w:rsidRPr="0085128E">
              <w:rPr>
                <w:rFonts w:cs="Arial"/>
              </w:rPr>
              <w:t>9.</w:t>
            </w:r>
            <w:r w:rsidRPr="0085128E">
              <w:rPr>
                <w:rFonts w:cs="Arial"/>
              </w:rPr>
              <w:tab/>
              <w:t>Amélioration de la coopération volontaire entre les membres de l</w:t>
            </w:r>
            <w:r w:rsidR="008D0CFD" w:rsidRPr="0085128E">
              <w:rPr>
                <w:rFonts w:cs="Arial"/>
              </w:rPr>
              <w:t>’</w:t>
            </w:r>
            <w:r w:rsidRPr="0085128E">
              <w:rPr>
                <w:rFonts w:cs="Arial"/>
              </w:rPr>
              <w:t xml:space="preserve">Union dans la mise en œuvre de la </w:t>
            </w:r>
            <w:r w:rsidR="008D0CFD" w:rsidRPr="0085128E">
              <w:rPr>
                <w:rFonts w:cs="Arial"/>
              </w:rPr>
              <w:t>Convention 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recommandations formulées par le Comité consultatif;</w:t>
            </w:r>
          </w:p>
          <w:p w:rsidR="00720382" w:rsidRPr="0085128E" w:rsidRDefault="00ED0696" w:rsidP="00462B44">
            <w:pPr>
              <w:keepNext/>
              <w:ind w:left="567" w:hanging="567"/>
              <w:jc w:val="left"/>
              <w:rPr>
                <w:rFonts w:cs="Arial"/>
              </w:rPr>
            </w:pPr>
            <w:r w:rsidRPr="0085128E">
              <w:rPr>
                <w:rFonts w:cs="Arial"/>
              </w:rPr>
              <w:t>b)</w:t>
            </w:r>
            <w:r w:rsidRPr="0085128E">
              <w:rPr>
                <w:rFonts w:cs="Arial"/>
              </w:rPr>
              <w:tab/>
              <w:t>décisions adoptées par le Conseil;  et</w:t>
            </w:r>
          </w:p>
          <w:p w:rsidR="00604822" w:rsidRPr="0085128E" w:rsidRDefault="00ED0696" w:rsidP="00462B44">
            <w:pPr>
              <w:keepNext/>
              <w:ind w:left="567" w:hanging="567"/>
              <w:jc w:val="left"/>
              <w:rPr>
                <w:rFonts w:cs="Arial"/>
              </w:rPr>
            </w:pPr>
            <w:r w:rsidRPr="0085128E">
              <w:rPr>
                <w:rFonts w:cs="Arial"/>
              </w:rPr>
              <w:t>c)</w:t>
            </w:r>
            <w:r w:rsidRPr="0085128E">
              <w:rPr>
                <w:rFonts w:cs="Arial"/>
              </w:rPr>
              <w:tab/>
              <w:t>accords de coopération entre les membres de l</w:t>
            </w:r>
            <w:r w:rsidR="008D0CFD" w:rsidRPr="0085128E">
              <w:rPr>
                <w:rFonts w:cs="Arial"/>
              </w:rPr>
              <w:t>’</w:t>
            </w:r>
            <w:r w:rsidRPr="0085128E">
              <w:rPr>
                <w:rFonts w:cs="Arial"/>
              </w:rPr>
              <w:t>Union.</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ind w:left="567" w:hanging="567"/>
              <w:jc w:val="left"/>
              <w:rPr>
                <w:rFonts w:cs="Arial"/>
              </w:rPr>
            </w:pPr>
            <w:r w:rsidRPr="0085128E">
              <w:rPr>
                <w:rFonts w:cs="Arial"/>
              </w:rPr>
              <w:t>10.</w:t>
            </w:r>
            <w:r w:rsidRPr="0085128E">
              <w:rPr>
                <w:rFonts w:cs="Arial"/>
              </w:rPr>
              <w:tab/>
              <w:t>Suivi de la mise en œuvre de la stratégie en matière de formation et d</w:t>
            </w:r>
            <w:r w:rsidR="008D0CFD" w:rsidRPr="0085128E">
              <w:rPr>
                <w:rFonts w:cs="Arial"/>
              </w:rPr>
              <w:t>’</w:t>
            </w:r>
            <w:r w:rsidRPr="0085128E">
              <w:rPr>
                <w:rFonts w:cs="Arial"/>
              </w:rPr>
              <w:t>assistance</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évaluation des rapports annuels du Secrétaire général, des rapports d</w:t>
            </w:r>
            <w:r w:rsidR="008D0CFD" w:rsidRPr="0085128E">
              <w:rPr>
                <w:rFonts w:cs="Arial"/>
              </w:rPr>
              <w:t>’</w:t>
            </w:r>
            <w:r w:rsidRPr="0085128E">
              <w:rPr>
                <w:rFonts w:cs="Arial"/>
              </w:rPr>
              <w:t>exécution pour l</w:t>
            </w:r>
            <w:r w:rsidR="008D0CFD" w:rsidRPr="0085128E">
              <w:rPr>
                <w:rFonts w:cs="Arial"/>
              </w:rPr>
              <w:t>’</w:t>
            </w:r>
            <w:r w:rsidRPr="0085128E">
              <w:rPr>
                <w:rFonts w:cs="Arial"/>
              </w:rPr>
              <w:t>exercice biennal et d</w:t>
            </w:r>
            <w:r w:rsidR="008D0CFD" w:rsidRPr="0085128E">
              <w:rPr>
                <w:rFonts w:cs="Arial"/>
              </w:rPr>
              <w:t>’</w:t>
            </w:r>
            <w:r w:rsidRPr="0085128E">
              <w:rPr>
                <w:rFonts w:cs="Arial"/>
              </w:rPr>
              <w:t>autres documents d</w:t>
            </w:r>
            <w:r w:rsidR="008D0CFD" w:rsidRPr="0085128E">
              <w:rPr>
                <w:rFonts w:cs="Arial"/>
              </w:rPr>
              <w:t>’</w:t>
            </w:r>
            <w:r w:rsidRPr="0085128E">
              <w:rPr>
                <w:rFonts w:cs="Arial"/>
              </w:rPr>
              <w:t>information;</w:t>
            </w:r>
          </w:p>
          <w:p w:rsidR="00720382" w:rsidRPr="0085128E" w:rsidRDefault="00ED0696" w:rsidP="00462B44">
            <w:pPr>
              <w:keepNext/>
              <w:ind w:left="567" w:hanging="567"/>
              <w:jc w:val="left"/>
              <w:rPr>
                <w:rFonts w:cs="Arial"/>
              </w:rPr>
            </w:pPr>
            <w:r w:rsidRPr="0085128E">
              <w:rPr>
                <w:rFonts w:cs="Arial"/>
              </w:rPr>
              <w:t>b)</w:t>
            </w:r>
            <w:r w:rsidRPr="0085128E">
              <w:rPr>
                <w:rFonts w:cs="Arial"/>
              </w:rPr>
              <w:tab/>
              <w:t>États ayant adhéré à l</w:t>
            </w:r>
            <w:r w:rsidR="008D0CFD" w:rsidRPr="0085128E">
              <w:rPr>
                <w:rFonts w:cs="Arial"/>
              </w:rPr>
              <w:t>’</w:t>
            </w:r>
            <w:r w:rsidRPr="0085128E">
              <w:rPr>
                <w:rFonts w:cs="Arial"/>
              </w:rPr>
              <w:t xml:space="preserve">Acte </w:t>
            </w:r>
            <w:r w:rsidR="008D0CFD" w:rsidRPr="0085128E">
              <w:rPr>
                <w:rFonts w:cs="Arial"/>
              </w:rPr>
              <w:t>de 1991</w:t>
            </w:r>
            <w:r w:rsidRPr="0085128E">
              <w:rPr>
                <w:rFonts w:cs="Arial"/>
              </w:rPr>
              <w:t xml:space="preserve"> de la </w:t>
            </w:r>
            <w:r w:rsidR="008D0CFD" w:rsidRPr="0085128E">
              <w:rPr>
                <w:rFonts w:cs="Arial"/>
              </w:rPr>
              <w:t>Convention UPOV</w:t>
            </w:r>
            <w:r w:rsidRPr="0085128E">
              <w:rPr>
                <w:rFonts w:cs="Arial"/>
              </w:rPr>
              <w:t xml:space="preserve"> ou l</w:t>
            </w:r>
            <w:r w:rsidR="008D0CFD" w:rsidRPr="0085128E">
              <w:rPr>
                <w:rFonts w:cs="Arial"/>
              </w:rPr>
              <w:t>’</w:t>
            </w:r>
            <w:r w:rsidRPr="0085128E">
              <w:rPr>
                <w:rFonts w:cs="Arial"/>
              </w:rPr>
              <w:t>ayant ratifié;  États et organisations devenus membres de l</w:t>
            </w:r>
            <w:r w:rsidR="008D0CFD" w:rsidRPr="0085128E">
              <w:rPr>
                <w:rFonts w:cs="Arial"/>
              </w:rPr>
              <w:t>’</w:t>
            </w:r>
            <w:r w:rsidRPr="0085128E">
              <w:rPr>
                <w:rFonts w:cs="Arial"/>
              </w:rPr>
              <w:t>Union;  un certain nombre de genres et espèces protégés par les membres de l</w:t>
            </w:r>
            <w:r w:rsidR="008D0CFD" w:rsidRPr="0085128E">
              <w:rPr>
                <w:rFonts w:cs="Arial"/>
              </w:rPr>
              <w:t>’</w:t>
            </w:r>
            <w:r w:rsidRPr="0085128E">
              <w:rPr>
                <w:rFonts w:cs="Arial"/>
              </w:rPr>
              <w:t>Union;  et</w:t>
            </w:r>
          </w:p>
          <w:p w:rsidR="00604822" w:rsidRPr="0085128E" w:rsidRDefault="00ED0696" w:rsidP="00462B44">
            <w:pPr>
              <w:ind w:left="567" w:hanging="567"/>
              <w:jc w:val="left"/>
              <w:rPr>
                <w:rFonts w:cs="Arial"/>
              </w:rPr>
            </w:pPr>
            <w:r w:rsidRPr="0085128E">
              <w:rPr>
                <w:rFonts w:cs="Arial"/>
              </w:rPr>
              <w:t>c)</w:t>
            </w:r>
            <w:r w:rsidRPr="0085128E">
              <w:rPr>
                <w:rFonts w:cs="Arial"/>
              </w:rPr>
              <w:tab/>
              <w:t>mesures destinées à assurer formation et aide pour la mise en place et l</w:t>
            </w:r>
            <w:r w:rsidR="008D0CFD" w:rsidRPr="0085128E">
              <w:rPr>
                <w:rFonts w:cs="Arial"/>
              </w:rPr>
              <w:t>’</w:t>
            </w:r>
            <w:r w:rsidRPr="0085128E">
              <w:rPr>
                <w:rFonts w:cs="Arial"/>
              </w:rPr>
              <w:t>application du système de l</w:t>
            </w:r>
            <w:r w:rsidR="008D0CFD" w:rsidRPr="0085128E">
              <w:rPr>
                <w:rFonts w:cs="Arial"/>
              </w:rPr>
              <w:t>’</w:t>
            </w:r>
            <w:r w:rsidRPr="0085128E">
              <w:rPr>
                <w:rFonts w:cs="Arial"/>
              </w:rPr>
              <w:t>UPOV.</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ind w:left="567" w:hanging="567"/>
              <w:jc w:val="left"/>
              <w:rPr>
                <w:rFonts w:cs="Arial"/>
              </w:rPr>
            </w:pPr>
            <w:r w:rsidRPr="0085128E">
              <w:rPr>
                <w:rFonts w:cs="Arial"/>
              </w:rPr>
              <w:t>11.</w:t>
            </w:r>
            <w:r w:rsidRPr="0085128E">
              <w:rPr>
                <w:rFonts w:cs="Arial"/>
              </w:rPr>
              <w:tab/>
              <w:t>Suivi de la mise en œuvre de la stratégie de communication</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736BEB" w:rsidP="00462B44">
            <w:pPr>
              <w:keepNext/>
              <w:ind w:left="567" w:hanging="567"/>
              <w:jc w:val="left"/>
              <w:rPr>
                <w:rFonts w:cs="Arial"/>
              </w:rPr>
            </w:pPr>
            <w:r w:rsidRPr="0085128E">
              <w:rPr>
                <w:rFonts w:cs="Arial"/>
              </w:rPr>
              <w:t>a)</w:t>
            </w:r>
            <w:r w:rsidRPr="0085128E">
              <w:rPr>
                <w:rFonts w:cs="Arial"/>
              </w:rPr>
              <w:tab/>
              <w:t>évaluation des rapports annuels du Secrétaire général, des rapports d</w:t>
            </w:r>
            <w:r w:rsidR="008D0CFD" w:rsidRPr="0085128E">
              <w:rPr>
                <w:rFonts w:cs="Arial"/>
              </w:rPr>
              <w:t>’</w:t>
            </w:r>
            <w:r w:rsidRPr="0085128E">
              <w:rPr>
                <w:rFonts w:cs="Arial"/>
              </w:rPr>
              <w:t>exécution pour l</w:t>
            </w:r>
            <w:r w:rsidR="008D0CFD" w:rsidRPr="0085128E">
              <w:rPr>
                <w:rFonts w:cs="Arial"/>
              </w:rPr>
              <w:t>’</w:t>
            </w:r>
            <w:r w:rsidRPr="0085128E">
              <w:rPr>
                <w:rFonts w:cs="Arial"/>
              </w:rPr>
              <w:t>exercice biennal et d</w:t>
            </w:r>
            <w:r w:rsidR="008D0CFD" w:rsidRPr="0085128E">
              <w:rPr>
                <w:rFonts w:cs="Arial"/>
              </w:rPr>
              <w:t>’</w:t>
            </w:r>
            <w:r w:rsidRPr="0085128E">
              <w:rPr>
                <w:rFonts w:cs="Arial"/>
              </w:rPr>
              <w:t>autres documents d</w:t>
            </w:r>
            <w:r w:rsidR="008D0CFD" w:rsidRPr="0085128E">
              <w:rPr>
                <w:rFonts w:cs="Arial"/>
              </w:rPr>
              <w:t>’</w:t>
            </w:r>
            <w:r w:rsidRPr="0085128E">
              <w:rPr>
                <w:rFonts w:cs="Arial"/>
              </w:rPr>
              <w:t>information;  et</w:t>
            </w:r>
          </w:p>
          <w:p w:rsidR="00604822" w:rsidRPr="0085128E" w:rsidRDefault="00736BEB" w:rsidP="00462B44">
            <w:pPr>
              <w:ind w:left="567" w:hanging="567"/>
              <w:jc w:val="left"/>
              <w:rPr>
                <w:rFonts w:cs="Arial"/>
              </w:rPr>
            </w:pPr>
            <w:r w:rsidRPr="0085128E">
              <w:rPr>
                <w:rFonts w:cs="Arial"/>
              </w:rPr>
              <w:t>b)</w:t>
            </w:r>
            <w:r w:rsidRPr="0085128E">
              <w:rPr>
                <w:rFonts w:cs="Arial"/>
              </w:rPr>
              <w:tab/>
              <w:t>recommandations du Comité consultatif sur la stratégie de communication.</w:t>
            </w:r>
            <w:r w:rsidR="00604822" w:rsidRPr="0085128E">
              <w:t xml:space="preserve"> </w:t>
            </w:r>
            <w:r w:rsidR="00C833CB" w:rsidRPr="0085128E">
              <w:rPr>
                <w:rFonts w:cs="Arial"/>
              </w:rPr>
              <w:t xml:space="preserve"> </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736BEB" w:rsidP="00462B44">
            <w:pPr>
              <w:keepLines/>
              <w:ind w:left="567" w:hanging="567"/>
              <w:jc w:val="left"/>
              <w:rPr>
                <w:rFonts w:cs="Arial"/>
              </w:rPr>
            </w:pPr>
            <w:r w:rsidRPr="0085128E">
              <w:rPr>
                <w:rFonts w:cs="Arial"/>
              </w:rPr>
              <w:t>12.</w:t>
            </w:r>
            <w:r w:rsidRPr="0085128E">
              <w:rPr>
                <w:rFonts w:cs="Arial"/>
              </w:rPr>
              <w:tab/>
              <w:t>Orientations politiques relatives aux interactions avec d</w:t>
            </w:r>
            <w:r w:rsidR="008D0CFD" w:rsidRPr="0085128E">
              <w:rPr>
                <w:rFonts w:cs="Arial"/>
              </w:rPr>
              <w:t>’</w:t>
            </w:r>
            <w:r w:rsidRPr="0085128E">
              <w:rPr>
                <w:rFonts w:cs="Arial"/>
              </w:rPr>
              <w:t>autres organisations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736BEB" w:rsidP="00462B44">
            <w:pPr>
              <w:keepNext/>
              <w:ind w:left="567" w:hanging="567"/>
              <w:jc w:val="left"/>
              <w:rPr>
                <w:rFonts w:cs="Arial"/>
              </w:rPr>
            </w:pPr>
            <w:r w:rsidRPr="0085128E">
              <w:rPr>
                <w:rFonts w:cs="Arial"/>
              </w:rPr>
              <w:t>a)</w:t>
            </w:r>
            <w:r w:rsidRPr="0085128E">
              <w:rPr>
                <w:rFonts w:cs="Arial"/>
              </w:rPr>
              <w:tab/>
              <w:t>recommandations formulées par le Comité consultatif;  et</w:t>
            </w:r>
          </w:p>
          <w:p w:rsidR="00604822" w:rsidRPr="0085128E" w:rsidRDefault="00736BEB" w:rsidP="00462B44">
            <w:pPr>
              <w:keepLines/>
              <w:ind w:left="567" w:hanging="567"/>
              <w:jc w:val="left"/>
              <w:rPr>
                <w:rFonts w:cs="Arial"/>
              </w:rPr>
            </w:pPr>
            <w:r w:rsidRPr="0085128E">
              <w:rPr>
                <w:rFonts w:cs="Arial"/>
              </w:rPr>
              <w:t>b)</w:t>
            </w:r>
            <w:r w:rsidRPr="0085128E">
              <w:rPr>
                <w:rFonts w:cs="Arial"/>
              </w:rPr>
              <w:tab/>
              <w:t>décisions adoptées par le Conseil.</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736BEB" w:rsidP="00462B44">
            <w:pPr>
              <w:ind w:left="567" w:hanging="567"/>
              <w:jc w:val="left"/>
              <w:rPr>
                <w:rFonts w:cs="Arial"/>
              </w:rPr>
            </w:pPr>
            <w:r w:rsidRPr="0085128E">
              <w:rPr>
                <w:rFonts w:cs="Arial"/>
              </w:rPr>
              <w:t>13.</w:t>
            </w:r>
            <w:r w:rsidRPr="0085128E">
              <w:rPr>
                <w:rFonts w:cs="Arial"/>
              </w:rPr>
              <w:tab/>
              <w:t>Politique sur d</w:t>
            </w:r>
            <w:r w:rsidR="008D0CFD" w:rsidRPr="0085128E">
              <w:rPr>
                <w:rFonts w:cs="Arial"/>
              </w:rPr>
              <w:t>’</w:t>
            </w:r>
            <w:r w:rsidRPr="0085128E">
              <w:rPr>
                <w:rFonts w:cs="Arial"/>
              </w:rPr>
              <w:t>autres questions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736BEB" w:rsidP="00462B44">
            <w:pPr>
              <w:keepNext/>
              <w:ind w:left="567" w:hanging="567"/>
              <w:jc w:val="left"/>
              <w:rPr>
                <w:rFonts w:cs="Arial"/>
              </w:rPr>
            </w:pPr>
            <w:r w:rsidRPr="0085128E">
              <w:rPr>
                <w:rFonts w:cs="Arial"/>
              </w:rPr>
              <w:t>a)</w:t>
            </w:r>
            <w:r w:rsidRPr="0085128E">
              <w:rPr>
                <w:rFonts w:cs="Arial"/>
              </w:rPr>
              <w:tab/>
              <w:t>recommandations formulées par le Comité consultatif;</w:t>
            </w:r>
          </w:p>
          <w:p w:rsidR="00720382" w:rsidRPr="0085128E" w:rsidRDefault="00736BEB" w:rsidP="00462B44">
            <w:pPr>
              <w:keepNext/>
              <w:ind w:left="567" w:hanging="567"/>
              <w:jc w:val="left"/>
              <w:rPr>
                <w:rFonts w:cs="Arial"/>
              </w:rPr>
            </w:pPr>
            <w:r w:rsidRPr="0085128E">
              <w:rPr>
                <w:rFonts w:cs="Arial"/>
              </w:rPr>
              <w:t>b)</w:t>
            </w:r>
            <w:r w:rsidRPr="0085128E">
              <w:rPr>
                <w:rFonts w:cs="Arial"/>
              </w:rPr>
              <w:tab/>
              <w:t>décisions adoptées par le Conseil;  et</w:t>
            </w:r>
          </w:p>
          <w:p w:rsidR="00604822" w:rsidRPr="0085128E" w:rsidRDefault="00736BEB" w:rsidP="00462B44">
            <w:pPr>
              <w:ind w:left="567" w:hanging="567"/>
              <w:jc w:val="left"/>
              <w:rPr>
                <w:rFonts w:cs="Arial"/>
              </w:rPr>
            </w:pPr>
            <w:r w:rsidRPr="0085128E">
              <w:rPr>
                <w:rFonts w:cs="Arial"/>
              </w:rPr>
              <w:t>c)</w:t>
            </w:r>
            <w:r w:rsidRPr="0085128E">
              <w:rPr>
                <w:rFonts w:cs="Arial"/>
              </w:rPr>
              <w:tab/>
              <w:t>adoption des documents présentant la politique de l</w:t>
            </w:r>
            <w:r w:rsidR="008D0CFD" w:rsidRPr="0085128E">
              <w:rPr>
                <w:rFonts w:cs="Arial"/>
              </w:rPr>
              <w:t>’</w:t>
            </w:r>
            <w:r w:rsidRPr="0085128E">
              <w:rPr>
                <w:rFonts w:cs="Arial"/>
              </w:rPr>
              <w:t>UPOV par le Conseil.</w:t>
            </w:r>
          </w:p>
        </w:tc>
      </w:tr>
    </w:tbl>
    <w:p w:rsidR="00720382" w:rsidRDefault="00720382" w:rsidP="00462B44"/>
    <w:p w:rsidR="00462B44" w:rsidRPr="0085128E" w:rsidRDefault="00462B44" w:rsidP="00462B44"/>
    <w:p w:rsidR="003711EE" w:rsidRPr="0085128E" w:rsidRDefault="00736BEB" w:rsidP="00462B44">
      <w:pPr>
        <w:pStyle w:val="Heading2"/>
      </w:pPr>
      <w:bookmarkStart w:id="84" w:name="_Toc489956752"/>
      <w:bookmarkStart w:id="85" w:name="_Toc489956840"/>
      <w:bookmarkStart w:id="86" w:name="_Toc490572906"/>
      <w:bookmarkStart w:id="87" w:name="_Toc491088281"/>
      <w:r w:rsidRPr="00462B44">
        <w:rPr>
          <w:u w:val="none"/>
        </w:rPr>
        <w:t>2.2</w:t>
      </w:r>
      <w:r w:rsidRPr="00462B44">
        <w:rPr>
          <w:u w:val="none"/>
        </w:rPr>
        <w:tab/>
      </w:r>
      <w:r w:rsidRPr="0085128E">
        <w:t>Sous</w:t>
      </w:r>
      <w:r w:rsidR="008D0CFD" w:rsidRPr="0085128E">
        <w:t>-</w:t>
      </w:r>
      <w:r w:rsidRPr="0085128E">
        <w:t>programme UV.2</w:t>
      </w:r>
      <w:r w:rsidR="008D0CFD" w:rsidRPr="0085128E">
        <w:t> :</w:t>
      </w:r>
      <w:r w:rsidRPr="0085128E">
        <w:t xml:space="preserve"> Services fournis à l</w:t>
      </w:r>
      <w:r w:rsidR="008D0CFD" w:rsidRPr="0085128E">
        <w:t>’</w:t>
      </w:r>
      <w:r w:rsidRPr="0085128E">
        <w:t>Union en vue d</w:t>
      </w:r>
      <w:r w:rsidR="008D0CFD" w:rsidRPr="0085128E">
        <w:t>’</w:t>
      </w:r>
      <w:r w:rsidRPr="0085128E">
        <w:t>augmenter l</w:t>
      </w:r>
      <w:r w:rsidR="008D0CFD" w:rsidRPr="0085128E">
        <w:t>’</w:t>
      </w:r>
      <w:r w:rsidRPr="0085128E">
        <w:t>efficacité du système de l</w:t>
      </w:r>
      <w:r w:rsidR="008D0CFD" w:rsidRPr="0085128E">
        <w:t>’</w:t>
      </w:r>
      <w:r w:rsidRPr="0085128E">
        <w:t>UPOV</w:t>
      </w:r>
      <w:bookmarkEnd w:id="84"/>
      <w:bookmarkEnd w:id="85"/>
      <w:bookmarkEnd w:id="86"/>
      <w:bookmarkEnd w:id="87"/>
    </w:p>
    <w:p w:rsidR="00720382" w:rsidRPr="0085128E" w:rsidRDefault="00720382" w:rsidP="0085128E">
      <w:pPr>
        <w:keepNext/>
      </w:pPr>
    </w:p>
    <w:p w:rsidR="00720382" w:rsidRPr="0085128E" w:rsidRDefault="00736BEB" w:rsidP="00462B44">
      <w:pPr>
        <w:pStyle w:val="Heading3"/>
      </w:pPr>
      <w:bookmarkStart w:id="88" w:name="_Toc489956753"/>
      <w:bookmarkStart w:id="89" w:name="_Toc489956841"/>
      <w:bookmarkStart w:id="90" w:name="_Toc490572907"/>
      <w:bookmarkStart w:id="91" w:name="_Toc491088282"/>
      <w:r w:rsidRPr="0085128E">
        <w:t>2.2.1</w:t>
      </w:r>
      <w:r w:rsidRPr="0085128E">
        <w:tab/>
        <w:t>Objectifs</w:t>
      </w:r>
      <w:bookmarkEnd w:id="88"/>
      <w:bookmarkEnd w:id="89"/>
      <w:bookmarkEnd w:id="90"/>
      <w:bookmarkEnd w:id="91"/>
    </w:p>
    <w:p w:rsidR="00720382" w:rsidRPr="0085128E" w:rsidRDefault="00720382" w:rsidP="0085128E">
      <w:pPr>
        <w:keepNext/>
        <w:ind w:left="142"/>
      </w:pPr>
    </w:p>
    <w:p w:rsidR="003711EE" w:rsidRPr="0085128E" w:rsidRDefault="00604822" w:rsidP="0085128E">
      <w:r w:rsidRPr="0085128E">
        <w:tab/>
      </w:r>
      <w:r w:rsidR="00736BEB" w:rsidRPr="0085128E">
        <w:t>a)</w:t>
      </w:r>
      <w:r w:rsidR="00736BEB" w:rsidRPr="0085128E">
        <w:tab/>
        <w:t>Maintenir et améliorer l</w:t>
      </w:r>
      <w:r w:rsidR="008D0CFD" w:rsidRPr="0085128E">
        <w:t>’</w:t>
      </w:r>
      <w:r w:rsidR="00736BEB" w:rsidRPr="0085128E">
        <w:t>efficacité du système de l</w:t>
      </w:r>
      <w:r w:rsidR="008D0CFD" w:rsidRPr="0085128E">
        <w:t>’</w:t>
      </w:r>
      <w:r w:rsidR="00736BEB" w:rsidRPr="0085128E">
        <w:t>UPOV</w:t>
      </w:r>
    </w:p>
    <w:p w:rsidR="00720382" w:rsidRPr="0085128E" w:rsidRDefault="00720382" w:rsidP="0085128E"/>
    <w:p w:rsidR="00720382" w:rsidRPr="0085128E" w:rsidRDefault="00604822" w:rsidP="0085128E">
      <w:r w:rsidRPr="0085128E">
        <w:tab/>
      </w:r>
      <w:r w:rsidR="00736BEB" w:rsidRPr="0085128E">
        <w:t>b)</w:t>
      </w:r>
      <w:r w:rsidR="00736BEB" w:rsidRPr="0085128E">
        <w:tab/>
        <w:t xml:space="preserve">Jeter et développer les bases juridiques, administratives et techniques de la coopération internationale en matière de protection des obtentions végétales selon la </w:t>
      </w:r>
      <w:r w:rsidR="008D0CFD" w:rsidRPr="0085128E">
        <w:t>Convention UPOV</w:t>
      </w:r>
      <w:r w:rsidR="00736BEB" w:rsidRPr="0085128E">
        <w:t>.</w:t>
      </w:r>
    </w:p>
    <w:p w:rsidR="00720382" w:rsidRPr="0085128E" w:rsidRDefault="00720382" w:rsidP="0085128E">
      <w:pPr>
        <w:ind w:left="2410" w:hanging="2410"/>
      </w:pPr>
    </w:p>
    <w:p w:rsidR="00720382" w:rsidRPr="0085128E" w:rsidRDefault="00720382" w:rsidP="0085128E">
      <w:pPr>
        <w:ind w:left="2410" w:hanging="2410"/>
      </w:pPr>
    </w:p>
    <w:p w:rsidR="00720382" w:rsidRPr="0085128E" w:rsidRDefault="00736BEB" w:rsidP="00462B44">
      <w:pPr>
        <w:pStyle w:val="Heading3"/>
      </w:pPr>
      <w:bookmarkStart w:id="92" w:name="_Toc489956754"/>
      <w:bookmarkStart w:id="93" w:name="_Toc489956842"/>
      <w:bookmarkStart w:id="94" w:name="_Toc490572908"/>
      <w:bookmarkStart w:id="95" w:name="_Toc491088283"/>
      <w:r w:rsidRPr="0085128E">
        <w:t>2.2.2</w:t>
      </w:r>
      <w:r w:rsidRPr="0085128E">
        <w:tab/>
        <w:t>Descriptif</w:t>
      </w:r>
      <w:bookmarkEnd w:id="92"/>
      <w:bookmarkEnd w:id="93"/>
      <w:bookmarkEnd w:id="94"/>
      <w:bookmarkEnd w:id="95"/>
    </w:p>
    <w:p w:rsidR="00720382" w:rsidRPr="0085128E" w:rsidRDefault="00720382" w:rsidP="0085128E"/>
    <w:p w:rsidR="00720382" w:rsidRPr="0085128E" w:rsidRDefault="00736BEB" w:rsidP="00462B44">
      <w:pPr>
        <w:pStyle w:val="Heading4"/>
      </w:pPr>
      <w:bookmarkStart w:id="96" w:name="_Toc489956755"/>
      <w:bookmarkStart w:id="97" w:name="_Toc489956843"/>
      <w:bookmarkStart w:id="98" w:name="_Toc490572909"/>
      <w:bookmarkStart w:id="99" w:name="_Toc491088284"/>
      <w:r w:rsidRPr="0085128E">
        <w:t>Introduction</w:t>
      </w:r>
      <w:bookmarkEnd w:id="96"/>
      <w:bookmarkEnd w:id="97"/>
      <w:bookmarkEnd w:id="98"/>
      <w:bookmarkEnd w:id="99"/>
    </w:p>
    <w:p w:rsidR="00720382" w:rsidRPr="0085128E" w:rsidRDefault="00720382" w:rsidP="0085128E">
      <w:pPr>
        <w:tabs>
          <w:tab w:val="left" w:pos="851"/>
        </w:tabs>
      </w:pPr>
    </w:p>
    <w:p w:rsidR="003711EE" w:rsidRPr="0085128E" w:rsidRDefault="00736BEB" w:rsidP="0085128E">
      <w:r w:rsidRPr="0085128E">
        <w:t>2.2.2.1</w:t>
      </w:r>
      <w:r w:rsidRPr="0085128E">
        <w:tab/>
        <w:t>Ce sous</w:t>
      </w:r>
      <w:r w:rsidR="008D0CFD" w:rsidRPr="0085128E">
        <w:t>-</w:t>
      </w:r>
      <w:r w:rsidRPr="0085128E">
        <w:t>programme a trait à la fourniture d</w:t>
      </w:r>
      <w:r w:rsidR="008D0CFD" w:rsidRPr="0085128E">
        <w:t>’</w:t>
      </w:r>
      <w:r w:rsidRPr="0085128E">
        <w:t>orientations, d</w:t>
      </w:r>
      <w:r w:rsidR="008D0CFD" w:rsidRPr="0085128E">
        <w:t>’</w:t>
      </w:r>
      <w:r w:rsidRPr="0085128E">
        <w:t>informations et de ressources au sujet du fonctionnement du système de l</w:t>
      </w:r>
      <w:r w:rsidR="008D0CFD" w:rsidRPr="0085128E">
        <w:t>’</w:t>
      </w:r>
      <w:r w:rsidRPr="0085128E">
        <w:t>UPOV pour la protection des obtentions végétales, à l</w:t>
      </w:r>
      <w:r w:rsidR="008D0CFD" w:rsidRPr="0085128E">
        <w:t>’</w:t>
      </w:r>
      <w:r w:rsidRPr="0085128E">
        <w:t>aide à la coopération entre membres de l</w:t>
      </w:r>
      <w:r w:rsidR="008D0CFD" w:rsidRPr="0085128E">
        <w:t>’</w:t>
      </w:r>
      <w:r w:rsidRPr="0085128E">
        <w:t>Union, aux activités des organes compétents de l</w:t>
      </w:r>
      <w:r w:rsidR="008D0CFD" w:rsidRPr="0085128E">
        <w:t>’</w:t>
      </w:r>
      <w:r w:rsidRPr="0085128E">
        <w:t>UPOV et aux mesures visant à faciliter le dépôt de demandes de protection d</w:t>
      </w:r>
      <w:r w:rsidR="008D0CFD" w:rsidRPr="0085128E">
        <w:t>’</w:t>
      </w:r>
      <w:r w:rsidRPr="0085128E">
        <w:t>obtentions végétales.</w:t>
      </w:r>
    </w:p>
    <w:p w:rsidR="00720382" w:rsidRPr="0085128E" w:rsidRDefault="00720382" w:rsidP="0085128E">
      <w:pPr>
        <w:tabs>
          <w:tab w:val="left" w:pos="567"/>
        </w:tabs>
      </w:pPr>
    </w:p>
    <w:p w:rsidR="00720382" w:rsidRPr="0085128E" w:rsidRDefault="00720382" w:rsidP="0085128E">
      <w:pPr>
        <w:tabs>
          <w:tab w:val="left" w:pos="567"/>
        </w:tabs>
      </w:pPr>
    </w:p>
    <w:p w:rsidR="00720382" w:rsidRPr="0085128E" w:rsidRDefault="00736BEB" w:rsidP="00462B44">
      <w:pPr>
        <w:pStyle w:val="Heading4"/>
      </w:pPr>
      <w:bookmarkStart w:id="100" w:name="_Toc489956756"/>
      <w:bookmarkStart w:id="101" w:name="_Toc489956844"/>
      <w:bookmarkStart w:id="102" w:name="_Toc490572910"/>
      <w:bookmarkStart w:id="103" w:name="_Toc491088285"/>
      <w:r w:rsidRPr="0085128E">
        <w:t>Matériel d</w:t>
      </w:r>
      <w:r w:rsidR="008D0CFD" w:rsidRPr="0085128E">
        <w:t>’</w:t>
      </w:r>
      <w:r w:rsidRPr="0085128E">
        <w:t>orientation et d</w:t>
      </w:r>
      <w:r w:rsidR="008D0CFD" w:rsidRPr="0085128E">
        <w:t>’</w:t>
      </w:r>
      <w:r w:rsidRPr="0085128E">
        <w:t>information</w:t>
      </w:r>
      <w:bookmarkEnd w:id="100"/>
      <w:bookmarkEnd w:id="101"/>
      <w:bookmarkEnd w:id="102"/>
      <w:bookmarkEnd w:id="103"/>
    </w:p>
    <w:p w:rsidR="00720382" w:rsidRPr="0085128E" w:rsidRDefault="00720382" w:rsidP="0085128E">
      <w:pPr>
        <w:tabs>
          <w:tab w:val="left" w:pos="851"/>
        </w:tabs>
        <w:rPr>
          <w:bCs/>
          <w:szCs w:val="24"/>
        </w:rPr>
      </w:pPr>
    </w:p>
    <w:p w:rsidR="00720382" w:rsidRPr="0085128E" w:rsidRDefault="00736BEB" w:rsidP="0085128E">
      <w:r w:rsidRPr="0085128E">
        <w:t>2.2.2.2</w:t>
      </w:r>
      <w:r w:rsidRPr="0085128E">
        <w:tab/>
        <w:t>L</w:t>
      </w:r>
      <w:r w:rsidR="008D0CFD" w:rsidRPr="0085128E">
        <w:t>’</w:t>
      </w:r>
      <w:r w:rsidRPr="0085128E">
        <w:t>efficacité du système de l</w:t>
      </w:r>
      <w:r w:rsidR="008D0CFD" w:rsidRPr="0085128E">
        <w:t>’</w:t>
      </w:r>
      <w:r w:rsidRPr="0085128E">
        <w:t>UPOV est renforcée par la mise à disposition de matériels d</w:t>
      </w:r>
      <w:r w:rsidR="008D0CFD" w:rsidRPr="0085128E">
        <w:t>’</w:t>
      </w:r>
      <w:r w:rsidRPr="0085128E">
        <w:t>orientation et d</w:t>
      </w:r>
      <w:r w:rsidR="008D0CFD" w:rsidRPr="0085128E">
        <w:t>’</w:t>
      </w:r>
      <w:r w:rsidRPr="0085128E">
        <w:t>information tels que les notes explicatives (dans la série “UPOV/EXN”), les documents d</w:t>
      </w:r>
      <w:r w:rsidR="008D0CFD" w:rsidRPr="0085128E">
        <w:t>’</w:t>
      </w:r>
      <w:r w:rsidRPr="0085128E">
        <w:t>information (dans la série “UPOV/INF”), l</w:t>
      </w:r>
      <w:r w:rsidR="008D0CFD" w:rsidRPr="0085128E">
        <w:t>’</w:t>
      </w:r>
      <w:r w:rsidRPr="0085128E">
        <w:t>“Introduction générale à l</w:t>
      </w:r>
      <w:r w:rsidR="008D0CFD" w:rsidRPr="0085128E">
        <w:t>’</w:t>
      </w:r>
      <w:r w:rsidRPr="0085128E">
        <w:t>examen de la distinction, de l</w:t>
      </w:r>
      <w:r w:rsidR="008D0CFD" w:rsidRPr="0085128E">
        <w:t>’</w:t>
      </w:r>
      <w:r w:rsidRPr="0085128E">
        <w:t>homogénéité et de la stabilité et à l</w:t>
      </w:r>
      <w:r w:rsidR="008D0CFD" w:rsidRPr="0085128E">
        <w:t>’</w:t>
      </w:r>
      <w:r w:rsidRPr="0085128E">
        <w:t>harmonisation des descriptions des obtentions végétales”, assortie de documents TGP et de principes directeurs d</w:t>
      </w:r>
      <w:r w:rsidR="008D0CFD" w:rsidRPr="0085128E">
        <w:t>’</w:t>
      </w:r>
      <w:r w:rsidRPr="0085128E">
        <w:t>exam</w:t>
      </w:r>
      <w:r w:rsidR="009F5A99" w:rsidRPr="0085128E">
        <w:t>en.  Ce</w:t>
      </w:r>
      <w:r w:rsidRPr="0085128E">
        <w:t>s documents jettent les bases de l</w:t>
      </w:r>
      <w:r w:rsidR="008D0CFD" w:rsidRPr="0085128E">
        <w:t>’</w:t>
      </w:r>
      <w:r w:rsidRPr="0085128E">
        <w:t>harmonisation et, par conséquent, favorisent la coopération entre les membres de l</w:t>
      </w:r>
      <w:r w:rsidR="008D0CFD" w:rsidRPr="0085128E">
        <w:t>’</w:t>
      </w:r>
      <w:r w:rsidRPr="0085128E">
        <w:t>Uni</w:t>
      </w:r>
      <w:r w:rsidR="009F5A99" w:rsidRPr="0085128E">
        <w:t>on.  Le</w:t>
      </w:r>
      <w:r w:rsidRPr="0085128E">
        <w:t xml:space="preserve"> recensement des questions pertinentes à des fins d</w:t>
      </w:r>
      <w:r w:rsidR="008D0CFD" w:rsidRPr="0085128E">
        <w:t>’</w:t>
      </w:r>
      <w:r w:rsidRPr="0085128E">
        <w:t>orientation et l</w:t>
      </w:r>
      <w:r w:rsidR="008D0CFD" w:rsidRPr="0085128E">
        <w:t>’</w:t>
      </w:r>
      <w:r w:rsidRPr="0085128E">
        <w:t>élaboration de documents appropriés sont un objectif fondamental des travaux du Comité administratif et juridique (CAJ), du Comité technique (TC) et des groupes de travail techniques (TWP).</w:t>
      </w:r>
      <w:r w:rsidR="00604822" w:rsidRPr="0085128E">
        <w:t xml:space="preserve"> </w:t>
      </w:r>
      <w:r w:rsidR="00C833CB" w:rsidRPr="0085128E">
        <w:t xml:space="preserve"> </w:t>
      </w:r>
      <w:r w:rsidRPr="0085128E">
        <w:t>À cet égard, la participation aux travaux d</w:t>
      </w:r>
      <w:r w:rsidR="008D0CFD" w:rsidRPr="0085128E">
        <w:t>’</w:t>
      </w:r>
      <w:r w:rsidRPr="0085128E">
        <w:t>organisations représentant les parties prenantes constitue un moyen essentiel de veiller à ce que l</w:t>
      </w:r>
      <w:r w:rsidR="008D0CFD" w:rsidRPr="0085128E">
        <w:t>’</w:t>
      </w:r>
      <w:r w:rsidRPr="0085128E">
        <w:t>orientation et l</w:t>
      </w:r>
      <w:r w:rsidR="008D0CFD" w:rsidRPr="0085128E">
        <w:t>’</w:t>
      </w:r>
      <w:r w:rsidRPr="0085128E">
        <w:t>information soient aussi efficaces que possible.</w:t>
      </w:r>
    </w:p>
    <w:p w:rsidR="00720382" w:rsidRPr="0085128E" w:rsidRDefault="00720382" w:rsidP="0085128E"/>
    <w:p w:rsidR="003711EE" w:rsidRPr="0085128E" w:rsidRDefault="00736BEB" w:rsidP="0085128E">
      <w:pPr>
        <w:rPr>
          <w:bCs/>
          <w:szCs w:val="24"/>
        </w:rPr>
      </w:pPr>
      <w:r w:rsidRPr="0085128E">
        <w:rPr>
          <w:bCs/>
          <w:szCs w:val="24"/>
        </w:rPr>
        <w:t>2.2.2.3</w:t>
      </w:r>
      <w:r w:rsidRPr="0085128E">
        <w:rPr>
          <w:bCs/>
          <w:szCs w:val="24"/>
        </w:rPr>
        <w:tab/>
        <w:t>Un aspect essentiel à l</w:t>
      </w:r>
      <w:r w:rsidR="008D0CFD" w:rsidRPr="0085128E">
        <w:rPr>
          <w:bCs/>
          <w:szCs w:val="24"/>
        </w:rPr>
        <w:t>’</w:t>
      </w:r>
      <w:r w:rsidRPr="0085128E">
        <w:rPr>
          <w:bCs/>
          <w:szCs w:val="24"/>
        </w:rPr>
        <w:t>efficacité du système de l</w:t>
      </w:r>
      <w:r w:rsidR="008D0CFD" w:rsidRPr="0085128E">
        <w:rPr>
          <w:bCs/>
          <w:szCs w:val="24"/>
        </w:rPr>
        <w:t>’</w:t>
      </w:r>
      <w:r w:rsidRPr="0085128E">
        <w:rPr>
          <w:bCs/>
          <w:szCs w:val="24"/>
        </w:rPr>
        <w:t>UPOV est que l</w:t>
      </w:r>
      <w:r w:rsidR="008D0CFD" w:rsidRPr="0085128E">
        <w:rPr>
          <w:bCs/>
          <w:szCs w:val="24"/>
        </w:rPr>
        <w:t>’</w:t>
      </w:r>
      <w:r w:rsidRPr="0085128E">
        <w:rPr>
          <w:bCs/>
          <w:szCs w:val="24"/>
        </w:rPr>
        <w:t xml:space="preserve">ensemble des parties prenantes, </w:t>
      </w:r>
      <w:r w:rsidR="009C4BBF" w:rsidRPr="0085128E">
        <w:rPr>
          <w:bCs/>
          <w:szCs w:val="24"/>
        </w:rPr>
        <w:t xml:space="preserve">notamment </w:t>
      </w:r>
      <w:r w:rsidRPr="0085128E">
        <w:rPr>
          <w:bCs/>
          <w:szCs w:val="24"/>
        </w:rPr>
        <w:t>les obtenteurs</w:t>
      </w:r>
      <w:r w:rsidR="009C4BBF" w:rsidRPr="0085128E">
        <w:rPr>
          <w:bCs/>
          <w:szCs w:val="24"/>
        </w:rPr>
        <w:t>,</w:t>
      </w:r>
      <w:r w:rsidRPr="0085128E">
        <w:rPr>
          <w:bCs/>
          <w:szCs w:val="24"/>
        </w:rPr>
        <w:t xml:space="preserve"> les producteurs de semences et de plantes et les agriculteurs, comprennent bien ce qu</w:t>
      </w:r>
      <w:r w:rsidR="008D0CFD" w:rsidRPr="0085128E">
        <w:rPr>
          <w:bCs/>
          <w:szCs w:val="24"/>
        </w:rPr>
        <w:t>’</w:t>
      </w:r>
      <w:r w:rsidRPr="0085128E">
        <w:rPr>
          <w:bCs/>
          <w:szCs w:val="24"/>
        </w:rPr>
        <w:t>est le système de l</w:t>
      </w:r>
      <w:r w:rsidR="008D0CFD" w:rsidRPr="0085128E">
        <w:rPr>
          <w:bCs/>
          <w:szCs w:val="24"/>
        </w:rPr>
        <w:t>’</w:t>
      </w:r>
      <w:r w:rsidRPr="0085128E">
        <w:rPr>
          <w:bCs/>
          <w:szCs w:val="24"/>
        </w:rPr>
        <w:t>U</w:t>
      </w:r>
      <w:r w:rsidR="009F5A99" w:rsidRPr="0085128E">
        <w:rPr>
          <w:bCs/>
          <w:szCs w:val="24"/>
        </w:rPr>
        <w:t>POV.  Le</w:t>
      </w:r>
      <w:r w:rsidRPr="0085128E">
        <w:rPr>
          <w:bCs/>
          <w:szCs w:val="24"/>
        </w:rPr>
        <w:t>s documents d</w:t>
      </w:r>
      <w:r w:rsidR="008D0CFD" w:rsidRPr="0085128E">
        <w:rPr>
          <w:bCs/>
          <w:szCs w:val="24"/>
        </w:rPr>
        <w:t>’</w:t>
      </w:r>
      <w:r w:rsidRPr="0085128E">
        <w:rPr>
          <w:bCs/>
          <w:szCs w:val="24"/>
        </w:rPr>
        <w:t>orientation et d</w:t>
      </w:r>
      <w:r w:rsidR="008D0CFD" w:rsidRPr="0085128E">
        <w:rPr>
          <w:bCs/>
          <w:szCs w:val="24"/>
        </w:rPr>
        <w:t>’</w:t>
      </w:r>
      <w:r w:rsidRPr="0085128E">
        <w:rPr>
          <w:bCs/>
          <w:szCs w:val="24"/>
        </w:rPr>
        <w:t>information élaborés par l</w:t>
      </w:r>
      <w:r w:rsidR="008D0CFD" w:rsidRPr="0085128E">
        <w:rPr>
          <w:bCs/>
          <w:szCs w:val="24"/>
        </w:rPr>
        <w:t>’</w:t>
      </w:r>
      <w:r w:rsidRPr="0085128E">
        <w:rPr>
          <w:bCs/>
          <w:szCs w:val="24"/>
        </w:rPr>
        <w:t>UPOV donnent aux parties prenantes une explication de ce système ainsi que des informations sur son fonctionneme</w:t>
      </w:r>
      <w:r w:rsidR="009F5A99" w:rsidRPr="0085128E">
        <w:rPr>
          <w:bCs/>
          <w:szCs w:val="24"/>
        </w:rPr>
        <w:t>nt.  La</w:t>
      </w:r>
      <w:r w:rsidRPr="0085128E">
        <w:rPr>
          <w:bCs/>
          <w:szCs w:val="24"/>
        </w:rPr>
        <w:t xml:space="preserve"> stratégie de communication qui concerne l</w:t>
      </w:r>
      <w:r w:rsidR="008D0CFD" w:rsidRPr="0085128E">
        <w:rPr>
          <w:bCs/>
          <w:szCs w:val="24"/>
        </w:rPr>
        <w:t>’</w:t>
      </w:r>
      <w:r w:rsidRPr="0085128E">
        <w:rPr>
          <w:bCs/>
          <w:szCs w:val="24"/>
        </w:rPr>
        <w:t>élaboration de méthodes et de documents de communication adaptés à tout un éventail de parties prenantes relève des sous</w:t>
      </w:r>
      <w:r w:rsidR="008D0CFD" w:rsidRPr="0085128E">
        <w:rPr>
          <w:bCs/>
          <w:szCs w:val="24"/>
        </w:rPr>
        <w:t>-</w:t>
      </w:r>
      <w:r w:rsidRPr="0085128E">
        <w:rPr>
          <w:bCs/>
          <w:szCs w:val="24"/>
        </w:rPr>
        <w:t>programmes UV.1 et UV.3.</w:t>
      </w:r>
    </w:p>
    <w:p w:rsidR="00720382" w:rsidRPr="0085128E" w:rsidRDefault="00720382" w:rsidP="0085128E"/>
    <w:p w:rsidR="003711EE" w:rsidRPr="0085128E" w:rsidRDefault="00736BEB" w:rsidP="0085128E">
      <w:r w:rsidRPr="0085128E">
        <w:t>2.2.2.4</w:t>
      </w:r>
      <w:r w:rsidRPr="0085128E">
        <w:tab/>
        <w:t>Un large éventail de documents d</w:t>
      </w:r>
      <w:r w:rsidR="008D0CFD" w:rsidRPr="0085128E">
        <w:t>’</w:t>
      </w:r>
      <w:r w:rsidRPr="0085128E">
        <w:t>orientation et d</w:t>
      </w:r>
      <w:r w:rsidR="008D0CFD" w:rsidRPr="0085128E">
        <w:t>’</w:t>
      </w:r>
      <w:r w:rsidRPr="0085128E">
        <w:t>information a été étab</w:t>
      </w:r>
      <w:r w:rsidR="009F5A99" w:rsidRPr="0085128E">
        <w:t>li.  Ce</w:t>
      </w:r>
      <w:r w:rsidRPr="0085128E">
        <w:t>pendant, la mise à jour et l</w:t>
      </w:r>
      <w:r w:rsidR="008D0CFD" w:rsidRPr="0085128E">
        <w:t>’</w:t>
      </w:r>
      <w:r w:rsidRPr="0085128E">
        <w:t>élaboration de ces orientations et informations se poursuivront, le cas échéant, durant l</w:t>
      </w:r>
      <w:r w:rsidR="008D0CFD" w:rsidRPr="0085128E">
        <w:t>’</w:t>
      </w:r>
      <w:r w:rsidRPr="0085128E">
        <w:t xml:space="preserve">exercice </w:t>
      </w:r>
      <w:r w:rsidR="008D0CFD" w:rsidRPr="0085128E">
        <w:t>biennal 2018-</w:t>
      </w:r>
      <w:r w:rsidRPr="0085128E">
        <w:t>2019.</w:t>
      </w:r>
    </w:p>
    <w:p w:rsidR="00720382" w:rsidRPr="0085128E" w:rsidRDefault="00720382" w:rsidP="0085128E"/>
    <w:p w:rsidR="00720382" w:rsidRPr="0085128E" w:rsidRDefault="00736BEB" w:rsidP="0085128E">
      <w:r w:rsidRPr="0085128E">
        <w:t>2.2.2.5</w:t>
      </w:r>
      <w:r w:rsidRPr="0085128E">
        <w:tab/>
        <w:t>S</w:t>
      </w:r>
      <w:r w:rsidR="008D0CFD" w:rsidRPr="0085128E">
        <w:t>’</w:t>
      </w:r>
      <w:r w:rsidRPr="0085128E">
        <w:t xml:space="preserve">agissant des dénominations variétales, la révision du document UPOV/INF/12 “Notes explicatives concernant les dénominations variétales en vertu de la </w:t>
      </w:r>
      <w:r w:rsidR="008D0CFD" w:rsidRPr="0085128E">
        <w:t>Convention UPOV</w:t>
      </w:r>
      <w:r w:rsidRPr="0085128E">
        <w:t>” sera fondamentale, tant pour favoriser la coopération en matière d</w:t>
      </w:r>
      <w:r w:rsidR="008D0CFD" w:rsidRPr="0085128E">
        <w:t>’</w:t>
      </w:r>
      <w:r w:rsidRPr="0085128E">
        <w:t>examen des dénominations variétales entre les membres de l</w:t>
      </w:r>
      <w:r w:rsidR="008D0CFD" w:rsidRPr="0085128E">
        <w:t>’</w:t>
      </w:r>
      <w:r w:rsidRPr="0085128E">
        <w:t>UPOV que pour fournir l</w:t>
      </w:r>
      <w:r w:rsidR="008D0CFD" w:rsidRPr="0085128E">
        <w:t>’</w:t>
      </w:r>
      <w:r w:rsidRPr="0085128E">
        <w:t>aide aux obtenteurs dans leur sélection des dénominations variétales.</w:t>
      </w:r>
    </w:p>
    <w:p w:rsidR="00720382" w:rsidRPr="0085128E" w:rsidRDefault="00720382" w:rsidP="0085128E"/>
    <w:p w:rsidR="00720382" w:rsidRPr="0085128E" w:rsidRDefault="00736BEB" w:rsidP="0085128E">
      <w:r w:rsidRPr="0085128E">
        <w:t>2.2.2.6</w:t>
      </w:r>
      <w:r w:rsidRPr="0085128E">
        <w:tab/>
        <w:t>Les techniques moléculaires jouent un rôle de plus en plus important dans l</w:t>
      </w:r>
      <w:r w:rsidR="008D0CFD" w:rsidRPr="0085128E">
        <w:t>’</w:t>
      </w:r>
      <w:r w:rsidRPr="0085128E">
        <w:t>examen de la distinction, de l</w:t>
      </w:r>
      <w:r w:rsidR="008D0CFD" w:rsidRPr="0085128E">
        <w:t>’</w:t>
      </w:r>
      <w:r w:rsidRPr="0085128E">
        <w:t>homogénéité et de la stabilité et il est possible que leur évolution aboutisse à une révision du document TGP/15 “Conseils en ce qui concerne l</w:t>
      </w:r>
      <w:r w:rsidR="008D0CFD" w:rsidRPr="0085128E">
        <w:t>’</w:t>
      </w:r>
      <w:r w:rsidRPr="0085128E">
        <w:t>utilisation des marqueurs biochimiques et moléculaires dans l</w:t>
      </w:r>
      <w:r w:rsidR="008D0CFD" w:rsidRPr="0085128E">
        <w:t>’</w:t>
      </w:r>
      <w:r w:rsidRPr="0085128E">
        <w:t>examen de la distinction, de l</w:t>
      </w:r>
      <w:r w:rsidR="008D0CFD" w:rsidRPr="0085128E">
        <w:t>’</w:t>
      </w:r>
      <w:r w:rsidRPr="0085128E">
        <w:t>homogénéité et de la stabilité (DHS)” pour l</w:t>
      </w:r>
      <w:r w:rsidR="008D0CFD" w:rsidRPr="0085128E">
        <w:t>’</w:t>
      </w:r>
      <w:r w:rsidRPr="0085128E">
        <w:t xml:space="preserve">exercice </w:t>
      </w:r>
      <w:r w:rsidR="008D0CFD" w:rsidRPr="0085128E">
        <w:t>biennal 2018-</w:t>
      </w:r>
      <w:r w:rsidRPr="0085128E">
        <w:t>2019.</w:t>
      </w:r>
    </w:p>
    <w:p w:rsidR="00720382" w:rsidRPr="0085128E" w:rsidRDefault="00720382" w:rsidP="0085128E"/>
    <w:p w:rsidR="00720382" w:rsidRPr="0085128E" w:rsidRDefault="00720382" w:rsidP="0085128E">
      <w:pPr>
        <w:tabs>
          <w:tab w:val="left" w:pos="567"/>
        </w:tabs>
      </w:pPr>
    </w:p>
    <w:p w:rsidR="00720382" w:rsidRPr="0085128E" w:rsidRDefault="00736BEB" w:rsidP="00462B44">
      <w:pPr>
        <w:pStyle w:val="Heading4"/>
      </w:pPr>
      <w:bookmarkStart w:id="104" w:name="_Toc489956757"/>
      <w:bookmarkStart w:id="105" w:name="_Toc489956845"/>
      <w:bookmarkStart w:id="106" w:name="_Toc490572911"/>
      <w:bookmarkStart w:id="107" w:name="_Toc491088286"/>
      <w:r w:rsidRPr="0085128E">
        <w:t>Ressources de l</w:t>
      </w:r>
      <w:r w:rsidR="008D0CFD" w:rsidRPr="0085128E">
        <w:t>’</w:t>
      </w:r>
      <w:r w:rsidRPr="0085128E">
        <w:t>UPOV en faveur de la coopération entre les membres de l</w:t>
      </w:r>
      <w:r w:rsidR="008D0CFD" w:rsidRPr="0085128E">
        <w:t>’</w:t>
      </w:r>
      <w:r w:rsidRPr="0085128E">
        <w:t>Union</w:t>
      </w:r>
      <w:bookmarkEnd w:id="104"/>
      <w:bookmarkEnd w:id="105"/>
      <w:bookmarkEnd w:id="106"/>
      <w:bookmarkEnd w:id="107"/>
    </w:p>
    <w:p w:rsidR="00720382" w:rsidRPr="0085128E" w:rsidRDefault="00720382" w:rsidP="0085128E">
      <w:pPr>
        <w:keepNext/>
        <w:tabs>
          <w:tab w:val="left" w:pos="567"/>
        </w:tabs>
      </w:pPr>
    </w:p>
    <w:p w:rsidR="00720382" w:rsidRPr="0085128E" w:rsidRDefault="00736BEB" w:rsidP="0085128E">
      <w:pPr>
        <w:keepNext/>
        <w:rPr>
          <w:bCs/>
          <w:szCs w:val="24"/>
        </w:rPr>
      </w:pPr>
      <w:r w:rsidRPr="0085128E">
        <w:rPr>
          <w:bCs/>
          <w:szCs w:val="24"/>
        </w:rPr>
        <w:t>2.2.2.7</w:t>
      </w:r>
      <w:r w:rsidRPr="0085128E">
        <w:rPr>
          <w:bCs/>
          <w:szCs w:val="24"/>
        </w:rPr>
        <w:tab/>
        <w:t>La coopération entre membres de l</w:t>
      </w:r>
      <w:r w:rsidR="008D0CFD" w:rsidRPr="0085128E">
        <w:rPr>
          <w:bCs/>
          <w:szCs w:val="24"/>
        </w:rPr>
        <w:t>’</w:t>
      </w:r>
      <w:r w:rsidRPr="0085128E">
        <w:rPr>
          <w:bCs/>
          <w:szCs w:val="24"/>
        </w:rPr>
        <w:t>Union est l</w:t>
      </w:r>
      <w:r w:rsidR="008D0CFD" w:rsidRPr="0085128E">
        <w:rPr>
          <w:bCs/>
          <w:szCs w:val="24"/>
        </w:rPr>
        <w:t>’</w:t>
      </w:r>
      <w:r w:rsidRPr="0085128E">
        <w:rPr>
          <w:bCs/>
          <w:szCs w:val="24"/>
        </w:rPr>
        <w:t>une des principales caractéristiques du système de l</w:t>
      </w:r>
      <w:r w:rsidR="008D0CFD" w:rsidRPr="0085128E">
        <w:rPr>
          <w:bCs/>
          <w:szCs w:val="24"/>
        </w:rPr>
        <w:t>’</w:t>
      </w:r>
      <w:r w:rsidRPr="0085128E">
        <w:rPr>
          <w:bCs/>
          <w:szCs w:val="24"/>
        </w:rPr>
        <w:t>UPOV et jette les bases d</w:t>
      </w:r>
      <w:r w:rsidR="008D0CFD" w:rsidRPr="0085128E">
        <w:rPr>
          <w:bCs/>
          <w:szCs w:val="24"/>
        </w:rPr>
        <w:t>’</w:t>
      </w:r>
      <w:r w:rsidRPr="0085128E">
        <w:rPr>
          <w:bCs/>
          <w:szCs w:val="24"/>
        </w:rPr>
        <w:t>un système effica</w:t>
      </w:r>
      <w:r w:rsidR="009F5A99" w:rsidRPr="0085128E">
        <w:rPr>
          <w:bCs/>
          <w:szCs w:val="24"/>
        </w:rPr>
        <w:t>ce.  Un</w:t>
      </w:r>
      <w:r w:rsidRPr="0085128E">
        <w:rPr>
          <w:bCs/>
          <w:szCs w:val="24"/>
        </w:rPr>
        <w:t>e telle efficacité constitue un moyen essentiel de veiller à ce que le système de l</w:t>
      </w:r>
      <w:r w:rsidR="008D0CFD" w:rsidRPr="0085128E">
        <w:rPr>
          <w:bCs/>
          <w:szCs w:val="24"/>
        </w:rPr>
        <w:t>’</w:t>
      </w:r>
      <w:r w:rsidRPr="0085128E">
        <w:rPr>
          <w:bCs/>
          <w:szCs w:val="24"/>
        </w:rPr>
        <w:t>UPOV soit accessible et abordable pour tous les types d</w:t>
      </w:r>
      <w:r w:rsidR="008D0CFD" w:rsidRPr="0085128E">
        <w:rPr>
          <w:bCs/>
          <w:szCs w:val="24"/>
        </w:rPr>
        <w:t>’</w:t>
      </w:r>
      <w:r w:rsidRPr="0085128E">
        <w:rPr>
          <w:bCs/>
          <w:szCs w:val="24"/>
        </w:rPr>
        <w:t>obtenteu</w:t>
      </w:r>
      <w:r w:rsidR="009F5A99" w:rsidRPr="0085128E">
        <w:rPr>
          <w:bCs/>
          <w:szCs w:val="24"/>
        </w:rPr>
        <w:t>rs.  Le</w:t>
      </w:r>
      <w:r w:rsidRPr="0085128E">
        <w:rPr>
          <w:bCs/>
          <w:szCs w:val="24"/>
        </w:rPr>
        <w:t>s ressources de l</w:t>
      </w:r>
      <w:r w:rsidR="008D0CFD" w:rsidRPr="0085128E">
        <w:rPr>
          <w:bCs/>
          <w:szCs w:val="24"/>
        </w:rPr>
        <w:t>’</w:t>
      </w:r>
      <w:r w:rsidRPr="0085128E">
        <w:rPr>
          <w:bCs/>
          <w:szCs w:val="24"/>
        </w:rPr>
        <w:t>UPOV en matière de coopération sont présentées dans les paragraphes suivants.</w:t>
      </w:r>
    </w:p>
    <w:p w:rsidR="00720382" w:rsidRPr="0085128E" w:rsidRDefault="00720382" w:rsidP="0085128E">
      <w:pPr>
        <w:tabs>
          <w:tab w:val="left" w:pos="851"/>
        </w:tabs>
        <w:rPr>
          <w:bCs/>
          <w:szCs w:val="24"/>
        </w:rPr>
      </w:pPr>
    </w:p>
    <w:p w:rsidR="00720382" w:rsidRPr="0085128E" w:rsidRDefault="00736BEB" w:rsidP="0085128E">
      <w:pPr>
        <w:keepNext/>
        <w:tabs>
          <w:tab w:val="left" w:pos="851"/>
        </w:tabs>
        <w:rPr>
          <w:bCs/>
          <w:i/>
          <w:szCs w:val="24"/>
        </w:rPr>
      </w:pPr>
      <w:r w:rsidRPr="0085128E">
        <w:rPr>
          <w:bCs/>
          <w:i/>
          <w:szCs w:val="24"/>
        </w:rPr>
        <w:t>Examen DHS</w:t>
      </w:r>
    </w:p>
    <w:p w:rsidR="00720382" w:rsidRPr="0085128E" w:rsidRDefault="00720382" w:rsidP="0085128E">
      <w:pPr>
        <w:keepNext/>
        <w:tabs>
          <w:tab w:val="left" w:pos="851"/>
        </w:tabs>
        <w:rPr>
          <w:bCs/>
          <w:szCs w:val="24"/>
        </w:rPr>
      </w:pPr>
    </w:p>
    <w:p w:rsidR="003711EE" w:rsidRPr="0085128E" w:rsidRDefault="00736BEB" w:rsidP="0085128E">
      <w:pPr>
        <w:rPr>
          <w:bCs/>
          <w:szCs w:val="24"/>
        </w:rPr>
      </w:pPr>
      <w:r w:rsidRPr="0085128E">
        <w:rPr>
          <w:bCs/>
          <w:szCs w:val="24"/>
        </w:rPr>
        <w:t>2.2.2.8</w:t>
      </w:r>
      <w:r w:rsidRPr="0085128E">
        <w:rPr>
          <w:bCs/>
          <w:szCs w:val="24"/>
        </w:rPr>
        <w:tab/>
        <w:t xml:space="preserve">La coopération en matière </w:t>
      </w:r>
      <w:r w:rsidR="001F649F" w:rsidRPr="0085128E">
        <w:rPr>
          <w:bCs/>
          <w:szCs w:val="24"/>
        </w:rPr>
        <w:t>d’examen de la distinction, de l’homogénéité et de la stabilité (“DHS”)</w:t>
      </w:r>
      <w:r w:rsidRPr="0085128E">
        <w:rPr>
          <w:bCs/>
          <w:szCs w:val="24"/>
        </w:rPr>
        <w:t xml:space="preserve"> au sein de l</w:t>
      </w:r>
      <w:r w:rsidR="008D0CFD" w:rsidRPr="0085128E">
        <w:rPr>
          <w:bCs/>
          <w:szCs w:val="24"/>
        </w:rPr>
        <w:t>’</w:t>
      </w:r>
      <w:r w:rsidRPr="0085128E">
        <w:rPr>
          <w:bCs/>
          <w:szCs w:val="24"/>
        </w:rPr>
        <w:t>UPOV repose sur les contributions des membres de l</w:t>
      </w:r>
      <w:r w:rsidR="008D0CFD" w:rsidRPr="0085128E">
        <w:rPr>
          <w:bCs/>
          <w:szCs w:val="24"/>
        </w:rPr>
        <w:t>’</w:t>
      </w:r>
      <w:r w:rsidRPr="0085128E">
        <w:rPr>
          <w:bCs/>
          <w:szCs w:val="24"/>
        </w:rPr>
        <w:t>Uni</w:t>
      </w:r>
      <w:r w:rsidR="009F5A99" w:rsidRPr="0085128E">
        <w:rPr>
          <w:bCs/>
          <w:szCs w:val="24"/>
        </w:rPr>
        <w:t>on.  Pl</w:t>
      </w:r>
      <w:r w:rsidR="003247FE" w:rsidRPr="0085128E">
        <w:rPr>
          <w:bCs/>
          <w:szCs w:val="24"/>
        </w:rPr>
        <w:t>us précisément, des experts de membres de l</w:t>
      </w:r>
      <w:r w:rsidR="008D0CFD" w:rsidRPr="0085128E">
        <w:rPr>
          <w:bCs/>
          <w:szCs w:val="24"/>
        </w:rPr>
        <w:t>’</w:t>
      </w:r>
      <w:r w:rsidR="003247FE" w:rsidRPr="0085128E">
        <w:rPr>
          <w:bCs/>
          <w:szCs w:val="24"/>
        </w:rPr>
        <w:t>Union élaborent des principes directeurs dans le cadre des travaux</w:t>
      </w:r>
      <w:r w:rsidR="008D0CFD" w:rsidRPr="0085128E">
        <w:rPr>
          <w:bCs/>
          <w:szCs w:val="24"/>
        </w:rPr>
        <w:t xml:space="preserve"> des TWP</w:t>
      </w:r>
      <w:r w:rsidR="003247FE" w:rsidRPr="0085128E">
        <w:rPr>
          <w:bCs/>
          <w:szCs w:val="24"/>
        </w:rPr>
        <w:t xml:space="preserve"> et du</w:t>
      </w:r>
      <w:r w:rsidR="008D0CFD" w:rsidRPr="0085128E">
        <w:rPr>
          <w:bCs/>
          <w:szCs w:val="24"/>
        </w:rPr>
        <w:t> TC</w:t>
      </w:r>
      <w:r w:rsidR="003247FE" w:rsidRPr="0085128E">
        <w:rPr>
          <w:bCs/>
          <w:szCs w:val="24"/>
        </w:rPr>
        <w:t xml:space="preserve"> et partagent leur expérience pratique en ce qui concerne des genres et espèces végétaux particuliers, par exemple dans la base de données GE</w:t>
      </w:r>
      <w:r w:rsidR="009F5A99" w:rsidRPr="0085128E">
        <w:rPr>
          <w:bCs/>
          <w:szCs w:val="24"/>
        </w:rPr>
        <w:t>NIE.  Ce</w:t>
      </w:r>
      <w:r w:rsidR="003247FE" w:rsidRPr="0085128E">
        <w:rPr>
          <w:bCs/>
          <w:szCs w:val="24"/>
        </w:rPr>
        <w:t>s mesures facilitent la coopération en matière d</w:t>
      </w:r>
      <w:r w:rsidR="008D0CFD" w:rsidRPr="0085128E">
        <w:rPr>
          <w:bCs/>
          <w:szCs w:val="24"/>
        </w:rPr>
        <w:t>’</w:t>
      </w:r>
      <w:r w:rsidR="003247FE" w:rsidRPr="0085128E">
        <w:rPr>
          <w:bCs/>
          <w:szCs w:val="24"/>
        </w:rPr>
        <w:t>examen DHS et d</w:t>
      </w:r>
      <w:r w:rsidR="008D0CFD" w:rsidRPr="0085128E">
        <w:rPr>
          <w:bCs/>
          <w:szCs w:val="24"/>
        </w:rPr>
        <w:t>’</w:t>
      </w:r>
      <w:r w:rsidR="003247FE" w:rsidRPr="0085128E">
        <w:rPr>
          <w:bCs/>
          <w:szCs w:val="24"/>
        </w:rPr>
        <w:t>utilisation des rapports DHS existants, jetant les bases d</w:t>
      </w:r>
      <w:r w:rsidR="008D0CFD" w:rsidRPr="0085128E">
        <w:rPr>
          <w:bCs/>
          <w:szCs w:val="24"/>
        </w:rPr>
        <w:t>’</w:t>
      </w:r>
      <w:r w:rsidR="003247FE" w:rsidRPr="0085128E">
        <w:rPr>
          <w:bCs/>
          <w:szCs w:val="24"/>
        </w:rPr>
        <w:t>un système efficace applicable à tous les genres et espèces végétaux qui soit accessible et abordable pour tous les types d</w:t>
      </w:r>
      <w:r w:rsidR="008D0CFD" w:rsidRPr="0085128E">
        <w:rPr>
          <w:bCs/>
          <w:szCs w:val="24"/>
        </w:rPr>
        <w:t>’</w:t>
      </w:r>
      <w:r w:rsidR="003247FE" w:rsidRPr="0085128E">
        <w:rPr>
          <w:bCs/>
          <w:szCs w:val="24"/>
        </w:rPr>
        <w:t>obtenteu</w:t>
      </w:r>
      <w:r w:rsidR="009F5A99" w:rsidRPr="0085128E">
        <w:rPr>
          <w:bCs/>
          <w:szCs w:val="24"/>
        </w:rPr>
        <w:t>rs.  Le</w:t>
      </w:r>
      <w:r w:rsidR="003247FE" w:rsidRPr="0085128E">
        <w:rPr>
          <w:bCs/>
          <w:szCs w:val="24"/>
        </w:rPr>
        <w:t>s accords de coopération entre les membres de l</w:t>
      </w:r>
      <w:r w:rsidR="008D0CFD" w:rsidRPr="0085128E">
        <w:rPr>
          <w:bCs/>
          <w:szCs w:val="24"/>
        </w:rPr>
        <w:t>’</w:t>
      </w:r>
      <w:r w:rsidR="003247FE" w:rsidRPr="0085128E">
        <w:rPr>
          <w:bCs/>
          <w:szCs w:val="24"/>
        </w:rPr>
        <w:t>Union concernant l</w:t>
      </w:r>
      <w:r w:rsidR="008D0CFD" w:rsidRPr="0085128E">
        <w:rPr>
          <w:bCs/>
          <w:szCs w:val="24"/>
        </w:rPr>
        <w:t>’</w:t>
      </w:r>
      <w:r w:rsidR="003247FE" w:rsidRPr="0085128E">
        <w:rPr>
          <w:bCs/>
          <w:szCs w:val="24"/>
        </w:rPr>
        <w:t>examen</w:t>
      </w:r>
      <w:r w:rsidR="00C833CB" w:rsidRPr="0085128E">
        <w:rPr>
          <w:bCs/>
          <w:szCs w:val="24"/>
        </w:rPr>
        <w:t> </w:t>
      </w:r>
      <w:r w:rsidR="003247FE" w:rsidRPr="0085128E">
        <w:rPr>
          <w:bCs/>
          <w:szCs w:val="24"/>
        </w:rPr>
        <w:t>DHS figurent dans la base de données GENIE.</w:t>
      </w:r>
    </w:p>
    <w:p w:rsidR="00720382" w:rsidRPr="0085128E" w:rsidRDefault="00720382" w:rsidP="0085128E">
      <w:pPr>
        <w:tabs>
          <w:tab w:val="left" w:pos="851"/>
        </w:tabs>
        <w:rPr>
          <w:bCs/>
          <w:szCs w:val="24"/>
        </w:rPr>
      </w:pPr>
    </w:p>
    <w:p w:rsidR="00720382" w:rsidRPr="0085128E" w:rsidRDefault="003247FE" w:rsidP="0085128E">
      <w:r w:rsidRPr="0085128E">
        <w:t>2.2.2.9</w:t>
      </w:r>
      <w:r w:rsidRPr="0085128E">
        <w:tab/>
        <w:t>Les mesures ci</w:t>
      </w:r>
      <w:r w:rsidR="008D0CFD" w:rsidRPr="0085128E">
        <w:t>-</w:t>
      </w:r>
      <w:r w:rsidRPr="0085128E">
        <w:t>après visant à favoriser et renforcer la coopération entre les membres de l</w:t>
      </w:r>
      <w:r w:rsidR="008D0CFD" w:rsidRPr="0085128E">
        <w:t>’</w:t>
      </w:r>
      <w:r w:rsidRPr="0085128E">
        <w:t>Union continueront d</w:t>
      </w:r>
      <w:r w:rsidR="008D0CFD" w:rsidRPr="0085128E">
        <w:t>’</w:t>
      </w:r>
      <w:r w:rsidRPr="0085128E">
        <w:t>être mises en œuvre au cours de l</w:t>
      </w:r>
      <w:r w:rsidR="008D0CFD" w:rsidRPr="0085128E">
        <w:t>’</w:t>
      </w:r>
      <w:r w:rsidRPr="0085128E">
        <w:t xml:space="preserve">exercice </w:t>
      </w:r>
      <w:r w:rsidR="008D0CFD" w:rsidRPr="0085128E">
        <w:t>biennal 2018-</w:t>
      </w:r>
      <w:r w:rsidRPr="0085128E">
        <w:t>2019</w:t>
      </w:r>
      <w:r w:rsidR="008D0CFD" w:rsidRPr="0085128E">
        <w:t> :</w:t>
      </w:r>
    </w:p>
    <w:p w:rsidR="00720382" w:rsidRPr="0085128E" w:rsidRDefault="00720382" w:rsidP="0085128E"/>
    <w:p w:rsidR="00720382" w:rsidRPr="0085128E" w:rsidRDefault="003247FE" w:rsidP="0085128E">
      <w:pPr>
        <w:ind w:left="567"/>
      </w:pPr>
      <w:r w:rsidRPr="0085128E">
        <w:t>a)</w:t>
      </w:r>
      <w:r w:rsidRPr="0085128E">
        <w:tab/>
        <w:t>élaboration de principes directeurs d</w:t>
      </w:r>
      <w:r w:rsidR="008D0CFD" w:rsidRPr="0085128E">
        <w:t>’</w:t>
      </w:r>
      <w:r w:rsidRPr="0085128E">
        <w:t>examen;</w:t>
      </w:r>
    </w:p>
    <w:p w:rsidR="00720382" w:rsidRPr="0085128E" w:rsidRDefault="00720382" w:rsidP="0085128E">
      <w:pPr>
        <w:ind w:left="567"/>
      </w:pPr>
    </w:p>
    <w:p w:rsidR="00720382" w:rsidRPr="0085128E" w:rsidRDefault="003247FE" w:rsidP="0085128E">
      <w:pPr>
        <w:ind w:left="567"/>
      </w:pPr>
      <w:r w:rsidRPr="0085128E">
        <w:t>b)</w:t>
      </w:r>
      <w:r w:rsidRPr="0085128E">
        <w:tab/>
        <w:t>amélioration du modèle de principes directeurs d</w:t>
      </w:r>
      <w:r w:rsidR="008D0CFD" w:rsidRPr="0085128E">
        <w:t>’</w:t>
      </w:r>
      <w:r w:rsidRPr="0085128E">
        <w:t>examen fondé sur le Web (modèle TG) pour faciliter la rédaction des principes directeurs d</w:t>
      </w:r>
      <w:r w:rsidR="008D0CFD" w:rsidRPr="0085128E">
        <w:t>’</w:t>
      </w:r>
      <w:r w:rsidRPr="0085128E">
        <w:t>examen par les experts des membres de l</w:t>
      </w:r>
      <w:r w:rsidR="008D0CFD" w:rsidRPr="0085128E">
        <w:t>’</w:t>
      </w:r>
      <w:r w:rsidRPr="0085128E">
        <w:t>Union et l</w:t>
      </w:r>
      <w:r w:rsidR="008D0CFD" w:rsidRPr="0085128E">
        <w:t>’</w:t>
      </w:r>
      <w:r w:rsidRPr="0085128E">
        <w:t>élaboration de principes directeurs d</w:t>
      </w:r>
      <w:r w:rsidR="008D0CFD" w:rsidRPr="0085128E">
        <w:t>’</w:t>
      </w:r>
      <w:r w:rsidRPr="0085128E">
        <w:t>examen propres aux différents services des membres de l</w:t>
      </w:r>
      <w:r w:rsidR="008D0CFD" w:rsidRPr="0085128E">
        <w:t>’</w:t>
      </w:r>
      <w:r w:rsidRPr="0085128E">
        <w:t>Union, parallèlement à la réduction des tâches administratives et des traductions réalisées pour l</w:t>
      </w:r>
      <w:r w:rsidR="008D0CFD" w:rsidRPr="0085128E">
        <w:t>’</w:t>
      </w:r>
      <w:r w:rsidRPr="0085128E">
        <w:t>UPOV;</w:t>
      </w:r>
    </w:p>
    <w:p w:rsidR="00720382" w:rsidRPr="0085128E" w:rsidRDefault="00720382" w:rsidP="0085128E">
      <w:pPr>
        <w:ind w:left="567"/>
      </w:pPr>
    </w:p>
    <w:p w:rsidR="003711EE" w:rsidRPr="0085128E" w:rsidRDefault="003247FE" w:rsidP="0085128E">
      <w:pPr>
        <w:ind w:left="567"/>
      </w:pPr>
      <w:r w:rsidRPr="0085128E">
        <w:t>c)</w:t>
      </w:r>
      <w:r w:rsidRPr="0085128E">
        <w:tab/>
        <w:t>collecte d</w:t>
      </w:r>
      <w:r w:rsidR="008D0CFD" w:rsidRPr="0085128E">
        <w:t>’</w:t>
      </w:r>
      <w:r w:rsidRPr="0085128E">
        <w:t>informations sur les expériences pratiques et la coopération en matière d</w:t>
      </w:r>
      <w:r w:rsidR="008D0CFD" w:rsidRPr="0085128E">
        <w:t>’</w:t>
      </w:r>
      <w:r w:rsidRPr="0085128E">
        <w:t>examen</w:t>
      </w:r>
      <w:r w:rsidR="00C833CB" w:rsidRPr="0085128E">
        <w:t> </w:t>
      </w:r>
      <w:r w:rsidRPr="0085128E">
        <w:t>DHS aux fins de l</w:t>
      </w:r>
      <w:r w:rsidR="008D0CFD" w:rsidRPr="0085128E">
        <w:t>’</w:t>
      </w:r>
      <w:r w:rsidRPr="0085128E">
        <w:t>inclusion des données dans la base de données GENIE;</w:t>
      </w:r>
    </w:p>
    <w:p w:rsidR="00720382" w:rsidRPr="0085128E" w:rsidRDefault="00720382" w:rsidP="0085128E">
      <w:pPr>
        <w:ind w:left="567"/>
      </w:pPr>
    </w:p>
    <w:p w:rsidR="00720382" w:rsidRPr="0085128E" w:rsidRDefault="003247FE" w:rsidP="0085128E">
      <w:pPr>
        <w:ind w:left="567"/>
      </w:pPr>
      <w:r w:rsidRPr="0085128E">
        <w:t>d)</w:t>
      </w:r>
      <w:r w:rsidRPr="0085128E">
        <w:tab/>
        <w:t>collecte d</w:t>
      </w:r>
      <w:r w:rsidR="008D0CFD" w:rsidRPr="0085128E">
        <w:t>’</w:t>
      </w:r>
      <w:r w:rsidRPr="0085128E">
        <w:t>informations sur les logiciels créés et mis à disposition par les membres de l</w:t>
      </w:r>
      <w:r w:rsidR="008D0CFD" w:rsidRPr="0085128E">
        <w:t>’</w:t>
      </w:r>
      <w:r w:rsidRPr="0085128E">
        <w:t>Union ainsi que les logiciels et équipements utilisés par les membres de l</w:t>
      </w:r>
      <w:r w:rsidR="008D0CFD" w:rsidRPr="0085128E">
        <w:t>’</w:t>
      </w:r>
      <w:r w:rsidRPr="0085128E">
        <w:t>Union, aux fins de leur publication dans les documents UPOV/INF/16 et UPOV/INF/22, respectivement.</w:t>
      </w:r>
    </w:p>
    <w:p w:rsidR="00720382" w:rsidRPr="0085128E" w:rsidRDefault="00720382" w:rsidP="0085128E"/>
    <w:p w:rsidR="00720382" w:rsidRPr="0085128E" w:rsidRDefault="003247FE" w:rsidP="00462B44">
      <w:pPr>
        <w:pStyle w:val="Heading4"/>
      </w:pPr>
      <w:bookmarkStart w:id="108" w:name="_Toc489954602"/>
      <w:bookmarkStart w:id="109" w:name="_Toc489954788"/>
      <w:bookmarkStart w:id="110" w:name="_Toc489956758"/>
      <w:bookmarkStart w:id="111" w:name="_Toc489956846"/>
      <w:bookmarkStart w:id="112" w:name="_Toc490572912"/>
      <w:bookmarkStart w:id="113" w:name="_Toc491088287"/>
      <w:r w:rsidRPr="0085128E">
        <w:t>Dénominations variétales</w:t>
      </w:r>
      <w:bookmarkEnd w:id="108"/>
      <w:bookmarkEnd w:id="109"/>
      <w:bookmarkEnd w:id="110"/>
      <w:bookmarkEnd w:id="111"/>
      <w:bookmarkEnd w:id="112"/>
      <w:bookmarkEnd w:id="113"/>
    </w:p>
    <w:p w:rsidR="00720382" w:rsidRPr="0085128E" w:rsidRDefault="00720382" w:rsidP="0085128E">
      <w:pPr>
        <w:rPr>
          <w:snapToGrid w:val="0"/>
        </w:rPr>
      </w:pPr>
    </w:p>
    <w:p w:rsidR="003711EE" w:rsidRPr="0085128E" w:rsidRDefault="003247FE" w:rsidP="0085128E">
      <w:pPr>
        <w:rPr>
          <w:bCs/>
          <w:szCs w:val="24"/>
        </w:rPr>
      </w:pPr>
      <w:r w:rsidRPr="0085128E">
        <w:rPr>
          <w:bCs/>
          <w:szCs w:val="24"/>
        </w:rPr>
        <w:t>2.2.2.10</w:t>
      </w:r>
      <w:r w:rsidRPr="0085128E">
        <w:rPr>
          <w:bCs/>
          <w:szCs w:val="24"/>
        </w:rPr>
        <w:tab/>
        <w:t>La fourniture par les membres de l</w:t>
      </w:r>
      <w:r w:rsidR="008D0CFD" w:rsidRPr="0085128E">
        <w:rPr>
          <w:bCs/>
          <w:szCs w:val="24"/>
        </w:rPr>
        <w:t>’</w:t>
      </w:r>
      <w:r w:rsidRPr="0085128E">
        <w:rPr>
          <w:bCs/>
          <w:szCs w:val="24"/>
        </w:rPr>
        <w:t>Union de données destinées à la base de données sur les variétés végétales (PLUTO) apporte une aide fondamentale dans le cadre de l</w:t>
      </w:r>
      <w:r w:rsidR="008D0CFD" w:rsidRPr="0085128E">
        <w:rPr>
          <w:bCs/>
          <w:szCs w:val="24"/>
        </w:rPr>
        <w:t>’</w:t>
      </w:r>
      <w:r w:rsidRPr="0085128E">
        <w:rPr>
          <w:bCs/>
          <w:szCs w:val="24"/>
        </w:rPr>
        <w:t>examen des dénominations variétal</w:t>
      </w:r>
      <w:r w:rsidR="009F5A99" w:rsidRPr="0085128E">
        <w:rPr>
          <w:bCs/>
          <w:szCs w:val="24"/>
        </w:rPr>
        <w:t>es.  Ce</w:t>
      </w:r>
      <w:r w:rsidRPr="0085128E">
        <w:rPr>
          <w:bCs/>
          <w:szCs w:val="24"/>
        </w:rPr>
        <w:t>s contributions sont renforcées par la fourniture de données par l</w:t>
      </w:r>
      <w:r w:rsidR="008D0CFD" w:rsidRPr="0085128E">
        <w:rPr>
          <w:bCs/>
          <w:szCs w:val="24"/>
        </w:rPr>
        <w:t>’</w:t>
      </w:r>
      <w:r w:rsidRPr="0085128E">
        <w:rPr>
          <w:bCs/>
          <w:szCs w:val="24"/>
        </w:rPr>
        <w:t>OCDE et par la conclusion d</w:t>
      </w:r>
      <w:r w:rsidR="008D0CFD" w:rsidRPr="0085128E">
        <w:rPr>
          <w:bCs/>
          <w:szCs w:val="24"/>
        </w:rPr>
        <w:t>’</w:t>
      </w:r>
      <w:r w:rsidRPr="0085128E">
        <w:rPr>
          <w:bCs/>
          <w:szCs w:val="24"/>
        </w:rPr>
        <w:t>accords de coopération entre l</w:t>
      </w:r>
      <w:r w:rsidR="008D0CFD" w:rsidRPr="0085128E">
        <w:rPr>
          <w:bCs/>
          <w:szCs w:val="24"/>
        </w:rPr>
        <w:t>’</w:t>
      </w:r>
      <w:r w:rsidRPr="0085128E">
        <w:rPr>
          <w:bCs/>
          <w:szCs w:val="24"/>
        </w:rPr>
        <w:t>UPOV et l</w:t>
      </w:r>
      <w:r w:rsidR="008D0CFD" w:rsidRPr="0085128E">
        <w:rPr>
          <w:bCs/>
          <w:szCs w:val="24"/>
        </w:rPr>
        <w:t>’</w:t>
      </w:r>
      <w:r w:rsidRPr="0085128E">
        <w:rPr>
          <w:bCs/>
          <w:szCs w:val="24"/>
        </w:rPr>
        <w:t>OMPI et entre l</w:t>
      </w:r>
      <w:r w:rsidR="008D0CFD" w:rsidRPr="0085128E">
        <w:rPr>
          <w:bCs/>
          <w:szCs w:val="24"/>
        </w:rPr>
        <w:t>’</w:t>
      </w:r>
      <w:r w:rsidRPr="0085128E">
        <w:rPr>
          <w:bCs/>
          <w:szCs w:val="24"/>
        </w:rPr>
        <w:t>UPOV et l</w:t>
      </w:r>
      <w:r w:rsidR="008D0CFD" w:rsidRPr="0085128E">
        <w:rPr>
          <w:bCs/>
          <w:szCs w:val="24"/>
        </w:rPr>
        <w:t>’</w:t>
      </w:r>
      <w:r w:rsidRPr="0085128E">
        <w:rPr>
          <w:bCs/>
          <w:szCs w:val="24"/>
        </w:rPr>
        <w:t>Office communautaire des variétés végétales (OCVV)</w:t>
      </w:r>
      <w:r w:rsidR="006C6C01">
        <w:rPr>
          <w:bCs/>
          <w:szCs w:val="24"/>
        </w:rPr>
        <w:t xml:space="preserve"> de l’Union européenne</w:t>
      </w:r>
      <w:r w:rsidRPr="0085128E">
        <w:rPr>
          <w:bCs/>
          <w:szCs w:val="24"/>
        </w:rPr>
        <w:t>.</w:t>
      </w:r>
    </w:p>
    <w:p w:rsidR="00720382" w:rsidRPr="0085128E" w:rsidRDefault="00720382" w:rsidP="0085128E">
      <w:pPr>
        <w:tabs>
          <w:tab w:val="left" w:pos="851"/>
        </w:tabs>
        <w:rPr>
          <w:bCs/>
          <w:szCs w:val="24"/>
        </w:rPr>
      </w:pPr>
    </w:p>
    <w:p w:rsidR="00720382" w:rsidRPr="0085128E" w:rsidRDefault="003247FE" w:rsidP="0085128E">
      <w:r w:rsidRPr="0085128E">
        <w:t>2.2.2.11</w:t>
      </w:r>
      <w:r w:rsidRPr="0085128E">
        <w:tab/>
        <w:t>Le programme d</w:t>
      </w:r>
      <w:r w:rsidR="008D0CFD" w:rsidRPr="0085128E">
        <w:t>’</w:t>
      </w:r>
      <w:r w:rsidRPr="0085128E">
        <w:t>améliorations de la base de données PLUTO approuvé par</w:t>
      </w:r>
      <w:r w:rsidR="008D0CFD" w:rsidRPr="0085128E">
        <w:t xml:space="preserve"> le CAJ</w:t>
      </w:r>
      <w:r w:rsidRPr="0085128E">
        <w:t xml:space="preserve"> et le</w:t>
      </w:r>
      <w:r w:rsidR="008D0CFD" w:rsidRPr="0085128E">
        <w:t> TC</w:t>
      </w:r>
      <w:r w:rsidRPr="0085128E">
        <w:t xml:space="preserve"> continuera d</w:t>
      </w:r>
      <w:r w:rsidR="008D0CFD" w:rsidRPr="0085128E">
        <w:t>’</w:t>
      </w:r>
      <w:r w:rsidRPr="0085128E">
        <w:t>être mis en œuvre et réexaminé le cas échéa</w:t>
      </w:r>
      <w:r w:rsidR="009F5A99" w:rsidRPr="0085128E">
        <w:t>nt.  En</w:t>
      </w:r>
      <w:r w:rsidRPr="0085128E">
        <w:t xml:space="preserve"> particulier, les travaux visant à augmenter la qualité et la quantité des données figurant dans la base de données PLUTO se poursuivront.</w:t>
      </w:r>
    </w:p>
    <w:p w:rsidR="00720382" w:rsidRPr="0085128E" w:rsidRDefault="00720382" w:rsidP="0085128E"/>
    <w:p w:rsidR="003711EE" w:rsidRPr="0085128E" w:rsidRDefault="003247FE" w:rsidP="0085128E">
      <w:pPr>
        <w:rPr>
          <w:snapToGrid w:val="0"/>
        </w:rPr>
      </w:pPr>
      <w:r w:rsidRPr="0085128E">
        <w:rPr>
          <w:snapToGrid w:val="0"/>
        </w:rPr>
        <w:t>2.2.2.12</w:t>
      </w:r>
      <w:r w:rsidRPr="0085128E">
        <w:rPr>
          <w:snapToGrid w:val="0"/>
        </w:rPr>
        <w:tab/>
        <w:t>Afin de faciliter et d</w:t>
      </w:r>
      <w:r w:rsidR="008D0CFD" w:rsidRPr="0085128E">
        <w:rPr>
          <w:snapToGrid w:val="0"/>
        </w:rPr>
        <w:t>’</w:t>
      </w:r>
      <w:r w:rsidRPr="0085128E">
        <w:rPr>
          <w:snapToGrid w:val="0"/>
        </w:rPr>
        <w:t>harmoniser l</w:t>
      </w:r>
      <w:r w:rsidR="008D0CFD" w:rsidRPr="0085128E">
        <w:rPr>
          <w:snapToGrid w:val="0"/>
        </w:rPr>
        <w:t>’</w:t>
      </w:r>
      <w:r w:rsidRPr="0085128E">
        <w:rPr>
          <w:snapToGrid w:val="0"/>
        </w:rPr>
        <w:t>examen des dénominations variétales par les membres de l</w:t>
      </w:r>
      <w:r w:rsidR="008D0CFD" w:rsidRPr="0085128E">
        <w:rPr>
          <w:snapToGrid w:val="0"/>
        </w:rPr>
        <w:t>’</w:t>
      </w:r>
      <w:r w:rsidRPr="0085128E">
        <w:rPr>
          <w:snapToGrid w:val="0"/>
        </w:rPr>
        <w:t>Union, les travaux relatifs à l</w:t>
      </w:r>
      <w:r w:rsidR="008D0CFD" w:rsidRPr="0085128E">
        <w:rPr>
          <w:snapToGrid w:val="0"/>
        </w:rPr>
        <w:t>’</w:t>
      </w:r>
      <w:r w:rsidRPr="0085128E">
        <w:rPr>
          <w:snapToGrid w:val="0"/>
        </w:rPr>
        <w:t>élaboration de propositions relatives à un outil de recherche de l</w:t>
      </w:r>
      <w:r w:rsidR="008D0CFD" w:rsidRPr="0085128E">
        <w:rPr>
          <w:snapToGrid w:val="0"/>
        </w:rPr>
        <w:t>’</w:t>
      </w:r>
      <w:r w:rsidRPr="0085128E">
        <w:rPr>
          <w:snapToGrid w:val="0"/>
        </w:rPr>
        <w:t>UPOV de similarité aux fins de la dénomination variétale se poursuivront, conformément aux recommandations adoptées au titre du document UPOV/INF/12.</w:t>
      </w:r>
    </w:p>
    <w:p w:rsidR="00720382" w:rsidRPr="0085128E" w:rsidRDefault="00720382" w:rsidP="0085128E">
      <w:pPr>
        <w:tabs>
          <w:tab w:val="left" w:pos="851"/>
        </w:tabs>
      </w:pPr>
    </w:p>
    <w:p w:rsidR="00720382" w:rsidRPr="0085128E" w:rsidRDefault="003247FE" w:rsidP="0085128E">
      <w:pPr>
        <w:rPr>
          <w:i/>
          <w:snapToGrid w:val="0"/>
        </w:rPr>
      </w:pPr>
      <w:r w:rsidRPr="0085128E">
        <w:rPr>
          <w:i/>
          <w:snapToGrid w:val="0"/>
        </w:rPr>
        <w:t>Administration des demandes de droit d</w:t>
      </w:r>
      <w:r w:rsidR="008D0CFD" w:rsidRPr="0085128E">
        <w:rPr>
          <w:i/>
          <w:snapToGrid w:val="0"/>
        </w:rPr>
        <w:t>’</w:t>
      </w:r>
      <w:r w:rsidRPr="0085128E">
        <w:rPr>
          <w:i/>
          <w:snapToGrid w:val="0"/>
        </w:rPr>
        <w:t>obtenteur</w:t>
      </w:r>
    </w:p>
    <w:p w:rsidR="00720382" w:rsidRPr="0085128E" w:rsidRDefault="00720382" w:rsidP="0085128E"/>
    <w:p w:rsidR="00720382" w:rsidRPr="0085128E" w:rsidRDefault="003247FE" w:rsidP="0085128E">
      <w:r w:rsidRPr="0085128E">
        <w:t>2.2.2.13</w:t>
      </w:r>
      <w:r w:rsidRPr="0085128E">
        <w:tab/>
      </w:r>
      <w:r w:rsidR="008D0CFD" w:rsidRPr="0085128E">
        <w:t>En 2017</w:t>
      </w:r>
      <w:r w:rsidRPr="0085128E">
        <w:t>, une première version du formulaire de demande électronique de l</w:t>
      </w:r>
      <w:r w:rsidR="008D0CFD" w:rsidRPr="0085128E">
        <w:t>’</w:t>
      </w:r>
      <w:r w:rsidRPr="0085128E">
        <w:t>UPOV était mise en service pour certaines plantes et espèces et certaines langues, permettant aux obtenteurs de fournir des informations sur les demandes de droit d</w:t>
      </w:r>
      <w:r w:rsidR="008D0CFD" w:rsidRPr="0085128E">
        <w:t>’</w:t>
      </w:r>
      <w:r w:rsidRPr="0085128E">
        <w:t>obtenteur à l</w:t>
      </w:r>
      <w:r w:rsidR="008D0CFD" w:rsidRPr="0085128E">
        <w:t>’</w:t>
      </w:r>
      <w:r w:rsidRPr="0085128E">
        <w:t>intention des membres participant de l</w:t>
      </w:r>
      <w:r w:rsidR="008D0CFD" w:rsidRPr="0085128E">
        <w:t>’</w:t>
      </w:r>
      <w:r w:rsidRPr="0085128E">
        <w:t>Union, par l</w:t>
      </w:r>
      <w:r w:rsidR="008D0CFD" w:rsidRPr="0085128E">
        <w:t>’</w:t>
      </w:r>
      <w:r w:rsidRPr="0085128E">
        <w:t>intermédiaire du site</w:t>
      </w:r>
      <w:r w:rsidR="00C833CB" w:rsidRPr="0085128E">
        <w:t> </w:t>
      </w:r>
      <w:r w:rsidRPr="0085128E">
        <w:t>Web de l</w:t>
      </w:r>
      <w:r w:rsidR="008D0CFD" w:rsidRPr="0085128E">
        <w:t>’</w:t>
      </w:r>
      <w:r w:rsidRPr="0085128E">
        <w:t>U</w:t>
      </w:r>
      <w:r w:rsidR="009F5A99" w:rsidRPr="0085128E">
        <w:t>POV.  Po</w:t>
      </w:r>
      <w:r w:rsidRPr="0085128E">
        <w:t>ur l</w:t>
      </w:r>
      <w:r w:rsidR="008D0CFD" w:rsidRPr="0085128E">
        <w:t>’</w:t>
      </w:r>
      <w:r w:rsidRPr="0085128E">
        <w:t xml:space="preserve">exercice </w:t>
      </w:r>
      <w:r w:rsidR="008D0CFD" w:rsidRPr="0085128E">
        <w:t>biennal 2018-</w:t>
      </w:r>
      <w:r w:rsidRPr="0085128E">
        <w:t>2019, l</w:t>
      </w:r>
      <w:r w:rsidR="008D0CFD" w:rsidRPr="0085128E">
        <w:t>’</w:t>
      </w:r>
      <w:r w:rsidRPr="0085128E">
        <w:t>objectif sera d</w:t>
      </w:r>
      <w:r w:rsidR="008D0CFD" w:rsidRPr="0085128E">
        <w:t>’</w:t>
      </w:r>
      <w:r w:rsidRPr="0085128E">
        <w:t>étendre le champ d</w:t>
      </w:r>
      <w:r w:rsidR="008D0CFD" w:rsidRPr="0085128E">
        <w:t>’</w:t>
      </w:r>
      <w:r w:rsidRPr="0085128E">
        <w:t>application du formulaire de demande électronique pour couvrir davantage de plantes et espèces et y intégrer, le cas échéant, davantage de langues et de membres de l</w:t>
      </w:r>
      <w:r w:rsidR="008D0CFD" w:rsidRPr="0085128E">
        <w:t>’</w:t>
      </w:r>
      <w:r w:rsidRPr="0085128E">
        <w:t>Union.</w:t>
      </w:r>
    </w:p>
    <w:p w:rsidR="00720382" w:rsidRPr="0085128E" w:rsidRDefault="00720382" w:rsidP="0085128E"/>
    <w:p w:rsidR="00720382" w:rsidRPr="0085128E" w:rsidRDefault="00720382" w:rsidP="0085128E">
      <w:pPr>
        <w:jc w:val="left"/>
        <w:rPr>
          <w:b/>
        </w:rPr>
      </w:pPr>
    </w:p>
    <w:p w:rsidR="00720382" w:rsidRPr="0085128E" w:rsidRDefault="003247FE" w:rsidP="00462B44">
      <w:pPr>
        <w:pStyle w:val="Heading3"/>
      </w:pPr>
      <w:bookmarkStart w:id="114" w:name="_Toc489956759"/>
      <w:bookmarkStart w:id="115" w:name="_Toc489956847"/>
      <w:bookmarkStart w:id="116" w:name="_Toc490572913"/>
      <w:bookmarkStart w:id="117" w:name="_Toc491088288"/>
      <w:r w:rsidRPr="0085128E">
        <w:t>2.2.3</w:t>
      </w:r>
      <w:r w:rsidRPr="0085128E">
        <w:tab/>
        <w:t>Activités</w:t>
      </w:r>
      <w:bookmarkEnd w:id="114"/>
      <w:bookmarkEnd w:id="115"/>
      <w:bookmarkEnd w:id="116"/>
      <w:bookmarkEnd w:id="117"/>
    </w:p>
    <w:p w:rsidR="00720382" w:rsidRPr="0085128E" w:rsidRDefault="00720382" w:rsidP="0085128E">
      <w:pPr>
        <w:keepNext/>
      </w:pPr>
    </w:p>
    <w:p w:rsidR="00720382" w:rsidRPr="0085128E" w:rsidRDefault="003247FE" w:rsidP="0085128E">
      <w:pPr>
        <w:numPr>
          <w:ilvl w:val="0"/>
          <w:numId w:val="10"/>
        </w:numPr>
        <w:tabs>
          <w:tab w:val="clear" w:pos="720"/>
        </w:tabs>
        <w:spacing w:after="120"/>
        <w:ind w:left="1134" w:hanging="567"/>
      </w:pPr>
      <w:r w:rsidRPr="0085128E">
        <w:t>Deux sessions du Comité administratif et juridique, deux</w:t>
      </w:r>
      <w:r w:rsidR="00C833CB" w:rsidRPr="0085128E">
        <w:t> </w:t>
      </w:r>
      <w:r w:rsidRPr="0085128E">
        <w:t>sessions du Comité technique, 12</w:t>
      </w:r>
      <w:r w:rsidR="00E06D97" w:rsidRPr="0085128E">
        <w:t> </w:t>
      </w:r>
      <w:r w:rsidRPr="0085128E">
        <w:t xml:space="preserve">sessions des groupes de travail techniques, </w:t>
      </w:r>
      <w:r w:rsidR="008D0CFD" w:rsidRPr="0085128E">
        <w:t>y compris</w:t>
      </w:r>
      <w:r w:rsidRPr="0085128E">
        <w:t xml:space="preserve"> deux</w:t>
      </w:r>
      <w:r w:rsidR="00C833CB" w:rsidRPr="0085128E">
        <w:t> </w:t>
      </w:r>
      <w:r w:rsidRPr="0085128E">
        <w:t>sessions du Groupe de travail sur les techniques biochimiques et moléculaires, notamment les profils d</w:t>
      </w:r>
      <w:r w:rsidR="008D0CFD" w:rsidRPr="0085128E">
        <w:t>’</w:t>
      </w:r>
      <w:r w:rsidRPr="0085128E">
        <w:t>ADN (BMT), ainsi que les ateliers préparatoires correspondants.</w:t>
      </w:r>
    </w:p>
    <w:p w:rsidR="00720382" w:rsidRPr="0085128E" w:rsidRDefault="003247FE" w:rsidP="0085128E">
      <w:pPr>
        <w:numPr>
          <w:ilvl w:val="0"/>
          <w:numId w:val="10"/>
        </w:numPr>
        <w:tabs>
          <w:tab w:val="clear" w:pos="720"/>
        </w:tabs>
        <w:spacing w:after="120"/>
        <w:ind w:left="1134" w:hanging="567"/>
      </w:pPr>
      <w:r w:rsidRPr="0085128E">
        <w:t>Élaboration de matériels d</w:t>
      </w:r>
      <w:r w:rsidR="008D0CFD" w:rsidRPr="0085128E">
        <w:t>’</w:t>
      </w:r>
      <w:r w:rsidRPr="0085128E">
        <w:t>orientation et d</w:t>
      </w:r>
      <w:r w:rsidR="008D0CFD" w:rsidRPr="0085128E">
        <w:t>’</w:t>
      </w:r>
      <w:r w:rsidRPr="0085128E">
        <w:t xml:space="preserve">information, </w:t>
      </w:r>
      <w:r w:rsidR="008D0CFD" w:rsidRPr="0085128E">
        <w:t>y compris</w:t>
      </w:r>
      <w:r w:rsidRPr="0085128E">
        <w:t xml:space="preserve"> des notes explicatives et des documents d</w:t>
      </w:r>
      <w:r w:rsidR="008D0CFD" w:rsidRPr="0085128E">
        <w:t>’</w:t>
      </w:r>
      <w:r w:rsidRPr="0085128E">
        <w:t xml:space="preserve">information, au sujet de la </w:t>
      </w:r>
      <w:r w:rsidR="008D0CFD" w:rsidRPr="0085128E">
        <w:t>Convention UPOV</w:t>
      </w:r>
      <w:r w:rsidRPr="0085128E">
        <w:t>.</w:t>
      </w:r>
    </w:p>
    <w:p w:rsidR="00720382" w:rsidRPr="0085128E" w:rsidRDefault="009F2E57" w:rsidP="0085128E">
      <w:pPr>
        <w:numPr>
          <w:ilvl w:val="0"/>
          <w:numId w:val="10"/>
        </w:numPr>
        <w:tabs>
          <w:tab w:val="clear" w:pos="720"/>
        </w:tabs>
        <w:spacing w:after="120"/>
        <w:ind w:left="1134" w:hanging="567"/>
      </w:pPr>
      <w:r w:rsidRPr="0085128E">
        <w:t>Perfectionnement des documents d</w:t>
      </w:r>
      <w:r w:rsidR="008D0CFD" w:rsidRPr="0085128E">
        <w:t>’</w:t>
      </w:r>
      <w:r w:rsidRPr="0085128E">
        <w:t>orientation concernant l</w:t>
      </w:r>
      <w:r w:rsidR="008D0CFD" w:rsidRPr="0085128E">
        <w:t>’</w:t>
      </w:r>
      <w:r w:rsidRPr="0085128E">
        <w:t>examen de la distinction, de l</w:t>
      </w:r>
      <w:r w:rsidR="008D0CFD" w:rsidRPr="0085128E">
        <w:t>’</w:t>
      </w:r>
      <w:r w:rsidRPr="0085128E">
        <w:t xml:space="preserve">homogénéité et de la stabilité (“DHS”), </w:t>
      </w:r>
      <w:r w:rsidR="008D0CFD" w:rsidRPr="0085128E">
        <w:t>y compris</w:t>
      </w:r>
      <w:r w:rsidRPr="0085128E">
        <w:t xml:space="preserve"> l</w:t>
      </w:r>
      <w:r w:rsidR="008D0CFD" w:rsidRPr="0085128E">
        <w:t>’</w:t>
      </w:r>
      <w:r w:rsidRPr="0085128E">
        <w:t>Introduction générale à l</w:t>
      </w:r>
      <w:r w:rsidR="008D0CFD" w:rsidRPr="0085128E">
        <w:t>’</w:t>
      </w:r>
      <w:r w:rsidRPr="0085128E">
        <w:t>examen de la distinction, de l</w:t>
      </w:r>
      <w:r w:rsidR="008D0CFD" w:rsidRPr="0085128E">
        <w:t>’</w:t>
      </w:r>
      <w:r w:rsidRPr="0085128E">
        <w:t>homogénéité et de la stabilité et à l</w:t>
      </w:r>
      <w:r w:rsidR="008D0CFD" w:rsidRPr="0085128E">
        <w:t>’</w:t>
      </w:r>
      <w:r w:rsidRPr="0085128E">
        <w:t>harmonisation des descriptions des obtentions végétales (Introduction générale), ainsi que des documents connexes relatifs aux procédures applicables aux principes directeurs d</w:t>
      </w:r>
      <w:r w:rsidR="008D0CFD" w:rsidRPr="0085128E">
        <w:t>’</w:t>
      </w:r>
      <w:r w:rsidRPr="0085128E">
        <w:t>examen (TGP).</w:t>
      </w:r>
    </w:p>
    <w:p w:rsidR="00720382" w:rsidRPr="0085128E" w:rsidRDefault="009F2E57" w:rsidP="0085128E">
      <w:pPr>
        <w:numPr>
          <w:ilvl w:val="0"/>
          <w:numId w:val="10"/>
        </w:numPr>
        <w:tabs>
          <w:tab w:val="clear" w:pos="720"/>
        </w:tabs>
        <w:spacing w:after="120"/>
        <w:ind w:left="1134" w:hanging="567"/>
      </w:pPr>
      <w:r w:rsidRPr="0085128E">
        <w:t>Élaboration des principes directeurs d</w:t>
      </w:r>
      <w:r w:rsidR="008D0CFD" w:rsidRPr="0085128E">
        <w:t>’</w:t>
      </w:r>
      <w:r w:rsidRPr="0085128E">
        <w:t>examen</w:t>
      </w:r>
    </w:p>
    <w:p w:rsidR="00720382" w:rsidRPr="0085128E" w:rsidRDefault="009F2E57" w:rsidP="0085128E">
      <w:pPr>
        <w:numPr>
          <w:ilvl w:val="0"/>
          <w:numId w:val="10"/>
        </w:numPr>
        <w:tabs>
          <w:tab w:val="clear" w:pos="720"/>
        </w:tabs>
        <w:spacing w:after="120"/>
        <w:ind w:left="1134" w:hanging="567"/>
      </w:pPr>
      <w:r w:rsidRPr="0085128E">
        <w:t>Informations et orientations sur l</w:t>
      </w:r>
      <w:r w:rsidR="008D0CFD" w:rsidRPr="0085128E">
        <w:t>’</w:t>
      </w:r>
      <w:r w:rsidRPr="0085128E">
        <w:t>utilisation des techniques moléculaires dans l</w:t>
      </w:r>
      <w:r w:rsidR="008D0CFD" w:rsidRPr="0085128E">
        <w:t>’</w:t>
      </w:r>
      <w:r w:rsidRPr="0085128E">
        <w:t>examen</w:t>
      </w:r>
      <w:r w:rsidR="00C833CB" w:rsidRPr="0085128E">
        <w:t> </w:t>
      </w:r>
      <w:r w:rsidRPr="0085128E">
        <w:t>DHS et définition d</w:t>
      </w:r>
      <w:r w:rsidR="008D0CFD" w:rsidRPr="0085128E">
        <w:t>’</w:t>
      </w:r>
      <w:r w:rsidRPr="0085128E">
        <w:t>un cadre d</w:t>
      </w:r>
      <w:r w:rsidR="008D0CFD" w:rsidRPr="0085128E">
        <w:t>’</w:t>
      </w:r>
      <w:r w:rsidRPr="0085128E">
        <w:t>examen de leur utilisation dans l</w:t>
      </w:r>
      <w:r w:rsidR="008D0CFD" w:rsidRPr="0085128E">
        <w:t>’</w:t>
      </w:r>
      <w:r w:rsidRPr="0085128E">
        <w:t>identification des variétés et la détermination des variétés essentiellement dérivées.</w:t>
      </w:r>
    </w:p>
    <w:p w:rsidR="00720382" w:rsidRPr="0085128E" w:rsidRDefault="009F2E57" w:rsidP="0085128E">
      <w:pPr>
        <w:keepLines/>
        <w:numPr>
          <w:ilvl w:val="0"/>
          <w:numId w:val="10"/>
        </w:numPr>
        <w:tabs>
          <w:tab w:val="clear" w:pos="720"/>
        </w:tabs>
        <w:spacing w:after="120"/>
        <w:ind w:left="1134" w:hanging="567"/>
      </w:pPr>
      <w:r w:rsidRPr="0085128E">
        <w:t>Actualisation et perfectionnement de la base de données PLUTO.</w:t>
      </w:r>
    </w:p>
    <w:p w:rsidR="00720382" w:rsidRPr="0085128E" w:rsidRDefault="009F2E57" w:rsidP="0085128E">
      <w:pPr>
        <w:keepLines/>
        <w:numPr>
          <w:ilvl w:val="0"/>
          <w:numId w:val="10"/>
        </w:numPr>
        <w:tabs>
          <w:tab w:val="clear" w:pos="720"/>
        </w:tabs>
        <w:spacing w:after="120"/>
        <w:ind w:left="1134" w:hanging="567"/>
      </w:pPr>
      <w:r w:rsidRPr="0085128E">
        <w:t>Actualisation et perfectionnement de la base de données GENIE.</w:t>
      </w:r>
    </w:p>
    <w:p w:rsidR="00720382" w:rsidRPr="0085128E" w:rsidRDefault="009F2E57" w:rsidP="0085128E">
      <w:pPr>
        <w:keepLines/>
        <w:numPr>
          <w:ilvl w:val="0"/>
          <w:numId w:val="10"/>
        </w:numPr>
        <w:tabs>
          <w:tab w:val="clear" w:pos="720"/>
        </w:tabs>
        <w:spacing w:after="120"/>
        <w:ind w:left="1134" w:hanging="567"/>
      </w:pPr>
      <w:r w:rsidRPr="0085128E">
        <w:t>Mise à jour de la base de données UPOV Lex relative aux lois et notifications correspondantes.</w:t>
      </w:r>
    </w:p>
    <w:p w:rsidR="00720382" w:rsidRPr="0085128E" w:rsidRDefault="009F2E57" w:rsidP="0085128E">
      <w:pPr>
        <w:keepLines/>
        <w:numPr>
          <w:ilvl w:val="0"/>
          <w:numId w:val="10"/>
        </w:numPr>
        <w:tabs>
          <w:tab w:val="clear" w:pos="720"/>
        </w:tabs>
        <w:spacing w:after="120"/>
        <w:ind w:left="1134" w:hanging="567"/>
      </w:pPr>
      <w:r w:rsidRPr="0085128E">
        <w:t>Actualisation de la Collection UPOV.</w:t>
      </w:r>
    </w:p>
    <w:p w:rsidR="00720382" w:rsidRPr="0085128E" w:rsidRDefault="009F2E57" w:rsidP="0085128E">
      <w:pPr>
        <w:keepLines/>
        <w:numPr>
          <w:ilvl w:val="0"/>
          <w:numId w:val="10"/>
        </w:numPr>
        <w:tabs>
          <w:tab w:val="clear" w:pos="720"/>
        </w:tabs>
        <w:spacing w:after="120"/>
        <w:ind w:left="1134" w:hanging="567"/>
      </w:pPr>
      <w:r w:rsidRPr="0085128E">
        <w:t>Perfectionnement du formulaire de demande électronique de l</w:t>
      </w:r>
      <w:r w:rsidR="008D0CFD" w:rsidRPr="0085128E">
        <w:t>’</w:t>
      </w:r>
      <w:r w:rsidRPr="0085128E">
        <w:t>UPOV.</w:t>
      </w:r>
    </w:p>
    <w:p w:rsidR="00720382" w:rsidRPr="0085128E" w:rsidRDefault="00720382" w:rsidP="0085128E"/>
    <w:p w:rsidR="00720382" w:rsidRPr="0085128E" w:rsidRDefault="00720382" w:rsidP="0085128E"/>
    <w:p w:rsidR="00720382" w:rsidRPr="0085128E" w:rsidRDefault="009F2E57" w:rsidP="00462B44">
      <w:pPr>
        <w:pStyle w:val="Heading3"/>
      </w:pPr>
      <w:bookmarkStart w:id="118" w:name="_Toc489956760"/>
      <w:bookmarkStart w:id="119" w:name="_Toc489956848"/>
      <w:bookmarkStart w:id="120" w:name="_Toc490572914"/>
      <w:bookmarkStart w:id="121" w:name="_Toc491088289"/>
      <w:r w:rsidRPr="0085128E">
        <w:t>2.2.4</w:t>
      </w:r>
      <w:r w:rsidRPr="0085128E">
        <w:tab/>
        <w:t>Résultats escomptés et indicateurs d</w:t>
      </w:r>
      <w:r w:rsidR="008D0CFD" w:rsidRPr="0085128E">
        <w:t>’</w:t>
      </w:r>
      <w:r w:rsidRPr="0085128E">
        <w:t>exécution</w:t>
      </w:r>
      <w:bookmarkEnd w:id="118"/>
      <w:bookmarkEnd w:id="119"/>
      <w:bookmarkEnd w:id="120"/>
      <w:bookmarkEnd w:id="121"/>
    </w:p>
    <w:p w:rsidR="00604822" w:rsidRPr="0085128E" w:rsidRDefault="00604822" w:rsidP="0085128E">
      <w:pPr>
        <w:keepNext/>
        <w:rPr>
          <w:b/>
        </w:rPr>
      </w:pPr>
    </w:p>
    <w:tbl>
      <w:tblPr>
        <w:tblW w:w="5070" w:type="pct"/>
        <w:tblCellMar>
          <w:top w:w="57" w:type="dxa"/>
          <w:bottom w:w="57" w:type="dxa"/>
        </w:tblCellMar>
        <w:tblLook w:val="0000" w:firstRow="0" w:lastRow="0" w:firstColumn="0" w:lastColumn="0" w:noHBand="0" w:noVBand="0"/>
      </w:tblPr>
      <w:tblGrid>
        <w:gridCol w:w="4692"/>
        <w:gridCol w:w="5301"/>
      </w:tblGrid>
      <w:tr w:rsidR="0085128E" w:rsidRPr="0085128E" w:rsidTr="00462B44">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jc w:val="center"/>
              <w:rPr>
                <w:u w:val="single"/>
              </w:rPr>
            </w:pPr>
            <w:r w:rsidRPr="0085128E">
              <w:rPr>
                <w:u w:val="single"/>
              </w:rPr>
              <w:t>Résultats escomptés</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jc w:val="center"/>
              <w:rPr>
                <w:u w:val="single"/>
              </w:rPr>
            </w:pPr>
            <w:r w:rsidRPr="0085128E">
              <w:rPr>
                <w:u w:val="single"/>
              </w:rPr>
              <w:t>Indicateurs d</w:t>
            </w:r>
            <w:r w:rsidR="008D0CFD" w:rsidRPr="0085128E">
              <w:rPr>
                <w:u w:val="single"/>
              </w:rPr>
              <w:t>’</w:t>
            </w:r>
            <w:r w:rsidRPr="0085128E">
              <w:rPr>
                <w:u w:val="single"/>
              </w:rPr>
              <w:t>exécution</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ind w:left="567" w:hanging="567"/>
              <w:jc w:val="left"/>
            </w:pPr>
            <w:r w:rsidRPr="0085128E">
              <w:t>1.</w:t>
            </w:r>
            <w:r w:rsidRPr="0085128E">
              <w:tab/>
              <w:t>Participation des membres de l</w:t>
            </w:r>
            <w:r w:rsidR="008D0CFD" w:rsidRPr="0085128E">
              <w:t>’</w:t>
            </w:r>
            <w:r w:rsidRPr="0085128E">
              <w:t>Union et des observateurs aux travaux des différents organes de l</w:t>
            </w:r>
            <w:r w:rsidR="008D0CFD" w:rsidRPr="0085128E">
              <w:t>’</w:t>
            </w:r>
            <w:r w:rsidRPr="0085128E">
              <w:t>UPOV</w:t>
            </w:r>
            <w:r w:rsidR="00604822" w:rsidRPr="0085128E">
              <w:t xml:space="preserve"> </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ind w:left="567" w:hanging="567"/>
              <w:jc w:val="left"/>
            </w:pPr>
            <w:r w:rsidRPr="0085128E">
              <w:t>a)</w:t>
            </w:r>
            <w:r w:rsidRPr="0085128E">
              <w:tab/>
              <w:t>participation aux travaux du Comité administratif et juridique, du Comité technique et des groupes de travail techniques, ainsi qu</w:t>
            </w:r>
            <w:r w:rsidR="008D0CFD" w:rsidRPr="0085128E">
              <w:t>’</w:t>
            </w:r>
            <w:r w:rsidRPr="0085128E">
              <w:t>aux ateliers préparatoires correspondants.</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ind w:left="567" w:hanging="567"/>
              <w:jc w:val="left"/>
            </w:pPr>
            <w:r w:rsidRPr="0085128E">
              <w:t>2.</w:t>
            </w:r>
            <w:r w:rsidRPr="0085128E">
              <w:tab/>
              <w:t xml:space="preserve">Orientations au sujet de la </w:t>
            </w:r>
            <w:r w:rsidR="008D0CFD" w:rsidRPr="0085128E">
              <w:t>Convention UPOV</w:t>
            </w:r>
            <w:r w:rsidRPr="0085128E">
              <w:t xml:space="preserve"> et sa mise en œuvre et informations sur son application</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F2E57" w:rsidP="00462B44">
            <w:pPr>
              <w:ind w:left="567" w:hanging="567"/>
              <w:jc w:val="left"/>
            </w:pPr>
            <w:r w:rsidRPr="0085128E">
              <w:t>a)</w:t>
            </w:r>
            <w:r w:rsidRPr="0085128E">
              <w:tab/>
              <w:t>Adoption de matériels d</w:t>
            </w:r>
            <w:r w:rsidR="008D0CFD" w:rsidRPr="0085128E">
              <w:t>’</w:t>
            </w:r>
            <w:r w:rsidRPr="0085128E">
              <w:t xml:space="preserve">information nouveaux ou révisés concernant la </w:t>
            </w:r>
            <w:r w:rsidR="008D0CFD" w:rsidRPr="0085128E">
              <w:t>Convention UPOV</w:t>
            </w:r>
          </w:p>
          <w:p w:rsidR="00720382" w:rsidRPr="0085128E" w:rsidRDefault="002549FF" w:rsidP="00462B44">
            <w:pPr>
              <w:ind w:left="567" w:hanging="567"/>
              <w:jc w:val="left"/>
            </w:pPr>
            <w:r w:rsidRPr="0085128E">
              <w:t>b)</w:t>
            </w:r>
            <w:r w:rsidRPr="0085128E">
              <w:tab/>
              <w:t>Publication de la Gazette et Newsletter de l</w:t>
            </w:r>
            <w:r w:rsidR="008D0CFD" w:rsidRPr="0085128E">
              <w:t>’</w:t>
            </w:r>
            <w:r w:rsidRPr="0085128E">
              <w:t>UPOV</w:t>
            </w:r>
          </w:p>
          <w:p w:rsidR="003711EE" w:rsidRPr="0085128E" w:rsidRDefault="0096254D" w:rsidP="00462B44">
            <w:pPr>
              <w:ind w:left="567" w:hanging="567"/>
              <w:jc w:val="left"/>
            </w:pPr>
            <w:r w:rsidRPr="0085128E">
              <w:t>c)</w:t>
            </w:r>
            <w:r w:rsidRPr="0085128E">
              <w:tab/>
              <w:t>incorporation de lois et notifications pertinentes de membres de l</w:t>
            </w:r>
            <w:r w:rsidR="008D0CFD" w:rsidRPr="0085128E">
              <w:t>’</w:t>
            </w:r>
            <w:r w:rsidRPr="0085128E">
              <w:t>Union dans l</w:t>
            </w:r>
            <w:r w:rsidR="008D0CFD" w:rsidRPr="0085128E">
              <w:t>’</w:t>
            </w:r>
            <w:r w:rsidRPr="0085128E">
              <w:t>UPOV Lex;</w:t>
            </w:r>
          </w:p>
          <w:p w:rsidR="00604822" w:rsidRPr="0085128E" w:rsidRDefault="0096254D" w:rsidP="00462B44">
            <w:pPr>
              <w:ind w:left="567" w:hanging="567"/>
              <w:jc w:val="left"/>
            </w:pPr>
            <w:r w:rsidRPr="0085128E">
              <w:t>d)</w:t>
            </w:r>
            <w:r w:rsidRPr="0085128E">
              <w:tab/>
              <w:t>mise à disposition de documents et de matériels de l</w:t>
            </w:r>
            <w:r w:rsidR="008D0CFD" w:rsidRPr="0085128E">
              <w:t>’</w:t>
            </w:r>
            <w:r w:rsidRPr="0085128E">
              <w:t>UPOV dans des langues autres que les langues utilisées au sein de l</w:t>
            </w:r>
            <w:r w:rsidR="008D0CFD" w:rsidRPr="0085128E">
              <w:t>’</w:t>
            </w:r>
            <w:r w:rsidRPr="0085128E">
              <w:t>UPOV (français, anglais, allemand et espagnol).</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254D" w:rsidP="00462B44">
            <w:pPr>
              <w:ind w:left="567" w:hanging="567"/>
              <w:jc w:val="left"/>
            </w:pPr>
            <w:r w:rsidRPr="0085128E">
              <w:t>3.</w:t>
            </w:r>
            <w:r w:rsidRPr="0085128E">
              <w:tab/>
              <w:t>Orientations au sujet de l</w:t>
            </w:r>
            <w:r w:rsidR="008D0CFD" w:rsidRPr="0085128E">
              <w:t>’</w:t>
            </w:r>
            <w:r w:rsidRPr="0085128E">
              <w:t>examen des variétés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6254D" w:rsidP="00462B44">
            <w:pPr>
              <w:ind w:left="567" w:hanging="567"/>
              <w:jc w:val="left"/>
            </w:pPr>
            <w:r w:rsidRPr="0085128E">
              <w:t>a)</w:t>
            </w:r>
            <w:r w:rsidRPr="0085128E">
              <w:tab/>
              <w:t>Adoption de documents TGP et de matériels d</w:t>
            </w:r>
            <w:r w:rsidR="008D0CFD" w:rsidRPr="0085128E">
              <w:t>’</w:t>
            </w:r>
            <w:r w:rsidRPr="0085128E">
              <w:t>information nouveaux ou révisés</w:t>
            </w:r>
          </w:p>
          <w:p w:rsidR="00720382" w:rsidRPr="0085128E" w:rsidRDefault="0096254D" w:rsidP="00462B44">
            <w:pPr>
              <w:ind w:left="567" w:hanging="567"/>
              <w:jc w:val="left"/>
            </w:pPr>
            <w:r w:rsidRPr="0085128E">
              <w:t>b)</w:t>
            </w:r>
            <w:r w:rsidRPr="0085128E">
              <w:tab/>
              <w:t>Adoption de principes directeurs d</w:t>
            </w:r>
            <w:r w:rsidR="008D0CFD" w:rsidRPr="0085128E">
              <w:t>’</w:t>
            </w:r>
            <w:r w:rsidRPr="0085128E">
              <w:t>examen nouveaux ou révisés</w:t>
            </w:r>
          </w:p>
          <w:p w:rsidR="00720382" w:rsidRPr="0085128E" w:rsidRDefault="0096254D" w:rsidP="00462B44">
            <w:pPr>
              <w:ind w:left="567" w:hanging="567"/>
              <w:jc w:val="left"/>
            </w:pPr>
            <w:r w:rsidRPr="0085128E">
              <w:t>c)</w:t>
            </w:r>
            <w:r w:rsidRPr="0085128E">
              <w:tab/>
              <w:t>proportion de demandes de droits d</w:t>
            </w:r>
            <w:r w:rsidR="008D0CFD" w:rsidRPr="0085128E">
              <w:t>’</w:t>
            </w:r>
            <w:r w:rsidRPr="0085128E">
              <w:t>obtenteur couvertes par les principes directeurs d</w:t>
            </w:r>
            <w:r w:rsidR="008D0CFD" w:rsidRPr="0085128E">
              <w:t>’</w:t>
            </w:r>
            <w:r w:rsidRPr="0085128E">
              <w:t>examen adoptés;</w:t>
            </w:r>
          </w:p>
          <w:p w:rsidR="00720382" w:rsidRPr="0085128E" w:rsidRDefault="0096254D" w:rsidP="00462B44">
            <w:pPr>
              <w:ind w:left="567" w:hanging="567"/>
              <w:jc w:val="left"/>
            </w:pPr>
            <w:r w:rsidRPr="0085128E">
              <w:t>d)</w:t>
            </w:r>
            <w:r w:rsidRPr="0085128E">
              <w:tab/>
              <w:t>nombre de principes directeurs d</w:t>
            </w:r>
            <w:r w:rsidR="008D0CFD" w:rsidRPr="0085128E">
              <w:t>’</w:t>
            </w:r>
            <w:r w:rsidRPr="0085128E">
              <w:t>examen en cours d</w:t>
            </w:r>
            <w:r w:rsidR="008D0CFD" w:rsidRPr="0085128E">
              <w:t>’</w:t>
            </w:r>
            <w:r w:rsidRPr="0085128E">
              <w:t>élaboration dans les groupes de travail techniques;</w:t>
            </w:r>
          </w:p>
          <w:p w:rsidR="00720382" w:rsidRPr="0085128E" w:rsidRDefault="0096254D" w:rsidP="00462B44">
            <w:pPr>
              <w:ind w:left="567" w:hanging="567"/>
              <w:jc w:val="left"/>
            </w:pPr>
            <w:r w:rsidRPr="0085128E">
              <w:t>e)</w:t>
            </w:r>
            <w:r w:rsidRPr="0085128E">
              <w:tab/>
              <w:t>participation à l</w:t>
            </w:r>
            <w:r w:rsidR="008D0CFD" w:rsidRPr="0085128E">
              <w:t>’</w:t>
            </w:r>
            <w:r w:rsidRPr="0085128E">
              <w:t>élaboration de principes directeurs d</w:t>
            </w:r>
            <w:r w:rsidR="008D0CFD" w:rsidRPr="0085128E">
              <w:t>’</w:t>
            </w:r>
            <w:r w:rsidRPr="0085128E">
              <w:t>examen;</w:t>
            </w:r>
          </w:p>
          <w:p w:rsidR="00720382" w:rsidRPr="0085128E" w:rsidRDefault="0096254D" w:rsidP="00462B44">
            <w:pPr>
              <w:ind w:left="567" w:hanging="567"/>
              <w:jc w:val="left"/>
            </w:pPr>
            <w:r w:rsidRPr="0085128E">
              <w:t>f)</w:t>
            </w:r>
            <w:r w:rsidRPr="0085128E">
              <w:tab/>
              <w:t>élaboration d</w:t>
            </w:r>
            <w:r w:rsidR="008D0CFD" w:rsidRPr="0085128E">
              <w:t>’</w:t>
            </w:r>
            <w:r w:rsidRPr="0085128E">
              <w:t>un modèle de principes directeurs d</w:t>
            </w:r>
            <w:r w:rsidR="008D0CFD" w:rsidRPr="0085128E">
              <w:t>’</w:t>
            </w:r>
            <w:r w:rsidRPr="0085128E">
              <w:t>examen fondé sur le Web (modèle TG)</w:t>
            </w:r>
          </w:p>
          <w:p w:rsidR="00720382" w:rsidRPr="0085128E" w:rsidRDefault="0096254D" w:rsidP="00462B44">
            <w:pPr>
              <w:ind w:left="1134" w:hanging="567"/>
              <w:jc w:val="left"/>
            </w:pPr>
            <w:r w:rsidRPr="0085128E">
              <w:t>i)</w:t>
            </w:r>
            <w:r w:rsidRPr="0085128E">
              <w:tab/>
              <w:t>doté d</w:t>
            </w:r>
            <w:r w:rsidR="008D0CFD" w:rsidRPr="0085128E">
              <w:t>’</w:t>
            </w:r>
            <w:r w:rsidRPr="0085128E">
              <w:t>une fonction de traduction dans toutes les langues de l</w:t>
            </w:r>
            <w:r w:rsidR="008D0CFD" w:rsidRPr="0085128E">
              <w:t>’</w:t>
            </w:r>
            <w:r w:rsidRPr="0085128E">
              <w:t>UPOV,</w:t>
            </w:r>
          </w:p>
          <w:p w:rsidR="00604822" w:rsidRPr="0085128E" w:rsidRDefault="0096254D" w:rsidP="00462B44">
            <w:pPr>
              <w:ind w:left="1134" w:hanging="567"/>
              <w:jc w:val="left"/>
            </w:pPr>
            <w:r w:rsidRPr="0085128E">
              <w:t>ii)</w:t>
            </w:r>
            <w:r w:rsidRPr="0085128E">
              <w:tab/>
              <w:t>utilisable par les membres de l</w:t>
            </w:r>
            <w:r w:rsidR="008D0CFD" w:rsidRPr="0085128E">
              <w:t>’</w:t>
            </w:r>
            <w:r w:rsidRPr="0085128E">
              <w:t>Union aux fins de l</w:t>
            </w:r>
            <w:r w:rsidR="008D0CFD" w:rsidRPr="0085128E">
              <w:t>’</w:t>
            </w:r>
            <w:r w:rsidRPr="0085128E">
              <w:t>élaboration de principes directeurs d</w:t>
            </w:r>
            <w:r w:rsidR="008D0CFD" w:rsidRPr="0085128E">
              <w:t>’</w:t>
            </w:r>
            <w:r w:rsidRPr="0085128E">
              <w:t>examen propres aux différents services.</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254D" w:rsidP="00462B44">
            <w:pPr>
              <w:ind w:left="567" w:hanging="567"/>
              <w:jc w:val="left"/>
            </w:pPr>
            <w:r w:rsidRPr="0085128E">
              <w:t>4.</w:t>
            </w:r>
            <w:r w:rsidRPr="0085128E">
              <w:tab/>
              <w:t>Coopération en matière d</w:t>
            </w:r>
            <w:r w:rsidR="008D0CFD" w:rsidRPr="0085128E">
              <w:t>’</w:t>
            </w:r>
            <w:r w:rsidRPr="0085128E">
              <w:t>examen</w:t>
            </w:r>
            <w:r w:rsidR="00C833CB" w:rsidRPr="0085128E">
              <w:t> </w:t>
            </w:r>
            <w:r w:rsidRPr="0085128E">
              <w:t>DHS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6254D" w:rsidP="00462B44">
            <w:pPr>
              <w:ind w:left="567" w:hanging="567"/>
              <w:jc w:val="left"/>
            </w:pPr>
            <w:r w:rsidRPr="0085128E">
              <w:t>a)</w:t>
            </w:r>
            <w:r w:rsidRPr="0085128E">
              <w:tab/>
              <w:t>saisie dans la base de données GENIE des genres et espèces végétaux pour lesquels les membres de l</w:t>
            </w:r>
            <w:r w:rsidR="008D0CFD" w:rsidRPr="0085128E">
              <w:t>’</w:t>
            </w:r>
            <w:r w:rsidRPr="0085128E">
              <w:t>Union ont une expérience pratique;</w:t>
            </w:r>
          </w:p>
          <w:p w:rsidR="00604822" w:rsidRPr="0085128E" w:rsidRDefault="0096254D" w:rsidP="00462B44">
            <w:pPr>
              <w:ind w:left="567" w:hanging="567"/>
              <w:jc w:val="left"/>
            </w:pPr>
            <w:r w:rsidRPr="0085128E">
              <w:t>b)</w:t>
            </w:r>
            <w:r w:rsidRPr="0085128E">
              <w:tab/>
              <w:t>saisie dans la base de données GENIE des genres et espèces végétaux au sujet desquels les membres de l</w:t>
            </w:r>
            <w:r w:rsidR="008D0CFD" w:rsidRPr="0085128E">
              <w:t>’</w:t>
            </w:r>
            <w:r w:rsidRPr="0085128E">
              <w:t>Union coopèrent en matière d</w:t>
            </w:r>
            <w:r w:rsidR="008D0CFD" w:rsidRPr="0085128E">
              <w:t>’</w:t>
            </w:r>
            <w:r w:rsidRPr="0085128E">
              <w:t>examen</w:t>
            </w:r>
            <w:r w:rsidR="00C833CB" w:rsidRPr="0085128E">
              <w:t> </w:t>
            </w:r>
            <w:r w:rsidRPr="0085128E">
              <w:t>DHS.</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254D" w:rsidP="00462B44">
            <w:pPr>
              <w:ind w:left="567" w:hanging="567"/>
              <w:jc w:val="left"/>
            </w:pPr>
            <w:r w:rsidRPr="0085128E">
              <w:t>5.</w:t>
            </w:r>
            <w:r w:rsidRPr="0085128E">
              <w:tab/>
              <w:t>Coopération en matière d</w:t>
            </w:r>
            <w:r w:rsidR="008D0CFD" w:rsidRPr="0085128E">
              <w:t>’</w:t>
            </w:r>
            <w:r w:rsidRPr="0085128E">
              <w:t>examen des dénominations variétales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6254D" w:rsidP="00462B44">
            <w:pPr>
              <w:ind w:left="567" w:hanging="567"/>
              <w:jc w:val="left"/>
            </w:pPr>
            <w:r w:rsidRPr="0085128E">
              <w:t>a)</w:t>
            </w:r>
            <w:r w:rsidRPr="0085128E">
              <w:tab/>
              <w:t>quantité et qualité des données figurant dans la base de données PLUTO</w:t>
            </w:r>
            <w:r w:rsidR="008D0CFD" w:rsidRPr="0085128E">
              <w:t> :</w:t>
            </w:r>
          </w:p>
          <w:p w:rsidR="00720382" w:rsidRPr="0085128E" w:rsidRDefault="0096254D" w:rsidP="00462B44">
            <w:pPr>
              <w:ind w:left="1134" w:hanging="567"/>
              <w:jc w:val="left"/>
            </w:pPr>
            <w:r w:rsidRPr="0085128E">
              <w:t>i)</w:t>
            </w:r>
            <w:r w:rsidRPr="0085128E">
              <w:tab/>
              <w:t>nombre de contributeurs;</w:t>
            </w:r>
          </w:p>
          <w:p w:rsidR="003711EE" w:rsidRPr="0085128E" w:rsidRDefault="00FD4FFB" w:rsidP="00462B44">
            <w:pPr>
              <w:ind w:left="1134" w:hanging="567"/>
              <w:jc w:val="left"/>
            </w:pPr>
            <w:r w:rsidRPr="0085128E">
              <w:t>ii)</w:t>
            </w:r>
            <w:r w:rsidRPr="0085128E">
              <w:tab/>
              <w:t>nombre de nouvelles communications;</w:t>
            </w:r>
          </w:p>
          <w:p w:rsidR="00720382" w:rsidRPr="0085128E" w:rsidRDefault="00FD4FFB" w:rsidP="00462B44">
            <w:pPr>
              <w:ind w:left="1134" w:hanging="567"/>
              <w:jc w:val="left"/>
            </w:pPr>
            <w:r w:rsidRPr="0085128E">
              <w:t>iii)</w:t>
            </w:r>
            <w:r w:rsidRPr="0085128E">
              <w:tab/>
              <w:t>nombre d</w:t>
            </w:r>
            <w:r w:rsidR="008D0CFD" w:rsidRPr="0085128E">
              <w:t>’</w:t>
            </w:r>
            <w:r w:rsidRPr="0085128E">
              <w:t>enregistrements;</w:t>
            </w:r>
          </w:p>
          <w:p w:rsidR="00720382" w:rsidRPr="0085128E" w:rsidRDefault="00FD4FFB" w:rsidP="00462B44">
            <w:pPr>
              <w:ind w:left="1134" w:hanging="567"/>
              <w:jc w:val="left"/>
            </w:pPr>
            <w:r w:rsidRPr="0085128E">
              <w:t>iv)</w:t>
            </w:r>
            <w:r w:rsidRPr="0085128E">
              <w:tab/>
              <w:t>nombre d</w:t>
            </w:r>
            <w:r w:rsidR="008D0CFD" w:rsidRPr="0085128E">
              <w:t>’</w:t>
            </w:r>
            <w:r w:rsidRPr="0085128E">
              <w:t>éléments obligatoires fournis;</w:t>
            </w:r>
          </w:p>
          <w:p w:rsidR="00720382" w:rsidRPr="0085128E" w:rsidRDefault="00FD4FFB" w:rsidP="00462B44">
            <w:pPr>
              <w:ind w:left="1134" w:hanging="567"/>
              <w:jc w:val="left"/>
            </w:pPr>
            <w:r w:rsidRPr="0085128E">
              <w:t>v)</w:t>
            </w:r>
            <w:r w:rsidRPr="0085128E">
              <w:tab/>
              <w:t>nombre d</w:t>
            </w:r>
            <w:r w:rsidR="008D0CFD" w:rsidRPr="0085128E">
              <w:t>’</w:t>
            </w:r>
            <w:r w:rsidRPr="0085128E">
              <w:t>éléments non obligatoires fournis;</w:t>
            </w:r>
          </w:p>
          <w:p w:rsidR="00720382" w:rsidRPr="0085128E" w:rsidRDefault="00FD4FFB" w:rsidP="00462B44">
            <w:pPr>
              <w:ind w:left="1134" w:hanging="567"/>
              <w:jc w:val="left"/>
            </w:pPr>
            <w:r w:rsidRPr="0085128E">
              <w:t>vi)</w:t>
            </w:r>
            <w:r w:rsidRPr="0085128E">
              <w:tab/>
              <w:t>édition annuelle de la version sur CD</w:t>
            </w:r>
            <w:r w:rsidR="008D0CFD" w:rsidRPr="0085128E">
              <w:t>-</w:t>
            </w:r>
            <w:r w:rsidRPr="0085128E">
              <w:t>ROM;</w:t>
            </w:r>
          </w:p>
          <w:p w:rsidR="00720382" w:rsidRPr="0085128E" w:rsidRDefault="00FD4FFB" w:rsidP="00462B44">
            <w:pPr>
              <w:ind w:left="567" w:hanging="567"/>
              <w:jc w:val="left"/>
            </w:pPr>
            <w:r w:rsidRPr="0085128E">
              <w:t>b)</w:t>
            </w:r>
            <w:r w:rsidRPr="0085128E">
              <w:tab/>
              <w:t>nombre d</w:t>
            </w:r>
            <w:r w:rsidR="008D0CFD" w:rsidRPr="0085128E">
              <w:t>’</w:t>
            </w:r>
            <w:r w:rsidRPr="0085128E">
              <w:t>utilisateurs de la base de données PLUTO et fréquence d</w:t>
            </w:r>
            <w:r w:rsidR="008D0CFD" w:rsidRPr="0085128E">
              <w:t>’</w:t>
            </w:r>
            <w:r w:rsidRPr="0085128E">
              <w:t>utilisation;  et</w:t>
            </w:r>
          </w:p>
          <w:p w:rsidR="00604822" w:rsidRPr="0085128E" w:rsidRDefault="00FD4FFB" w:rsidP="00462B44">
            <w:pPr>
              <w:ind w:left="567" w:hanging="567"/>
              <w:jc w:val="left"/>
            </w:pPr>
            <w:r w:rsidRPr="0085128E">
              <w:t>c)</w:t>
            </w:r>
            <w:r w:rsidRPr="0085128E">
              <w:tab/>
              <w:t>élaboration et approbation par le Conseil de l</w:t>
            </w:r>
            <w:r w:rsidR="008D0CFD" w:rsidRPr="0085128E">
              <w:t>’</w:t>
            </w:r>
            <w:r w:rsidRPr="0085128E">
              <w:t>UPOV d</w:t>
            </w:r>
            <w:r w:rsidR="008D0CFD" w:rsidRPr="0085128E">
              <w:t>’</w:t>
            </w:r>
            <w:r w:rsidRPr="0085128E">
              <w:t>un moteur de recherche des similitudes pour l</w:t>
            </w:r>
            <w:r w:rsidR="008D0CFD" w:rsidRPr="0085128E">
              <w:t>’</w:t>
            </w:r>
            <w:r w:rsidRPr="0085128E">
              <w:t>UPOV aux fins des dénominations variétales et de l</w:t>
            </w:r>
            <w:r w:rsidR="008D0CFD" w:rsidRPr="0085128E">
              <w:t>’</w:t>
            </w:r>
            <w:r w:rsidRPr="0085128E">
              <w:t>inclusion dans la base de données PLUTO.</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FD4FFB" w:rsidP="00462B44">
            <w:pPr>
              <w:ind w:left="567" w:hanging="567"/>
              <w:jc w:val="left"/>
            </w:pPr>
            <w:r w:rsidRPr="0085128E">
              <w:t>6.</w:t>
            </w:r>
            <w:r w:rsidRPr="0085128E">
              <w:tab/>
              <w:t>Élaboration du formulaire de demande électronique</w:t>
            </w:r>
            <w:r w:rsidR="00604822" w:rsidRPr="0085128E">
              <w:t xml:space="preserve"> </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FD4FFB" w:rsidP="00462B44">
            <w:pPr>
              <w:ind w:left="567" w:hanging="567"/>
              <w:jc w:val="left"/>
              <w:rPr>
                <w:rFonts w:cs="Arial"/>
              </w:rPr>
            </w:pPr>
            <w:r w:rsidRPr="0085128E">
              <w:rPr>
                <w:rFonts w:cs="Arial"/>
              </w:rPr>
              <w:t>a)</w:t>
            </w:r>
            <w:r w:rsidRPr="0085128E">
              <w:rPr>
                <w:rFonts w:cs="Arial"/>
              </w:rPr>
              <w:tab/>
              <w:t>nombre de membres de l</w:t>
            </w:r>
            <w:r w:rsidR="008D0CFD" w:rsidRPr="0085128E">
              <w:rPr>
                <w:rFonts w:cs="Arial"/>
              </w:rPr>
              <w:t>’</w:t>
            </w:r>
            <w:r w:rsidRPr="0085128E">
              <w:rPr>
                <w:rFonts w:cs="Arial"/>
              </w:rPr>
              <w:t>UPOV participant à l</w:t>
            </w:r>
            <w:r w:rsidR="008D0CFD" w:rsidRPr="0085128E">
              <w:rPr>
                <w:rFonts w:cs="Arial"/>
              </w:rPr>
              <w:t>’</w:t>
            </w:r>
            <w:r w:rsidRPr="0085128E">
              <w:rPr>
                <w:rFonts w:cs="Arial"/>
              </w:rPr>
              <w:t>utilisation du formulaire de demande électronique;</w:t>
            </w:r>
          </w:p>
          <w:p w:rsidR="003711EE" w:rsidRPr="0085128E" w:rsidRDefault="00FD4FFB" w:rsidP="00462B44">
            <w:pPr>
              <w:ind w:left="567" w:hanging="567"/>
              <w:jc w:val="left"/>
              <w:rPr>
                <w:rFonts w:cs="Arial"/>
              </w:rPr>
            </w:pPr>
            <w:r w:rsidRPr="0085128E">
              <w:rPr>
                <w:rFonts w:cs="Arial"/>
              </w:rPr>
              <w:t>b)</w:t>
            </w:r>
            <w:r w:rsidRPr="0085128E">
              <w:rPr>
                <w:rFonts w:cs="Arial"/>
              </w:rPr>
              <w:tab/>
              <w:t>nombre de plantes et espèces couvertes par le formulaire de demande électronique;</w:t>
            </w:r>
          </w:p>
          <w:p w:rsidR="00604822" w:rsidRPr="0085128E" w:rsidRDefault="00FD4FFB" w:rsidP="00462B44">
            <w:pPr>
              <w:ind w:left="567" w:hanging="567"/>
              <w:jc w:val="left"/>
            </w:pPr>
            <w:r w:rsidRPr="0085128E">
              <w:t>c)</w:t>
            </w:r>
            <w:r w:rsidRPr="0085128E">
              <w:tab/>
              <w:t>nombre de demandes déposées au moyen du formulaire de demandes électroniques.</w:t>
            </w:r>
          </w:p>
        </w:tc>
      </w:tr>
    </w:tbl>
    <w:p w:rsidR="00720382" w:rsidRDefault="00720382" w:rsidP="0085128E">
      <w:pPr>
        <w:jc w:val="left"/>
        <w:rPr>
          <w:b/>
        </w:rPr>
      </w:pPr>
    </w:p>
    <w:p w:rsidR="00462B44" w:rsidRPr="0085128E" w:rsidRDefault="00462B44" w:rsidP="0085128E">
      <w:pPr>
        <w:jc w:val="left"/>
        <w:rPr>
          <w:b/>
        </w:rPr>
      </w:pPr>
    </w:p>
    <w:p w:rsidR="00720382" w:rsidRPr="0085128E" w:rsidRDefault="00FD4FFB" w:rsidP="00462B44">
      <w:pPr>
        <w:pStyle w:val="Heading2"/>
      </w:pPr>
      <w:bookmarkStart w:id="122" w:name="_Toc489956761"/>
      <w:bookmarkStart w:id="123" w:name="_Toc489956849"/>
      <w:bookmarkStart w:id="124" w:name="_Toc490572915"/>
      <w:bookmarkStart w:id="125" w:name="_Toc491088290"/>
      <w:r w:rsidRPr="00462B44">
        <w:rPr>
          <w:u w:val="none"/>
        </w:rPr>
        <w:t>2.3</w:t>
      </w:r>
      <w:r w:rsidRPr="00462B44">
        <w:rPr>
          <w:u w:val="none"/>
        </w:rPr>
        <w:tab/>
      </w:r>
      <w:r w:rsidRPr="0085128E">
        <w:t>Sous</w:t>
      </w:r>
      <w:r w:rsidR="008D0CFD" w:rsidRPr="0085128E">
        <w:t>-</w:t>
      </w:r>
      <w:r w:rsidRPr="0085128E">
        <w:t>programme UV.3</w:t>
      </w:r>
      <w:r w:rsidR="008D0CFD" w:rsidRPr="0085128E">
        <w:t> :</w:t>
      </w:r>
      <w:r w:rsidRPr="0085128E">
        <w:t xml:space="preserve"> Aide à la mise en place et à l</w:t>
      </w:r>
      <w:r w:rsidR="008D0CFD" w:rsidRPr="0085128E">
        <w:t>’</w:t>
      </w:r>
      <w:r w:rsidRPr="0085128E">
        <w:t>application du système de l</w:t>
      </w:r>
      <w:r w:rsidR="008D0CFD" w:rsidRPr="0085128E">
        <w:t>’</w:t>
      </w:r>
      <w:r w:rsidRPr="0085128E">
        <w:t>UPOV</w:t>
      </w:r>
      <w:bookmarkEnd w:id="122"/>
      <w:bookmarkEnd w:id="123"/>
      <w:bookmarkEnd w:id="124"/>
      <w:bookmarkEnd w:id="125"/>
    </w:p>
    <w:p w:rsidR="00720382" w:rsidRPr="0085128E" w:rsidRDefault="00720382" w:rsidP="0085128E"/>
    <w:p w:rsidR="00720382" w:rsidRPr="0085128E" w:rsidRDefault="00FD4FFB" w:rsidP="00462B44">
      <w:pPr>
        <w:pStyle w:val="Heading3"/>
      </w:pPr>
      <w:bookmarkStart w:id="126" w:name="_Toc489956762"/>
      <w:bookmarkStart w:id="127" w:name="_Toc489956850"/>
      <w:bookmarkStart w:id="128" w:name="_Toc490572916"/>
      <w:bookmarkStart w:id="129" w:name="_Toc491088291"/>
      <w:r w:rsidRPr="0085128E">
        <w:t>2.3.1</w:t>
      </w:r>
      <w:r w:rsidR="00462B44">
        <w:tab/>
      </w:r>
      <w:r w:rsidRPr="0085128E">
        <w:t>Objectifs</w:t>
      </w:r>
      <w:bookmarkEnd w:id="126"/>
      <w:bookmarkEnd w:id="127"/>
      <w:bookmarkEnd w:id="128"/>
      <w:bookmarkEnd w:id="129"/>
    </w:p>
    <w:p w:rsidR="00720382" w:rsidRPr="0085128E" w:rsidRDefault="00720382" w:rsidP="0085128E">
      <w:pPr>
        <w:keepNext/>
      </w:pPr>
    </w:p>
    <w:p w:rsidR="00720382" w:rsidRPr="0085128E" w:rsidRDefault="00604822" w:rsidP="0085128E">
      <w:r w:rsidRPr="0085128E">
        <w:tab/>
      </w:r>
      <w:r w:rsidR="00FD4FFB" w:rsidRPr="0085128E">
        <w:t>a)</w:t>
      </w:r>
      <w:r w:rsidR="00FD4FFB" w:rsidRPr="0085128E">
        <w:tab/>
        <w:t>Faire mieux connaître l</w:t>
      </w:r>
      <w:r w:rsidR="008D0CFD" w:rsidRPr="0085128E">
        <w:t>’</w:t>
      </w:r>
      <w:r w:rsidR="00FD4FFB" w:rsidRPr="0085128E">
        <w:t xml:space="preserve">importance de la protection des obtentions végétales conformément à la </w:t>
      </w:r>
      <w:r w:rsidR="008D0CFD" w:rsidRPr="0085128E">
        <w:t>Convention UPOV</w:t>
      </w:r>
      <w:r w:rsidR="00FD4FFB" w:rsidRPr="0085128E">
        <w:t>.</w:t>
      </w:r>
    </w:p>
    <w:p w:rsidR="00720382" w:rsidRPr="0085128E" w:rsidRDefault="00720382" w:rsidP="0085128E"/>
    <w:p w:rsidR="00720382" w:rsidRPr="0085128E" w:rsidRDefault="00604822" w:rsidP="0085128E">
      <w:r w:rsidRPr="0085128E">
        <w:tab/>
      </w:r>
      <w:r w:rsidR="00FD4FFB" w:rsidRPr="0085128E">
        <w:t>b)</w:t>
      </w:r>
      <w:r w:rsidR="00FD4FFB" w:rsidRPr="0085128E">
        <w:tab/>
        <w:t>Aider les États et les organisations, en particulier les gouvernements des pays en développement et des pays en transition vers l</w:t>
      </w:r>
      <w:r w:rsidR="008D0CFD" w:rsidRPr="0085128E">
        <w:t>’</w:t>
      </w:r>
      <w:r w:rsidR="00FD4FFB" w:rsidRPr="0085128E">
        <w:t>économie de marché, à élaborer une législation conforme à l</w:t>
      </w:r>
      <w:r w:rsidR="008D0CFD" w:rsidRPr="0085128E">
        <w:t>’</w:t>
      </w:r>
      <w:r w:rsidR="00FD4FFB" w:rsidRPr="0085128E">
        <w:t xml:space="preserve">Acte </w:t>
      </w:r>
      <w:r w:rsidR="008D0CFD" w:rsidRPr="0085128E">
        <w:t>de 1991</w:t>
      </w:r>
      <w:r w:rsidR="00FD4FFB" w:rsidRPr="0085128E">
        <w:t xml:space="preserve"> de la </w:t>
      </w:r>
      <w:r w:rsidR="008D0CFD" w:rsidRPr="0085128E">
        <w:t>Convention UPOV</w:t>
      </w:r>
      <w:r w:rsidR="00FD4FFB" w:rsidRPr="0085128E">
        <w:t>.</w:t>
      </w:r>
    </w:p>
    <w:p w:rsidR="00720382" w:rsidRPr="0085128E" w:rsidRDefault="00720382" w:rsidP="0085128E"/>
    <w:p w:rsidR="00720382" w:rsidRPr="0085128E" w:rsidRDefault="00604822" w:rsidP="0085128E">
      <w:r w:rsidRPr="0085128E">
        <w:tab/>
      </w:r>
      <w:r w:rsidR="00FD4FFB" w:rsidRPr="0085128E">
        <w:t>c)</w:t>
      </w:r>
      <w:r w:rsidR="00FD4FFB" w:rsidRPr="0085128E">
        <w:tab/>
        <w:t>Aider les États et les organisations à adhérer à l</w:t>
      </w:r>
      <w:r w:rsidR="008D0CFD" w:rsidRPr="0085128E">
        <w:t>’</w:t>
      </w:r>
      <w:r w:rsidR="00FD4FFB" w:rsidRPr="0085128E">
        <w:t xml:space="preserve">Acte </w:t>
      </w:r>
      <w:r w:rsidR="008D0CFD" w:rsidRPr="0085128E">
        <w:t>de 1991</w:t>
      </w:r>
      <w:r w:rsidR="00FD4FFB" w:rsidRPr="0085128E">
        <w:t xml:space="preserve"> de la </w:t>
      </w:r>
      <w:r w:rsidR="008D0CFD" w:rsidRPr="0085128E">
        <w:t>Convention UPOV</w:t>
      </w:r>
      <w:r w:rsidR="00FD4FFB" w:rsidRPr="0085128E">
        <w:t>.</w:t>
      </w:r>
    </w:p>
    <w:p w:rsidR="00720382" w:rsidRPr="0085128E" w:rsidRDefault="00720382" w:rsidP="0085128E"/>
    <w:p w:rsidR="00720382" w:rsidRPr="0085128E" w:rsidRDefault="00604822" w:rsidP="0085128E">
      <w:r w:rsidRPr="0085128E">
        <w:tab/>
      </w:r>
      <w:r w:rsidR="00FD4FFB" w:rsidRPr="0085128E">
        <w:t>d)</w:t>
      </w:r>
      <w:r w:rsidR="00FD4FFB" w:rsidRPr="0085128E">
        <w:tab/>
        <w:t xml:space="preserve">Aider les États et les organisations à mettre en œuvre un système efficace de protection des obtentions végétales conforme à la </w:t>
      </w:r>
      <w:r w:rsidR="008D0CFD" w:rsidRPr="0085128E">
        <w:t>Convention UPOV</w:t>
      </w:r>
      <w:r w:rsidR="00FD4FFB" w:rsidRPr="0085128E">
        <w:t>.</w:t>
      </w:r>
    </w:p>
    <w:p w:rsidR="00720382" w:rsidRPr="0085128E" w:rsidRDefault="00720382" w:rsidP="0085128E">
      <w:pPr>
        <w:jc w:val="left"/>
      </w:pPr>
    </w:p>
    <w:p w:rsidR="00720382" w:rsidRPr="0085128E" w:rsidRDefault="00720382" w:rsidP="0085128E">
      <w:pPr>
        <w:jc w:val="left"/>
      </w:pPr>
    </w:p>
    <w:p w:rsidR="00720382" w:rsidRPr="0085128E" w:rsidRDefault="00FD4FFB" w:rsidP="00462B44">
      <w:pPr>
        <w:pStyle w:val="Heading3"/>
      </w:pPr>
      <w:bookmarkStart w:id="130" w:name="_Toc489956763"/>
      <w:bookmarkStart w:id="131" w:name="_Toc489956851"/>
      <w:bookmarkStart w:id="132" w:name="_Toc490572917"/>
      <w:bookmarkStart w:id="133" w:name="_Toc491088292"/>
      <w:r w:rsidRPr="0085128E">
        <w:t>2.3.2</w:t>
      </w:r>
      <w:r w:rsidRPr="0085128E">
        <w:tab/>
        <w:t>Descriptif</w:t>
      </w:r>
      <w:bookmarkEnd w:id="130"/>
      <w:bookmarkEnd w:id="131"/>
      <w:bookmarkEnd w:id="132"/>
      <w:bookmarkEnd w:id="133"/>
    </w:p>
    <w:p w:rsidR="00720382" w:rsidRPr="0085128E" w:rsidRDefault="00720382" w:rsidP="0085128E"/>
    <w:p w:rsidR="00720382" w:rsidRPr="0085128E" w:rsidRDefault="00FD4FFB" w:rsidP="00462B44">
      <w:pPr>
        <w:pStyle w:val="Heading4"/>
      </w:pPr>
      <w:bookmarkStart w:id="134" w:name="_Toc489956764"/>
      <w:bookmarkStart w:id="135" w:name="_Toc489956852"/>
      <w:bookmarkStart w:id="136" w:name="_Toc490572918"/>
      <w:bookmarkStart w:id="137" w:name="_Toc491088293"/>
      <w:r w:rsidRPr="0085128E">
        <w:t>Introduction</w:t>
      </w:r>
      <w:bookmarkEnd w:id="134"/>
      <w:bookmarkEnd w:id="135"/>
      <w:bookmarkEnd w:id="136"/>
      <w:bookmarkEnd w:id="137"/>
    </w:p>
    <w:p w:rsidR="00720382" w:rsidRPr="0085128E" w:rsidRDefault="00720382" w:rsidP="0085128E">
      <w:pPr>
        <w:tabs>
          <w:tab w:val="left" w:pos="851"/>
        </w:tabs>
      </w:pPr>
    </w:p>
    <w:p w:rsidR="003711EE" w:rsidRPr="0085128E" w:rsidRDefault="00FD4FFB" w:rsidP="0085128E">
      <w:r w:rsidRPr="0085128E">
        <w:t>2.3.2.1</w:t>
      </w:r>
      <w:r w:rsidRPr="0085128E">
        <w:tab/>
        <w:t>Le présent sous</w:t>
      </w:r>
      <w:r w:rsidR="008D0CFD" w:rsidRPr="0085128E">
        <w:t>-</w:t>
      </w:r>
      <w:r w:rsidRPr="0085128E">
        <w:t>programme porte sur l</w:t>
      </w:r>
      <w:r w:rsidR="008D0CFD" w:rsidRPr="0085128E">
        <w:t>’</w:t>
      </w:r>
      <w:r w:rsidRPr="0085128E">
        <w:t>aide fournie en réponse aux demandes présentées par les membres et les membres potentiels de l</w:t>
      </w:r>
      <w:r w:rsidR="008D0CFD" w:rsidRPr="0085128E">
        <w:t>’</w:t>
      </w:r>
      <w:r w:rsidRPr="0085128E">
        <w:t>Uni</w:t>
      </w:r>
      <w:r w:rsidR="009F5A99" w:rsidRPr="0085128E">
        <w:t>on.  Sa</w:t>
      </w:r>
      <w:r w:rsidRPr="0085128E">
        <w:t>tisfaire la demande d</w:t>
      </w:r>
      <w:r w:rsidR="008D0CFD" w:rsidRPr="0085128E">
        <w:t>’</w:t>
      </w:r>
      <w:r w:rsidRPr="0085128E">
        <w:t>aide à la mise en place et à l</w:t>
      </w:r>
      <w:r w:rsidR="008D0CFD" w:rsidRPr="0085128E">
        <w:t>’</w:t>
      </w:r>
      <w:r w:rsidRPr="0085128E">
        <w:t>application du système de l</w:t>
      </w:r>
      <w:r w:rsidR="008D0CFD" w:rsidRPr="0085128E">
        <w:t>’</w:t>
      </w:r>
      <w:r w:rsidRPr="0085128E">
        <w:t>UPOV dans les limites des ressources disponibles passe par l</w:t>
      </w:r>
      <w:r w:rsidR="008D0CFD" w:rsidRPr="0085128E">
        <w:t>’</w:t>
      </w:r>
      <w:r w:rsidRPr="0085128E">
        <w:t>utilisation des cours d</w:t>
      </w:r>
      <w:r w:rsidR="008D0CFD" w:rsidRPr="0085128E">
        <w:t>’</w:t>
      </w:r>
      <w:r w:rsidRPr="0085128E">
        <w:t>enseignement à distance, la formation des formateurs, la hiérarchisation de l</w:t>
      </w:r>
      <w:r w:rsidR="008D0CFD" w:rsidRPr="0085128E">
        <w:t>’</w:t>
      </w:r>
      <w:r w:rsidRPr="0085128E">
        <w:t>assistance fournie par le Bureau de l</w:t>
      </w:r>
      <w:r w:rsidR="008D0CFD" w:rsidRPr="0085128E">
        <w:t>’</w:t>
      </w:r>
      <w:r w:rsidRPr="0085128E">
        <w:t>Union et l</w:t>
      </w:r>
      <w:r w:rsidR="008D0CFD" w:rsidRPr="0085128E">
        <w:t>’</w:t>
      </w:r>
      <w:r w:rsidRPr="0085128E">
        <w:t>utilisation de ressources extérieures pour la formation et l</w:t>
      </w:r>
      <w:r w:rsidR="008D0CFD" w:rsidRPr="0085128E">
        <w:t>’</w:t>
      </w:r>
      <w:r w:rsidRPr="0085128E">
        <w:t>assistance en fonction des fonds disponibl</w:t>
      </w:r>
      <w:r w:rsidR="009F5A99" w:rsidRPr="0085128E">
        <w:t>es.  Ce</w:t>
      </w:r>
      <w:r w:rsidRPr="0085128E">
        <w:t xml:space="preserve"> sous</w:t>
      </w:r>
      <w:r w:rsidR="008D0CFD" w:rsidRPr="0085128E">
        <w:t>-</w:t>
      </w:r>
      <w:r w:rsidRPr="0085128E">
        <w:t>programme est financé sur le budget ordinaire, mais ce sont des fonds extrabudgétaires et une aide en nature qui constituent l</w:t>
      </w:r>
      <w:r w:rsidR="008D0CFD" w:rsidRPr="0085128E">
        <w:t>’</w:t>
      </w:r>
      <w:r w:rsidRPr="0085128E">
        <w:t>essentiel des ressources déployées à des fins d</w:t>
      </w:r>
      <w:r w:rsidR="008D0CFD" w:rsidRPr="0085128E">
        <w:t>’</w:t>
      </w:r>
      <w:r w:rsidRPr="0085128E">
        <w:t>assistan</w:t>
      </w:r>
      <w:r w:rsidR="009F5A99" w:rsidRPr="0085128E">
        <w:t>ce.  Af</w:t>
      </w:r>
      <w:r w:rsidRPr="0085128E">
        <w:t>in d</w:t>
      </w:r>
      <w:r w:rsidR="008D0CFD" w:rsidRPr="0085128E">
        <w:t>’</w:t>
      </w:r>
      <w:r w:rsidRPr="0085128E">
        <w:t>utiliser les ressources disponibles de la manière la plus efficace qui soit, le Bureau de l</w:t>
      </w:r>
      <w:r w:rsidR="008D0CFD" w:rsidRPr="0085128E">
        <w:t>’</w:t>
      </w:r>
      <w:r w:rsidRPr="0085128E">
        <w:t>Union continuera de donner la priorité à ses activités et d</w:t>
      </w:r>
      <w:r w:rsidR="008D0CFD" w:rsidRPr="0085128E">
        <w:t>’</w:t>
      </w:r>
      <w:r w:rsidRPr="0085128E">
        <w:t>étudier les synergies possibles avec les membres de l</w:t>
      </w:r>
      <w:r w:rsidR="008D0CFD" w:rsidRPr="0085128E">
        <w:t>’</w:t>
      </w:r>
      <w:r w:rsidRPr="0085128E">
        <w:t>Union et ses autres partenaires.</w:t>
      </w:r>
    </w:p>
    <w:p w:rsidR="00720382" w:rsidRPr="0085128E" w:rsidRDefault="00720382" w:rsidP="0085128E"/>
    <w:p w:rsidR="00720382" w:rsidRPr="0085128E" w:rsidRDefault="008F3BA2" w:rsidP="0085128E">
      <w:r w:rsidRPr="0085128E">
        <w:t>2.3.2.2</w:t>
      </w:r>
      <w:r w:rsidRPr="0085128E">
        <w:tab/>
        <w:t>La priorité a été donnée par les membres de l</w:t>
      </w:r>
      <w:r w:rsidR="008D0CFD" w:rsidRPr="0085128E">
        <w:t>’</w:t>
      </w:r>
      <w:r w:rsidRPr="0085128E">
        <w:t>Union à la fourniture d</w:t>
      </w:r>
      <w:r w:rsidR="008D0CFD" w:rsidRPr="0085128E">
        <w:t>’</w:t>
      </w:r>
      <w:r w:rsidRPr="0085128E">
        <w:t>une assistance par le Bureau de l</w:t>
      </w:r>
      <w:r w:rsidR="008D0CFD" w:rsidRPr="0085128E">
        <w:t>’</w:t>
      </w:r>
      <w:r w:rsidRPr="0085128E">
        <w:t>Union dans l</w:t>
      </w:r>
      <w:r w:rsidR="008D0CFD" w:rsidRPr="0085128E">
        <w:t>’</w:t>
      </w:r>
      <w:r w:rsidRPr="0085128E">
        <w:t>ordre suivant</w:t>
      </w:r>
      <w:r w:rsidR="008D0CFD" w:rsidRPr="0085128E">
        <w:t> :</w:t>
      </w:r>
    </w:p>
    <w:p w:rsidR="00720382" w:rsidRPr="0085128E" w:rsidRDefault="00720382" w:rsidP="0085128E"/>
    <w:p w:rsidR="00720382" w:rsidRPr="0085128E" w:rsidRDefault="008F3BA2" w:rsidP="0085128E">
      <w:pPr>
        <w:spacing w:after="120"/>
        <w:ind w:left="567"/>
      </w:pPr>
      <w:r w:rsidRPr="0085128E">
        <w:t>i)</w:t>
      </w:r>
      <w:r w:rsidRPr="0085128E">
        <w:tab/>
        <w:t>assistance aux membres de l</w:t>
      </w:r>
      <w:r w:rsidR="008D0CFD" w:rsidRPr="0085128E">
        <w:t>’</w:t>
      </w:r>
      <w:r w:rsidRPr="0085128E">
        <w:t>Union;</w:t>
      </w:r>
    </w:p>
    <w:p w:rsidR="00720382" w:rsidRPr="0085128E" w:rsidRDefault="008F3BA2" w:rsidP="0085128E">
      <w:pPr>
        <w:spacing w:after="120"/>
        <w:ind w:left="567"/>
      </w:pPr>
      <w:r w:rsidRPr="0085128E">
        <w:t>ii)</w:t>
      </w:r>
      <w:r w:rsidRPr="0085128E">
        <w:tab/>
        <w:t>assistance aux États et à certaines organisations qui ne sont pas membres de l</w:t>
      </w:r>
      <w:r w:rsidR="008D0CFD" w:rsidRPr="0085128E">
        <w:t>’</w:t>
      </w:r>
      <w:r w:rsidRPr="0085128E">
        <w:t>Union, notamment aux gouvernements de pays en développement et de pays en transition vers une économie de marché, aux fins de l</w:t>
      </w:r>
      <w:r w:rsidR="008D0CFD" w:rsidRPr="0085128E">
        <w:t>’</w:t>
      </w:r>
      <w:r w:rsidRPr="0085128E">
        <w:t>élaboration d</w:t>
      </w:r>
      <w:r w:rsidR="008D0CFD" w:rsidRPr="0085128E">
        <w:t>’</w:t>
      </w:r>
      <w:r w:rsidRPr="0085128E">
        <w:t>une législation conforme à l</w:t>
      </w:r>
      <w:r w:rsidR="008D0CFD" w:rsidRPr="0085128E">
        <w:t>’</w:t>
      </w:r>
      <w:r w:rsidRPr="0085128E">
        <w:t xml:space="preserve">Acte </w:t>
      </w:r>
      <w:r w:rsidR="008D0CFD" w:rsidRPr="0085128E">
        <w:t>de 1991</w:t>
      </w:r>
      <w:r w:rsidRPr="0085128E">
        <w:t xml:space="preserve"> de la </w:t>
      </w:r>
      <w:r w:rsidR="008D0CFD" w:rsidRPr="0085128E">
        <w:t>Convention UPOV</w:t>
      </w:r>
      <w:r w:rsidRPr="0085128E">
        <w:t xml:space="preserve"> et de leur adhésion à la </w:t>
      </w:r>
      <w:r w:rsidR="008D0CFD" w:rsidRPr="0085128E">
        <w:t>Convention UPOV</w:t>
      </w:r>
      <w:r w:rsidRPr="0085128E">
        <w:t>;  et</w:t>
      </w:r>
    </w:p>
    <w:p w:rsidR="003711EE" w:rsidRPr="0085128E" w:rsidRDefault="008F3BA2" w:rsidP="0085128E">
      <w:pPr>
        <w:tabs>
          <w:tab w:val="left" w:pos="567"/>
        </w:tabs>
        <w:ind w:left="567"/>
      </w:pPr>
      <w:r w:rsidRPr="0085128E">
        <w:t>iii)</w:t>
      </w:r>
      <w:r w:rsidRPr="0085128E">
        <w:tab/>
        <w:t>assistance aux États et à certaines organisations qui ne sont pas membres de l</w:t>
      </w:r>
      <w:r w:rsidR="008D0CFD" w:rsidRPr="0085128E">
        <w:t>’</w:t>
      </w:r>
      <w:r w:rsidRPr="0085128E">
        <w:t>Union, aux fins de l</w:t>
      </w:r>
      <w:r w:rsidR="008D0CFD" w:rsidRPr="0085128E">
        <w:t>’</w:t>
      </w:r>
      <w:r w:rsidRPr="0085128E">
        <w:t>application de la législation ayant fait l</w:t>
      </w:r>
      <w:r w:rsidR="008D0CFD" w:rsidRPr="0085128E">
        <w:t>’</w:t>
      </w:r>
      <w:r w:rsidRPr="0085128E">
        <w:t>objet d</w:t>
      </w:r>
      <w:r w:rsidR="008D0CFD" w:rsidRPr="0085128E">
        <w:t>’</w:t>
      </w:r>
      <w:r w:rsidRPr="0085128E">
        <w:t>une décision positive de la part du Conseil compte tenu de leur engagement d</w:t>
      </w:r>
      <w:r w:rsidR="008D0CFD" w:rsidRPr="0085128E">
        <w:t>’</w:t>
      </w:r>
      <w:r w:rsidRPr="0085128E">
        <w:t xml:space="preserve">adhérer à la </w:t>
      </w:r>
      <w:r w:rsidR="008D0CFD" w:rsidRPr="0085128E">
        <w:t>Convention UPOV</w:t>
      </w:r>
      <w:r w:rsidRPr="0085128E">
        <w:t>.</w:t>
      </w:r>
    </w:p>
    <w:p w:rsidR="00720382" w:rsidRPr="0085128E" w:rsidRDefault="00720382" w:rsidP="0085128E">
      <w:pPr>
        <w:tabs>
          <w:tab w:val="left" w:pos="567"/>
        </w:tabs>
        <w:ind w:left="567"/>
      </w:pPr>
    </w:p>
    <w:p w:rsidR="00720382" w:rsidRPr="0085128E" w:rsidRDefault="00720382" w:rsidP="0085128E">
      <w:pPr>
        <w:tabs>
          <w:tab w:val="left" w:pos="567"/>
        </w:tabs>
        <w:ind w:left="567"/>
      </w:pPr>
    </w:p>
    <w:p w:rsidR="00720382" w:rsidRPr="0085128E" w:rsidRDefault="008F3BA2" w:rsidP="00462B44">
      <w:pPr>
        <w:pStyle w:val="Heading4"/>
      </w:pPr>
      <w:bookmarkStart w:id="138" w:name="_Toc489956765"/>
      <w:bookmarkStart w:id="139" w:name="_Toc489956853"/>
      <w:bookmarkStart w:id="140" w:name="_Toc490572919"/>
      <w:bookmarkStart w:id="141" w:name="_Toc491088294"/>
      <w:r w:rsidRPr="0085128E">
        <w:t>Ressources</w:t>
      </w:r>
      <w:bookmarkEnd w:id="138"/>
      <w:bookmarkEnd w:id="139"/>
      <w:bookmarkEnd w:id="140"/>
      <w:bookmarkEnd w:id="141"/>
    </w:p>
    <w:p w:rsidR="00720382" w:rsidRPr="0085128E" w:rsidRDefault="00720382" w:rsidP="00462B44">
      <w:pPr>
        <w:keepNext/>
      </w:pPr>
    </w:p>
    <w:p w:rsidR="0088179C" w:rsidRDefault="008F3BA2" w:rsidP="0088179C">
      <w:pPr>
        <w:rPr>
          <w:i/>
        </w:rPr>
      </w:pPr>
      <w:r w:rsidRPr="0085128E">
        <w:t>2.3.2.3</w:t>
      </w:r>
      <w:r w:rsidRPr="0085128E">
        <w:tab/>
        <w:t>Une caractéristique fondamentale du présent sous</w:t>
      </w:r>
      <w:r w:rsidR="008D0CFD" w:rsidRPr="0085128E">
        <w:t>-</w:t>
      </w:r>
      <w:r w:rsidRPr="0085128E">
        <w:t>programme consiste à définir un cadre dans lequel le Bureau de l</w:t>
      </w:r>
      <w:r w:rsidR="008D0CFD" w:rsidRPr="0085128E">
        <w:t>’</w:t>
      </w:r>
      <w:r w:rsidRPr="0085128E">
        <w:t>Union puisse compléter efficacement les ressources dont il dispose grâce à l</w:t>
      </w:r>
      <w:r w:rsidR="008D0CFD" w:rsidRPr="0085128E">
        <w:t>’</w:t>
      </w:r>
      <w:r w:rsidRPr="0085128E">
        <w:t>appui financier et à l</w:t>
      </w:r>
      <w:r w:rsidR="008D0CFD" w:rsidRPr="0085128E">
        <w:t>’</w:t>
      </w:r>
      <w:r w:rsidRPr="0085128E">
        <w:t>aide en nature apportés par les membres de l</w:t>
      </w:r>
      <w:r w:rsidR="008D0CFD" w:rsidRPr="0085128E">
        <w:t>’</w:t>
      </w:r>
      <w:r w:rsidRPr="0085128E">
        <w:t>Union et d</w:t>
      </w:r>
      <w:r w:rsidR="008D0CFD" w:rsidRPr="0085128E">
        <w:t>’</w:t>
      </w:r>
      <w:r w:rsidRPr="0085128E">
        <w:t>autres organ</w:t>
      </w:r>
      <w:r w:rsidR="009F5A99" w:rsidRPr="0085128E">
        <w:t>es.  D’u</w:t>
      </w:r>
      <w:r w:rsidRPr="0085128E">
        <w:t>ne manière générale, cet appui peut être classé de la manière suivante</w:t>
      </w:r>
      <w:r w:rsidR="008D0CFD" w:rsidRPr="0085128E">
        <w:t> :</w:t>
      </w:r>
      <w:r w:rsidR="0088179C">
        <w:rPr>
          <w:i/>
        </w:rPr>
        <w:br w:type="page"/>
      </w:r>
    </w:p>
    <w:p w:rsidR="00720382" w:rsidRPr="0085128E" w:rsidRDefault="008F3BA2" w:rsidP="0085128E">
      <w:pPr>
        <w:keepNext/>
        <w:tabs>
          <w:tab w:val="left" w:pos="567"/>
        </w:tabs>
        <w:rPr>
          <w:i/>
        </w:rPr>
      </w:pPr>
      <w:r w:rsidRPr="0085128E">
        <w:rPr>
          <w:i/>
        </w:rPr>
        <w:t>Ressources financières extrabudgétaires</w:t>
      </w:r>
    </w:p>
    <w:p w:rsidR="00720382" w:rsidRPr="0085128E" w:rsidRDefault="00720382" w:rsidP="0085128E">
      <w:pPr>
        <w:keepNext/>
        <w:tabs>
          <w:tab w:val="left" w:pos="567"/>
        </w:tabs>
      </w:pPr>
    </w:p>
    <w:p w:rsidR="00720382" w:rsidRPr="0085128E" w:rsidRDefault="008F3BA2" w:rsidP="0088179C">
      <w:r w:rsidRPr="0085128E">
        <w:t>2.3.2.4</w:t>
      </w:r>
      <w:r w:rsidRPr="0085128E">
        <w:tab/>
        <w:t>L</w:t>
      </w:r>
      <w:r w:rsidR="008D0CFD" w:rsidRPr="0085128E">
        <w:t>’</w:t>
      </w:r>
      <w:r w:rsidRPr="0085128E">
        <w:t>UPOV tire un grand profit des ressources financières supplémentaires mises à disposition notamment sous la forme de fonds fiduciair</w:t>
      </w:r>
      <w:r w:rsidR="009F5A99" w:rsidRPr="0085128E">
        <w:t>es.  Le</w:t>
      </w:r>
      <w:r w:rsidRPr="0085128E">
        <w:t>s fonds fiduciaires sont des ressources financières volontairement mises à la disposition de l</w:t>
      </w:r>
      <w:r w:rsidR="008D0CFD" w:rsidRPr="0085128E">
        <w:t>’</w:t>
      </w:r>
      <w:r w:rsidRPr="0085128E">
        <w:t>UPOV par un membre de l</w:t>
      </w:r>
      <w:r w:rsidR="008D0CFD" w:rsidRPr="0085128E">
        <w:t>’</w:t>
      </w:r>
      <w:r w:rsidRPr="0085128E">
        <w:t>Union généralement en vue de financer un programme d</w:t>
      </w:r>
      <w:r w:rsidR="008D0CFD" w:rsidRPr="0085128E">
        <w:t>’</w:t>
      </w:r>
      <w:r w:rsidRPr="0085128E">
        <w:t>activités précis établi d</w:t>
      </w:r>
      <w:r w:rsidR="008D0CFD" w:rsidRPr="0085128E">
        <w:t>’</w:t>
      </w:r>
      <w:r w:rsidRPr="0085128E">
        <w:t>un commun accord entre le Bureau de l</w:t>
      </w:r>
      <w:r w:rsidR="008D0CFD" w:rsidRPr="0085128E">
        <w:t>’</w:t>
      </w:r>
      <w:r w:rsidRPr="0085128E">
        <w:t>Union et le membre donate</w:t>
      </w:r>
      <w:r w:rsidR="009F5A99" w:rsidRPr="0085128E">
        <w:t>ur.  Co</w:t>
      </w:r>
      <w:r w:rsidRPr="0085128E">
        <w:t>nscients du fait que ces fonds fiduciaires mobilisent des membres du personnel de l</w:t>
      </w:r>
      <w:r w:rsidR="008D0CFD" w:rsidRPr="0085128E">
        <w:t>’</w:t>
      </w:r>
      <w:r w:rsidRPr="0085128E">
        <w:t>UPOV ou d</w:t>
      </w:r>
      <w:r w:rsidR="008D0CFD" w:rsidRPr="0085128E">
        <w:t>’</w:t>
      </w:r>
      <w:r w:rsidRPr="0085128E">
        <w:t>autres ressources, le Bureau de l</w:t>
      </w:r>
      <w:r w:rsidR="008D0CFD" w:rsidRPr="0085128E">
        <w:t>’</w:t>
      </w:r>
      <w:r w:rsidRPr="0085128E">
        <w:t>Union et le membre de l</w:t>
      </w:r>
      <w:r w:rsidR="008D0CFD" w:rsidRPr="0085128E">
        <w:t>’</w:t>
      </w:r>
      <w:r w:rsidRPr="0085128E">
        <w:t>Union intéressé mettent au point conjointement un programme d</w:t>
      </w:r>
      <w:r w:rsidR="008D0CFD" w:rsidRPr="0085128E">
        <w:t>’</w:t>
      </w:r>
      <w:r w:rsidRPr="0085128E">
        <w:t>activités conforme aux principes et priorités fixés par le Conseil de l</w:t>
      </w:r>
      <w:r w:rsidR="008D0CFD" w:rsidRPr="0085128E">
        <w:t>’</w:t>
      </w:r>
      <w:r w:rsidRPr="0085128E">
        <w:t>UPOV.</w:t>
      </w:r>
    </w:p>
    <w:p w:rsidR="00720382" w:rsidRPr="0085128E" w:rsidRDefault="00720382" w:rsidP="0085128E">
      <w:pPr>
        <w:jc w:val="left"/>
      </w:pPr>
    </w:p>
    <w:p w:rsidR="00604822" w:rsidRPr="0085128E" w:rsidRDefault="00604822" w:rsidP="0085128E">
      <w:pPr>
        <w:tabs>
          <w:tab w:val="left" w:pos="567"/>
        </w:tabs>
      </w:pPr>
    </w:p>
    <w:tbl>
      <w:tblPr>
        <w:tblStyle w:val="TableGrid"/>
        <w:tblW w:w="4000" w:type="pct"/>
        <w:jc w:val="center"/>
        <w:tblCellMar>
          <w:top w:w="57" w:type="dxa"/>
          <w:bottom w:w="57" w:type="dxa"/>
        </w:tblCellMar>
        <w:tblLook w:val="01E0" w:firstRow="1" w:lastRow="1" w:firstColumn="1" w:lastColumn="1" w:noHBand="0" w:noVBand="0"/>
      </w:tblPr>
      <w:tblGrid>
        <w:gridCol w:w="7884"/>
      </w:tblGrid>
      <w:tr w:rsidR="00604822" w:rsidRPr="0085128E" w:rsidTr="0088179C">
        <w:trPr>
          <w:cantSplit/>
          <w:jc w:val="center"/>
        </w:trPr>
        <w:tc>
          <w:tcPr>
            <w:tcW w:w="9753" w:type="dxa"/>
          </w:tcPr>
          <w:p w:rsidR="00720382" w:rsidRPr="0085128E" w:rsidRDefault="008F3BA2" w:rsidP="0088179C">
            <w:pPr>
              <w:tabs>
                <w:tab w:val="left" w:pos="567"/>
              </w:tabs>
            </w:pPr>
            <w:r w:rsidRPr="0085128E">
              <w:t>Exemples</w:t>
            </w:r>
            <w:r w:rsidRPr="0085128E">
              <w:rPr>
                <w:rStyle w:val="FootnoteReference"/>
              </w:rPr>
              <w:footnoteReference w:id="5"/>
            </w:r>
            <w:r w:rsidR="008D0CFD" w:rsidRPr="0085128E">
              <w:t> :</w:t>
            </w:r>
          </w:p>
          <w:p w:rsidR="00720382" w:rsidRPr="0085128E" w:rsidRDefault="00720382" w:rsidP="0088179C">
            <w:pPr>
              <w:tabs>
                <w:tab w:val="left" w:pos="567"/>
              </w:tabs>
              <w:ind w:left="567" w:hanging="567"/>
            </w:pPr>
          </w:p>
          <w:p w:rsidR="00720382" w:rsidRPr="0085128E" w:rsidRDefault="008F3BA2" w:rsidP="0088179C">
            <w:pPr>
              <w:numPr>
                <w:ilvl w:val="0"/>
                <w:numId w:val="9"/>
              </w:numPr>
              <w:tabs>
                <w:tab w:val="clear" w:pos="720"/>
                <w:tab w:val="left" w:pos="601"/>
              </w:tabs>
              <w:ind w:left="567" w:hanging="567"/>
            </w:pPr>
            <w:r w:rsidRPr="0085128E">
              <w:t>Les fonds fiduciaires financés par le Gouvernement japonais pour des activités menées dans la région Asie</w:t>
            </w:r>
          </w:p>
          <w:p w:rsidR="00720382" w:rsidRPr="0085128E" w:rsidRDefault="008F3BA2" w:rsidP="0088179C">
            <w:pPr>
              <w:numPr>
                <w:ilvl w:val="0"/>
                <w:numId w:val="9"/>
              </w:numPr>
              <w:tabs>
                <w:tab w:val="left" w:pos="601"/>
              </w:tabs>
              <w:ind w:left="567" w:hanging="567"/>
            </w:pPr>
            <w:r w:rsidRPr="0085128E">
              <w:t>Les fonds fiduciaires financés par le Ministère des affaires économiques du Royaume des Pays</w:t>
            </w:r>
            <w:r w:rsidR="008D0CFD" w:rsidRPr="0085128E">
              <w:t>-</w:t>
            </w:r>
            <w:r w:rsidRPr="0085128E">
              <w:t>Bas (Pays</w:t>
            </w:r>
            <w:r w:rsidR="008D0CFD" w:rsidRPr="0085128E">
              <w:t>-</w:t>
            </w:r>
            <w:r w:rsidRPr="0085128E">
              <w:t>Bas)</w:t>
            </w:r>
          </w:p>
          <w:p w:rsidR="00604822" w:rsidRPr="0085128E" w:rsidRDefault="008F3BA2" w:rsidP="0088179C">
            <w:pPr>
              <w:numPr>
                <w:ilvl w:val="0"/>
                <w:numId w:val="9"/>
              </w:numPr>
              <w:tabs>
                <w:tab w:val="clear" w:pos="720"/>
                <w:tab w:val="left" w:pos="601"/>
              </w:tabs>
              <w:ind w:left="567" w:hanging="567"/>
            </w:pPr>
            <w:r w:rsidRPr="0085128E">
              <w:t>Le mémorandum d</w:t>
            </w:r>
            <w:r w:rsidR="008D0CFD" w:rsidRPr="0085128E">
              <w:t>’</w:t>
            </w:r>
            <w:r w:rsidRPr="0085128E">
              <w:t>accord conclu entre l</w:t>
            </w:r>
            <w:r w:rsidR="008D0CFD" w:rsidRPr="0085128E">
              <w:t>’</w:t>
            </w:r>
            <w:r w:rsidRPr="0085128E">
              <w:t>Office des brevets et des marques des États</w:t>
            </w:r>
            <w:r w:rsidR="008D0CFD" w:rsidRPr="0085128E">
              <w:t>-</w:t>
            </w:r>
            <w:r w:rsidRPr="0085128E">
              <w:t>Unis d</w:t>
            </w:r>
            <w:r w:rsidR="008D0CFD" w:rsidRPr="0085128E">
              <w:t>’</w:t>
            </w:r>
            <w:r w:rsidRPr="0085128E">
              <w:t>Amérique (USPTO) et l</w:t>
            </w:r>
            <w:r w:rsidR="008D0CFD" w:rsidRPr="0085128E">
              <w:t>’</w:t>
            </w:r>
            <w:r w:rsidRPr="0085128E">
              <w:t>UPOV</w:t>
            </w:r>
          </w:p>
        </w:tc>
      </w:tr>
    </w:tbl>
    <w:p w:rsidR="00720382" w:rsidRDefault="00720382" w:rsidP="0085128E"/>
    <w:p w:rsidR="00720382" w:rsidRPr="0085128E" w:rsidRDefault="008F3BA2" w:rsidP="0085128E">
      <w:pPr>
        <w:keepNext/>
        <w:tabs>
          <w:tab w:val="left" w:pos="567"/>
        </w:tabs>
        <w:rPr>
          <w:i/>
        </w:rPr>
      </w:pPr>
      <w:r w:rsidRPr="0085128E">
        <w:rPr>
          <w:i/>
        </w:rPr>
        <w:t>Appui fourni par des membres de l</w:t>
      </w:r>
      <w:r w:rsidR="008D0CFD" w:rsidRPr="0085128E">
        <w:rPr>
          <w:i/>
        </w:rPr>
        <w:t>’</w:t>
      </w:r>
      <w:r w:rsidRPr="0085128E">
        <w:rPr>
          <w:i/>
        </w:rPr>
        <w:t>Union</w:t>
      </w:r>
    </w:p>
    <w:p w:rsidR="00720382" w:rsidRPr="0085128E" w:rsidRDefault="00720382" w:rsidP="0085128E">
      <w:pPr>
        <w:keepNext/>
        <w:tabs>
          <w:tab w:val="left" w:pos="567"/>
        </w:tabs>
      </w:pPr>
    </w:p>
    <w:p w:rsidR="00720382" w:rsidRPr="0085128E" w:rsidRDefault="008F3BA2" w:rsidP="0085128E">
      <w:r w:rsidRPr="0085128E">
        <w:t>2.3.2.5</w:t>
      </w:r>
      <w:r w:rsidRPr="0085128E">
        <w:tab/>
        <w:t>L</w:t>
      </w:r>
      <w:r w:rsidR="008D0CFD" w:rsidRPr="0085128E">
        <w:t>’</w:t>
      </w:r>
      <w:r w:rsidRPr="0085128E">
        <w:t>une des ressources essentielles pour les travaux de l</w:t>
      </w:r>
      <w:r w:rsidR="008D0CFD" w:rsidRPr="0085128E">
        <w:t>’</w:t>
      </w:r>
      <w:r w:rsidRPr="0085128E">
        <w:t>UPOV est l</w:t>
      </w:r>
      <w:r w:rsidR="008D0CFD" w:rsidRPr="0085128E">
        <w:t>’</w:t>
      </w:r>
      <w:r w:rsidRPr="0085128E">
        <w:t>aide en nature fournie par de nombreux membres de l</w:t>
      </w:r>
      <w:r w:rsidR="008D0CFD" w:rsidRPr="0085128E">
        <w:t>’</w:t>
      </w:r>
      <w:r w:rsidRPr="0085128E">
        <w:t>Union sous forme de services d</w:t>
      </w:r>
      <w:r w:rsidR="008D0CFD" w:rsidRPr="0085128E">
        <w:t>’</w:t>
      </w:r>
      <w:r w:rsidRPr="0085128E">
        <w:t>experts participant en tant que conférenciers à des activités de l</w:t>
      </w:r>
      <w:r w:rsidR="008D0CFD" w:rsidRPr="0085128E">
        <w:t>’</w:t>
      </w:r>
      <w:r w:rsidRPr="0085128E">
        <w:t>UPOV ou de formateurs dans les cours d</w:t>
      </w:r>
      <w:r w:rsidR="008D0CFD" w:rsidRPr="0085128E">
        <w:t>’</w:t>
      </w:r>
      <w:r w:rsidRPr="0085128E">
        <w:t>enseignement à distan</w:t>
      </w:r>
      <w:r w:rsidR="009F5A99" w:rsidRPr="0085128E">
        <w:t>ce.  L’a</w:t>
      </w:r>
      <w:r w:rsidR="001D3855" w:rsidRPr="0085128E">
        <w:t>ppui apporté par des fonctionnaires dûment qualifiés</w:t>
      </w:r>
      <w:r w:rsidR="00705171" w:rsidRPr="0085128E">
        <w:t>,</w:t>
      </w:r>
      <w:r w:rsidR="001D3855" w:rsidRPr="0085128E">
        <w:t xml:space="preserve"> </w:t>
      </w:r>
      <w:r w:rsidR="00705171" w:rsidRPr="0085128E">
        <w:t>entièrement financé par des membres de l</w:t>
      </w:r>
      <w:r w:rsidR="008D0CFD" w:rsidRPr="0085128E">
        <w:t>’</w:t>
      </w:r>
      <w:r w:rsidR="00705171" w:rsidRPr="0085128E">
        <w:t xml:space="preserve">Union </w:t>
      </w:r>
      <w:r w:rsidR="001D3855" w:rsidRPr="0085128E">
        <w:t xml:space="preserve">dans le cadre du Programme des administrateurs </w:t>
      </w:r>
      <w:r w:rsidR="00705171" w:rsidRPr="0085128E">
        <w:t xml:space="preserve">auxiliaires ou </w:t>
      </w:r>
      <w:r w:rsidR="001D3855" w:rsidRPr="0085128E">
        <w:t>de bourses, sera également envisagé, selon que de besoin.</w:t>
      </w:r>
    </w:p>
    <w:p w:rsidR="00720382" w:rsidRPr="0085128E" w:rsidRDefault="00720382" w:rsidP="0085128E"/>
    <w:p w:rsidR="00720382" w:rsidRPr="0085128E" w:rsidRDefault="00D634D1" w:rsidP="0085128E">
      <w:pPr>
        <w:keepNext/>
        <w:tabs>
          <w:tab w:val="left" w:pos="567"/>
        </w:tabs>
        <w:rPr>
          <w:i/>
        </w:rPr>
      </w:pPr>
      <w:r w:rsidRPr="0085128E">
        <w:rPr>
          <w:i/>
        </w:rPr>
        <w:t>Cours de formation à la protection des obtentions végétales</w:t>
      </w:r>
    </w:p>
    <w:p w:rsidR="00720382" w:rsidRPr="0085128E" w:rsidRDefault="00720382" w:rsidP="0085128E"/>
    <w:p w:rsidR="00720382" w:rsidRPr="0085128E" w:rsidRDefault="00623327" w:rsidP="0085128E">
      <w:pPr>
        <w:rPr>
          <w:rFonts w:cs="Arial"/>
          <w:spacing w:val="-2"/>
        </w:rPr>
      </w:pPr>
      <w:r w:rsidRPr="0085128E">
        <w:rPr>
          <w:rFonts w:cs="Arial"/>
          <w:spacing w:val="-2"/>
        </w:rPr>
        <w:t>2.3.2.6</w:t>
      </w:r>
      <w:r w:rsidRPr="0085128E">
        <w:rPr>
          <w:rFonts w:cs="Arial"/>
          <w:spacing w:val="-2"/>
        </w:rPr>
        <w:tab/>
        <w:t>Un certain nombre de membres de l</w:t>
      </w:r>
      <w:r w:rsidR="008D0CFD" w:rsidRPr="0085128E">
        <w:rPr>
          <w:rFonts w:cs="Arial"/>
          <w:spacing w:val="-2"/>
        </w:rPr>
        <w:t>’</w:t>
      </w:r>
      <w:r w:rsidRPr="0085128E">
        <w:rPr>
          <w:rFonts w:cs="Arial"/>
          <w:spacing w:val="-2"/>
        </w:rPr>
        <w:t xml:space="preserve">Union dispensent des cours de formation sur la protection des obtentions végétales conformément à la </w:t>
      </w:r>
      <w:r w:rsidR="008D0CFD" w:rsidRPr="0085128E">
        <w:rPr>
          <w:rFonts w:cs="Arial"/>
          <w:spacing w:val="-2"/>
        </w:rPr>
        <w:t>Convention UPOV</w:t>
      </w:r>
      <w:r w:rsidRPr="0085128E">
        <w:rPr>
          <w:rFonts w:cs="Arial"/>
          <w:spacing w:val="-2"/>
        </w:rPr>
        <w:t xml:space="preserve"> (</w:t>
      </w:r>
      <w:r w:rsidR="009C4BBF" w:rsidRPr="0085128E">
        <w:rPr>
          <w:rFonts w:cs="Arial"/>
          <w:spacing w:val="-2"/>
        </w:rPr>
        <w:t>p. ex.</w:t>
      </w:r>
      <w:r w:rsidRPr="0085128E">
        <w:rPr>
          <w:rFonts w:cs="Arial"/>
          <w:spacing w:val="-2"/>
        </w:rPr>
        <w:t xml:space="preserve"> le cours de formation à la protection du droit d</w:t>
      </w:r>
      <w:r w:rsidR="008D0CFD" w:rsidRPr="0085128E">
        <w:rPr>
          <w:rFonts w:cs="Arial"/>
          <w:spacing w:val="-2"/>
        </w:rPr>
        <w:t>’</w:t>
      </w:r>
      <w:r w:rsidRPr="0085128E">
        <w:rPr>
          <w:rFonts w:cs="Arial"/>
          <w:spacing w:val="-2"/>
        </w:rPr>
        <w:t>obtenteur organisé par l</w:t>
      </w:r>
      <w:r w:rsidR="008D0CFD" w:rsidRPr="0085128E">
        <w:rPr>
          <w:rFonts w:cs="Arial"/>
          <w:spacing w:val="-2"/>
        </w:rPr>
        <w:t>’</w:t>
      </w:r>
      <w:r w:rsidRPr="0085128E">
        <w:rPr>
          <w:rFonts w:cs="Arial"/>
          <w:spacing w:val="-2"/>
        </w:rPr>
        <w:t>Agence japonaise de coopération internationale (JICA) (Japon);  le “</w:t>
      </w:r>
      <w:r w:rsidRPr="0085128E">
        <w:rPr>
          <w:rFonts w:cs="Arial"/>
          <w:i/>
          <w:spacing w:val="-2"/>
        </w:rPr>
        <w:t>Taller internacional de evaluación de la distinción, homogeneidad y estabilidad (DHE) de variedades vegetales</w:t>
      </w:r>
      <w:r w:rsidRPr="0085128E">
        <w:rPr>
          <w:rFonts w:cs="Arial"/>
          <w:spacing w:val="-2"/>
        </w:rPr>
        <w:t xml:space="preserve">”, organisé par le </w:t>
      </w:r>
      <w:r w:rsidRPr="0085128E">
        <w:rPr>
          <w:rFonts w:cs="Arial"/>
          <w:i/>
          <w:spacing w:val="-2"/>
        </w:rPr>
        <w:t>Servicio Nacional de Inspección y Certificación de Semillas</w:t>
      </w:r>
      <w:r w:rsidRPr="0085128E">
        <w:rPr>
          <w:rFonts w:cs="Arial"/>
          <w:spacing w:val="-2"/>
        </w:rPr>
        <w:t xml:space="preserve"> (SNICS) et le </w:t>
      </w:r>
      <w:r w:rsidRPr="0085128E">
        <w:rPr>
          <w:rFonts w:cs="Arial"/>
          <w:i/>
          <w:spacing w:val="-2"/>
        </w:rPr>
        <w:t>Colegio de Postgraduados</w:t>
      </w:r>
      <w:r w:rsidRPr="0085128E">
        <w:rPr>
          <w:rFonts w:cs="Arial"/>
          <w:spacing w:val="-2"/>
        </w:rPr>
        <w:t xml:space="preserve"> (Mexique);  le cours sur la protection des obtentions végétales organisé par Naktuinbouw (Pays</w:t>
      </w:r>
      <w:r w:rsidR="008D0CFD" w:rsidRPr="0085128E">
        <w:rPr>
          <w:rFonts w:cs="Arial"/>
          <w:spacing w:val="-2"/>
        </w:rPr>
        <w:t>-</w:t>
      </w:r>
      <w:r w:rsidRPr="0085128E">
        <w:rPr>
          <w:rFonts w:cs="Arial"/>
          <w:spacing w:val="-2"/>
        </w:rPr>
        <w:t>Bas);  le cours de formation à la protection des obtentions végétales organisé par le Service coréen des semences et des variétés (KSVS) et l</w:t>
      </w:r>
      <w:r w:rsidR="008D0CFD" w:rsidRPr="0085128E">
        <w:rPr>
          <w:rFonts w:cs="Arial"/>
          <w:spacing w:val="-2"/>
        </w:rPr>
        <w:t>’</w:t>
      </w:r>
      <w:r w:rsidRPr="0085128E">
        <w:rPr>
          <w:rFonts w:cs="Arial"/>
          <w:spacing w:val="-2"/>
        </w:rPr>
        <w:t>Agence coréenne pour la coopération internationale (KOICA) (République de Corée);  le “</w:t>
      </w:r>
      <w:r w:rsidRPr="0085128E">
        <w:rPr>
          <w:rFonts w:cs="Arial"/>
          <w:i/>
          <w:spacing w:val="-2"/>
        </w:rPr>
        <w:t xml:space="preserve">Taller sobre los beneficios del Acta </w:t>
      </w:r>
      <w:r w:rsidR="008D0CFD" w:rsidRPr="0085128E">
        <w:rPr>
          <w:rFonts w:cs="Arial"/>
          <w:i/>
          <w:spacing w:val="-2"/>
        </w:rPr>
        <w:t>de 1991</w:t>
      </w:r>
      <w:r w:rsidRPr="0085128E">
        <w:rPr>
          <w:rFonts w:cs="Arial"/>
          <w:i/>
          <w:spacing w:val="-2"/>
        </w:rPr>
        <w:t xml:space="preserve"> del Convenio de</w:t>
      </w:r>
      <w:r w:rsidR="008D0CFD" w:rsidRPr="0085128E">
        <w:rPr>
          <w:rFonts w:cs="Arial"/>
          <w:i/>
          <w:spacing w:val="-2"/>
        </w:rPr>
        <w:t xml:space="preserve"> la UPO</w:t>
      </w:r>
      <w:r w:rsidRPr="0085128E">
        <w:rPr>
          <w:rFonts w:cs="Arial"/>
          <w:i/>
          <w:spacing w:val="-2"/>
        </w:rPr>
        <w:t>V para las políticas públicas de agricultura y de seguridad alimentaria</w:t>
      </w:r>
      <w:r w:rsidRPr="0085128E">
        <w:rPr>
          <w:rFonts w:cs="Arial"/>
          <w:spacing w:val="-2"/>
        </w:rPr>
        <w:t xml:space="preserve">” organisé </w:t>
      </w:r>
      <w:r w:rsidR="00715E0C" w:rsidRPr="0085128E">
        <w:rPr>
          <w:rFonts w:cs="Arial"/>
          <w:spacing w:val="-2"/>
        </w:rPr>
        <w:t>avec</w:t>
      </w:r>
      <w:r w:rsidRPr="0085128E">
        <w:rPr>
          <w:rFonts w:cs="Arial"/>
          <w:spacing w:val="-2"/>
        </w:rPr>
        <w:t xml:space="preserve"> l</w:t>
      </w:r>
      <w:r w:rsidR="008D0CFD" w:rsidRPr="0085128E">
        <w:rPr>
          <w:rFonts w:cs="Arial"/>
          <w:spacing w:val="-2"/>
        </w:rPr>
        <w:t>’</w:t>
      </w:r>
      <w:r w:rsidRPr="0085128E">
        <w:rPr>
          <w:rFonts w:cs="Arial"/>
          <w:spacing w:val="-2"/>
        </w:rPr>
        <w:t>Office espagnol des variétés végétales (OEVV) (Espagne), l</w:t>
      </w:r>
      <w:r w:rsidR="008D0CFD" w:rsidRPr="0085128E">
        <w:rPr>
          <w:rFonts w:cs="Arial"/>
          <w:spacing w:val="-2"/>
        </w:rPr>
        <w:t>’</w:t>
      </w:r>
      <w:r w:rsidRPr="0085128E">
        <w:rPr>
          <w:rFonts w:cs="Arial"/>
          <w:spacing w:val="-2"/>
        </w:rPr>
        <w:t>Agence espagnole de coopération internationale pour le développement (AECID) (Espagne), l</w:t>
      </w:r>
      <w:r w:rsidR="008D0CFD" w:rsidRPr="0085128E">
        <w:rPr>
          <w:rFonts w:cs="Arial"/>
          <w:spacing w:val="-2"/>
        </w:rPr>
        <w:t>’</w:t>
      </w:r>
      <w:r w:rsidRPr="0085128E">
        <w:rPr>
          <w:rFonts w:cs="Arial"/>
          <w:spacing w:val="-2"/>
        </w:rPr>
        <w:t>Office des brevets et des marques des États</w:t>
      </w:r>
      <w:r w:rsidR="008D0CFD" w:rsidRPr="0085128E">
        <w:rPr>
          <w:rFonts w:cs="Arial"/>
          <w:spacing w:val="-2"/>
        </w:rPr>
        <w:t>-</w:t>
      </w:r>
      <w:r w:rsidRPr="0085128E">
        <w:rPr>
          <w:rFonts w:cs="Arial"/>
          <w:spacing w:val="-2"/>
        </w:rPr>
        <w:t>Unis d</w:t>
      </w:r>
      <w:r w:rsidR="008D0CFD" w:rsidRPr="0085128E">
        <w:rPr>
          <w:rFonts w:cs="Arial"/>
          <w:spacing w:val="-2"/>
        </w:rPr>
        <w:t>’</w:t>
      </w:r>
      <w:r w:rsidRPr="0085128E">
        <w:rPr>
          <w:rFonts w:cs="Arial"/>
          <w:spacing w:val="-2"/>
        </w:rPr>
        <w:t>Amérique (USPTO) et l</w:t>
      </w:r>
      <w:r w:rsidR="008D0CFD" w:rsidRPr="0085128E">
        <w:rPr>
          <w:rFonts w:cs="Arial"/>
          <w:spacing w:val="-2"/>
        </w:rPr>
        <w:t>’</w:t>
      </w:r>
      <w:r w:rsidRPr="0085128E">
        <w:rPr>
          <w:rFonts w:cs="Arial"/>
          <w:spacing w:val="-2"/>
        </w:rPr>
        <w:t xml:space="preserve">OMPI;  et le cours sur la protection des obtentions végétales selon la </w:t>
      </w:r>
      <w:r w:rsidR="008D0CFD" w:rsidRPr="0085128E">
        <w:rPr>
          <w:rFonts w:cs="Arial"/>
          <w:spacing w:val="-2"/>
        </w:rPr>
        <w:t>Convention UPOV</w:t>
      </w:r>
      <w:r w:rsidRPr="0085128E">
        <w:rPr>
          <w:rFonts w:cs="Arial"/>
          <w:spacing w:val="-2"/>
        </w:rPr>
        <w:t xml:space="preserve"> organisé avec l</w:t>
      </w:r>
      <w:r w:rsidR="008D0CFD" w:rsidRPr="0085128E">
        <w:rPr>
          <w:rFonts w:cs="Arial"/>
          <w:spacing w:val="-2"/>
        </w:rPr>
        <w:t>’</w:t>
      </w:r>
      <w:r w:rsidRPr="0085128E">
        <w:rPr>
          <w:rFonts w:cs="Arial"/>
          <w:spacing w:val="-2"/>
        </w:rPr>
        <w:t>USPTO).</w:t>
      </w:r>
    </w:p>
    <w:p w:rsidR="00720382" w:rsidRPr="0085128E" w:rsidRDefault="00720382" w:rsidP="0085128E"/>
    <w:p w:rsidR="00720382" w:rsidRPr="0085128E" w:rsidRDefault="00AF50D4" w:rsidP="0085128E">
      <w:pPr>
        <w:keepNext/>
        <w:tabs>
          <w:tab w:val="left" w:pos="567"/>
        </w:tabs>
        <w:rPr>
          <w:i/>
        </w:rPr>
      </w:pPr>
      <w:r w:rsidRPr="0085128E">
        <w:rPr>
          <w:i/>
        </w:rPr>
        <w:t>Coopération avec d</w:t>
      </w:r>
      <w:r w:rsidR="008D0CFD" w:rsidRPr="0085128E">
        <w:rPr>
          <w:i/>
        </w:rPr>
        <w:t>’</w:t>
      </w:r>
      <w:r w:rsidRPr="0085128E">
        <w:rPr>
          <w:i/>
        </w:rPr>
        <w:t>autres organisations et organes</w:t>
      </w:r>
    </w:p>
    <w:p w:rsidR="00720382" w:rsidRPr="0085128E" w:rsidRDefault="00720382" w:rsidP="0085128E"/>
    <w:p w:rsidR="003711EE" w:rsidRPr="0085128E" w:rsidRDefault="00AF50D4" w:rsidP="0085128E">
      <w:r w:rsidRPr="0085128E">
        <w:t>2.3.2.7 La coopération de l</w:t>
      </w:r>
      <w:r w:rsidR="008D0CFD" w:rsidRPr="0085128E">
        <w:t>’</w:t>
      </w:r>
      <w:r w:rsidRPr="0085128E">
        <w:t>UPOV avec l</w:t>
      </w:r>
      <w:r w:rsidR="008D0CFD" w:rsidRPr="0085128E">
        <w:t>’</w:t>
      </w:r>
      <w:r w:rsidRPr="0085128E">
        <w:t>OMPI constitue un moyen important de fournir une assistance efficace à des États et à des organisations intéressées.</w:t>
      </w:r>
    </w:p>
    <w:p w:rsidR="00720382" w:rsidRPr="0085128E" w:rsidRDefault="00720382" w:rsidP="0085128E"/>
    <w:p w:rsidR="003711EE" w:rsidRPr="0085128E" w:rsidRDefault="00AF50D4" w:rsidP="0085128E">
      <w:r w:rsidRPr="0085128E">
        <w:t>2.3.2.8</w:t>
      </w:r>
      <w:r w:rsidRPr="0085128E">
        <w:tab/>
        <w:t>Le Forum sur la protection des obtentions végétales en Asie orientale s</w:t>
      </w:r>
      <w:r w:rsidR="008D0CFD" w:rsidRPr="0085128E">
        <w:t>’</w:t>
      </w:r>
      <w:r w:rsidRPr="0085128E">
        <w:t>attache à faciliter l</w:t>
      </w:r>
      <w:r w:rsidR="008D0CFD" w:rsidRPr="0085128E">
        <w:t>’</w:t>
      </w:r>
      <w:r w:rsidRPr="0085128E">
        <w:t>amélioration de la mise en œuvre et de l</w:t>
      </w:r>
      <w:r w:rsidR="008D0CFD" w:rsidRPr="0085128E">
        <w:t>’</w:t>
      </w:r>
      <w:r w:rsidRPr="0085128E">
        <w:t>harmonisation du système de protection des obtentions végétales dans la région Asie et le Bureau de l</w:t>
      </w:r>
      <w:r w:rsidR="008D0CFD" w:rsidRPr="0085128E">
        <w:t>’</w:t>
      </w:r>
      <w:r w:rsidRPr="0085128E">
        <w:t>Union continuera à collaborer avec le forum conformément aux priorités en ce qui concerne l</w:t>
      </w:r>
      <w:r w:rsidR="008D0CFD" w:rsidRPr="0085128E">
        <w:t>’</w:t>
      </w:r>
      <w:r w:rsidRPr="0085128E">
        <w:t>assistance.</w:t>
      </w:r>
    </w:p>
    <w:p w:rsidR="00720382" w:rsidRPr="0085128E" w:rsidRDefault="00720382" w:rsidP="0085128E"/>
    <w:p w:rsidR="00720382" w:rsidRPr="0085128E" w:rsidRDefault="00720382" w:rsidP="0085128E"/>
    <w:p w:rsidR="00720382" w:rsidRPr="0085128E" w:rsidRDefault="00AF50D4" w:rsidP="0088179C">
      <w:pPr>
        <w:pStyle w:val="Heading4"/>
      </w:pPr>
      <w:bookmarkStart w:id="142" w:name="_Toc489956766"/>
      <w:bookmarkStart w:id="143" w:name="_Toc489956854"/>
      <w:bookmarkStart w:id="144" w:name="_Toc490572920"/>
      <w:bookmarkStart w:id="145" w:name="_Toc491088295"/>
      <w:r w:rsidRPr="0085128E">
        <w:t>Stratégie en matière de formation et d</w:t>
      </w:r>
      <w:r w:rsidR="008D0CFD" w:rsidRPr="0085128E">
        <w:t>’</w:t>
      </w:r>
      <w:r w:rsidRPr="0085128E">
        <w:t>assistance</w:t>
      </w:r>
      <w:bookmarkEnd w:id="142"/>
      <w:bookmarkEnd w:id="143"/>
      <w:bookmarkEnd w:id="144"/>
      <w:bookmarkEnd w:id="145"/>
    </w:p>
    <w:p w:rsidR="00720382" w:rsidRPr="0085128E" w:rsidRDefault="00720382" w:rsidP="0088179C">
      <w:pPr>
        <w:keepNext/>
      </w:pPr>
    </w:p>
    <w:p w:rsidR="00720382" w:rsidRPr="0085128E" w:rsidRDefault="00D272F3" w:rsidP="0085128E">
      <w:r w:rsidRPr="0085128E">
        <w:t>2.3.2.9</w:t>
      </w:r>
      <w:r w:rsidRPr="0085128E">
        <w:tab/>
        <w:t>Afin d</w:t>
      </w:r>
      <w:r w:rsidR="008D0CFD" w:rsidRPr="0085128E">
        <w:t>’</w:t>
      </w:r>
      <w:r w:rsidRPr="0085128E">
        <w:t>utiliser les ressources disponibles de la manière la plus efficace qui soit, le Bureau de l</w:t>
      </w:r>
      <w:r w:rsidR="008D0CFD" w:rsidRPr="0085128E">
        <w:t>’</w:t>
      </w:r>
      <w:r w:rsidRPr="0085128E">
        <w:t>Union continuera de donner la priorité à ses activités et d</w:t>
      </w:r>
      <w:r w:rsidR="008D0CFD" w:rsidRPr="0085128E">
        <w:t>’</w:t>
      </w:r>
      <w:r w:rsidRPr="0085128E">
        <w:t>étudier les synergies possibles avec les membres de l</w:t>
      </w:r>
      <w:r w:rsidR="008D0CFD" w:rsidRPr="0085128E">
        <w:t>’</w:t>
      </w:r>
      <w:r w:rsidRPr="0085128E">
        <w:t>Union et ses autres partenaires conformément aux éléments clés de la stratégie en matière de formation et d</w:t>
      </w:r>
      <w:r w:rsidR="008D0CFD" w:rsidRPr="0085128E">
        <w:t>’</w:t>
      </w:r>
      <w:r w:rsidRPr="0085128E">
        <w:t>assistance ci</w:t>
      </w:r>
      <w:r w:rsidR="008D0CFD" w:rsidRPr="0085128E">
        <w:t>-</w:t>
      </w:r>
      <w:r w:rsidRPr="0085128E">
        <w:t>après.</w:t>
      </w:r>
    </w:p>
    <w:p w:rsidR="00720382" w:rsidRPr="0085128E" w:rsidRDefault="00720382" w:rsidP="0085128E"/>
    <w:p w:rsidR="00720382" w:rsidRPr="0085128E" w:rsidRDefault="00D272F3" w:rsidP="0085128E">
      <w:pPr>
        <w:rPr>
          <w:i/>
        </w:rPr>
      </w:pPr>
      <w:r w:rsidRPr="0085128E">
        <w:rPr>
          <w:i/>
        </w:rPr>
        <w:t>Activités standard de formation organisées ou coorganisées par l</w:t>
      </w:r>
      <w:r w:rsidR="008D0CFD" w:rsidRPr="0085128E">
        <w:rPr>
          <w:i/>
        </w:rPr>
        <w:t>’</w:t>
      </w:r>
      <w:r w:rsidRPr="0085128E">
        <w:rPr>
          <w:i/>
        </w:rPr>
        <w:t>UPOV</w:t>
      </w:r>
    </w:p>
    <w:p w:rsidR="00720382" w:rsidRPr="0085128E" w:rsidRDefault="00720382" w:rsidP="0085128E"/>
    <w:p w:rsidR="00720382" w:rsidRPr="0085128E" w:rsidRDefault="00D272F3" w:rsidP="0085128E">
      <w:r w:rsidRPr="0085128E">
        <w:t>2.3.2.10</w:t>
      </w:r>
      <w:r w:rsidRPr="0085128E">
        <w:tab/>
        <w:t>Les cours d</w:t>
      </w:r>
      <w:r w:rsidR="008D0CFD" w:rsidRPr="0085128E">
        <w:t>’</w:t>
      </w:r>
      <w:r w:rsidRPr="0085128E">
        <w:t>enseignement à distance de l</w:t>
      </w:r>
      <w:r w:rsidR="008D0CFD" w:rsidRPr="0085128E">
        <w:t>’</w:t>
      </w:r>
      <w:r w:rsidRPr="0085128E">
        <w:t>UPOV sont un moyen particulièrement efficace pour dispenser une formation de grande qualité à un grand nombre de participants et demeureront l</w:t>
      </w:r>
      <w:r w:rsidR="008D0CFD" w:rsidRPr="0085128E">
        <w:t>’</w:t>
      </w:r>
      <w:r w:rsidRPr="0085128E">
        <w:t>un des piliers de la stratégie de l</w:t>
      </w:r>
      <w:r w:rsidR="008D0CFD" w:rsidRPr="0085128E">
        <w:t>’</w:t>
      </w:r>
      <w:r w:rsidRPr="0085128E">
        <w:t>UPOV en matière de formation et d</w:t>
      </w:r>
      <w:r w:rsidR="008D0CFD" w:rsidRPr="0085128E">
        <w:t>’</w:t>
      </w:r>
      <w:r w:rsidRPr="0085128E">
        <w:t>assistan</w:t>
      </w:r>
      <w:r w:rsidR="009F5A99" w:rsidRPr="0085128E">
        <w:t>ce.  L’i</w:t>
      </w:r>
      <w:r w:rsidRPr="0085128E">
        <w:t>ntégration des cours d</w:t>
      </w:r>
      <w:r w:rsidR="008D0CFD" w:rsidRPr="0085128E">
        <w:t>’</w:t>
      </w:r>
      <w:r w:rsidRPr="0085128E">
        <w:t>enseignement à distance de l</w:t>
      </w:r>
      <w:r w:rsidR="008D0CFD" w:rsidRPr="0085128E">
        <w:t>’</w:t>
      </w:r>
      <w:r w:rsidRPr="0085128E">
        <w:t>UPOV dans les activités de l</w:t>
      </w:r>
      <w:r w:rsidR="008D0CFD" w:rsidRPr="0085128E">
        <w:t>’</w:t>
      </w:r>
      <w:r w:rsidRPr="0085128E">
        <w:t>UPOV et les activités organisées par d</w:t>
      </w:r>
      <w:r w:rsidR="008D0CFD" w:rsidRPr="0085128E">
        <w:t>’</w:t>
      </w:r>
      <w:r w:rsidRPr="0085128E">
        <w:t>autres partenaires (voir ci</w:t>
      </w:r>
      <w:r w:rsidR="008D0CFD" w:rsidRPr="0085128E">
        <w:t>-</w:t>
      </w:r>
      <w:r w:rsidRPr="0085128E">
        <w:t>dessous) constituera également un élément important de cette stratég</w:t>
      </w:r>
      <w:r w:rsidR="009F5A99" w:rsidRPr="0085128E">
        <w:t>ie.  Co</w:t>
      </w:r>
      <w:r w:rsidRPr="0085128E">
        <w:t>mpte tenu des ressources humaines limitées dont dispose l</w:t>
      </w:r>
      <w:r w:rsidR="008D0CFD" w:rsidRPr="0085128E">
        <w:t>’</w:t>
      </w:r>
      <w:r w:rsidRPr="0085128E">
        <w:t>UPOV, il sera fait appel à des services externes d</w:t>
      </w:r>
      <w:r w:rsidR="008D0CFD" w:rsidRPr="0085128E">
        <w:t>’</w:t>
      </w:r>
      <w:r w:rsidRPr="0085128E">
        <w:t>administration et de</w:t>
      </w:r>
      <w:r w:rsidR="00715E0C" w:rsidRPr="0085128E">
        <w:t xml:space="preserve"> tutorat e</w:t>
      </w:r>
      <w:r w:rsidRPr="0085128E">
        <w:t>n fonction des fonds disponibles.</w:t>
      </w:r>
    </w:p>
    <w:p w:rsidR="00720382" w:rsidRPr="0085128E" w:rsidRDefault="00720382" w:rsidP="0085128E"/>
    <w:p w:rsidR="003711EE" w:rsidRPr="0085128E" w:rsidRDefault="00D272F3" w:rsidP="0085128E">
      <w:r w:rsidRPr="0085128E">
        <w:t>2.3.2.11</w:t>
      </w:r>
      <w:r w:rsidRPr="0085128E">
        <w:tab/>
        <w:t>Un autre moyen permettant d</w:t>
      </w:r>
      <w:r w:rsidR="008D0CFD" w:rsidRPr="0085128E">
        <w:t>’</w:t>
      </w:r>
      <w:r w:rsidRPr="0085128E">
        <w:t>utiliser de la manière la plus efficace qui soit les ressources humaines de l</w:t>
      </w:r>
      <w:r w:rsidR="008D0CFD" w:rsidRPr="0085128E">
        <w:t>’</w:t>
      </w:r>
      <w:r w:rsidRPr="0085128E">
        <w:t>UPOV ainsi que les connaissances et l</w:t>
      </w:r>
      <w:r w:rsidR="008D0CFD" w:rsidRPr="0085128E">
        <w:t>’</w:t>
      </w:r>
      <w:r w:rsidRPr="0085128E">
        <w:t>expérience des membres de l</w:t>
      </w:r>
      <w:r w:rsidR="008D0CFD" w:rsidRPr="0085128E">
        <w:t>’</w:t>
      </w:r>
      <w:r w:rsidRPr="0085128E">
        <w:t>Union consiste à former des personnes qui ne font pas partie du personnel de l</w:t>
      </w:r>
      <w:r w:rsidR="008D0CFD" w:rsidRPr="0085128E">
        <w:t>’</w:t>
      </w:r>
      <w:r w:rsidRPr="0085128E">
        <w:t>UPOV pour qu</w:t>
      </w:r>
      <w:r w:rsidR="008D0CFD" w:rsidRPr="0085128E">
        <w:t>’</w:t>
      </w:r>
      <w:r w:rsidRPr="0085128E">
        <w:t>elles endossent le rôle de formateurs (formation des formateu</w:t>
      </w:r>
      <w:r w:rsidR="009F5A99" w:rsidRPr="0085128E">
        <w:t>rs).  De</w:t>
      </w:r>
      <w:r w:rsidRPr="0085128E">
        <w:t>s cours de formation des formateurs seront organisés dans les langues pertinentes en fonction des fonds disponibles.</w:t>
      </w:r>
    </w:p>
    <w:p w:rsidR="00720382" w:rsidRPr="0085128E" w:rsidRDefault="00720382" w:rsidP="0085128E"/>
    <w:p w:rsidR="00720382" w:rsidRPr="0085128E" w:rsidRDefault="00D51BFE" w:rsidP="0085128E">
      <w:pPr>
        <w:keepNext/>
        <w:rPr>
          <w:i/>
        </w:rPr>
      </w:pPr>
      <w:r w:rsidRPr="0085128E">
        <w:rPr>
          <w:i/>
        </w:rPr>
        <w:t>Activités de formation mises au point en partenariat avec l</w:t>
      </w:r>
      <w:r w:rsidR="008D0CFD" w:rsidRPr="0085128E">
        <w:rPr>
          <w:i/>
        </w:rPr>
        <w:t>’</w:t>
      </w:r>
      <w:r w:rsidRPr="0085128E">
        <w:rPr>
          <w:i/>
        </w:rPr>
        <w:t>UPOV</w:t>
      </w:r>
    </w:p>
    <w:p w:rsidR="00720382" w:rsidRPr="0085128E" w:rsidRDefault="00720382" w:rsidP="0085128E">
      <w:pPr>
        <w:keepNext/>
      </w:pPr>
    </w:p>
    <w:p w:rsidR="003711EE" w:rsidRPr="0085128E" w:rsidRDefault="00D51BFE" w:rsidP="0085128E">
      <w:r w:rsidRPr="0085128E">
        <w:t>2.3.2.12</w:t>
      </w:r>
      <w:r w:rsidRPr="0085128E">
        <w:tab/>
        <w:t>Un certain nombre de membres de l</w:t>
      </w:r>
      <w:r w:rsidR="008D0CFD" w:rsidRPr="0085128E">
        <w:t>’</w:t>
      </w:r>
      <w:r w:rsidRPr="0085128E">
        <w:t>Union apportent une aide importante aux États et autres organisations compétent</w:t>
      </w:r>
      <w:r w:rsidR="009F5A99" w:rsidRPr="0085128E">
        <w:t>es.  Pa</w:t>
      </w:r>
      <w:r w:rsidR="001466CD" w:rsidRPr="0085128E">
        <w:t>r conséquent, le Bureau de l</w:t>
      </w:r>
      <w:r w:rsidR="008D0CFD" w:rsidRPr="0085128E">
        <w:t>’</w:t>
      </w:r>
      <w:r w:rsidR="001466CD" w:rsidRPr="0085128E">
        <w:t>Union collaborera avec ces membres de l</w:t>
      </w:r>
      <w:r w:rsidR="008D0CFD" w:rsidRPr="0085128E">
        <w:t>’</w:t>
      </w:r>
      <w:r w:rsidR="001466CD" w:rsidRPr="0085128E">
        <w:t>Union afin de mettre au point des activités à organiser avec les membres de l</w:t>
      </w:r>
      <w:r w:rsidR="008D0CFD" w:rsidRPr="0085128E">
        <w:t>’</w:t>
      </w:r>
      <w:r w:rsidR="001466CD" w:rsidRPr="0085128E">
        <w:t>Union concernés et pour lesquels l</w:t>
      </w:r>
      <w:r w:rsidR="008D0CFD" w:rsidRPr="0085128E">
        <w:t>’</w:t>
      </w:r>
      <w:r w:rsidR="001466CD" w:rsidRPr="0085128E">
        <w:t>UPOV financera la participation de certains participants en fonction des fonds disponibles.</w:t>
      </w:r>
    </w:p>
    <w:p w:rsidR="00720382" w:rsidRPr="0085128E" w:rsidRDefault="00720382" w:rsidP="0085128E">
      <w:pPr>
        <w:pStyle w:val="Heading3"/>
      </w:pPr>
    </w:p>
    <w:p w:rsidR="00720382" w:rsidRPr="0085128E" w:rsidRDefault="001466CD" w:rsidP="0085128E">
      <w:pPr>
        <w:keepNext/>
        <w:rPr>
          <w:i/>
        </w:rPr>
      </w:pPr>
      <w:r w:rsidRPr="0085128E">
        <w:rPr>
          <w:i/>
        </w:rPr>
        <w:t>Activités de formation auxquelles l</w:t>
      </w:r>
      <w:r w:rsidR="008D0CFD" w:rsidRPr="0085128E">
        <w:rPr>
          <w:i/>
        </w:rPr>
        <w:t>’</w:t>
      </w:r>
      <w:r w:rsidRPr="0085128E">
        <w:rPr>
          <w:i/>
        </w:rPr>
        <w:t>UPOV contribue</w:t>
      </w:r>
    </w:p>
    <w:p w:rsidR="00720382" w:rsidRPr="0085128E" w:rsidRDefault="00720382" w:rsidP="0085128E">
      <w:pPr>
        <w:keepNext/>
      </w:pPr>
    </w:p>
    <w:p w:rsidR="00720382" w:rsidRPr="0085128E" w:rsidRDefault="001466CD" w:rsidP="0085128E">
      <w:r w:rsidRPr="0085128E">
        <w:t>2.3.2.13</w:t>
      </w:r>
      <w:r w:rsidRPr="0085128E">
        <w:tab/>
        <w:t>En ce qui concerne les activités mises au point et organisées par des membres de l</w:t>
      </w:r>
      <w:r w:rsidR="008D0CFD" w:rsidRPr="0085128E">
        <w:t>’</w:t>
      </w:r>
      <w:r w:rsidRPr="0085128E">
        <w:t>Union sans intervention directe du Bureau de l</w:t>
      </w:r>
      <w:r w:rsidR="008D0CFD" w:rsidRPr="0085128E">
        <w:t>’</w:t>
      </w:r>
      <w:r w:rsidRPr="0085128E">
        <w:t>Union, chaque membre de l</w:t>
      </w:r>
      <w:r w:rsidR="008D0CFD" w:rsidRPr="0085128E">
        <w:t>’</w:t>
      </w:r>
      <w:r w:rsidRPr="0085128E">
        <w:t>Union est libre de décider des activités qu</w:t>
      </w:r>
      <w:r w:rsidR="008D0CFD" w:rsidRPr="0085128E">
        <w:t>’</w:t>
      </w:r>
      <w:r w:rsidRPr="0085128E">
        <w:t>il souhaite mettre en œuv</w:t>
      </w:r>
      <w:r w:rsidR="009F5A99" w:rsidRPr="0085128E">
        <w:t>re.  S’i</w:t>
      </w:r>
      <w:r w:rsidRPr="0085128E">
        <w:t>l y est invité, le Bureau de l</w:t>
      </w:r>
      <w:r w:rsidR="008D0CFD" w:rsidRPr="0085128E">
        <w:t>’</w:t>
      </w:r>
      <w:r w:rsidRPr="0085128E">
        <w:t>Union participera à ces activités, selon qu</w:t>
      </w:r>
      <w:r w:rsidR="008D0CFD" w:rsidRPr="0085128E">
        <w:t>’</w:t>
      </w:r>
      <w:r w:rsidRPr="0085128E">
        <w:t>il conviendra, conformément aux priorités établies par le Conseil en matière d</w:t>
      </w:r>
      <w:r w:rsidR="008D0CFD" w:rsidRPr="0085128E">
        <w:t>’</w:t>
      </w:r>
      <w:r w:rsidRPr="0085128E">
        <w:t>assistance.</w:t>
      </w:r>
    </w:p>
    <w:p w:rsidR="00720382" w:rsidRPr="0085128E" w:rsidRDefault="00720382" w:rsidP="0085128E"/>
    <w:p w:rsidR="00720382" w:rsidRPr="0085128E" w:rsidRDefault="001466CD" w:rsidP="0085128E">
      <w:r w:rsidRPr="0085128E">
        <w:t>2.3.2.14</w:t>
      </w:r>
      <w:r w:rsidRPr="0085128E">
        <w:tab/>
        <w:t>Le Bureau de l</w:t>
      </w:r>
      <w:r w:rsidR="008D0CFD" w:rsidRPr="0085128E">
        <w:t>’</w:t>
      </w:r>
      <w:r w:rsidRPr="0085128E">
        <w:t>Union examinera quelles sont les possibilités pour augmenter le nombre d</w:t>
      </w:r>
      <w:r w:rsidR="008D0CFD" w:rsidRPr="0085128E">
        <w:t>’</w:t>
      </w:r>
      <w:r w:rsidRPr="0085128E">
        <w:t>établissements universitaires et d</w:t>
      </w:r>
      <w:r w:rsidR="008D0CFD" w:rsidRPr="0085128E">
        <w:t>’</w:t>
      </w:r>
      <w:r w:rsidRPr="0085128E">
        <w:t>instituts de formation qui intègrent dans leurs cours correspondants des informations sur le système de l</w:t>
      </w:r>
      <w:r w:rsidR="008D0CFD" w:rsidRPr="0085128E">
        <w:t>’</w:t>
      </w:r>
      <w:r w:rsidRPr="0085128E">
        <w:t>UPOV.</w:t>
      </w:r>
    </w:p>
    <w:p w:rsidR="00720382" w:rsidRPr="0085128E" w:rsidRDefault="00720382" w:rsidP="0085128E"/>
    <w:p w:rsidR="00720382" w:rsidRPr="0085128E" w:rsidRDefault="00060779" w:rsidP="0085128E">
      <w:pPr>
        <w:keepNext/>
        <w:rPr>
          <w:i/>
        </w:rPr>
      </w:pPr>
      <w:r w:rsidRPr="0085128E">
        <w:rPr>
          <w:i/>
        </w:rPr>
        <w:t>Activités</w:t>
      </w:r>
      <w:r w:rsidR="001466CD" w:rsidRPr="0085128E">
        <w:rPr>
          <w:i/>
        </w:rPr>
        <w:t xml:space="preserve"> sur site organisées par l</w:t>
      </w:r>
      <w:r w:rsidR="008D0CFD" w:rsidRPr="0085128E">
        <w:rPr>
          <w:i/>
        </w:rPr>
        <w:t>’</w:t>
      </w:r>
      <w:r w:rsidR="001466CD" w:rsidRPr="0085128E">
        <w:rPr>
          <w:i/>
        </w:rPr>
        <w:t>UPOV</w:t>
      </w:r>
    </w:p>
    <w:p w:rsidR="00720382" w:rsidRPr="0085128E" w:rsidRDefault="00720382" w:rsidP="0085128E">
      <w:pPr>
        <w:keepNext/>
      </w:pPr>
    </w:p>
    <w:p w:rsidR="003711EE" w:rsidRPr="0085128E" w:rsidRDefault="001466CD" w:rsidP="0085128E">
      <w:r w:rsidRPr="0085128E">
        <w:t>2.3.2.15</w:t>
      </w:r>
      <w:r w:rsidRPr="0085128E">
        <w:tab/>
        <w:t>Il demeurera nécessaire de mettre en œuvre des activités sur site pour répondre à certains besoins, par exemple des activités de sensibilisation pour les participants loca</w:t>
      </w:r>
      <w:r w:rsidR="009F5A99" w:rsidRPr="0085128E">
        <w:t>ux.  Ce</w:t>
      </w:r>
      <w:r w:rsidR="00924199" w:rsidRPr="0085128E">
        <w:t>s activités peuvent nécessiter des moyens importants pour l</w:t>
      </w:r>
      <w:r w:rsidR="008D0CFD" w:rsidRPr="0085128E">
        <w:t>’</w:t>
      </w:r>
      <w:r w:rsidR="00924199" w:rsidRPr="0085128E">
        <w:t>organisation du lieu de l</w:t>
      </w:r>
      <w:r w:rsidR="008D0CFD" w:rsidRPr="0085128E">
        <w:t>’</w:t>
      </w:r>
      <w:r w:rsidR="00924199" w:rsidRPr="0085128E">
        <w:t>événement, le logement, les dispositions pour les voyages, notamment, et le Bureau de l</w:t>
      </w:r>
      <w:r w:rsidR="008D0CFD" w:rsidRPr="0085128E">
        <w:t>’</w:t>
      </w:r>
      <w:r w:rsidR="00924199" w:rsidRPr="0085128E">
        <w:t>Union fera appel à des services externes, selon que de besoin.</w:t>
      </w:r>
    </w:p>
    <w:p w:rsidR="00720382" w:rsidRPr="0085128E" w:rsidRDefault="00720382" w:rsidP="0085128E"/>
    <w:p w:rsidR="00720382" w:rsidRPr="0085128E" w:rsidRDefault="00924199" w:rsidP="0085128E">
      <w:pPr>
        <w:keepNext/>
        <w:rPr>
          <w:i/>
        </w:rPr>
      </w:pPr>
      <w:r w:rsidRPr="0085128E">
        <w:rPr>
          <w:i/>
        </w:rPr>
        <w:t>Ressources en matière de formation et d</w:t>
      </w:r>
      <w:r w:rsidR="008D0CFD" w:rsidRPr="0085128E">
        <w:rPr>
          <w:i/>
        </w:rPr>
        <w:t>’</w:t>
      </w:r>
      <w:r w:rsidRPr="0085128E">
        <w:rPr>
          <w:i/>
        </w:rPr>
        <w:t>assistance</w:t>
      </w:r>
    </w:p>
    <w:p w:rsidR="00720382" w:rsidRPr="0085128E" w:rsidRDefault="00720382" w:rsidP="0085128E">
      <w:pPr>
        <w:keepNext/>
      </w:pPr>
    </w:p>
    <w:p w:rsidR="003711EE" w:rsidRPr="0085128E" w:rsidRDefault="00924199" w:rsidP="0085128E">
      <w:r w:rsidRPr="0085128E">
        <w:t>2.3.2.16</w:t>
      </w:r>
      <w:r w:rsidRPr="0085128E">
        <w:tab/>
        <w:t>Afin d</w:t>
      </w:r>
      <w:r w:rsidR="008D0CFD" w:rsidRPr="0085128E">
        <w:t>’</w:t>
      </w:r>
      <w:r w:rsidRPr="0085128E">
        <w:t>améliorer l</w:t>
      </w:r>
      <w:r w:rsidR="008D0CFD" w:rsidRPr="0085128E">
        <w:t>’</w:t>
      </w:r>
      <w:r w:rsidRPr="0085128E">
        <w:t>efficacité des personnes chargées de la formation et de l</w:t>
      </w:r>
      <w:r w:rsidR="008D0CFD" w:rsidRPr="0085128E">
        <w:t>’</w:t>
      </w:r>
      <w:r w:rsidRPr="0085128E">
        <w:t>assistance sur le système de l</w:t>
      </w:r>
      <w:r w:rsidR="008D0CFD" w:rsidRPr="0085128E">
        <w:t>’</w:t>
      </w:r>
      <w:r w:rsidRPr="0085128E">
        <w:t>UPOV, le Bureau de l</w:t>
      </w:r>
      <w:r w:rsidR="008D0CFD" w:rsidRPr="0085128E">
        <w:t>’</w:t>
      </w:r>
      <w:r w:rsidRPr="0085128E">
        <w:t>Union élaborera du matériel didactique (p.</w:t>
      </w:r>
      <w:r w:rsidR="00C833CB" w:rsidRPr="0085128E">
        <w:t> </w:t>
      </w:r>
      <w:r w:rsidRPr="0085128E">
        <w:t>ex.</w:t>
      </w:r>
      <w:r w:rsidR="00C833CB" w:rsidRPr="0085128E">
        <w:t> </w:t>
      </w:r>
      <w:r w:rsidRPr="0085128E">
        <w:t>des exposés standard et des liens vers du matériel pertinent de l</w:t>
      </w:r>
      <w:r w:rsidR="008D0CFD" w:rsidRPr="0085128E">
        <w:t>’</w:t>
      </w:r>
      <w:r w:rsidRPr="0085128E">
        <w:t>UPOV) qui sera mis à disposition en ligne.</w:t>
      </w:r>
    </w:p>
    <w:p w:rsidR="00720382" w:rsidRPr="0085128E" w:rsidRDefault="00720382" w:rsidP="0085128E">
      <w:pPr>
        <w:jc w:val="left"/>
      </w:pPr>
    </w:p>
    <w:p w:rsidR="00720382" w:rsidRPr="0085128E" w:rsidRDefault="00720382" w:rsidP="0085128E">
      <w:pPr>
        <w:jc w:val="left"/>
      </w:pPr>
    </w:p>
    <w:p w:rsidR="00387DB3" w:rsidRDefault="00387DB3">
      <w:pPr>
        <w:jc w:val="left"/>
        <w:rPr>
          <w:b/>
        </w:rPr>
      </w:pPr>
      <w:bookmarkStart w:id="146" w:name="_Toc489956767"/>
      <w:bookmarkStart w:id="147" w:name="_Toc489956855"/>
      <w:r>
        <w:br w:type="page"/>
      </w:r>
    </w:p>
    <w:p w:rsidR="00720382" w:rsidRPr="0085128E" w:rsidRDefault="00924199" w:rsidP="0088179C">
      <w:pPr>
        <w:pStyle w:val="Heading3"/>
      </w:pPr>
      <w:bookmarkStart w:id="148" w:name="_Toc490572921"/>
      <w:bookmarkStart w:id="149" w:name="_Toc491088296"/>
      <w:r w:rsidRPr="0085128E">
        <w:t>2.3.3</w:t>
      </w:r>
      <w:r w:rsidRPr="0085128E">
        <w:tab/>
        <w:t>Activités</w:t>
      </w:r>
      <w:bookmarkEnd w:id="146"/>
      <w:bookmarkEnd w:id="147"/>
      <w:bookmarkEnd w:id="148"/>
      <w:bookmarkEnd w:id="149"/>
    </w:p>
    <w:p w:rsidR="00720382" w:rsidRPr="0085128E" w:rsidRDefault="00720382" w:rsidP="0085128E"/>
    <w:p w:rsidR="00720382" w:rsidRPr="0085128E" w:rsidRDefault="00924199" w:rsidP="0088179C">
      <w:pPr>
        <w:numPr>
          <w:ilvl w:val="0"/>
          <w:numId w:val="11"/>
        </w:numPr>
        <w:tabs>
          <w:tab w:val="clear" w:pos="720"/>
        </w:tabs>
        <w:spacing w:after="120"/>
        <w:ind w:left="1134" w:hanging="567"/>
      </w:pPr>
      <w:r w:rsidRPr="0085128E">
        <w:t>Assistance en vue de l</w:t>
      </w:r>
      <w:r w:rsidR="008D0CFD" w:rsidRPr="0085128E">
        <w:t>’</w:t>
      </w:r>
      <w:r w:rsidRPr="0085128E">
        <w:t>élaboration d</w:t>
      </w:r>
      <w:r w:rsidR="008D0CFD" w:rsidRPr="0085128E">
        <w:t>’</w:t>
      </w:r>
      <w:r w:rsidRPr="0085128E">
        <w:t>une législation.</w:t>
      </w:r>
    </w:p>
    <w:p w:rsidR="00720382" w:rsidRPr="0085128E" w:rsidRDefault="00924199" w:rsidP="0088179C">
      <w:pPr>
        <w:numPr>
          <w:ilvl w:val="0"/>
          <w:numId w:val="11"/>
        </w:numPr>
        <w:tabs>
          <w:tab w:val="clear" w:pos="720"/>
        </w:tabs>
        <w:spacing w:after="120"/>
        <w:ind w:left="1134" w:hanging="567"/>
      </w:pPr>
      <w:r w:rsidRPr="0085128E">
        <w:t>Élaboration et mise en œuvre de cours d</w:t>
      </w:r>
      <w:r w:rsidR="008D0CFD" w:rsidRPr="0085128E">
        <w:t>’</w:t>
      </w:r>
      <w:r w:rsidRPr="0085128E">
        <w:t>enseignement à distance.</w:t>
      </w:r>
    </w:p>
    <w:p w:rsidR="00720382" w:rsidRPr="0085128E" w:rsidRDefault="00924199" w:rsidP="0088179C">
      <w:pPr>
        <w:numPr>
          <w:ilvl w:val="0"/>
          <w:numId w:val="11"/>
        </w:numPr>
        <w:tabs>
          <w:tab w:val="clear" w:pos="720"/>
        </w:tabs>
        <w:spacing w:after="120"/>
        <w:ind w:left="1134" w:hanging="567"/>
      </w:pPr>
      <w:r w:rsidRPr="0085128E">
        <w:t>Activités de formation et d</w:t>
      </w:r>
      <w:r w:rsidR="008D0CFD" w:rsidRPr="0085128E">
        <w:t>’</w:t>
      </w:r>
      <w:r w:rsidRPr="0085128E">
        <w:t>assistance.</w:t>
      </w:r>
    </w:p>
    <w:p w:rsidR="00720382" w:rsidRPr="0085128E" w:rsidRDefault="00924199" w:rsidP="0088179C">
      <w:pPr>
        <w:numPr>
          <w:ilvl w:val="0"/>
          <w:numId w:val="11"/>
        </w:numPr>
        <w:tabs>
          <w:tab w:val="clear" w:pos="720"/>
        </w:tabs>
        <w:spacing w:after="120"/>
        <w:ind w:left="1134" w:hanging="567"/>
      </w:pPr>
      <w:r w:rsidRPr="0085128E">
        <w:t>Élaboration de ressources pour la formation des formateurs.</w:t>
      </w:r>
    </w:p>
    <w:p w:rsidR="00720382" w:rsidRPr="0085128E" w:rsidRDefault="00924199" w:rsidP="0088179C">
      <w:pPr>
        <w:numPr>
          <w:ilvl w:val="0"/>
          <w:numId w:val="11"/>
        </w:numPr>
        <w:tabs>
          <w:tab w:val="clear" w:pos="720"/>
        </w:tabs>
        <w:spacing w:after="120"/>
        <w:ind w:left="1134" w:hanging="567"/>
      </w:pPr>
      <w:r w:rsidRPr="0085128E">
        <w:t>Appui dans le cadre de projets visant à mettre en place et à appliquer le système de l</w:t>
      </w:r>
      <w:r w:rsidR="008D0CFD" w:rsidRPr="0085128E">
        <w:t>’</w:t>
      </w:r>
      <w:r w:rsidRPr="0085128E">
        <w:t>UPOV.</w:t>
      </w:r>
    </w:p>
    <w:p w:rsidR="00720382" w:rsidRPr="0085128E" w:rsidRDefault="00924199" w:rsidP="0088179C">
      <w:pPr>
        <w:numPr>
          <w:ilvl w:val="0"/>
          <w:numId w:val="11"/>
        </w:numPr>
        <w:tabs>
          <w:tab w:val="clear" w:pos="720"/>
        </w:tabs>
        <w:spacing w:after="120"/>
        <w:ind w:left="1134" w:hanging="567"/>
      </w:pPr>
      <w:r w:rsidRPr="0085128E">
        <w:t>Actions de sensibilisation.</w:t>
      </w:r>
    </w:p>
    <w:p w:rsidR="00720382" w:rsidRPr="0085128E" w:rsidRDefault="00720382" w:rsidP="0085128E">
      <w:pPr>
        <w:tabs>
          <w:tab w:val="left" w:pos="567"/>
        </w:tabs>
      </w:pPr>
    </w:p>
    <w:p w:rsidR="00720382" w:rsidRPr="0085128E" w:rsidRDefault="00720382" w:rsidP="0085128E">
      <w:pPr>
        <w:tabs>
          <w:tab w:val="left" w:pos="567"/>
        </w:tabs>
      </w:pPr>
    </w:p>
    <w:p w:rsidR="00720382" w:rsidRPr="0085128E" w:rsidRDefault="00924199" w:rsidP="0088179C">
      <w:pPr>
        <w:pStyle w:val="Heading3"/>
      </w:pPr>
      <w:bookmarkStart w:id="150" w:name="_Toc489956768"/>
      <w:bookmarkStart w:id="151" w:name="_Toc489956856"/>
      <w:bookmarkStart w:id="152" w:name="_Toc490572922"/>
      <w:bookmarkStart w:id="153" w:name="_Toc491088297"/>
      <w:r w:rsidRPr="0085128E">
        <w:t>2.3.4</w:t>
      </w:r>
      <w:r w:rsidRPr="0085128E">
        <w:tab/>
        <w:t>Résultats escomptés et indicateurs d</w:t>
      </w:r>
      <w:r w:rsidR="008D0CFD" w:rsidRPr="0085128E">
        <w:t>’</w:t>
      </w:r>
      <w:r w:rsidRPr="0085128E">
        <w:t>exécution</w:t>
      </w:r>
      <w:bookmarkEnd w:id="150"/>
      <w:bookmarkEnd w:id="151"/>
      <w:bookmarkEnd w:id="152"/>
      <w:bookmarkEnd w:id="153"/>
    </w:p>
    <w:p w:rsidR="00604822" w:rsidRPr="0085128E" w:rsidRDefault="00604822" w:rsidP="0085128E">
      <w:pPr>
        <w:keepNext/>
        <w:tabs>
          <w:tab w:val="left" w:pos="567"/>
        </w:tabs>
      </w:pPr>
    </w:p>
    <w:tbl>
      <w:tblPr>
        <w:tblW w:w="5070" w:type="pct"/>
        <w:tblCellMar>
          <w:top w:w="57" w:type="dxa"/>
          <w:bottom w:w="57" w:type="dxa"/>
        </w:tblCellMar>
        <w:tblLook w:val="0000" w:firstRow="0" w:lastRow="0" w:firstColumn="0" w:lastColumn="0" w:noHBand="0" w:noVBand="0"/>
      </w:tblPr>
      <w:tblGrid>
        <w:gridCol w:w="4692"/>
        <w:gridCol w:w="5301"/>
      </w:tblGrid>
      <w:tr w:rsidR="0085128E" w:rsidRPr="0085128E" w:rsidTr="0088179C">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24199" w:rsidP="0088179C">
            <w:pPr>
              <w:keepNext/>
              <w:ind w:hanging="397"/>
              <w:jc w:val="center"/>
              <w:rPr>
                <w:u w:val="single"/>
              </w:rPr>
            </w:pPr>
            <w:r w:rsidRPr="0085128E">
              <w:rPr>
                <w:u w:val="single"/>
              </w:rPr>
              <w:t>Résultats escomptés</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924199" w:rsidP="0088179C">
            <w:pPr>
              <w:keepNext/>
              <w:jc w:val="center"/>
              <w:rPr>
                <w:u w:val="single"/>
              </w:rPr>
            </w:pPr>
            <w:r w:rsidRPr="0085128E">
              <w:rPr>
                <w:u w:val="single"/>
              </w:rPr>
              <w:t>Indicateurs d</w:t>
            </w:r>
            <w:r w:rsidR="008D0CFD" w:rsidRPr="0085128E">
              <w:rPr>
                <w:u w:val="single"/>
              </w:rPr>
              <w:t>’</w:t>
            </w:r>
            <w:r w:rsidRPr="0085128E">
              <w:rPr>
                <w:u w:val="single"/>
              </w:rPr>
              <w:t>exécution</w:t>
            </w:r>
          </w:p>
        </w:tc>
      </w:tr>
      <w:tr w:rsidR="0085128E" w:rsidRPr="0085128E" w:rsidTr="0088179C">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24199" w:rsidP="0088179C">
            <w:pPr>
              <w:keepNext/>
              <w:ind w:left="567" w:hanging="567"/>
              <w:jc w:val="left"/>
            </w:pPr>
            <w:r w:rsidRPr="0085128E">
              <w:t>1.</w:t>
            </w:r>
            <w:r w:rsidRPr="0085128E">
              <w:tab/>
              <w:t xml:space="preserve">Sensibilisation au rôle de la protection des obtentions végétales selon la </w:t>
            </w:r>
            <w:r w:rsidR="008D0CFD" w:rsidRPr="0085128E">
              <w:t>Convention UPOV</w:t>
            </w:r>
            <w:r w:rsidR="00604822" w:rsidRPr="0085128E">
              <w:t xml:space="preserve"> </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24199" w:rsidP="0088179C">
            <w:pPr>
              <w:ind w:left="567" w:hanging="567"/>
              <w:jc w:val="left"/>
            </w:pPr>
            <w:r w:rsidRPr="0085128E">
              <w:t>a)</w:t>
            </w:r>
            <w:r w:rsidRPr="0085128E">
              <w:tab/>
              <w:t>fourniture d</w:t>
            </w:r>
            <w:r w:rsidR="008D0CFD" w:rsidRPr="0085128E">
              <w:t>’</w:t>
            </w:r>
            <w:r w:rsidRPr="0085128E">
              <w:t>informations sur les activités de l</w:t>
            </w:r>
            <w:r w:rsidR="008D0CFD" w:rsidRPr="0085128E">
              <w:t>’</w:t>
            </w:r>
            <w:r w:rsidRPr="0085128E">
              <w:t>UPOV aux États et aux organisations;</w:t>
            </w:r>
          </w:p>
          <w:p w:rsidR="00720382" w:rsidRPr="0085128E" w:rsidRDefault="00924199" w:rsidP="0088179C">
            <w:pPr>
              <w:ind w:left="567" w:hanging="567"/>
              <w:jc w:val="left"/>
            </w:pPr>
            <w:r w:rsidRPr="0085128E">
              <w:t>b)</w:t>
            </w:r>
            <w:r w:rsidRPr="0085128E">
              <w:tab/>
              <w:t>États et organisations ayant contacté le Bureau de l</w:t>
            </w:r>
            <w:r w:rsidR="008D0CFD" w:rsidRPr="0085128E">
              <w:t>’</w:t>
            </w:r>
            <w:r w:rsidRPr="0085128E">
              <w:t>UPOV pour obtenir de l</w:t>
            </w:r>
            <w:r w:rsidR="008D0CFD" w:rsidRPr="0085128E">
              <w:t>’</w:t>
            </w:r>
            <w:r w:rsidRPr="0085128E">
              <w:t>aide en matière d</w:t>
            </w:r>
            <w:r w:rsidR="008D0CFD" w:rsidRPr="0085128E">
              <w:t>’</w:t>
            </w:r>
            <w:r w:rsidRPr="0085128E">
              <w:t>élaboration d</w:t>
            </w:r>
            <w:r w:rsidR="008D0CFD" w:rsidRPr="0085128E">
              <w:t>’</w:t>
            </w:r>
            <w:r w:rsidRPr="0085128E">
              <w:t>une législation relative à la protection des obtentions végétales;</w:t>
            </w:r>
          </w:p>
          <w:p w:rsidR="00720382" w:rsidRPr="0085128E" w:rsidRDefault="00924199" w:rsidP="0088179C">
            <w:pPr>
              <w:ind w:left="567" w:hanging="567"/>
              <w:jc w:val="left"/>
            </w:pPr>
            <w:r w:rsidRPr="0085128E">
              <w:t>c)</w:t>
            </w:r>
            <w:r w:rsidRPr="0085128E">
              <w:tab/>
              <w:t>États et organisations ayant entamé auprès du Conseil de l</w:t>
            </w:r>
            <w:r w:rsidR="008D0CFD" w:rsidRPr="0085128E">
              <w:t>’</w:t>
            </w:r>
            <w:r w:rsidRPr="0085128E">
              <w:t>UPOV la procédure pour devenir membre de l</w:t>
            </w:r>
            <w:r w:rsidR="008D0CFD" w:rsidRPr="0085128E">
              <w:t>’</w:t>
            </w:r>
            <w:r w:rsidRPr="0085128E">
              <w:t>Union;</w:t>
            </w:r>
          </w:p>
          <w:p w:rsidR="00604822" w:rsidRPr="0085128E" w:rsidRDefault="00A20C35" w:rsidP="0088179C">
            <w:pPr>
              <w:ind w:left="567" w:hanging="567"/>
              <w:jc w:val="left"/>
            </w:pPr>
            <w:r w:rsidRPr="0085128E">
              <w:t>d)</w:t>
            </w:r>
            <w:r w:rsidRPr="0085128E">
              <w:tab/>
            </w:r>
            <w:r w:rsidR="00715E0C" w:rsidRPr="0085128E">
              <w:t>pa</w:t>
            </w:r>
            <w:r w:rsidRPr="0085128E">
              <w:t>rticipation aux activités de sensibilisation organisées par l</w:t>
            </w:r>
            <w:r w:rsidR="008D0CFD" w:rsidRPr="0085128E">
              <w:t>’</w:t>
            </w:r>
            <w:r w:rsidRPr="0085128E">
              <w:t>UPOV ou aux activités faisant intervenir des membres du personnel de l</w:t>
            </w:r>
            <w:r w:rsidR="008D0CFD" w:rsidRPr="0085128E">
              <w:t>’</w:t>
            </w:r>
            <w:r w:rsidRPr="0085128E">
              <w:t>UPOV ou des formateurs de l</w:t>
            </w:r>
            <w:r w:rsidR="008D0CFD" w:rsidRPr="0085128E">
              <w:t>’</w:t>
            </w:r>
            <w:r w:rsidRPr="0085128E">
              <w:t>UPOV au nom du personnel de l</w:t>
            </w:r>
            <w:r w:rsidR="008D0CFD" w:rsidRPr="0085128E">
              <w:t>’</w:t>
            </w:r>
            <w:r w:rsidRPr="0085128E">
              <w:t>UPOV.</w:t>
            </w:r>
          </w:p>
        </w:tc>
      </w:tr>
      <w:tr w:rsidR="0085128E" w:rsidRPr="0085128E" w:rsidTr="0088179C">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A20C35" w:rsidP="0088179C">
            <w:pPr>
              <w:keepNext/>
              <w:ind w:left="567" w:hanging="567"/>
              <w:jc w:val="left"/>
            </w:pPr>
            <w:r w:rsidRPr="0085128E">
              <w:t>2.</w:t>
            </w:r>
            <w:r w:rsidRPr="0085128E">
              <w:tab/>
              <w:t>Assistance en vue de l</w:t>
            </w:r>
            <w:r w:rsidR="008D0CFD" w:rsidRPr="0085128E">
              <w:t>’</w:t>
            </w:r>
            <w:r w:rsidRPr="0085128E">
              <w:t>élaboration d</w:t>
            </w:r>
            <w:r w:rsidR="008D0CFD" w:rsidRPr="0085128E">
              <w:t>’</w:t>
            </w:r>
            <w:r w:rsidRPr="0085128E">
              <w:t>une législation relative à la protection des obtentions végétales conforme à l</w:t>
            </w:r>
            <w:r w:rsidR="008D0CFD" w:rsidRPr="0085128E">
              <w:t>’</w:t>
            </w:r>
            <w:r w:rsidRPr="0085128E">
              <w:t xml:space="preserve">Acte </w:t>
            </w:r>
            <w:r w:rsidR="008D0CFD" w:rsidRPr="0085128E">
              <w:t>de 1991</w:t>
            </w:r>
            <w:r w:rsidRPr="0085128E">
              <w:t xml:space="preserve"> de la </w:t>
            </w:r>
            <w:r w:rsidR="008D0CFD" w:rsidRPr="0085128E">
              <w:t>Convention UPOV</w:t>
            </w:r>
            <w:r w:rsidR="00604822" w:rsidRPr="0085128E">
              <w:t xml:space="preserve"> </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A20C35" w:rsidP="0088179C">
            <w:pPr>
              <w:ind w:left="567" w:hanging="567"/>
              <w:jc w:val="left"/>
            </w:pPr>
            <w:r w:rsidRPr="0085128E">
              <w:t>a)</w:t>
            </w:r>
            <w:r w:rsidRPr="0085128E">
              <w:tab/>
              <w:t>réunions avec des responsables gouvernementaux pour traiter des questions législatives;</w:t>
            </w:r>
          </w:p>
          <w:p w:rsidR="00720382" w:rsidRPr="0085128E" w:rsidRDefault="00A20C35" w:rsidP="0088179C">
            <w:pPr>
              <w:ind w:left="567" w:hanging="567"/>
              <w:jc w:val="left"/>
            </w:pPr>
            <w:r w:rsidRPr="0085128E">
              <w:t>b)</w:t>
            </w:r>
            <w:r w:rsidRPr="0085128E">
              <w:tab/>
              <w:t>États et organisations ayant reçu des commentaires sur leurs lois;</w:t>
            </w:r>
          </w:p>
          <w:p w:rsidR="00604822" w:rsidRPr="0085128E" w:rsidRDefault="00A20C35" w:rsidP="0088179C">
            <w:pPr>
              <w:keepNext/>
              <w:ind w:left="567" w:hanging="567"/>
              <w:jc w:val="left"/>
            </w:pPr>
            <w:r w:rsidRPr="0085128E">
              <w:t>c)</w:t>
            </w:r>
            <w:r w:rsidRPr="0085128E">
              <w:tab/>
              <w:t>États et organisations ayant reçu un avis positif du Conseil.</w:t>
            </w:r>
          </w:p>
        </w:tc>
      </w:tr>
      <w:tr w:rsidR="0085128E" w:rsidRPr="0085128E" w:rsidTr="0088179C">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7ADE" w:rsidP="0088179C">
            <w:pPr>
              <w:keepNext/>
              <w:ind w:left="567" w:hanging="567"/>
              <w:jc w:val="left"/>
            </w:pPr>
            <w:r w:rsidRPr="0085128E">
              <w:t>3.</w:t>
            </w:r>
            <w:r w:rsidRPr="0085128E">
              <w:tab/>
              <w:t>Assistance fournie à des États et organisations en vue de leur adhésion à l</w:t>
            </w:r>
            <w:r w:rsidR="008D0CFD" w:rsidRPr="0085128E">
              <w:t>’</w:t>
            </w:r>
            <w:r w:rsidRPr="0085128E">
              <w:t xml:space="preserve">Acte </w:t>
            </w:r>
            <w:r w:rsidR="008D0CFD" w:rsidRPr="0085128E">
              <w:t>de 1991</w:t>
            </w:r>
            <w:r w:rsidRPr="0085128E">
              <w:t xml:space="preserve"> de la </w:t>
            </w:r>
            <w:r w:rsidR="008D0CFD" w:rsidRPr="0085128E">
              <w:t>Convention 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67ADE" w:rsidP="0088179C">
            <w:pPr>
              <w:ind w:left="567" w:hanging="567"/>
              <w:jc w:val="left"/>
            </w:pPr>
            <w:r w:rsidRPr="0085128E">
              <w:t>a)</w:t>
            </w:r>
            <w:r w:rsidRPr="0085128E">
              <w:tab/>
              <w:t>États ayant adhéré à l</w:t>
            </w:r>
            <w:r w:rsidR="008D0CFD" w:rsidRPr="0085128E">
              <w:t>’</w:t>
            </w:r>
            <w:r w:rsidRPr="0085128E">
              <w:t xml:space="preserve">Acte </w:t>
            </w:r>
            <w:r w:rsidR="008D0CFD" w:rsidRPr="0085128E">
              <w:t>de 1991</w:t>
            </w:r>
            <w:r w:rsidRPr="0085128E">
              <w:t xml:space="preserve"> de la </w:t>
            </w:r>
            <w:r w:rsidR="008D0CFD" w:rsidRPr="0085128E">
              <w:t>Convention UPOV</w:t>
            </w:r>
            <w:r w:rsidRPr="0085128E">
              <w:t xml:space="preserve"> ou l</w:t>
            </w:r>
            <w:r w:rsidR="008D0CFD" w:rsidRPr="0085128E">
              <w:t>’</w:t>
            </w:r>
            <w:r w:rsidRPr="0085128E">
              <w:t>ayant ratifié;</w:t>
            </w:r>
          </w:p>
          <w:p w:rsidR="00604822" w:rsidRPr="0085128E" w:rsidRDefault="00967ADE" w:rsidP="0088179C">
            <w:pPr>
              <w:keepNext/>
              <w:ind w:left="567" w:hanging="567"/>
              <w:jc w:val="left"/>
            </w:pPr>
            <w:r w:rsidRPr="0085128E">
              <w:t>b)</w:t>
            </w:r>
            <w:r w:rsidRPr="0085128E">
              <w:tab/>
              <w:t>États et organisations devenus membres de l</w:t>
            </w:r>
            <w:r w:rsidR="008D0CFD" w:rsidRPr="0085128E">
              <w:t>’</w:t>
            </w:r>
            <w:r w:rsidRPr="0085128E">
              <w:t>Union.</w:t>
            </w:r>
          </w:p>
        </w:tc>
      </w:tr>
      <w:tr w:rsidR="0085128E" w:rsidRPr="0085128E" w:rsidTr="0088179C">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7ADE" w:rsidP="0088179C">
            <w:pPr>
              <w:keepNext/>
              <w:ind w:left="567" w:hanging="567"/>
              <w:jc w:val="left"/>
            </w:pPr>
            <w:r w:rsidRPr="0085128E">
              <w:t>4.</w:t>
            </w:r>
            <w:r w:rsidRPr="0085128E">
              <w:tab/>
              <w:t>Assistance à la mise en œuvre d</w:t>
            </w:r>
            <w:r w:rsidR="008D0CFD" w:rsidRPr="0085128E">
              <w:t>’</w:t>
            </w:r>
            <w:r w:rsidRPr="0085128E">
              <w:t xml:space="preserve">un système efficace de protection des obtentions végétales conforme à la </w:t>
            </w:r>
            <w:r w:rsidR="008D0CFD" w:rsidRPr="0085128E">
              <w:t>Convention 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715E0C" w:rsidP="0088179C">
            <w:pPr>
              <w:ind w:left="567" w:hanging="567"/>
              <w:jc w:val="left"/>
            </w:pPr>
            <w:r w:rsidRPr="0085128E">
              <w:t>a)</w:t>
            </w:r>
            <w:r w:rsidRPr="0085128E">
              <w:tab/>
              <w:t>p</w:t>
            </w:r>
            <w:r w:rsidR="00967ADE" w:rsidRPr="0085128E">
              <w:t>articipation aux cours d</w:t>
            </w:r>
            <w:r w:rsidR="008D0CFD" w:rsidRPr="0085128E">
              <w:t>’</w:t>
            </w:r>
            <w:r w:rsidR="00967ADE" w:rsidRPr="0085128E">
              <w:t>enseignement à distance</w:t>
            </w:r>
          </w:p>
          <w:p w:rsidR="00720382" w:rsidRPr="0085128E" w:rsidRDefault="00967ADE" w:rsidP="0088179C">
            <w:pPr>
              <w:ind w:left="567" w:hanging="567"/>
              <w:jc w:val="left"/>
            </w:pPr>
            <w:bookmarkStart w:id="154" w:name="OLE_LINK3"/>
            <w:bookmarkStart w:id="155" w:name="OLE_LINK4"/>
            <w:r w:rsidRPr="0085128E">
              <w:t>b)</w:t>
            </w:r>
            <w:r w:rsidRPr="0085128E">
              <w:tab/>
              <w:t>formation des formateurs;</w:t>
            </w:r>
          </w:p>
          <w:p w:rsidR="00720382" w:rsidRPr="0085128E" w:rsidRDefault="00967ADE" w:rsidP="0088179C">
            <w:pPr>
              <w:ind w:left="567" w:hanging="567"/>
              <w:jc w:val="left"/>
            </w:pPr>
            <w:r w:rsidRPr="0085128E">
              <w:t>c)</w:t>
            </w:r>
            <w:r w:rsidRPr="0085128E">
              <w:tab/>
              <w:t>activités de formation mises au point avec le concours de l</w:t>
            </w:r>
            <w:r w:rsidR="008D0CFD" w:rsidRPr="0085128E">
              <w:t>’</w:t>
            </w:r>
            <w:r w:rsidRPr="0085128E">
              <w:t>UPOV;</w:t>
            </w:r>
          </w:p>
          <w:p w:rsidR="00720382" w:rsidRPr="0085128E" w:rsidRDefault="00967ADE" w:rsidP="0088179C">
            <w:pPr>
              <w:ind w:left="567" w:hanging="567"/>
              <w:jc w:val="left"/>
            </w:pPr>
            <w:r w:rsidRPr="0085128E">
              <w:t>d)</w:t>
            </w:r>
            <w:r w:rsidRPr="0085128E">
              <w:tab/>
              <w:t>participation d</w:t>
            </w:r>
            <w:r w:rsidR="008D0CFD" w:rsidRPr="0085128E">
              <w:t>’</w:t>
            </w:r>
            <w:r w:rsidRPr="0085128E">
              <w:t>États et d</w:t>
            </w:r>
            <w:r w:rsidR="008D0CFD" w:rsidRPr="0085128E">
              <w:t>’</w:t>
            </w:r>
            <w:r w:rsidRPr="0085128E">
              <w:t>organisations ayant le statut d</w:t>
            </w:r>
            <w:r w:rsidR="008D0CFD" w:rsidRPr="0085128E">
              <w:t>’</w:t>
            </w:r>
            <w:r w:rsidRPr="0085128E">
              <w:t>observateurs aux travaux</w:t>
            </w:r>
            <w:r w:rsidR="008D0CFD" w:rsidRPr="0085128E">
              <w:t xml:space="preserve"> du CAJ</w:t>
            </w:r>
            <w:r w:rsidRPr="0085128E">
              <w:t>, du</w:t>
            </w:r>
            <w:r w:rsidR="008D0CFD" w:rsidRPr="0085128E">
              <w:t> TC</w:t>
            </w:r>
            <w:r w:rsidRPr="0085128E">
              <w:t>,</w:t>
            </w:r>
            <w:r w:rsidR="008D0CFD" w:rsidRPr="0085128E">
              <w:t xml:space="preserve"> des TWP</w:t>
            </w:r>
            <w:r w:rsidRPr="0085128E">
              <w:t xml:space="preserve"> et aux ateliers préparatoires correspondants;</w:t>
            </w:r>
          </w:p>
          <w:bookmarkEnd w:id="154"/>
          <w:bookmarkEnd w:id="155"/>
          <w:p w:rsidR="00720382" w:rsidRPr="0085128E" w:rsidRDefault="00967ADE" w:rsidP="0088179C">
            <w:pPr>
              <w:ind w:left="567" w:hanging="567"/>
              <w:jc w:val="left"/>
            </w:pPr>
            <w:r w:rsidRPr="0085128E">
              <w:t>e)</w:t>
            </w:r>
            <w:r w:rsidRPr="0085128E">
              <w:tab/>
              <w:t>participation aux activités de l</w:t>
            </w:r>
            <w:r w:rsidR="008D0CFD" w:rsidRPr="0085128E">
              <w:t>’</w:t>
            </w:r>
            <w:r w:rsidRPr="0085128E">
              <w:t>UPOV;</w:t>
            </w:r>
          </w:p>
          <w:p w:rsidR="00720382" w:rsidRPr="0085128E" w:rsidRDefault="00967ADE" w:rsidP="0088179C">
            <w:pPr>
              <w:ind w:left="567" w:hanging="567"/>
              <w:jc w:val="left"/>
            </w:pPr>
            <w:r w:rsidRPr="0085128E">
              <w:t>f)</w:t>
            </w:r>
            <w:r w:rsidRPr="0085128E">
              <w:tab/>
              <w:t>participation aux activités faisant intervenir des membres du personnel de l</w:t>
            </w:r>
            <w:r w:rsidR="008D0CFD" w:rsidRPr="0085128E">
              <w:t>’</w:t>
            </w:r>
            <w:r w:rsidRPr="0085128E">
              <w:t>UPOV ou des formateurs de l</w:t>
            </w:r>
            <w:r w:rsidR="008D0CFD" w:rsidRPr="0085128E">
              <w:t>’</w:t>
            </w:r>
            <w:r w:rsidRPr="0085128E">
              <w:t>UPOV au nom du personnel de l</w:t>
            </w:r>
            <w:r w:rsidR="008D0CFD" w:rsidRPr="0085128E">
              <w:t>’</w:t>
            </w:r>
            <w:r w:rsidRPr="0085128E">
              <w:t>UPOV;</w:t>
            </w:r>
          </w:p>
          <w:p w:rsidR="00720382" w:rsidRPr="0085128E" w:rsidRDefault="00967ADE" w:rsidP="0088179C">
            <w:pPr>
              <w:ind w:left="567" w:hanging="567"/>
              <w:jc w:val="left"/>
            </w:pPr>
            <w:r w:rsidRPr="0085128E">
              <w:t>g)</w:t>
            </w:r>
            <w:r w:rsidRPr="0085128E">
              <w:tab/>
              <w:t>cours dans lesquels est intégré le système UPOV de protection des obtentions végétales;</w:t>
            </w:r>
          </w:p>
          <w:p w:rsidR="00604822" w:rsidRPr="0085128E" w:rsidRDefault="00967ADE" w:rsidP="0088179C">
            <w:pPr>
              <w:keepNext/>
              <w:ind w:left="567" w:hanging="567"/>
              <w:jc w:val="left"/>
            </w:pPr>
            <w:r w:rsidRPr="0085128E">
              <w:t>h)</w:t>
            </w:r>
            <w:r w:rsidRPr="0085128E">
              <w:tab/>
              <w:t>mise en œuvre de projets avec des organisations partenaires et des donateurs</w:t>
            </w:r>
          </w:p>
        </w:tc>
      </w:tr>
    </w:tbl>
    <w:p w:rsidR="00720382" w:rsidRPr="0085128E" w:rsidRDefault="00720382" w:rsidP="0085128E"/>
    <w:p w:rsidR="00720382" w:rsidRPr="0085128E" w:rsidRDefault="00720382" w:rsidP="0085128E">
      <w:pPr>
        <w:jc w:val="left"/>
        <w:rPr>
          <w:b/>
        </w:rPr>
      </w:pPr>
    </w:p>
    <w:p w:rsidR="00720382" w:rsidRPr="0085128E" w:rsidRDefault="00967ADE" w:rsidP="0088179C">
      <w:pPr>
        <w:pStyle w:val="Heading2"/>
      </w:pPr>
      <w:bookmarkStart w:id="156" w:name="_Toc489956769"/>
      <w:bookmarkStart w:id="157" w:name="_Toc489956857"/>
      <w:bookmarkStart w:id="158" w:name="_Toc490572923"/>
      <w:bookmarkStart w:id="159" w:name="_Toc491088298"/>
      <w:r w:rsidRPr="0088179C">
        <w:rPr>
          <w:u w:val="none"/>
        </w:rPr>
        <w:t>2.4</w:t>
      </w:r>
      <w:r w:rsidRPr="0088179C">
        <w:rPr>
          <w:u w:val="none"/>
        </w:rPr>
        <w:tab/>
      </w:r>
      <w:r w:rsidRPr="0085128E">
        <w:t>Sous</w:t>
      </w:r>
      <w:r w:rsidR="008D0CFD" w:rsidRPr="0085128E">
        <w:t>-</w:t>
      </w:r>
      <w:r w:rsidRPr="0085128E">
        <w:t>programme UV.4</w:t>
      </w:r>
      <w:r w:rsidR="008D0CFD" w:rsidRPr="0085128E">
        <w:t> :</w:t>
      </w:r>
      <w:r w:rsidRPr="0085128E">
        <w:t xml:space="preserve"> Relations extérieures</w:t>
      </w:r>
      <w:bookmarkEnd w:id="156"/>
      <w:bookmarkEnd w:id="157"/>
      <w:bookmarkEnd w:id="158"/>
      <w:bookmarkEnd w:id="159"/>
    </w:p>
    <w:p w:rsidR="00720382" w:rsidRPr="0085128E" w:rsidRDefault="00720382" w:rsidP="0085128E">
      <w:pPr>
        <w:keepNext/>
      </w:pPr>
    </w:p>
    <w:p w:rsidR="00720382" w:rsidRPr="0085128E" w:rsidRDefault="00967ADE" w:rsidP="0088179C">
      <w:pPr>
        <w:pStyle w:val="Heading3"/>
      </w:pPr>
      <w:bookmarkStart w:id="160" w:name="_Toc489956770"/>
      <w:bookmarkStart w:id="161" w:name="_Toc489956858"/>
      <w:bookmarkStart w:id="162" w:name="_Toc490572924"/>
      <w:bookmarkStart w:id="163" w:name="_Toc491088299"/>
      <w:r w:rsidRPr="0085128E">
        <w:t>2.4.1</w:t>
      </w:r>
      <w:r w:rsidRPr="0085128E">
        <w:tab/>
        <w:t>Objectifs</w:t>
      </w:r>
      <w:bookmarkEnd w:id="160"/>
      <w:bookmarkEnd w:id="161"/>
      <w:bookmarkEnd w:id="162"/>
      <w:bookmarkEnd w:id="163"/>
    </w:p>
    <w:p w:rsidR="00720382" w:rsidRPr="0085128E" w:rsidRDefault="00720382" w:rsidP="0085128E">
      <w:pPr>
        <w:keepNext/>
        <w:tabs>
          <w:tab w:val="num" w:pos="567"/>
        </w:tabs>
      </w:pPr>
    </w:p>
    <w:p w:rsidR="00720382" w:rsidRPr="0085128E" w:rsidRDefault="00604822" w:rsidP="0085128E">
      <w:r w:rsidRPr="0085128E">
        <w:tab/>
      </w:r>
      <w:r w:rsidR="00967ADE" w:rsidRPr="0085128E">
        <w:t>a)</w:t>
      </w:r>
      <w:r w:rsidR="00967ADE" w:rsidRPr="0085128E">
        <w:tab/>
        <w:t>Élargir et renforcer la compréhension du système de l</w:t>
      </w:r>
      <w:r w:rsidR="008D0CFD" w:rsidRPr="0085128E">
        <w:t>’</w:t>
      </w:r>
      <w:r w:rsidR="00967ADE" w:rsidRPr="0085128E">
        <w:t>UPOV de protection des obtentions végétales.</w:t>
      </w:r>
    </w:p>
    <w:p w:rsidR="00720382" w:rsidRPr="0085128E" w:rsidRDefault="00720382" w:rsidP="0085128E"/>
    <w:p w:rsidR="00720382" w:rsidRPr="0085128E" w:rsidRDefault="00604822" w:rsidP="0085128E">
      <w:r w:rsidRPr="0085128E">
        <w:tab/>
      </w:r>
      <w:r w:rsidR="00967ADE" w:rsidRPr="0085128E">
        <w:t>b)</w:t>
      </w:r>
      <w:r w:rsidR="00967ADE" w:rsidRPr="0085128E">
        <w:tab/>
        <w:t xml:space="preserve">Fournir aux autres organisations intergouvernementales des informations sur la </w:t>
      </w:r>
      <w:r w:rsidR="008D0CFD" w:rsidRPr="0085128E">
        <w:t>Convention UPOV</w:t>
      </w:r>
      <w:r w:rsidR="00967ADE" w:rsidRPr="0085128E">
        <w:t>, en vue d</w:t>
      </w:r>
      <w:r w:rsidR="008D0CFD" w:rsidRPr="0085128E">
        <w:t>’</w:t>
      </w:r>
      <w:r w:rsidR="00967ADE" w:rsidRPr="0085128E">
        <w:t>assurer sa complémentarité avec les autres traités internationaux.</w:t>
      </w:r>
    </w:p>
    <w:p w:rsidR="00720382" w:rsidRPr="0085128E" w:rsidRDefault="00720382" w:rsidP="0085128E"/>
    <w:p w:rsidR="00720382" w:rsidRPr="0085128E" w:rsidRDefault="00720382" w:rsidP="0085128E"/>
    <w:p w:rsidR="00720382" w:rsidRPr="0085128E" w:rsidRDefault="00967ADE" w:rsidP="0088179C">
      <w:pPr>
        <w:pStyle w:val="Heading3"/>
      </w:pPr>
      <w:bookmarkStart w:id="164" w:name="_Toc489956771"/>
      <w:bookmarkStart w:id="165" w:name="_Toc489956859"/>
      <w:bookmarkStart w:id="166" w:name="_Toc490572925"/>
      <w:bookmarkStart w:id="167" w:name="_Toc491088300"/>
      <w:r w:rsidRPr="0085128E">
        <w:t>2.4.2</w:t>
      </w:r>
      <w:r w:rsidRPr="0085128E">
        <w:tab/>
        <w:t>Descriptif</w:t>
      </w:r>
      <w:bookmarkEnd w:id="164"/>
      <w:bookmarkEnd w:id="165"/>
      <w:bookmarkEnd w:id="166"/>
      <w:bookmarkEnd w:id="167"/>
    </w:p>
    <w:p w:rsidR="00720382" w:rsidRPr="0085128E" w:rsidRDefault="00720382" w:rsidP="0085128E">
      <w:pPr>
        <w:tabs>
          <w:tab w:val="left" w:pos="567"/>
        </w:tabs>
      </w:pPr>
    </w:p>
    <w:p w:rsidR="00720382" w:rsidRPr="0085128E" w:rsidRDefault="00967ADE" w:rsidP="0088179C">
      <w:pPr>
        <w:pStyle w:val="Heading4"/>
      </w:pPr>
      <w:bookmarkStart w:id="168" w:name="_Toc489954603"/>
      <w:bookmarkStart w:id="169" w:name="_Toc489954789"/>
      <w:bookmarkStart w:id="170" w:name="_Toc489956772"/>
      <w:bookmarkStart w:id="171" w:name="_Toc489956860"/>
      <w:bookmarkStart w:id="172" w:name="_Toc490572926"/>
      <w:bookmarkStart w:id="173" w:name="_Toc491088301"/>
      <w:r w:rsidRPr="0085128E">
        <w:t>Introduction</w:t>
      </w:r>
      <w:bookmarkEnd w:id="168"/>
      <w:bookmarkEnd w:id="169"/>
      <w:bookmarkEnd w:id="170"/>
      <w:bookmarkEnd w:id="171"/>
      <w:bookmarkEnd w:id="172"/>
      <w:bookmarkEnd w:id="173"/>
    </w:p>
    <w:p w:rsidR="00720382" w:rsidRPr="0085128E" w:rsidRDefault="00720382" w:rsidP="0085128E">
      <w:pPr>
        <w:tabs>
          <w:tab w:val="left" w:pos="567"/>
        </w:tabs>
        <w:rPr>
          <w:spacing w:val="-2"/>
        </w:rPr>
      </w:pPr>
    </w:p>
    <w:p w:rsidR="003711EE" w:rsidRPr="0085128E" w:rsidRDefault="004748F3" w:rsidP="0085128E">
      <w:pPr>
        <w:rPr>
          <w:spacing w:val="-2"/>
        </w:rPr>
      </w:pPr>
      <w:r w:rsidRPr="0085128E">
        <w:rPr>
          <w:spacing w:val="-2"/>
        </w:rPr>
        <w:t>2.4.2.1</w:t>
      </w:r>
      <w:r w:rsidRPr="0085128E">
        <w:rPr>
          <w:spacing w:val="-2"/>
        </w:rPr>
        <w:tab/>
        <w:t>L</w:t>
      </w:r>
      <w:r w:rsidR="008D0CFD" w:rsidRPr="0085128E">
        <w:rPr>
          <w:spacing w:val="-2"/>
        </w:rPr>
        <w:t>’</w:t>
      </w:r>
      <w:r w:rsidRPr="0085128E">
        <w:rPr>
          <w:spacing w:val="-2"/>
        </w:rPr>
        <w:t>UPOV a pour mission de mettre en place et promouvoir un système efficace de protection des variétés végétales afin d</w:t>
      </w:r>
      <w:r w:rsidR="008D0CFD" w:rsidRPr="0085128E">
        <w:rPr>
          <w:spacing w:val="-2"/>
        </w:rPr>
        <w:t>’</w:t>
      </w:r>
      <w:r w:rsidRPr="0085128E">
        <w:rPr>
          <w:spacing w:val="-2"/>
        </w:rPr>
        <w:t>encourager l</w:t>
      </w:r>
      <w:r w:rsidR="008D0CFD" w:rsidRPr="0085128E">
        <w:rPr>
          <w:spacing w:val="-2"/>
        </w:rPr>
        <w:t>’</w:t>
      </w:r>
      <w:r w:rsidRPr="0085128E">
        <w:rPr>
          <w:spacing w:val="-2"/>
        </w:rPr>
        <w:t>obtention de variétés dans l</w:t>
      </w:r>
      <w:r w:rsidR="008D0CFD" w:rsidRPr="0085128E">
        <w:rPr>
          <w:spacing w:val="-2"/>
        </w:rPr>
        <w:t>’</w:t>
      </w:r>
      <w:r w:rsidRPr="0085128E">
        <w:rPr>
          <w:spacing w:val="-2"/>
        </w:rPr>
        <w:t>intérêt de to</w:t>
      </w:r>
      <w:r w:rsidR="009F5A99" w:rsidRPr="0085128E">
        <w:rPr>
          <w:spacing w:val="-2"/>
        </w:rPr>
        <w:t>us.  Le</w:t>
      </w:r>
      <w:r w:rsidRPr="0085128E">
        <w:rPr>
          <w:spacing w:val="-2"/>
        </w:rPr>
        <w:t xml:space="preserve"> présent sous</w:t>
      </w:r>
      <w:r w:rsidR="008D0CFD" w:rsidRPr="0085128E">
        <w:rPr>
          <w:spacing w:val="-2"/>
        </w:rPr>
        <w:t>-</w:t>
      </w:r>
      <w:r w:rsidRPr="0085128E">
        <w:rPr>
          <w:spacing w:val="-2"/>
        </w:rPr>
        <w:t>programme vise à expliquer comment le système de l</w:t>
      </w:r>
      <w:r w:rsidR="008D0CFD" w:rsidRPr="0085128E">
        <w:rPr>
          <w:spacing w:val="-2"/>
        </w:rPr>
        <w:t>’</w:t>
      </w:r>
      <w:r w:rsidRPr="0085128E">
        <w:rPr>
          <w:spacing w:val="-2"/>
        </w:rPr>
        <w:t>UPOV encourage l</w:t>
      </w:r>
      <w:r w:rsidR="008D0CFD" w:rsidRPr="0085128E">
        <w:rPr>
          <w:spacing w:val="-2"/>
        </w:rPr>
        <w:t>’</w:t>
      </w:r>
      <w:r w:rsidRPr="0085128E">
        <w:rPr>
          <w:spacing w:val="-2"/>
        </w:rPr>
        <w:t>obtention de variétés végétales, dans quelle mesure la mise au point de nouvelles variétés profite à la société, et le rôle du système de l</w:t>
      </w:r>
      <w:r w:rsidR="008D0CFD" w:rsidRPr="0085128E">
        <w:rPr>
          <w:spacing w:val="-2"/>
        </w:rPr>
        <w:t>’</w:t>
      </w:r>
      <w:r w:rsidRPr="0085128E">
        <w:rPr>
          <w:spacing w:val="-2"/>
        </w:rPr>
        <w:t>UPOV vis</w:t>
      </w:r>
      <w:r w:rsidR="008D0CFD" w:rsidRPr="0085128E">
        <w:rPr>
          <w:spacing w:val="-2"/>
        </w:rPr>
        <w:t>-</w:t>
      </w:r>
      <w:r w:rsidRPr="0085128E">
        <w:rPr>
          <w:spacing w:val="-2"/>
        </w:rPr>
        <w:t>à</w:t>
      </w:r>
      <w:r w:rsidR="008D0CFD" w:rsidRPr="0085128E">
        <w:rPr>
          <w:spacing w:val="-2"/>
        </w:rPr>
        <w:t>-</w:t>
      </w:r>
      <w:r w:rsidRPr="0085128E">
        <w:rPr>
          <w:spacing w:val="-2"/>
        </w:rPr>
        <w:t>vis du développement agricole et économique dans le secteur rural.</w:t>
      </w:r>
    </w:p>
    <w:p w:rsidR="00720382" w:rsidRPr="0085128E" w:rsidRDefault="00720382" w:rsidP="0085128E">
      <w:pPr>
        <w:tabs>
          <w:tab w:val="left" w:pos="851"/>
        </w:tabs>
      </w:pPr>
    </w:p>
    <w:p w:rsidR="00720382" w:rsidRPr="0085128E" w:rsidRDefault="00720382" w:rsidP="0085128E">
      <w:pPr>
        <w:tabs>
          <w:tab w:val="left" w:pos="851"/>
        </w:tabs>
      </w:pPr>
    </w:p>
    <w:p w:rsidR="00720382" w:rsidRPr="0085128E" w:rsidRDefault="004748F3" w:rsidP="0088179C">
      <w:pPr>
        <w:pStyle w:val="Heading4"/>
      </w:pPr>
      <w:bookmarkStart w:id="174" w:name="_Toc489954604"/>
      <w:bookmarkStart w:id="175" w:name="_Toc489954790"/>
      <w:bookmarkStart w:id="176" w:name="_Toc489956773"/>
      <w:bookmarkStart w:id="177" w:name="_Toc489956861"/>
      <w:bookmarkStart w:id="178" w:name="_Toc490572927"/>
      <w:bookmarkStart w:id="179" w:name="_Toc491088302"/>
      <w:r w:rsidRPr="0085128E">
        <w:t>Communication avec les parties prenantes</w:t>
      </w:r>
      <w:bookmarkEnd w:id="174"/>
      <w:bookmarkEnd w:id="175"/>
      <w:bookmarkEnd w:id="176"/>
      <w:bookmarkEnd w:id="177"/>
      <w:bookmarkEnd w:id="178"/>
      <w:bookmarkEnd w:id="179"/>
    </w:p>
    <w:p w:rsidR="00720382" w:rsidRPr="0085128E" w:rsidRDefault="00720382" w:rsidP="0085128E">
      <w:pPr>
        <w:tabs>
          <w:tab w:val="left" w:pos="851"/>
        </w:tabs>
      </w:pPr>
    </w:p>
    <w:p w:rsidR="00720382" w:rsidRPr="0085128E" w:rsidRDefault="004748F3" w:rsidP="0085128E">
      <w:pPr>
        <w:rPr>
          <w:rFonts w:cs="Arial"/>
          <w:snapToGrid w:val="0"/>
        </w:rPr>
      </w:pPr>
      <w:r w:rsidRPr="0085128E">
        <w:t>2.4.2.2</w:t>
      </w:r>
      <w:r w:rsidRPr="0085128E">
        <w:tab/>
        <w:t>Des informations d</w:t>
      </w:r>
      <w:r w:rsidR="008D0CFD" w:rsidRPr="0085128E">
        <w:t>’</w:t>
      </w:r>
      <w:r w:rsidRPr="0085128E">
        <w:t>ordre général, adaptées à un large éventail de parties prenantes, continueront d</w:t>
      </w:r>
      <w:r w:rsidR="008D0CFD" w:rsidRPr="0085128E">
        <w:t>’</w:t>
      </w:r>
      <w:r w:rsidRPr="0085128E">
        <w:t>être produit</w:t>
      </w:r>
      <w:r w:rsidR="009F5A99" w:rsidRPr="0085128E">
        <w:t>es.  Pa</w:t>
      </w:r>
      <w:r w:rsidRPr="0085128E">
        <w:t>r exemple, les travaux vont se poursuivre en ce qui concerne les réponses aux questions fréquemment posées sur le système de l</w:t>
      </w:r>
      <w:r w:rsidR="008D0CFD" w:rsidRPr="0085128E">
        <w:t>’</w:t>
      </w:r>
      <w:r w:rsidRPr="0085128E">
        <w:t>UPOV et l</w:t>
      </w:r>
      <w:r w:rsidR="008D0CFD" w:rsidRPr="0085128E">
        <w:t>’</w:t>
      </w:r>
      <w:r w:rsidRPr="0085128E">
        <w:t>élaboration d</w:t>
      </w:r>
      <w:r w:rsidR="008D0CFD" w:rsidRPr="0085128E">
        <w:t>’</w:t>
      </w:r>
      <w:r w:rsidRPr="0085128E">
        <w:t>explications et d</w:t>
      </w:r>
      <w:r w:rsidR="008D0CFD" w:rsidRPr="0085128E">
        <w:t>’</w:t>
      </w:r>
      <w:r w:rsidRPr="0085128E">
        <w:t>exemples concernant les avantages du système de l</w:t>
      </w:r>
      <w:r w:rsidR="008D0CFD" w:rsidRPr="0085128E">
        <w:t>’</w:t>
      </w:r>
      <w:r w:rsidRPr="0085128E">
        <w:t>U</w:t>
      </w:r>
      <w:r w:rsidR="009F5A99" w:rsidRPr="0085128E">
        <w:t>POV.  Le</w:t>
      </w:r>
      <w:r w:rsidRPr="0085128E">
        <w:t xml:space="preserve"> cas échéant, l</w:t>
      </w:r>
      <w:r w:rsidR="008D0CFD" w:rsidRPr="0085128E">
        <w:t>’</w:t>
      </w:r>
      <w:r w:rsidRPr="0085128E">
        <w:t>UPOV contribuera à des articles dans des publications pertinentes.</w:t>
      </w:r>
    </w:p>
    <w:p w:rsidR="00720382" w:rsidRPr="0085128E" w:rsidRDefault="00720382" w:rsidP="0085128E">
      <w:pPr>
        <w:rPr>
          <w:rFonts w:cs="Arial"/>
          <w:snapToGrid w:val="0"/>
        </w:rPr>
      </w:pPr>
    </w:p>
    <w:p w:rsidR="003711EE" w:rsidRPr="0085128E" w:rsidRDefault="004748F3" w:rsidP="0085128E">
      <w:pPr>
        <w:rPr>
          <w:rFonts w:cs="Arial"/>
          <w:snapToGrid w:val="0"/>
        </w:rPr>
      </w:pPr>
      <w:r w:rsidRPr="0085128E">
        <w:t>2.4.2.3</w:t>
      </w:r>
      <w:r w:rsidRPr="0085128E">
        <w:tab/>
        <w:t>Le site</w:t>
      </w:r>
      <w:r w:rsidR="00C833CB" w:rsidRPr="0085128E">
        <w:t> </w:t>
      </w:r>
      <w:r w:rsidRPr="0085128E">
        <w:t>Web de l</w:t>
      </w:r>
      <w:r w:rsidR="008D0CFD" w:rsidRPr="0085128E">
        <w:t>’</w:t>
      </w:r>
      <w:r w:rsidRPr="0085128E">
        <w:t>UPOV est un important moyen de communication avec toutes les parties prenantes de l</w:t>
      </w:r>
      <w:r w:rsidR="008D0CFD" w:rsidRPr="0085128E">
        <w:t>’</w:t>
      </w:r>
      <w:r w:rsidRPr="0085128E">
        <w:t>UPOV qui sera actualisé avec de nouveaux matériels appropriés afin d</w:t>
      </w:r>
      <w:r w:rsidR="008D0CFD" w:rsidRPr="0085128E">
        <w:t>’</w:t>
      </w:r>
      <w:r w:rsidRPr="0085128E">
        <w:t>expliquer l</w:t>
      </w:r>
      <w:r w:rsidR="008D0CFD" w:rsidRPr="0085128E">
        <w:t>’</w:t>
      </w:r>
      <w:r w:rsidRPr="0085128E">
        <w:t>importance de la protection des obtentions végétal</w:t>
      </w:r>
      <w:r w:rsidR="009F5A99" w:rsidRPr="0085128E">
        <w:t>es.  Po</w:t>
      </w:r>
      <w:r w:rsidRPr="0085128E">
        <w:t>ur augmenter l</w:t>
      </w:r>
      <w:r w:rsidR="008D0CFD" w:rsidRPr="0085128E">
        <w:t>’</w:t>
      </w:r>
      <w:r w:rsidRPr="0085128E">
        <w:t>efficacité didactique du site</w:t>
      </w:r>
      <w:r w:rsidR="00C833CB" w:rsidRPr="0085128E">
        <w:t> </w:t>
      </w:r>
      <w:r w:rsidRPr="0085128E">
        <w:t>Web à cet égard, des rubriques à l</w:t>
      </w:r>
      <w:r w:rsidR="008D0CFD" w:rsidRPr="0085128E">
        <w:t>’</w:t>
      </w:r>
      <w:r w:rsidRPr="0085128E">
        <w:t>intention des parties prenantes ont été ajoutées au site</w:t>
      </w:r>
      <w:r w:rsidR="00C833CB" w:rsidRPr="0085128E">
        <w:t> </w:t>
      </w:r>
      <w:r w:rsidRPr="0085128E">
        <w:t>Web de l</w:t>
      </w:r>
      <w:r w:rsidR="008D0CFD" w:rsidRPr="0085128E">
        <w:t>’</w:t>
      </w:r>
      <w:r w:rsidRPr="0085128E">
        <w:t xml:space="preserve">UPOV </w:t>
      </w:r>
      <w:r w:rsidR="008D0CFD" w:rsidRPr="0085128E">
        <w:t>en 2016</w:t>
      </w:r>
      <w:r w:rsidRPr="0085128E">
        <w:t>.</w:t>
      </w:r>
      <w:r w:rsidR="00604822" w:rsidRPr="0085128E">
        <w:t xml:space="preserve">  </w:t>
      </w:r>
      <w:r w:rsidRPr="0085128E">
        <w:rPr>
          <w:snapToGrid w:val="0"/>
        </w:rPr>
        <w:t>Pour l</w:t>
      </w:r>
      <w:r w:rsidR="008D0CFD" w:rsidRPr="0085128E">
        <w:rPr>
          <w:snapToGrid w:val="0"/>
        </w:rPr>
        <w:t>’</w:t>
      </w:r>
      <w:r w:rsidRPr="0085128E">
        <w:rPr>
          <w:snapToGrid w:val="0"/>
        </w:rPr>
        <w:t xml:space="preserve">exercice </w:t>
      </w:r>
      <w:r w:rsidR="008D0CFD" w:rsidRPr="0085128E">
        <w:rPr>
          <w:snapToGrid w:val="0"/>
        </w:rPr>
        <w:t>biennal 2018-</w:t>
      </w:r>
      <w:r w:rsidRPr="0085128E">
        <w:rPr>
          <w:snapToGrid w:val="0"/>
        </w:rPr>
        <w:t>2019, ces rubriques à l</w:t>
      </w:r>
      <w:r w:rsidR="008D0CFD" w:rsidRPr="0085128E">
        <w:rPr>
          <w:snapToGrid w:val="0"/>
        </w:rPr>
        <w:t>’</w:t>
      </w:r>
      <w:r w:rsidRPr="0085128E">
        <w:rPr>
          <w:snapToGrid w:val="0"/>
        </w:rPr>
        <w:t xml:space="preserve">intention des différentes parties prenantes, </w:t>
      </w:r>
      <w:r w:rsidR="008D0CFD" w:rsidRPr="0085128E">
        <w:rPr>
          <w:snapToGrid w:val="0"/>
        </w:rPr>
        <w:t>à savoir</w:t>
      </w:r>
      <w:r w:rsidRPr="0085128E">
        <w:rPr>
          <w:snapToGrid w:val="0"/>
        </w:rPr>
        <w:t xml:space="preserve"> les obtenteurs, les agriculteurs, les responsables de l</w:t>
      </w:r>
      <w:r w:rsidR="008D0CFD" w:rsidRPr="0085128E">
        <w:rPr>
          <w:snapToGrid w:val="0"/>
        </w:rPr>
        <w:t>’</w:t>
      </w:r>
      <w:r w:rsidRPr="0085128E">
        <w:rPr>
          <w:snapToGrid w:val="0"/>
        </w:rPr>
        <w:t>élaboration des politiques et le grand public, feront l</w:t>
      </w:r>
      <w:r w:rsidR="008D0CFD" w:rsidRPr="0085128E">
        <w:rPr>
          <w:snapToGrid w:val="0"/>
        </w:rPr>
        <w:t>’</w:t>
      </w:r>
      <w:r w:rsidRPr="0085128E">
        <w:rPr>
          <w:snapToGrid w:val="0"/>
        </w:rPr>
        <w:t>objet d</w:t>
      </w:r>
      <w:r w:rsidR="008D0CFD" w:rsidRPr="0085128E">
        <w:rPr>
          <w:snapToGrid w:val="0"/>
        </w:rPr>
        <w:t>’</w:t>
      </w:r>
      <w:r w:rsidRPr="0085128E">
        <w:rPr>
          <w:snapToGrid w:val="0"/>
        </w:rPr>
        <w:t>un suivi et seront actualisées.</w:t>
      </w:r>
    </w:p>
    <w:p w:rsidR="00720382" w:rsidRPr="0085128E" w:rsidRDefault="00720382" w:rsidP="0085128E">
      <w:pPr>
        <w:rPr>
          <w:rFonts w:cs="Arial"/>
          <w:snapToGrid w:val="0"/>
        </w:rPr>
      </w:pPr>
    </w:p>
    <w:p w:rsidR="003711EE" w:rsidRPr="0085128E" w:rsidRDefault="004748F3" w:rsidP="0085128E">
      <w:r w:rsidRPr="0085128E">
        <w:t>2.4.2.4</w:t>
      </w:r>
      <w:r w:rsidRPr="0085128E">
        <w:tab/>
        <w:t>L</w:t>
      </w:r>
      <w:r w:rsidR="008D0CFD" w:rsidRPr="0085128E">
        <w:t>’</w:t>
      </w:r>
      <w:r w:rsidRPr="0085128E">
        <w:t>UPOV continuera également à communiquer avec les organisations non gouvernementales ci</w:t>
      </w:r>
      <w:r w:rsidR="008D0CFD" w:rsidRPr="0085128E">
        <w:t>-</w:t>
      </w:r>
      <w:r w:rsidRPr="0085128E">
        <w:t>après représentant des parties prenantes</w:t>
      </w:r>
      <w:r w:rsidR="008D0CFD" w:rsidRPr="0085128E">
        <w:t> :</w:t>
      </w:r>
    </w:p>
    <w:p w:rsidR="00720382" w:rsidRPr="0085128E" w:rsidRDefault="00720382" w:rsidP="0085128E">
      <w:pPr>
        <w:tabs>
          <w:tab w:val="left" w:pos="851"/>
        </w:tabs>
      </w:pPr>
    </w:p>
    <w:p w:rsidR="00720382" w:rsidRPr="0085128E" w:rsidRDefault="00AF0E43" w:rsidP="0088179C">
      <w:pPr>
        <w:pStyle w:val="ListParagraph"/>
        <w:numPr>
          <w:ilvl w:val="0"/>
          <w:numId w:val="15"/>
        </w:numPr>
        <w:ind w:left="1134" w:hanging="567"/>
        <w:rPr>
          <w:rFonts w:cs="Arial"/>
          <w:snapToGrid w:val="0"/>
        </w:rPr>
      </w:pPr>
      <w:r w:rsidRPr="0085128E">
        <w:rPr>
          <w:rFonts w:cs="Arial"/>
          <w:snapToGrid w:val="0"/>
        </w:rPr>
        <w:t>Obtenteurs/producteurs de semences/multiplicateurs de végétaux</w:t>
      </w:r>
      <w:r w:rsidR="008D0CFD" w:rsidRPr="0085128E">
        <w:rPr>
          <w:rFonts w:cs="Arial"/>
          <w:snapToGrid w:val="0"/>
        </w:rPr>
        <w:t> :</w:t>
      </w:r>
      <w:r w:rsidRPr="0085128E">
        <w:rPr>
          <w:rFonts w:cs="Arial"/>
          <w:snapToGrid w:val="0"/>
        </w:rPr>
        <w:t xml:space="preserve"> la Communauté internationale des obtenteurs de plantes ornementales et fruitières à reproduction asexuée (CIOPORA), l</w:t>
      </w:r>
      <w:r w:rsidR="008D0CFD" w:rsidRPr="0085128E">
        <w:rPr>
          <w:rFonts w:cs="Arial"/>
          <w:snapToGrid w:val="0"/>
        </w:rPr>
        <w:t>’</w:t>
      </w:r>
      <w:r w:rsidRPr="0085128E">
        <w:rPr>
          <w:rFonts w:cs="Arial"/>
          <w:snapToGrid w:val="0"/>
        </w:rPr>
        <w:t>ISF, CropLife International, l</w:t>
      </w:r>
      <w:r w:rsidR="008D0CFD" w:rsidRPr="0085128E">
        <w:rPr>
          <w:rFonts w:cs="Arial"/>
          <w:snapToGrid w:val="0"/>
        </w:rPr>
        <w:t>’</w:t>
      </w:r>
      <w:r w:rsidRPr="0085128E">
        <w:rPr>
          <w:rFonts w:cs="Arial"/>
          <w:snapToGrid w:val="0"/>
        </w:rPr>
        <w:t>Association internationale des producteurs horticoles (AIPH), l</w:t>
      </w:r>
      <w:r w:rsidR="008D0CFD" w:rsidRPr="0085128E">
        <w:rPr>
          <w:rFonts w:cs="Arial"/>
          <w:snapToGrid w:val="0"/>
        </w:rPr>
        <w:t>’</w:t>
      </w:r>
      <w:r w:rsidRPr="0085128E">
        <w:rPr>
          <w:rFonts w:cs="Arial"/>
          <w:snapToGrid w:val="0"/>
        </w:rPr>
        <w:t>Association africaine du commerce des semences (AFSTA), l</w:t>
      </w:r>
      <w:r w:rsidR="008D0CFD" w:rsidRPr="0085128E">
        <w:rPr>
          <w:rFonts w:cs="Arial"/>
          <w:snapToGrid w:val="0"/>
        </w:rPr>
        <w:t>’</w:t>
      </w:r>
      <w:r w:rsidRPr="0085128E">
        <w:rPr>
          <w:rFonts w:cs="Arial"/>
          <w:snapToGrid w:val="0"/>
        </w:rPr>
        <w:t>Association de semenciers d</w:t>
      </w:r>
      <w:r w:rsidR="008D0CFD" w:rsidRPr="0085128E">
        <w:rPr>
          <w:rFonts w:cs="Arial"/>
          <w:snapToGrid w:val="0"/>
        </w:rPr>
        <w:t>’</w:t>
      </w:r>
      <w:r w:rsidRPr="0085128E">
        <w:rPr>
          <w:rFonts w:cs="Arial"/>
          <w:snapToGrid w:val="0"/>
        </w:rPr>
        <w:t xml:space="preserve">Asie et du Pacifique (APSA), la </w:t>
      </w:r>
      <w:r w:rsidRPr="0085128E">
        <w:rPr>
          <w:rFonts w:cs="Arial"/>
          <w:i/>
          <w:snapToGrid w:val="0"/>
        </w:rPr>
        <w:t>European Seed Association</w:t>
      </w:r>
      <w:r w:rsidRPr="0085128E">
        <w:rPr>
          <w:rFonts w:cs="Arial"/>
          <w:snapToGrid w:val="0"/>
        </w:rPr>
        <w:t xml:space="preserve"> (ESA), la </w:t>
      </w:r>
      <w:r w:rsidRPr="0085128E">
        <w:rPr>
          <w:rFonts w:cs="Arial"/>
          <w:i/>
          <w:snapToGrid w:val="0"/>
        </w:rPr>
        <w:t>Federación Latinoamericana de Asociaciones de Semillistas</w:t>
      </w:r>
      <w:r w:rsidRPr="0085128E">
        <w:rPr>
          <w:rFonts w:cs="Arial"/>
          <w:snapToGrid w:val="0"/>
        </w:rPr>
        <w:t xml:space="preserve"> (FELAS) et la </w:t>
      </w:r>
      <w:r w:rsidRPr="0085128E">
        <w:rPr>
          <w:rFonts w:cs="Arial"/>
          <w:i/>
          <w:snapToGrid w:val="0"/>
        </w:rPr>
        <w:t>Seed Association of the Americas</w:t>
      </w:r>
      <w:r w:rsidRPr="0085128E">
        <w:rPr>
          <w:rFonts w:cs="Arial"/>
          <w:snapToGrid w:val="0"/>
        </w:rPr>
        <w:t xml:space="preserve"> (SAA).</w:t>
      </w:r>
    </w:p>
    <w:p w:rsidR="00720382" w:rsidRPr="0085128E" w:rsidRDefault="00720382" w:rsidP="0088179C">
      <w:pPr>
        <w:pStyle w:val="ListParagraph"/>
        <w:ind w:left="1134" w:hanging="567"/>
        <w:rPr>
          <w:rFonts w:cs="Arial"/>
          <w:snapToGrid w:val="0"/>
        </w:rPr>
      </w:pPr>
    </w:p>
    <w:p w:rsidR="00720382" w:rsidRPr="0085128E" w:rsidRDefault="00AF0E43" w:rsidP="0088179C">
      <w:pPr>
        <w:pStyle w:val="ListParagraph"/>
        <w:numPr>
          <w:ilvl w:val="0"/>
          <w:numId w:val="15"/>
        </w:numPr>
        <w:ind w:left="1134" w:hanging="567"/>
        <w:rPr>
          <w:rFonts w:cs="Arial"/>
          <w:snapToGrid w:val="0"/>
        </w:rPr>
      </w:pPr>
      <w:r w:rsidRPr="0085128E">
        <w:rPr>
          <w:rFonts w:cs="Arial"/>
          <w:snapToGrid w:val="0"/>
        </w:rPr>
        <w:t>Agriculteurs</w:t>
      </w:r>
      <w:r w:rsidR="008D0CFD" w:rsidRPr="0085128E">
        <w:rPr>
          <w:rFonts w:cs="Arial"/>
          <w:snapToGrid w:val="0"/>
        </w:rPr>
        <w:t> :</w:t>
      </w:r>
      <w:r w:rsidRPr="0085128E">
        <w:rPr>
          <w:rFonts w:cs="Arial"/>
          <w:snapToGrid w:val="0"/>
        </w:rPr>
        <w:t xml:space="preserve"> l</w:t>
      </w:r>
      <w:r w:rsidR="008D0CFD" w:rsidRPr="0085128E">
        <w:rPr>
          <w:rFonts w:cs="Arial"/>
          <w:snapToGrid w:val="0"/>
        </w:rPr>
        <w:t>’</w:t>
      </w:r>
      <w:r w:rsidRPr="0085128E">
        <w:rPr>
          <w:rFonts w:cs="Arial"/>
          <w:snapToGrid w:val="0"/>
        </w:rPr>
        <w:t>Organisation mondiale des agriculteurs (OMA), le Comité des organisations agricoles de l</w:t>
      </w:r>
      <w:r w:rsidR="008D0CFD" w:rsidRPr="0085128E">
        <w:rPr>
          <w:rFonts w:cs="Arial"/>
          <w:snapToGrid w:val="0"/>
        </w:rPr>
        <w:t>’</w:t>
      </w:r>
      <w:r w:rsidRPr="0085128E">
        <w:rPr>
          <w:rFonts w:cs="Arial"/>
          <w:snapToGrid w:val="0"/>
        </w:rPr>
        <w:t>Union européenne (COPA), le Comité général de la coopération agricole de la Communauté économique européenne (COGECA) et la Coordination européenne via campesina.</w:t>
      </w:r>
    </w:p>
    <w:p w:rsidR="00720382" w:rsidRPr="0085128E" w:rsidRDefault="00720382" w:rsidP="0088179C">
      <w:pPr>
        <w:ind w:left="1134" w:hanging="567"/>
        <w:rPr>
          <w:rFonts w:cs="Arial"/>
          <w:snapToGrid w:val="0"/>
        </w:rPr>
      </w:pPr>
    </w:p>
    <w:p w:rsidR="00720382" w:rsidRPr="0085128E" w:rsidRDefault="00AF0E43" w:rsidP="0088179C">
      <w:pPr>
        <w:pStyle w:val="ListParagraph"/>
        <w:numPr>
          <w:ilvl w:val="0"/>
          <w:numId w:val="15"/>
        </w:numPr>
        <w:ind w:left="1134" w:hanging="567"/>
        <w:rPr>
          <w:rFonts w:cs="Arial"/>
          <w:snapToGrid w:val="0"/>
        </w:rPr>
      </w:pPr>
      <w:r w:rsidRPr="0085128E">
        <w:rPr>
          <w:rFonts w:cs="Arial"/>
          <w:snapToGrid w:val="0"/>
        </w:rPr>
        <w:t>Société civile</w:t>
      </w:r>
      <w:r w:rsidR="008D0CFD" w:rsidRPr="0085128E">
        <w:rPr>
          <w:rFonts w:cs="Arial"/>
          <w:snapToGrid w:val="0"/>
        </w:rPr>
        <w:t> :</w:t>
      </w:r>
      <w:r w:rsidRPr="0085128E">
        <w:rPr>
          <w:rFonts w:cs="Arial"/>
          <w:snapToGrid w:val="0"/>
        </w:rPr>
        <w:t xml:space="preserve"> l</w:t>
      </w:r>
      <w:r w:rsidR="008D0CFD" w:rsidRPr="0085128E">
        <w:rPr>
          <w:rFonts w:cs="Arial"/>
          <w:snapToGrid w:val="0"/>
        </w:rPr>
        <w:t>’</w:t>
      </w:r>
      <w:r w:rsidRPr="0085128E">
        <w:rPr>
          <w:rFonts w:cs="Arial"/>
          <w:i/>
          <w:snapToGrid w:val="0"/>
        </w:rPr>
        <w:t>Association for Plant Breeding for the Benefit of Society</w:t>
      </w:r>
      <w:r w:rsidRPr="0085128E">
        <w:rPr>
          <w:rFonts w:cs="Arial"/>
          <w:snapToGrid w:val="0"/>
        </w:rPr>
        <w:t xml:space="preserve"> (APBREBES)</w:t>
      </w:r>
    </w:p>
    <w:p w:rsidR="00720382" w:rsidRPr="0085128E" w:rsidRDefault="00720382" w:rsidP="0085128E">
      <w:pPr>
        <w:tabs>
          <w:tab w:val="left" w:pos="851"/>
        </w:tabs>
      </w:pPr>
    </w:p>
    <w:p w:rsidR="00720382" w:rsidRPr="0085128E" w:rsidRDefault="00720382" w:rsidP="0085128E">
      <w:pPr>
        <w:tabs>
          <w:tab w:val="left" w:pos="851"/>
        </w:tabs>
      </w:pPr>
    </w:p>
    <w:p w:rsidR="00720382" w:rsidRPr="0085128E" w:rsidRDefault="00AF0E43" w:rsidP="0088179C">
      <w:pPr>
        <w:pStyle w:val="Heading4"/>
      </w:pPr>
      <w:bookmarkStart w:id="180" w:name="_Toc489954605"/>
      <w:bookmarkStart w:id="181" w:name="_Toc489954791"/>
      <w:bookmarkStart w:id="182" w:name="_Toc489956774"/>
      <w:bookmarkStart w:id="183" w:name="_Toc489956862"/>
      <w:bookmarkStart w:id="184" w:name="_Toc490572928"/>
      <w:bookmarkStart w:id="185" w:name="_Toc491088303"/>
      <w:r w:rsidRPr="0085128E">
        <w:t>Communication avec d</w:t>
      </w:r>
      <w:r w:rsidR="008D0CFD" w:rsidRPr="0085128E">
        <w:t>’</w:t>
      </w:r>
      <w:r w:rsidRPr="0085128E">
        <w:t>autres organisations</w:t>
      </w:r>
      <w:bookmarkEnd w:id="180"/>
      <w:bookmarkEnd w:id="181"/>
      <w:bookmarkEnd w:id="182"/>
      <w:bookmarkEnd w:id="183"/>
      <w:bookmarkEnd w:id="184"/>
      <w:bookmarkEnd w:id="185"/>
    </w:p>
    <w:p w:rsidR="00720382" w:rsidRPr="0085128E" w:rsidRDefault="00720382" w:rsidP="0085128E">
      <w:pPr>
        <w:tabs>
          <w:tab w:val="left" w:pos="851"/>
        </w:tabs>
      </w:pPr>
    </w:p>
    <w:p w:rsidR="00720382" w:rsidRPr="0085128E" w:rsidRDefault="00AF0E43" w:rsidP="0085128E">
      <w:r w:rsidRPr="0085128E">
        <w:t>2.4.2.5</w:t>
      </w:r>
      <w:r w:rsidRPr="0085128E">
        <w:tab/>
        <w:t>L</w:t>
      </w:r>
      <w:r w:rsidR="008D0CFD" w:rsidRPr="0085128E">
        <w:t>’</w:t>
      </w:r>
      <w:r w:rsidRPr="0085128E">
        <w:t>UPOV contribuera aux travaux des organisations internationales intergouvernementales compétentes en vue de faire mieux connaître le système UPOV de protection des obtentions végétales et d</w:t>
      </w:r>
      <w:r w:rsidR="008D0CFD" w:rsidRPr="0085128E">
        <w:t>’</w:t>
      </w:r>
      <w:r w:rsidRPr="0085128E">
        <w:t>assurer un lien de complémentari</w:t>
      </w:r>
      <w:r w:rsidR="009F5A99" w:rsidRPr="0085128E">
        <w:t>té.  Pl</w:t>
      </w:r>
      <w:r w:rsidRPr="0085128E">
        <w:t>us précisément, l</w:t>
      </w:r>
      <w:r w:rsidR="008D0CFD" w:rsidRPr="0085128E">
        <w:t>’</w:t>
      </w:r>
      <w:r w:rsidRPr="0085128E">
        <w:t>UPOV collaborera avec l</w:t>
      </w:r>
      <w:r w:rsidR="008D0CFD" w:rsidRPr="0085128E">
        <w:t>’</w:t>
      </w:r>
      <w:r w:rsidRPr="0085128E">
        <w:t>OMPI;  l</w:t>
      </w:r>
      <w:r w:rsidR="008D0CFD" w:rsidRPr="0085128E">
        <w:t>’</w:t>
      </w:r>
      <w:r w:rsidRPr="0085128E">
        <w:t>OMC et, en particulier, son Conseil des droits de propriété intellectuelle qui touchent au commerce (Conseil</w:t>
      </w:r>
      <w:r w:rsidR="008D0CFD" w:rsidRPr="0085128E">
        <w:t xml:space="preserve"> des ADP</w:t>
      </w:r>
      <w:r w:rsidRPr="0085128E">
        <w:t xml:space="preserve">IC);  la Conférence des Parties à la Convention sur la diversité biologique (CDB), </w:t>
      </w:r>
      <w:r w:rsidR="008D0CFD" w:rsidRPr="0085128E">
        <w:t>y compris</w:t>
      </w:r>
      <w:r w:rsidRPr="0085128E">
        <w:t>, en particulier, ses divers comités et groupes de travail concernant le Protocole de Nagoya sur l</w:t>
      </w:r>
      <w:r w:rsidR="008D0CFD" w:rsidRPr="0085128E">
        <w:t>’</w:t>
      </w:r>
      <w:r w:rsidRPr="0085128E">
        <w:t>accès aux ressources génétiques et le partage juste et équitable des avantages découlant de leur utilisation à la Convention sur la diversité biologique;  et l</w:t>
      </w:r>
      <w:r w:rsidR="008D0CFD" w:rsidRPr="0085128E">
        <w:t>’</w:t>
      </w:r>
      <w:r w:rsidRPr="0085128E">
        <w:t xml:space="preserve">Organisation des </w:t>
      </w:r>
      <w:r w:rsidR="008D0CFD" w:rsidRPr="0085128E">
        <w:t>Nations Unies</w:t>
      </w:r>
      <w:r w:rsidRPr="0085128E">
        <w:t xml:space="preserve"> pour l</w:t>
      </w:r>
      <w:r w:rsidR="008D0CFD" w:rsidRPr="0085128E">
        <w:t>’</w:t>
      </w:r>
      <w:r w:rsidRPr="0085128E">
        <w:t>alimentation et l</w:t>
      </w:r>
      <w:r w:rsidR="008D0CFD" w:rsidRPr="0085128E">
        <w:t>’</w:t>
      </w:r>
      <w:r w:rsidRPr="0085128E">
        <w:t xml:space="preserve">agriculture (FAO), </w:t>
      </w:r>
      <w:r w:rsidR="008D0CFD" w:rsidRPr="0085128E">
        <w:t>y compris</w:t>
      </w:r>
      <w:r w:rsidRPr="0085128E">
        <w:t>, en particulier, l</w:t>
      </w:r>
      <w:r w:rsidR="008D0CFD" w:rsidRPr="0085128E">
        <w:t>’</w:t>
      </w:r>
      <w:r w:rsidRPr="0085128E">
        <w:t>organe directeur du Traité international sur les ressources phytogénétiques pour l</w:t>
      </w:r>
      <w:r w:rsidR="008D0CFD" w:rsidRPr="0085128E">
        <w:t>’</w:t>
      </w:r>
      <w:r w:rsidRPr="0085128E">
        <w:t>alimentation et l</w:t>
      </w:r>
      <w:r w:rsidR="008D0CFD" w:rsidRPr="0085128E">
        <w:t>’</w:t>
      </w:r>
      <w:r w:rsidRPr="0085128E">
        <w:t>agricultu</w:t>
      </w:r>
      <w:r w:rsidR="009F5A99" w:rsidRPr="0085128E">
        <w:t>re.  Le</w:t>
      </w:r>
      <w:r w:rsidR="0073185B" w:rsidRPr="0085128E">
        <w:t xml:space="preserve"> rôle de la protection des obtentions végétales pour les instituts de recherche publics signifie que l</w:t>
      </w:r>
      <w:r w:rsidR="008D0CFD" w:rsidRPr="0085128E">
        <w:t>’</w:t>
      </w:r>
      <w:r w:rsidR="0073185B" w:rsidRPr="0085128E">
        <w:t>UPOV continuera à établir et à approfondir les relations avec les centres compétents du Groupe consultatif pour la recherche agricole internationale (GCRAI).</w:t>
      </w:r>
    </w:p>
    <w:p w:rsidR="00720382" w:rsidRPr="0085128E" w:rsidRDefault="00720382" w:rsidP="0085128E">
      <w:pPr>
        <w:tabs>
          <w:tab w:val="left" w:pos="851"/>
        </w:tabs>
      </w:pPr>
    </w:p>
    <w:p w:rsidR="00720382" w:rsidRPr="0085128E" w:rsidRDefault="0073185B" w:rsidP="0085128E">
      <w:r w:rsidRPr="0085128E">
        <w:t>2.4.2.6</w:t>
      </w:r>
      <w:r w:rsidRPr="0085128E">
        <w:tab/>
        <w:t>S</w:t>
      </w:r>
      <w:r w:rsidR="008D0CFD" w:rsidRPr="0085128E">
        <w:t>’</w:t>
      </w:r>
      <w:r w:rsidRPr="0085128E">
        <w:t xml:space="preserve">agissant des organisations dans le domaine des semences, la coopération </w:t>
      </w:r>
      <w:r w:rsidR="00253DE3" w:rsidRPr="0085128E">
        <w:t>de</w:t>
      </w:r>
      <w:r w:rsidRPr="0085128E">
        <w:t xml:space="preserve"> l</w:t>
      </w:r>
      <w:r w:rsidR="008D0CFD" w:rsidRPr="0085128E">
        <w:t>’</w:t>
      </w:r>
      <w:r w:rsidRPr="0085128E">
        <w:t xml:space="preserve">UPOV </w:t>
      </w:r>
      <w:r w:rsidR="00253DE3" w:rsidRPr="0085128E">
        <w:t>avec</w:t>
      </w:r>
      <w:r w:rsidRPr="0085128E">
        <w:t xml:space="preserve"> l</w:t>
      </w:r>
      <w:r w:rsidR="008D0CFD" w:rsidRPr="0085128E">
        <w:t>’</w:t>
      </w:r>
      <w:r w:rsidRPr="0085128E">
        <w:t>OCDE, en ce qui concerne le</w:t>
      </w:r>
      <w:r w:rsidR="00253DE3" w:rsidRPr="0085128E">
        <w:t>s</w:t>
      </w:r>
      <w:r w:rsidRPr="0085128E">
        <w:t xml:space="preserve"> système</w:t>
      </w:r>
      <w:r w:rsidR="00253DE3" w:rsidRPr="0085128E">
        <w:t>s</w:t>
      </w:r>
      <w:r w:rsidRPr="0085128E">
        <w:t xml:space="preserve"> de</w:t>
      </w:r>
      <w:r w:rsidR="00253DE3" w:rsidRPr="0085128E">
        <w:t>s</w:t>
      </w:r>
      <w:r w:rsidRPr="0085128E">
        <w:t xml:space="preserve"> semences de l</w:t>
      </w:r>
      <w:r w:rsidR="008D0CFD" w:rsidRPr="0085128E">
        <w:t>’</w:t>
      </w:r>
      <w:r w:rsidRPr="0085128E">
        <w:t>OCDE, ainsi q</w:t>
      </w:r>
      <w:r w:rsidR="00253DE3" w:rsidRPr="0085128E">
        <w:t>u</w:t>
      </w:r>
      <w:r w:rsidR="008D0CFD" w:rsidRPr="0085128E">
        <w:t>’</w:t>
      </w:r>
      <w:r w:rsidR="00253DE3" w:rsidRPr="0085128E">
        <w:t>avec</w:t>
      </w:r>
      <w:r w:rsidRPr="0085128E">
        <w:t xml:space="preserve"> l</w:t>
      </w:r>
      <w:r w:rsidR="008D0CFD" w:rsidRPr="0085128E">
        <w:t>’</w:t>
      </w:r>
      <w:r w:rsidRPr="0085128E">
        <w:t xml:space="preserve">ISTA, revêt une importance particulière </w:t>
      </w:r>
      <w:r w:rsidR="008D0CFD" w:rsidRPr="0085128E">
        <w:t>à l’égard</w:t>
      </w:r>
      <w:r w:rsidRPr="0085128E">
        <w:t xml:space="preserve"> de certaines questions techniques, notamment</w:t>
      </w:r>
      <w:r w:rsidR="00604822" w:rsidRPr="0085128E">
        <w:t xml:space="preserve"> </w:t>
      </w:r>
      <w:r w:rsidRPr="0085128E">
        <w:t>l</w:t>
      </w:r>
      <w:r w:rsidR="008D0CFD" w:rsidRPr="0085128E">
        <w:t>’</w:t>
      </w:r>
      <w:r w:rsidRPr="0085128E">
        <w:t>examen</w:t>
      </w:r>
      <w:r w:rsidR="00C833CB" w:rsidRPr="0085128E">
        <w:t> </w:t>
      </w:r>
      <w:r w:rsidRPr="0085128E">
        <w:t>DHS, les dénominations variétales et le rôle des marqueurs moléculaires dans l</w:t>
      </w:r>
      <w:r w:rsidR="008D0CFD" w:rsidRPr="0085128E">
        <w:t>’</w:t>
      </w:r>
      <w:r w:rsidRPr="0085128E">
        <w:t>examen et l</w:t>
      </w:r>
      <w:r w:rsidR="008D0CFD" w:rsidRPr="0085128E">
        <w:t>’</w:t>
      </w:r>
      <w:r w:rsidRPr="0085128E">
        <w:t>identification des variét</w:t>
      </w:r>
      <w:r w:rsidR="009F5A99" w:rsidRPr="0085128E">
        <w:t>és.  Le</w:t>
      </w:r>
      <w:r w:rsidRPr="0085128E">
        <w:t xml:space="preserve"> Partenariat mondial sur le</w:t>
      </w:r>
      <w:r w:rsidR="00E619B7" w:rsidRPr="0085128E">
        <w:t>s semences</w:t>
      </w:r>
      <w:r w:rsidRPr="0085128E">
        <w:t xml:space="preserve"> (</w:t>
      </w:r>
      <w:hyperlink r:id="rId21" w:history="1">
        <w:r w:rsidRPr="002014DF">
          <w:rPr>
            <w:rStyle w:val="Hyperlink"/>
          </w:rPr>
          <w:t>www.worldseedpartnership.org</w:t>
        </w:r>
      </w:hyperlink>
      <w:r w:rsidRPr="0085128E">
        <w:t>), une initiative conjointe de l</w:t>
      </w:r>
      <w:r w:rsidR="008D0CFD" w:rsidRPr="0085128E">
        <w:t>’</w:t>
      </w:r>
      <w:r w:rsidRPr="0085128E">
        <w:t>OCDE, l</w:t>
      </w:r>
      <w:r w:rsidR="008D0CFD" w:rsidRPr="0085128E">
        <w:t>’</w:t>
      </w:r>
      <w:r w:rsidRPr="0085128E">
        <w:t>UPOV, l</w:t>
      </w:r>
      <w:r w:rsidR="008D0CFD" w:rsidRPr="0085128E">
        <w:t>’</w:t>
      </w:r>
      <w:r w:rsidRPr="0085128E">
        <w:t>ISTA et l</w:t>
      </w:r>
      <w:r w:rsidR="008D0CFD" w:rsidRPr="0085128E">
        <w:t>’</w:t>
      </w:r>
      <w:r w:rsidRPr="0085128E">
        <w:t xml:space="preserve">ISF, a été lancé </w:t>
      </w:r>
      <w:r w:rsidR="008D0CFD" w:rsidRPr="0085128E">
        <w:t>en 2017</w:t>
      </w:r>
      <w:r w:rsidRPr="0085128E">
        <w:t xml:space="preserve"> afin de servir de point d</w:t>
      </w:r>
      <w:r w:rsidR="008D0CFD" w:rsidRPr="0085128E">
        <w:t>’</w:t>
      </w:r>
      <w:r w:rsidRPr="0085128E">
        <w:t>information central sur le rôle joué par les systèmes de semences harmonisés au niveau international pour soutenir l</w:t>
      </w:r>
      <w:r w:rsidR="008D0CFD" w:rsidRPr="0085128E">
        <w:t>’</w:t>
      </w:r>
      <w:r w:rsidRPr="0085128E">
        <w:t>agriculture durable.</w:t>
      </w:r>
    </w:p>
    <w:p w:rsidR="00720382" w:rsidRPr="0085128E" w:rsidRDefault="00720382" w:rsidP="0085128E"/>
    <w:p w:rsidR="00720382" w:rsidRPr="0085128E" w:rsidRDefault="00387DB3" w:rsidP="0085128E">
      <w:r>
        <w:t>2.4.2.7</w:t>
      </w:r>
      <w:r>
        <w:tab/>
      </w:r>
      <w:r w:rsidR="0073185B" w:rsidRPr="0085128E">
        <w:t>En ce qui concerne les dénominations variétales, la coopération avec Commission internationale de nomenclature des plantes cultivées de l</w:t>
      </w:r>
      <w:r w:rsidR="008D0CFD" w:rsidRPr="0085128E">
        <w:t>’</w:t>
      </w:r>
      <w:r w:rsidR="0073185B" w:rsidRPr="0085128E">
        <w:t>Union internationale des sciences biologiques (UISB) (ICNCP) est également importante.</w:t>
      </w:r>
    </w:p>
    <w:p w:rsidR="00720382" w:rsidRPr="0085128E" w:rsidRDefault="00720382" w:rsidP="0085128E"/>
    <w:p w:rsidR="00720382" w:rsidRPr="0085128E" w:rsidRDefault="00720382" w:rsidP="0085128E"/>
    <w:p w:rsidR="00720382" w:rsidRPr="0085128E" w:rsidRDefault="0073185B" w:rsidP="0088179C">
      <w:pPr>
        <w:pStyle w:val="Heading3"/>
      </w:pPr>
      <w:bookmarkStart w:id="186" w:name="_Toc489956775"/>
      <w:bookmarkStart w:id="187" w:name="_Toc489956863"/>
      <w:bookmarkStart w:id="188" w:name="_Toc490572929"/>
      <w:bookmarkStart w:id="189" w:name="_Toc491088304"/>
      <w:r w:rsidRPr="0085128E">
        <w:t>2.4.3</w:t>
      </w:r>
      <w:r w:rsidRPr="0085128E">
        <w:tab/>
        <w:t>Activités</w:t>
      </w:r>
      <w:bookmarkEnd w:id="186"/>
      <w:bookmarkEnd w:id="187"/>
      <w:bookmarkEnd w:id="188"/>
      <w:bookmarkEnd w:id="189"/>
    </w:p>
    <w:p w:rsidR="00720382" w:rsidRPr="0085128E" w:rsidRDefault="00720382" w:rsidP="0085128E">
      <w:pPr>
        <w:keepNext/>
      </w:pPr>
    </w:p>
    <w:p w:rsidR="00720382" w:rsidRPr="0085128E" w:rsidRDefault="0073185B" w:rsidP="0085128E">
      <w:pPr>
        <w:numPr>
          <w:ilvl w:val="0"/>
          <w:numId w:val="12"/>
        </w:numPr>
        <w:tabs>
          <w:tab w:val="clear" w:pos="720"/>
        </w:tabs>
        <w:spacing w:after="120"/>
        <w:ind w:left="1134" w:hanging="504"/>
      </w:pPr>
      <w:r w:rsidRPr="0085128E">
        <w:t>Participation à des réunions avec des organisations intergouvernementales et non gouvernementales.</w:t>
      </w:r>
    </w:p>
    <w:p w:rsidR="00720382" w:rsidRPr="0085128E" w:rsidRDefault="0073185B" w:rsidP="0085128E">
      <w:pPr>
        <w:numPr>
          <w:ilvl w:val="0"/>
          <w:numId w:val="12"/>
        </w:numPr>
        <w:tabs>
          <w:tab w:val="clear" w:pos="720"/>
        </w:tabs>
        <w:spacing w:after="120"/>
        <w:ind w:left="1134" w:hanging="504"/>
      </w:pPr>
      <w:r w:rsidRPr="0085128E">
        <w:t>Formulation de commentaires et fourniture d</w:t>
      </w:r>
      <w:r w:rsidR="008D0CFD" w:rsidRPr="0085128E">
        <w:t>’</w:t>
      </w:r>
      <w:r w:rsidRPr="0085128E">
        <w:t>informations à l</w:t>
      </w:r>
      <w:r w:rsidR="008D0CFD" w:rsidRPr="0085128E">
        <w:t>’</w:t>
      </w:r>
      <w:r w:rsidRPr="0085128E">
        <w:t>intention d</w:t>
      </w:r>
      <w:r w:rsidR="008D0CFD" w:rsidRPr="0085128E">
        <w:t>’</w:t>
      </w:r>
      <w:r w:rsidRPr="0085128E">
        <w:t>autres organisations.</w:t>
      </w:r>
    </w:p>
    <w:p w:rsidR="00720382" w:rsidRPr="0085128E" w:rsidRDefault="00663BDD" w:rsidP="0085128E">
      <w:pPr>
        <w:numPr>
          <w:ilvl w:val="0"/>
          <w:numId w:val="12"/>
        </w:numPr>
        <w:spacing w:after="120"/>
        <w:ind w:left="1134" w:hanging="505"/>
      </w:pPr>
      <w:r w:rsidRPr="0085128E">
        <w:t>Mise à jour et mise au point du site</w:t>
      </w:r>
      <w:r w:rsidR="00C833CB" w:rsidRPr="0085128E">
        <w:t> </w:t>
      </w:r>
      <w:r w:rsidRPr="0085128E">
        <w:t>Web de l</w:t>
      </w:r>
      <w:r w:rsidR="008D0CFD" w:rsidRPr="0085128E">
        <w:t>’</w:t>
      </w:r>
      <w:r w:rsidRPr="0085128E">
        <w:t>UPOV, notamment en ce qui concerne les fonctions axées sur les parties prenantes.</w:t>
      </w:r>
    </w:p>
    <w:p w:rsidR="00720382" w:rsidRPr="0085128E" w:rsidRDefault="00663BDD" w:rsidP="0085128E">
      <w:pPr>
        <w:pStyle w:val="ListParagraph"/>
        <w:numPr>
          <w:ilvl w:val="0"/>
          <w:numId w:val="12"/>
        </w:numPr>
        <w:spacing w:after="120"/>
        <w:ind w:left="1134" w:hanging="505"/>
        <w:contextualSpacing w:val="0"/>
      </w:pPr>
      <w:r w:rsidRPr="0085128E">
        <w:t>Élaboration et diffusion de matériels d</w:t>
      </w:r>
      <w:r w:rsidR="008D0CFD" w:rsidRPr="0085128E">
        <w:t>’</w:t>
      </w:r>
      <w:r w:rsidRPr="0085128E">
        <w:t>information à l</w:t>
      </w:r>
      <w:r w:rsidR="008D0CFD" w:rsidRPr="0085128E">
        <w:t>’</w:t>
      </w:r>
      <w:r w:rsidRPr="0085128E">
        <w:t>intention des parties prenantes.</w:t>
      </w:r>
    </w:p>
    <w:p w:rsidR="00720382" w:rsidRPr="0085128E" w:rsidRDefault="00663BDD" w:rsidP="0085128E">
      <w:pPr>
        <w:pStyle w:val="ListParagraph"/>
        <w:numPr>
          <w:ilvl w:val="0"/>
          <w:numId w:val="12"/>
        </w:numPr>
        <w:spacing w:after="120"/>
        <w:ind w:left="1134" w:hanging="504"/>
      </w:pPr>
      <w:r w:rsidRPr="0085128E">
        <w:t>Séminaires ou colloques sur des thèmes pertinents.</w:t>
      </w:r>
    </w:p>
    <w:p w:rsidR="00720382" w:rsidRPr="0085128E" w:rsidRDefault="00720382" w:rsidP="0085128E"/>
    <w:p w:rsidR="00720382" w:rsidRPr="0085128E" w:rsidRDefault="00720382" w:rsidP="0085128E"/>
    <w:p w:rsidR="00720382" w:rsidRPr="0085128E" w:rsidRDefault="00663BDD" w:rsidP="00881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85128E">
        <w:rPr>
          <w:b/>
        </w:rPr>
        <w:t>2.4.4</w:t>
      </w:r>
      <w:r w:rsidRPr="0085128E">
        <w:tab/>
      </w:r>
      <w:r w:rsidRPr="0085128E">
        <w:rPr>
          <w:b/>
        </w:rPr>
        <w:t>Résultats escomptés et indicateurs d</w:t>
      </w:r>
      <w:r w:rsidR="008D0CFD" w:rsidRPr="0085128E">
        <w:rPr>
          <w:b/>
        </w:rPr>
        <w:t>’</w:t>
      </w:r>
      <w:r w:rsidRPr="0085128E">
        <w:rPr>
          <w:b/>
        </w:rPr>
        <w:t>exécution</w:t>
      </w:r>
    </w:p>
    <w:p w:rsidR="00604822" w:rsidRPr="0085128E" w:rsidRDefault="00604822" w:rsidP="0088179C"/>
    <w:tbl>
      <w:tblPr>
        <w:tblW w:w="5070" w:type="pct"/>
        <w:tblCellMar>
          <w:top w:w="57" w:type="dxa"/>
          <w:bottom w:w="57" w:type="dxa"/>
        </w:tblCellMar>
        <w:tblLook w:val="0000" w:firstRow="0" w:lastRow="0" w:firstColumn="0" w:lastColumn="0" w:noHBand="0" w:noVBand="0"/>
      </w:tblPr>
      <w:tblGrid>
        <w:gridCol w:w="3936"/>
        <w:gridCol w:w="6057"/>
      </w:tblGrid>
      <w:tr w:rsidR="0085128E" w:rsidRPr="0085128E" w:rsidTr="00003E2C">
        <w:trPr>
          <w:cantSplit/>
          <w:tblHeader/>
        </w:trPr>
        <w:tc>
          <w:tcPr>
            <w:tcW w:w="3936"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hanging="397"/>
              <w:jc w:val="center"/>
              <w:rPr>
                <w:u w:val="single"/>
              </w:rPr>
            </w:pPr>
            <w:r w:rsidRPr="0085128E">
              <w:rPr>
                <w:u w:val="single"/>
              </w:rPr>
              <w:t>Résultats escomptés</w:t>
            </w:r>
          </w:p>
        </w:tc>
        <w:tc>
          <w:tcPr>
            <w:tcW w:w="6057"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hanging="397"/>
              <w:jc w:val="center"/>
              <w:rPr>
                <w:u w:val="single"/>
              </w:rPr>
            </w:pPr>
            <w:r w:rsidRPr="0085128E">
              <w:rPr>
                <w:u w:val="single"/>
              </w:rPr>
              <w:t>Indicateurs d</w:t>
            </w:r>
            <w:r w:rsidR="008D0CFD" w:rsidRPr="0085128E">
              <w:rPr>
                <w:u w:val="single"/>
              </w:rPr>
              <w:t>’</w:t>
            </w:r>
            <w:r w:rsidRPr="0085128E">
              <w:rPr>
                <w:u w:val="single"/>
              </w:rPr>
              <w:t>exécution</w:t>
            </w:r>
          </w:p>
        </w:tc>
      </w:tr>
      <w:tr w:rsidR="0085128E" w:rsidRPr="0085128E" w:rsidTr="00003E2C">
        <w:trPr>
          <w:cantSplit/>
        </w:trPr>
        <w:tc>
          <w:tcPr>
            <w:tcW w:w="3936"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left="567" w:hanging="567"/>
              <w:jc w:val="left"/>
            </w:pPr>
            <w:r w:rsidRPr="0085128E">
              <w:t>1.</w:t>
            </w:r>
            <w:r w:rsidRPr="0085128E">
              <w:tab/>
              <w:t>Meilleure connaissance par le public du rôle et des activités de l</w:t>
            </w:r>
            <w:r w:rsidR="008D0CFD" w:rsidRPr="0085128E">
              <w:t>’</w:t>
            </w:r>
            <w:r w:rsidRPr="0085128E">
              <w:t>UPOV</w:t>
            </w:r>
          </w:p>
        </w:tc>
        <w:tc>
          <w:tcPr>
            <w:tcW w:w="6057" w:type="dxa"/>
            <w:tcBorders>
              <w:top w:val="single" w:sz="4" w:space="0" w:color="000000"/>
              <w:left w:val="single" w:sz="4" w:space="0" w:color="000000"/>
              <w:bottom w:val="single" w:sz="4" w:space="0" w:color="000000"/>
              <w:right w:val="single" w:sz="4" w:space="0" w:color="000000"/>
            </w:tcBorders>
          </w:tcPr>
          <w:p w:rsidR="00720382" w:rsidRPr="0085128E" w:rsidRDefault="00663BDD" w:rsidP="0088179C">
            <w:pPr>
              <w:ind w:left="567" w:hanging="567"/>
              <w:jc w:val="left"/>
            </w:pPr>
            <w:r w:rsidRPr="0085128E">
              <w:t>a)</w:t>
            </w:r>
            <w:r w:rsidRPr="0085128E">
              <w:tab/>
              <w:t>mise à disposition sur le site</w:t>
            </w:r>
            <w:r w:rsidR="00C833CB" w:rsidRPr="0085128E">
              <w:t> </w:t>
            </w:r>
            <w:r w:rsidRPr="0085128E">
              <w:t>Web de l</w:t>
            </w:r>
            <w:r w:rsidR="008D0CFD" w:rsidRPr="0085128E">
              <w:t>’</w:t>
            </w:r>
            <w:r w:rsidRPr="0085128E">
              <w:t>UPOV et par le biais d</w:t>
            </w:r>
            <w:r w:rsidR="008D0CFD" w:rsidRPr="0085128E">
              <w:t>’</w:t>
            </w:r>
            <w:r w:rsidRPr="0085128E">
              <w:t>autres médias d</w:t>
            </w:r>
            <w:r w:rsidR="008D0CFD" w:rsidRPr="0085128E">
              <w:t>’</w:t>
            </w:r>
            <w:r w:rsidRPr="0085128E">
              <w:t>informations et de matériels pertinents à l</w:t>
            </w:r>
            <w:r w:rsidR="008D0CFD" w:rsidRPr="0085128E">
              <w:t>’</w:t>
            </w:r>
            <w:r w:rsidRPr="0085128E">
              <w:t>intention du grand public;</w:t>
            </w:r>
          </w:p>
          <w:p w:rsidR="00604822" w:rsidRPr="0085128E" w:rsidRDefault="00663BDD" w:rsidP="0088179C">
            <w:pPr>
              <w:ind w:left="567" w:hanging="567"/>
              <w:jc w:val="left"/>
            </w:pPr>
            <w:r w:rsidRPr="0085128E">
              <w:t>b)</w:t>
            </w:r>
            <w:r w:rsidRPr="0085128E">
              <w:tab/>
              <w:t>consultation des éléments destinés au grand public sur le site</w:t>
            </w:r>
            <w:r w:rsidR="00C833CB" w:rsidRPr="0085128E">
              <w:t> </w:t>
            </w:r>
            <w:r w:rsidRPr="0085128E">
              <w:t>Web de l</w:t>
            </w:r>
            <w:r w:rsidR="008D0CFD" w:rsidRPr="0085128E">
              <w:t>’</w:t>
            </w:r>
            <w:r w:rsidRPr="0085128E">
              <w:t>UPOV.</w:t>
            </w:r>
          </w:p>
        </w:tc>
      </w:tr>
      <w:tr w:rsidR="0085128E" w:rsidRPr="0085128E" w:rsidTr="00003E2C">
        <w:trPr>
          <w:cantSplit/>
        </w:trPr>
        <w:tc>
          <w:tcPr>
            <w:tcW w:w="3936"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left="567" w:hanging="567"/>
              <w:jc w:val="left"/>
            </w:pPr>
            <w:r w:rsidRPr="0085128E">
              <w:t>2.</w:t>
            </w:r>
            <w:r w:rsidRPr="0085128E">
              <w:tab/>
              <w:t>Meilleure connaissance par les parties prenantes du rôle et des activités de l</w:t>
            </w:r>
            <w:r w:rsidR="008D0CFD" w:rsidRPr="0085128E">
              <w:t>’</w:t>
            </w:r>
            <w:r w:rsidRPr="0085128E">
              <w:t>UPOV</w:t>
            </w:r>
            <w:r w:rsidR="00604822" w:rsidRPr="0085128E">
              <w:t xml:space="preserve"> </w:t>
            </w:r>
          </w:p>
        </w:tc>
        <w:tc>
          <w:tcPr>
            <w:tcW w:w="6057" w:type="dxa"/>
            <w:tcBorders>
              <w:top w:val="single" w:sz="4" w:space="0" w:color="000000"/>
              <w:left w:val="single" w:sz="4" w:space="0" w:color="000000"/>
              <w:bottom w:val="single" w:sz="4" w:space="0" w:color="000000"/>
              <w:right w:val="single" w:sz="4" w:space="0" w:color="000000"/>
            </w:tcBorders>
          </w:tcPr>
          <w:p w:rsidR="00720382" w:rsidRPr="0085128E" w:rsidRDefault="00663BDD" w:rsidP="0088179C">
            <w:pPr>
              <w:ind w:left="567" w:hanging="567"/>
              <w:jc w:val="left"/>
            </w:pPr>
            <w:r w:rsidRPr="0085128E">
              <w:t>a)</w:t>
            </w:r>
            <w:r w:rsidRPr="0085128E">
              <w:tab/>
              <w:t>mise à disposition sur le site</w:t>
            </w:r>
            <w:r w:rsidR="00C833CB" w:rsidRPr="0085128E">
              <w:t> </w:t>
            </w:r>
            <w:r w:rsidRPr="0085128E">
              <w:t>Web de l</w:t>
            </w:r>
            <w:r w:rsidR="008D0CFD" w:rsidRPr="0085128E">
              <w:t>’</w:t>
            </w:r>
            <w:r w:rsidRPr="0085128E">
              <w:t>UPOV et par le biais d</w:t>
            </w:r>
            <w:r w:rsidR="008D0CFD" w:rsidRPr="0085128E">
              <w:t>’</w:t>
            </w:r>
            <w:r w:rsidRPr="0085128E">
              <w:t>autres médias d</w:t>
            </w:r>
            <w:r w:rsidR="008D0CFD" w:rsidRPr="0085128E">
              <w:t>’</w:t>
            </w:r>
            <w:r w:rsidRPr="0085128E">
              <w:t>informations et de matériels pertinents à l</w:t>
            </w:r>
            <w:r w:rsidR="008D0CFD" w:rsidRPr="0085128E">
              <w:t>’</w:t>
            </w:r>
            <w:r w:rsidRPr="0085128E">
              <w:t>intention, en particulier, des obtenteurs, des agriculteurs et des responsables de l</w:t>
            </w:r>
            <w:r w:rsidR="008D0CFD" w:rsidRPr="0085128E">
              <w:t>’</w:t>
            </w:r>
            <w:r w:rsidRPr="0085128E">
              <w:t>élaboration des politiques;</w:t>
            </w:r>
          </w:p>
          <w:p w:rsidR="00720382" w:rsidRPr="0085128E" w:rsidRDefault="00663BDD" w:rsidP="0088179C">
            <w:pPr>
              <w:ind w:left="567" w:hanging="567"/>
              <w:jc w:val="left"/>
            </w:pPr>
            <w:r w:rsidRPr="0085128E">
              <w:t>b)</w:t>
            </w:r>
            <w:r w:rsidRPr="0085128E">
              <w:tab/>
              <w:t>rubriques du site</w:t>
            </w:r>
            <w:r w:rsidR="00C833CB" w:rsidRPr="0085128E">
              <w:t> </w:t>
            </w:r>
            <w:r w:rsidRPr="0085128E">
              <w:t>Web de l</w:t>
            </w:r>
            <w:r w:rsidR="008D0CFD" w:rsidRPr="0085128E">
              <w:t>’</w:t>
            </w:r>
            <w:r w:rsidRPr="0085128E">
              <w:t>UPOV à l</w:t>
            </w:r>
            <w:r w:rsidR="008D0CFD" w:rsidRPr="0085128E">
              <w:t>’</w:t>
            </w:r>
            <w:r w:rsidRPr="0085128E">
              <w:t>intention des parties prenantes;</w:t>
            </w:r>
          </w:p>
          <w:p w:rsidR="00720382" w:rsidRPr="0085128E" w:rsidRDefault="00663BDD" w:rsidP="0088179C">
            <w:pPr>
              <w:ind w:left="567" w:hanging="567"/>
              <w:jc w:val="left"/>
            </w:pPr>
            <w:r w:rsidRPr="0085128E">
              <w:t>c)</w:t>
            </w:r>
            <w:r w:rsidRPr="0085128E">
              <w:tab/>
              <w:t>participation de parties prenantes à des séminaires et à des colloques;</w:t>
            </w:r>
          </w:p>
          <w:p w:rsidR="00720382" w:rsidRPr="0085128E" w:rsidRDefault="00663BDD" w:rsidP="0088179C">
            <w:pPr>
              <w:ind w:left="567" w:hanging="567"/>
              <w:jc w:val="left"/>
            </w:pPr>
            <w:r w:rsidRPr="0085128E">
              <w:t>d)</w:t>
            </w:r>
            <w:r w:rsidRPr="0085128E">
              <w:tab/>
              <w:t>participation à des réunions de parties prenantes compétentes, et avec des parties prenantes compétentes;</w:t>
            </w:r>
          </w:p>
          <w:p w:rsidR="00604822" w:rsidRPr="0085128E" w:rsidRDefault="00663BDD" w:rsidP="0088179C">
            <w:pPr>
              <w:ind w:left="567" w:hanging="567"/>
              <w:jc w:val="left"/>
            </w:pPr>
            <w:r w:rsidRPr="0085128E">
              <w:t>e)</w:t>
            </w:r>
            <w:r w:rsidRPr="0085128E">
              <w:tab/>
              <w:t>articles dans des publications pertinentes auxquels l</w:t>
            </w:r>
            <w:r w:rsidR="008D0CFD" w:rsidRPr="0085128E">
              <w:t>’</w:t>
            </w:r>
            <w:r w:rsidRPr="0085128E">
              <w:t>UPOV a contribué.</w:t>
            </w:r>
          </w:p>
        </w:tc>
      </w:tr>
      <w:tr w:rsidR="0085128E" w:rsidRPr="0085128E" w:rsidTr="00003E2C">
        <w:trPr>
          <w:cantSplit/>
        </w:trPr>
        <w:tc>
          <w:tcPr>
            <w:tcW w:w="3936"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left="567" w:hanging="567"/>
              <w:jc w:val="left"/>
            </w:pPr>
            <w:r w:rsidRPr="0085128E">
              <w:t>3.</w:t>
            </w:r>
            <w:r w:rsidRPr="0085128E">
              <w:tab/>
              <w:t>Meilleure connaissance par d</w:t>
            </w:r>
            <w:r w:rsidR="008D0CFD" w:rsidRPr="0085128E">
              <w:t>’</w:t>
            </w:r>
            <w:r w:rsidRPr="0085128E">
              <w:t>autres organisations du rôle et des activités de l</w:t>
            </w:r>
            <w:r w:rsidR="008D0CFD" w:rsidRPr="0085128E">
              <w:t>’</w:t>
            </w:r>
            <w:r w:rsidRPr="0085128E">
              <w:t>UPOV</w:t>
            </w:r>
          </w:p>
        </w:tc>
        <w:tc>
          <w:tcPr>
            <w:tcW w:w="6057" w:type="dxa"/>
            <w:tcBorders>
              <w:top w:val="single" w:sz="4" w:space="0" w:color="000000"/>
              <w:left w:val="single" w:sz="4" w:space="0" w:color="000000"/>
              <w:bottom w:val="single" w:sz="4" w:space="0" w:color="000000"/>
              <w:right w:val="single" w:sz="4" w:space="0" w:color="000000"/>
            </w:tcBorders>
          </w:tcPr>
          <w:p w:rsidR="00720382" w:rsidRPr="0085128E" w:rsidRDefault="00663BDD" w:rsidP="0088179C">
            <w:pPr>
              <w:ind w:left="567" w:hanging="567"/>
              <w:jc w:val="left"/>
            </w:pPr>
            <w:r w:rsidRPr="0085128E">
              <w:t>a)</w:t>
            </w:r>
            <w:r w:rsidRPr="0085128E">
              <w:tab/>
              <w:t>participation à des réunions d</w:t>
            </w:r>
            <w:r w:rsidR="008D0CFD" w:rsidRPr="0085128E">
              <w:t>’</w:t>
            </w:r>
            <w:r w:rsidRPr="0085128E">
              <w:t>organisations compétentes;</w:t>
            </w:r>
          </w:p>
          <w:p w:rsidR="00604822" w:rsidRPr="0085128E" w:rsidRDefault="00663BDD" w:rsidP="0088179C">
            <w:pPr>
              <w:ind w:left="567" w:hanging="567"/>
              <w:jc w:val="left"/>
            </w:pPr>
            <w:r w:rsidRPr="0085128E">
              <w:t>b)</w:t>
            </w:r>
            <w:r w:rsidRPr="0085128E">
              <w:tab/>
              <w:t>présentation d</w:t>
            </w:r>
            <w:r w:rsidR="008D0CFD" w:rsidRPr="0085128E">
              <w:t>’</w:t>
            </w:r>
            <w:r w:rsidRPr="0085128E">
              <w:t>exposés devant des organisations compétentes.</w:t>
            </w:r>
          </w:p>
        </w:tc>
      </w:tr>
    </w:tbl>
    <w:p w:rsidR="00003E2C" w:rsidRDefault="00003E2C">
      <w:pPr>
        <w:jc w:val="left"/>
        <w:rPr>
          <w:b/>
          <w:caps/>
          <w:lang w:val="en-US"/>
        </w:rPr>
      </w:pPr>
      <w:r>
        <w:br w:type="page"/>
      </w:r>
    </w:p>
    <w:p w:rsidR="00720382" w:rsidRPr="0085128E" w:rsidRDefault="00663BDD" w:rsidP="0088179C">
      <w:pPr>
        <w:pStyle w:val="Heading1"/>
      </w:pPr>
      <w:bookmarkStart w:id="190" w:name="_Toc489956727"/>
      <w:bookmarkStart w:id="191" w:name="_Toc489956776"/>
      <w:bookmarkStart w:id="192" w:name="_Toc489956864"/>
      <w:bookmarkStart w:id="193" w:name="_Toc490572891"/>
      <w:bookmarkStart w:id="194" w:name="_Toc490572930"/>
      <w:bookmarkStart w:id="195" w:name="_Toc491088266"/>
      <w:bookmarkStart w:id="196" w:name="_Toc491088305"/>
      <w:r w:rsidRPr="0085128E">
        <w:t>3.</w:t>
      </w:r>
      <w:r w:rsidRPr="0085128E">
        <w:tab/>
        <w:t>BUDGET PROPOSÉ</w:t>
      </w:r>
      <w:bookmarkEnd w:id="190"/>
      <w:bookmarkEnd w:id="191"/>
      <w:bookmarkEnd w:id="192"/>
      <w:bookmarkEnd w:id="193"/>
      <w:bookmarkEnd w:id="194"/>
      <w:bookmarkEnd w:id="195"/>
      <w:bookmarkEnd w:id="196"/>
    </w:p>
    <w:p w:rsidR="00720382" w:rsidRPr="0085128E" w:rsidRDefault="00720382" w:rsidP="0085128E">
      <w:pPr>
        <w:keepNext/>
      </w:pPr>
    </w:p>
    <w:p w:rsidR="00720382" w:rsidRPr="0085128E" w:rsidRDefault="00663BDD" w:rsidP="0085128E">
      <w:pPr>
        <w:rPr>
          <w:spacing w:val="-2"/>
          <w:szCs w:val="24"/>
        </w:rPr>
      </w:pPr>
      <w:r w:rsidRPr="0085128E">
        <w:rPr>
          <w:spacing w:val="-2"/>
          <w:szCs w:val="24"/>
        </w:rPr>
        <w:t>3.1</w:t>
      </w:r>
      <w:r w:rsidRPr="0085128E">
        <w:rPr>
          <w:spacing w:val="-2"/>
          <w:szCs w:val="24"/>
        </w:rPr>
        <w:tab/>
        <w:t>Le budget proposé pour l</w:t>
      </w:r>
      <w:r w:rsidR="008D0CFD" w:rsidRPr="0085128E">
        <w:rPr>
          <w:spacing w:val="-2"/>
          <w:szCs w:val="24"/>
        </w:rPr>
        <w:t>’</w:t>
      </w:r>
      <w:r w:rsidRPr="0085128E">
        <w:rPr>
          <w:spacing w:val="-2"/>
          <w:szCs w:val="24"/>
        </w:rPr>
        <w:t xml:space="preserve">exercice </w:t>
      </w:r>
      <w:r w:rsidR="008D0CFD" w:rsidRPr="0085128E">
        <w:rPr>
          <w:spacing w:val="-2"/>
          <w:szCs w:val="24"/>
        </w:rPr>
        <w:t>biennal 2018-</w:t>
      </w:r>
      <w:r w:rsidRPr="0085128E">
        <w:rPr>
          <w:spacing w:val="-2"/>
          <w:szCs w:val="24"/>
        </w:rPr>
        <w:t>2019 prévoit des recettes s</w:t>
      </w:r>
      <w:r w:rsidR="008D0CFD" w:rsidRPr="0085128E">
        <w:rPr>
          <w:spacing w:val="-2"/>
          <w:szCs w:val="24"/>
        </w:rPr>
        <w:t>’</w:t>
      </w:r>
      <w:r w:rsidRPr="0085128E">
        <w:rPr>
          <w:spacing w:val="-2"/>
          <w:szCs w:val="24"/>
        </w:rPr>
        <w:t>élevant à 6</w:t>
      </w:r>
      <w:r w:rsidR="00E73CFB" w:rsidRPr="0085128E">
        <w:rPr>
          <w:spacing w:val="-2"/>
          <w:szCs w:val="24"/>
        </w:rPr>
        <w:t> </w:t>
      </w:r>
      <w:r w:rsidRPr="0085128E">
        <w:rPr>
          <w:spacing w:val="-2"/>
          <w:szCs w:val="24"/>
        </w:rPr>
        <w:t>940</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suisses, par rapport au budget de l</w:t>
      </w:r>
      <w:r w:rsidR="008D0CFD" w:rsidRPr="0085128E">
        <w:rPr>
          <w:spacing w:val="-2"/>
          <w:szCs w:val="24"/>
        </w:rPr>
        <w:t>’</w:t>
      </w:r>
      <w:r w:rsidRPr="0085128E">
        <w:rPr>
          <w:spacing w:val="-2"/>
          <w:szCs w:val="24"/>
        </w:rPr>
        <w:t>exercice 2016</w:t>
      </w:r>
      <w:r w:rsidR="008D0CFD" w:rsidRPr="0085128E">
        <w:rPr>
          <w:spacing w:val="-2"/>
          <w:szCs w:val="24"/>
        </w:rPr>
        <w:t>-</w:t>
      </w:r>
      <w:r w:rsidRPr="0085128E">
        <w:rPr>
          <w:spacing w:val="-2"/>
          <w:szCs w:val="24"/>
        </w:rPr>
        <w:t>2017, dans lequel elles s</w:t>
      </w:r>
      <w:r w:rsidR="008D0CFD" w:rsidRPr="0085128E">
        <w:rPr>
          <w:spacing w:val="-2"/>
          <w:szCs w:val="24"/>
        </w:rPr>
        <w:t>’</w:t>
      </w:r>
      <w:r w:rsidRPr="0085128E">
        <w:rPr>
          <w:spacing w:val="-2"/>
          <w:szCs w:val="24"/>
        </w:rPr>
        <w:t>établissaient à 6</w:t>
      </w:r>
      <w:r w:rsidR="00E73CFB" w:rsidRPr="0085128E">
        <w:rPr>
          <w:spacing w:val="-2"/>
          <w:szCs w:val="24"/>
        </w:rPr>
        <w:t> </w:t>
      </w:r>
      <w:r w:rsidRPr="0085128E">
        <w:rPr>
          <w:spacing w:val="-2"/>
          <w:szCs w:val="24"/>
        </w:rPr>
        <w:t>823</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 xml:space="preserve">s suisses (voir les </w:t>
      </w:r>
      <w:r w:rsidRPr="0085128E">
        <w:rPr>
          <w:b/>
          <w:spacing w:val="-2"/>
          <w:szCs w:val="24"/>
        </w:rPr>
        <w:t>tableaux 1 et 2</w:t>
      </w:r>
      <w:r w:rsidRPr="0085128E">
        <w:rPr>
          <w:spacing w:val="-2"/>
          <w:szCs w:val="24"/>
        </w:rPr>
        <w:t>).</w:t>
      </w:r>
    </w:p>
    <w:p w:rsidR="00720382" w:rsidRPr="0085128E" w:rsidRDefault="00720382" w:rsidP="0085128E">
      <w:pPr>
        <w:rPr>
          <w:spacing w:val="-2"/>
          <w:szCs w:val="24"/>
        </w:rPr>
      </w:pPr>
    </w:p>
    <w:p w:rsidR="00720382" w:rsidRPr="0088179C" w:rsidRDefault="00663BDD" w:rsidP="0088179C">
      <w:pPr>
        <w:pStyle w:val="Heading5"/>
      </w:pPr>
      <w:bookmarkStart w:id="197" w:name="_Toc489956865"/>
      <w:bookmarkStart w:id="198" w:name="_Toc490572931"/>
      <w:bookmarkStart w:id="199" w:name="_Toc491088306"/>
      <w:r w:rsidRPr="0088179C">
        <w:t>Tableau</w:t>
      </w:r>
      <w:r w:rsidR="00E73CFB" w:rsidRPr="0088179C">
        <w:t> </w:t>
      </w:r>
      <w:r w:rsidRPr="0088179C">
        <w:t>1</w:t>
      </w:r>
      <w:r w:rsidR="008D0CFD" w:rsidRPr="0088179C">
        <w:t> :</w:t>
      </w:r>
      <w:r w:rsidRPr="0088179C">
        <w:t xml:space="preserve"> Recettes et dépenses 2014</w:t>
      </w:r>
      <w:r w:rsidR="008D0CFD" w:rsidRPr="0088179C">
        <w:t>-</w:t>
      </w:r>
      <w:r w:rsidRPr="0088179C">
        <w:t>2015, 2016</w:t>
      </w:r>
      <w:r w:rsidR="008D0CFD" w:rsidRPr="0088179C">
        <w:t>-</w:t>
      </w:r>
      <w:r w:rsidRPr="0088179C">
        <w:t>2017 et 2018</w:t>
      </w:r>
      <w:r w:rsidR="008D0CFD" w:rsidRPr="0088179C">
        <w:t>-</w:t>
      </w:r>
      <w:r w:rsidRPr="0088179C">
        <w:t>2019</w:t>
      </w:r>
      <w:bookmarkEnd w:id="197"/>
      <w:bookmarkEnd w:id="198"/>
      <w:bookmarkEnd w:id="199"/>
    </w:p>
    <w:p w:rsidR="00720382" w:rsidRPr="0085128E" w:rsidRDefault="00663BDD" w:rsidP="0085128E">
      <w:pPr>
        <w:jc w:val="center"/>
        <w:rPr>
          <w:rFonts w:cs="Arial"/>
          <w:i/>
          <w:iCs/>
        </w:rPr>
      </w:pPr>
      <w:r w:rsidRPr="0085128E">
        <w:rPr>
          <w:rFonts w:cs="Arial"/>
          <w:i/>
          <w:iCs/>
        </w:rPr>
        <w:t>(en milliers de francs suisses)</w:t>
      </w:r>
    </w:p>
    <w:p w:rsidR="00720382" w:rsidRPr="0085128E" w:rsidRDefault="00720382" w:rsidP="0085128E">
      <w:pPr>
        <w:jc w:val="center"/>
        <w:rPr>
          <w:rFonts w:cs="Arial"/>
          <w:i/>
          <w:iCs/>
        </w:rPr>
      </w:pPr>
    </w:p>
    <w:p w:rsidR="00720382" w:rsidRPr="0085128E" w:rsidRDefault="00CD3A24" w:rsidP="0085128E">
      <w:pPr>
        <w:jc w:val="center"/>
        <w:rPr>
          <w:spacing w:val="-2"/>
          <w:szCs w:val="24"/>
        </w:rPr>
      </w:pPr>
      <w:r w:rsidRPr="0085128E">
        <w:rPr>
          <w:noProof/>
          <w:lang w:val="en-US"/>
        </w:rPr>
        <w:drawing>
          <wp:inline distT="0" distB="0" distL="0" distR="0" wp14:anchorId="7C001CEA" wp14:editId="2B6240BC">
            <wp:extent cx="5220000" cy="166146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0000" cy="1661461"/>
                    </a:xfrm>
                    <a:prstGeom prst="rect">
                      <a:avLst/>
                    </a:prstGeom>
                    <a:noFill/>
                    <a:ln>
                      <a:noFill/>
                    </a:ln>
                  </pic:spPr>
                </pic:pic>
              </a:graphicData>
            </a:graphic>
          </wp:inline>
        </w:drawing>
      </w:r>
    </w:p>
    <w:p w:rsidR="00720382" w:rsidRPr="0085128E" w:rsidRDefault="00720382" w:rsidP="0085128E">
      <w:pPr>
        <w:jc w:val="center"/>
        <w:rPr>
          <w:spacing w:val="-2"/>
          <w:szCs w:val="24"/>
        </w:rPr>
      </w:pPr>
    </w:p>
    <w:p w:rsidR="00720382" w:rsidRPr="0085128E" w:rsidRDefault="00E07C61" w:rsidP="0085128E">
      <w:pPr>
        <w:rPr>
          <w:spacing w:val="-2"/>
          <w:szCs w:val="24"/>
        </w:rPr>
      </w:pPr>
      <w:r w:rsidRPr="0085128E">
        <w:rPr>
          <w:spacing w:val="-2"/>
          <w:szCs w:val="24"/>
        </w:rPr>
        <w:t>3.2</w:t>
      </w:r>
      <w:r w:rsidRPr="0085128E">
        <w:rPr>
          <w:spacing w:val="-2"/>
          <w:szCs w:val="24"/>
        </w:rPr>
        <w:tab/>
        <w:t>Le montant des dépenses est estimé au même niveau que les recettes prévues.</w:t>
      </w:r>
    </w:p>
    <w:p w:rsidR="00720382" w:rsidRPr="0085128E" w:rsidRDefault="00720382" w:rsidP="0085128E">
      <w:pPr>
        <w:rPr>
          <w:spacing w:val="-2"/>
          <w:szCs w:val="24"/>
        </w:rPr>
      </w:pPr>
    </w:p>
    <w:p w:rsidR="003711EE" w:rsidRPr="0085128E" w:rsidRDefault="002505E0" w:rsidP="0085128E">
      <w:pPr>
        <w:rPr>
          <w:spacing w:val="-2"/>
          <w:szCs w:val="24"/>
        </w:rPr>
      </w:pPr>
      <w:r w:rsidRPr="0085128E">
        <w:rPr>
          <w:spacing w:val="-2"/>
          <w:szCs w:val="24"/>
        </w:rPr>
        <w:t>3.3</w:t>
      </w:r>
      <w:r w:rsidRPr="0085128E">
        <w:rPr>
          <w:spacing w:val="-2"/>
          <w:szCs w:val="24"/>
        </w:rPr>
        <w:tab/>
        <w:t>En ce qui concerne le fonds de réserve, il convient de rappeler que l</w:t>
      </w:r>
      <w:r w:rsidR="008D0CFD" w:rsidRPr="0085128E">
        <w:rPr>
          <w:spacing w:val="-2"/>
          <w:szCs w:val="24"/>
        </w:rPr>
        <w:t>’article 4</w:t>
      </w:r>
      <w:r w:rsidRPr="0085128E">
        <w:rPr>
          <w:spacing w:val="-2"/>
          <w:szCs w:val="24"/>
        </w:rPr>
        <w:t>.6 du document UPOV/INF/4/4 “Règlement financier et règlement d</w:t>
      </w:r>
      <w:r w:rsidR="008D0CFD" w:rsidRPr="0085128E">
        <w:rPr>
          <w:spacing w:val="-2"/>
          <w:szCs w:val="24"/>
        </w:rPr>
        <w:t>’</w:t>
      </w:r>
      <w:r w:rsidRPr="0085128E">
        <w:rPr>
          <w:spacing w:val="-2"/>
          <w:szCs w:val="24"/>
        </w:rPr>
        <w:t>exécution du Règlement financier de l</w:t>
      </w:r>
      <w:r w:rsidR="008D0CFD" w:rsidRPr="0085128E">
        <w:rPr>
          <w:spacing w:val="-2"/>
          <w:szCs w:val="24"/>
        </w:rPr>
        <w:t>’</w:t>
      </w:r>
      <w:r w:rsidRPr="0085128E">
        <w:rPr>
          <w:spacing w:val="-2"/>
          <w:szCs w:val="24"/>
        </w:rPr>
        <w:t>UPOV” indique ce qui suit</w:t>
      </w:r>
      <w:r w:rsidR="008D0CFD" w:rsidRPr="0085128E">
        <w:rPr>
          <w:spacing w:val="-2"/>
          <w:szCs w:val="24"/>
        </w:rPr>
        <w:t> :</w:t>
      </w:r>
      <w:r w:rsidRPr="0085128E">
        <w:rPr>
          <w:spacing w:val="-2"/>
          <w:szCs w:val="24"/>
        </w:rPr>
        <w:t xml:space="preserve"> “[…] Si, après la clôture de l</w:t>
      </w:r>
      <w:r w:rsidR="008D0CFD" w:rsidRPr="0085128E">
        <w:rPr>
          <w:spacing w:val="-2"/>
          <w:szCs w:val="24"/>
        </w:rPr>
        <w:t>’</w:t>
      </w:r>
      <w:r w:rsidRPr="0085128E">
        <w:rPr>
          <w:spacing w:val="-2"/>
          <w:szCs w:val="24"/>
        </w:rPr>
        <w:t>exercice financier, le montant du fonds de réserve dépasse 15% des recettes totales pour l</w:t>
      </w:r>
      <w:r w:rsidR="008D0CFD" w:rsidRPr="0085128E">
        <w:rPr>
          <w:spacing w:val="-2"/>
          <w:szCs w:val="24"/>
        </w:rPr>
        <w:t>’</w:t>
      </w:r>
      <w:r w:rsidRPr="0085128E">
        <w:rPr>
          <w:spacing w:val="-2"/>
          <w:szCs w:val="24"/>
        </w:rPr>
        <w:t>exercice financier, l</w:t>
      </w:r>
      <w:r w:rsidR="008D0CFD" w:rsidRPr="0085128E">
        <w:rPr>
          <w:spacing w:val="-2"/>
          <w:szCs w:val="24"/>
        </w:rPr>
        <w:t>’</w:t>
      </w:r>
      <w:r w:rsidRPr="0085128E">
        <w:rPr>
          <w:spacing w:val="-2"/>
          <w:szCs w:val="24"/>
        </w:rPr>
        <w:t>excédent est remboursé aux membres de l</w:t>
      </w:r>
      <w:r w:rsidR="008D0CFD" w:rsidRPr="0085128E">
        <w:rPr>
          <w:spacing w:val="-2"/>
          <w:szCs w:val="24"/>
        </w:rPr>
        <w:t>’</w:t>
      </w:r>
      <w:r w:rsidRPr="0085128E">
        <w:rPr>
          <w:spacing w:val="-2"/>
          <w:szCs w:val="24"/>
        </w:rPr>
        <w:t>UPOV, sauf si le Conseil en décide autreme</w:t>
      </w:r>
      <w:r w:rsidR="009F5A99" w:rsidRPr="0085128E">
        <w:rPr>
          <w:spacing w:val="-2"/>
          <w:szCs w:val="24"/>
        </w:rPr>
        <w:t>nt.  To</w:t>
      </w:r>
      <w:r w:rsidRPr="0085128E">
        <w:rPr>
          <w:spacing w:val="-2"/>
          <w:szCs w:val="24"/>
        </w:rPr>
        <w:t>ut membre de l</w:t>
      </w:r>
      <w:r w:rsidR="008D0CFD" w:rsidRPr="0085128E">
        <w:rPr>
          <w:spacing w:val="-2"/>
          <w:szCs w:val="24"/>
        </w:rPr>
        <w:t>’</w:t>
      </w:r>
      <w:r w:rsidRPr="0085128E">
        <w:rPr>
          <w:spacing w:val="-2"/>
          <w:szCs w:val="24"/>
        </w:rPr>
        <w:t>UPOV peut demander que le montant qui lui est remboursé soit déposé sur un compte spécial ou dans un fonds fiduciaire qu</w:t>
      </w:r>
      <w:r w:rsidR="008D0CFD" w:rsidRPr="0085128E">
        <w:rPr>
          <w:spacing w:val="-2"/>
          <w:szCs w:val="24"/>
        </w:rPr>
        <w:t>’</w:t>
      </w:r>
      <w:r w:rsidRPr="0085128E">
        <w:rPr>
          <w:spacing w:val="-2"/>
          <w:szCs w:val="24"/>
        </w:rPr>
        <w:t>il aura désigné”.</w:t>
      </w:r>
      <w:r w:rsidR="00604822" w:rsidRPr="0085128E">
        <w:rPr>
          <w:spacing w:val="-2"/>
        </w:rPr>
        <w:t xml:space="preserve">  </w:t>
      </w:r>
      <w:r w:rsidRPr="0085128E">
        <w:rPr>
          <w:spacing w:val="-2"/>
          <w:szCs w:val="24"/>
        </w:rPr>
        <w:t>Les dispositions nécessaires seront prises pour examen par le Comité consultatif et le Conseil si une telle situation devait se présenter à la clôture de l</w:t>
      </w:r>
      <w:r w:rsidR="008D0CFD" w:rsidRPr="0085128E">
        <w:rPr>
          <w:spacing w:val="-2"/>
          <w:szCs w:val="24"/>
        </w:rPr>
        <w:t>’</w:t>
      </w:r>
      <w:r w:rsidRPr="0085128E">
        <w:rPr>
          <w:spacing w:val="-2"/>
          <w:szCs w:val="24"/>
        </w:rPr>
        <w:t xml:space="preserve">exercice </w:t>
      </w:r>
      <w:r w:rsidR="008D0CFD" w:rsidRPr="0085128E">
        <w:rPr>
          <w:spacing w:val="-2"/>
          <w:szCs w:val="24"/>
        </w:rPr>
        <w:t>biennal 2016-</w:t>
      </w:r>
      <w:r w:rsidRPr="0085128E">
        <w:rPr>
          <w:spacing w:val="-2"/>
          <w:szCs w:val="24"/>
        </w:rPr>
        <w:t>2017.</w:t>
      </w:r>
    </w:p>
    <w:p w:rsidR="00720382" w:rsidRPr="0085128E" w:rsidRDefault="00720382" w:rsidP="0085128E">
      <w:pPr>
        <w:rPr>
          <w:spacing w:val="-2"/>
          <w:szCs w:val="24"/>
        </w:rPr>
      </w:pPr>
    </w:p>
    <w:p w:rsidR="00720382" w:rsidRPr="0085128E" w:rsidRDefault="00720382" w:rsidP="0085128E">
      <w:pPr>
        <w:rPr>
          <w:spacing w:val="-2"/>
          <w:szCs w:val="24"/>
        </w:rPr>
      </w:pPr>
    </w:p>
    <w:p w:rsidR="00720382" w:rsidRPr="0085128E" w:rsidRDefault="00417735" w:rsidP="0088179C">
      <w:pPr>
        <w:pStyle w:val="Heading5"/>
      </w:pPr>
      <w:bookmarkStart w:id="200" w:name="_Toc489956866"/>
      <w:bookmarkStart w:id="201" w:name="_Toc490572932"/>
      <w:bookmarkStart w:id="202" w:name="_Toc491088307"/>
      <w:r w:rsidRPr="0085128E">
        <w:t>Tableau</w:t>
      </w:r>
      <w:r w:rsidR="00E73CFB" w:rsidRPr="0085128E">
        <w:t> </w:t>
      </w:r>
      <w:r w:rsidRPr="0085128E">
        <w:t>2</w:t>
      </w:r>
      <w:r w:rsidR="008D0CFD" w:rsidRPr="0085128E">
        <w:t> :</w:t>
      </w:r>
      <w:r w:rsidRPr="0085128E">
        <w:t xml:space="preserve"> Structure du budget proposé </w:t>
      </w:r>
      <w:r w:rsidR="008D0CFD" w:rsidRPr="0085128E">
        <w:t>pour 2018-</w:t>
      </w:r>
      <w:r w:rsidRPr="0085128E">
        <w:t>2019 par rapport à 2014</w:t>
      </w:r>
      <w:r w:rsidR="008D0CFD" w:rsidRPr="0085128E">
        <w:t>-</w:t>
      </w:r>
      <w:r w:rsidRPr="0085128E">
        <w:t>2015 et 2016</w:t>
      </w:r>
      <w:r w:rsidR="008D0CFD" w:rsidRPr="0085128E">
        <w:t>-</w:t>
      </w:r>
      <w:r w:rsidRPr="0085128E">
        <w:t>2017</w:t>
      </w:r>
      <w:bookmarkEnd w:id="200"/>
      <w:bookmarkEnd w:id="201"/>
      <w:bookmarkEnd w:id="202"/>
    </w:p>
    <w:p w:rsidR="00720382" w:rsidRPr="0085128E" w:rsidRDefault="00417735" w:rsidP="0085128E">
      <w:pPr>
        <w:keepNext/>
        <w:jc w:val="center"/>
        <w:rPr>
          <w:spacing w:val="-2"/>
          <w:szCs w:val="24"/>
        </w:rPr>
      </w:pPr>
      <w:r w:rsidRPr="0085128E">
        <w:rPr>
          <w:i/>
          <w:spacing w:val="-2"/>
          <w:szCs w:val="24"/>
        </w:rPr>
        <w:t>(en milliers de francs suisses)</w:t>
      </w:r>
    </w:p>
    <w:p w:rsidR="00720382" w:rsidRPr="0085128E" w:rsidRDefault="00720382" w:rsidP="0085128E">
      <w:pPr>
        <w:keepNext/>
      </w:pPr>
    </w:p>
    <w:p w:rsidR="00003E2C" w:rsidRDefault="00CD3A24" w:rsidP="00003E2C">
      <w:pPr>
        <w:jc w:val="center"/>
      </w:pPr>
      <w:r w:rsidRPr="0085128E">
        <w:rPr>
          <w:noProof/>
          <w:lang w:val="en-US"/>
        </w:rPr>
        <w:drawing>
          <wp:inline distT="0" distB="0" distL="0" distR="0" wp14:anchorId="735A2C35" wp14:editId="655EEB22">
            <wp:extent cx="4824000" cy="379200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4000" cy="3792006"/>
                    </a:xfrm>
                    <a:prstGeom prst="rect">
                      <a:avLst/>
                    </a:prstGeom>
                    <a:noFill/>
                    <a:ln>
                      <a:noFill/>
                    </a:ln>
                  </pic:spPr>
                </pic:pic>
              </a:graphicData>
            </a:graphic>
          </wp:inline>
        </w:drawing>
      </w:r>
      <w:r w:rsidR="00003E2C">
        <w:br w:type="page"/>
      </w:r>
    </w:p>
    <w:p w:rsidR="00720382" w:rsidRPr="0085128E" w:rsidRDefault="00417735" w:rsidP="0085128E">
      <w:pPr>
        <w:tabs>
          <w:tab w:val="left" w:pos="567"/>
        </w:tabs>
      </w:pPr>
      <w:r w:rsidRPr="0085128E">
        <w:t>3.4</w:t>
      </w:r>
      <w:r w:rsidRPr="0085128E">
        <w:tab/>
        <w:t>Le</w:t>
      </w:r>
      <w:r w:rsidRPr="0085128E">
        <w:rPr>
          <w:b/>
        </w:rPr>
        <w:t xml:space="preserve"> tableau</w:t>
      </w:r>
      <w:r w:rsidR="00E73CFB" w:rsidRPr="0085128E">
        <w:rPr>
          <w:b/>
        </w:rPr>
        <w:t> </w:t>
      </w:r>
      <w:r w:rsidRPr="0085128E">
        <w:rPr>
          <w:b/>
        </w:rPr>
        <w:t>3</w:t>
      </w:r>
      <w:r w:rsidRPr="0085128E">
        <w:t xml:space="preserve"> contient un plan des ressources pour les exercices biennaux 2016</w:t>
      </w:r>
      <w:r w:rsidR="008D0CFD" w:rsidRPr="0085128E">
        <w:t>-</w:t>
      </w:r>
      <w:r w:rsidRPr="0085128E">
        <w:t>2017 et 2018</w:t>
      </w:r>
      <w:r w:rsidR="008D0CFD" w:rsidRPr="0085128E">
        <w:t>-</w:t>
      </w:r>
      <w:r w:rsidRPr="0085128E">
        <w:t>2019.</w:t>
      </w:r>
      <w:r w:rsidR="00604822" w:rsidRPr="0085128E">
        <w:t xml:space="preserve">  </w:t>
      </w:r>
      <w:r w:rsidRPr="0085128E">
        <w:t>Le montant des ressources correspondant à l</w:t>
      </w:r>
      <w:r w:rsidR="008D0CFD" w:rsidRPr="0085128E">
        <w:t>’</w:t>
      </w:r>
      <w:r w:rsidRPr="0085128E">
        <w:t>ensemble du programme des activités à mener par l</w:t>
      </w:r>
      <w:r w:rsidR="008D0CFD" w:rsidRPr="0085128E">
        <w:t>’</w:t>
      </w:r>
      <w:r w:rsidRPr="0085128E">
        <w:t>UPOV au cours de l</w:t>
      </w:r>
      <w:r w:rsidR="008D0CFD" w:rsidRPr="0085128E">
        <w:t>’</w:t>
      </w:r>
      <w:r w:rsidRPr="0085128E">
        <w:t xml:space="preserve">exercice </w:t>
      </w:r>
      <w:r w:rsidR="008D0CFD" w:rsidRPr="0085128E">
        <w:t>biennal 2018-</w:t>
      </w:r>
      <w:r w:rsidRPr="0085128E">
        <w:t>2019 s</w:t>
      </w:r>
      <w:r w:rsidR="008D0CFD" w:rsidRPr="0085128E">
        <w:t>’</w:t>
      </w:r>
      <w:r w:rsidRPr="0085128E">
        <w:t>élève à 7</w:t>
      </w:r>
      <w:r w:rsidR="00E73CFB" w:rsidRPr="0085128E">
        <w:t> </w:t>
      </w:r>
      <w:r w:rsidRPr="0085128E">
        <w:t>476</w:t>
      </w:r>
      <w:r w:rsidR="00E73CFB" w:rsidRPr="0085128E">
        <w:t> </w:t>
      </w:r>
      <w:r w:rsidRPr="0085128E">
        <w:t>00</w:t>
      </w:r>
      <w:r w:rsidR="008D0CFD" w:rsidRPr="0085128E">
        <w:t>0 franc</w:t>
      </w:r>
      <w:r w:rsidRPr="0085128E">
        <w:t>s suiss</w:t>
      </w:r>
      <w:r w:rsidR="009F5A99" w:rsidRPr="0085128E">
        <w:t>es.  Ce</w:t>
      </w:r>
      <w:r w:rsidRPr="0085128E">
        <w:t xml:space="preserve"> montant comprend 6</w:t>
      </w:r>
      <w:r w:rsidR="00E73CFB" w:rsidRPr="0085128E">
        <w:t> </w:t>
      </w:r>
      <w:r w:rsidRPr="0085128E">
        <w:t>940</w:t>
      </w:r>
      <w:r w:rsidR="00E73CFB" w:rsidRPr="0085128E">
        <w:t> </w:t>
      </w:r>
      <w:r w:rsidRPr="0085128E">
        <w:t>00</w:t>
      </w:r>
      <w:r w:rsidR="008D0CFD" w:rsidRPr="0085128E">
        <w:t>0 franc</w:t>
      </w:r>
      <w:r w:rsidRPr="0085128E">
        <w:t>s suisses inscrits au budget ordinaire (voir le tableau</w:t>
      </w:r>
      <w:r w:rsidR="00E73CFB" w:rsidRPr="0085128E">
        <w:t> </w:t>
      </w:r>
      <w:r w:rsidRPr="0085128E">
        <w:t>1) et un montant estimé à 536</w:t>
      </w:r>
      <w:r w:rsidR="00E73CFB" w:rsidRPr="0085128E">
        <w:t> </w:t>
      </w:r>
      <w:r w:rsidRPr="0085128E">
        <w:t>00</w:t>
      </w:r>
      <w:r w:rsidR="008D0CFD" w:rsidRPr="0085128E">
        <w:t>0 franc</w:t>
      </w:r>
      <w:r w:rsidRPr="0085128E">
        <w:t>s suisses au titre d</w:t>
      </w:r>
      <w:r w:rsidR="008D0CFD" w:rsidRPr="0085128E">
        <w:t>’</w:t>
      </w:r>
      <w:r w:rsidR="009C4BBF" w:rsidRPr="0085128E">
        <w:t xml:space="preserve">arrangements en matière de </w:t>
      </w:r>
      <w:r w:rsidRPr="0085128E">
        <w:t>fonds fiduciaires.</w:t>
      </w:r>
    </w:p>
    <w:p w:rsidR="00720382" w:rsidRPr="0085128E" w:rsidRDefault="00720382" w:rsidP="0085128E">
      <w:pPr>
        <w:tabs>
          <w:tab w:val="left" w:pos="567"/>
        </w:tabs>
      </w:pPr>
    </w:p>
    <w:p w:rsidR="00720382" w:rsidRPr="0085128E" w:rsidRDefault="00417735" w:rsidP="0085128E">
      <w:pPr>
        <w:keepLines/>
        <w:tabs>
          <w:tab w:val="left" w:pos="567"/>
        </w:tabs>
      </w:pPr>
      <w:r w:rsidRPr="0085128E">
        <w:t>3.5</w:t>
      </w:r>
      <w:r w:rsidRPr="0085128E">
        <w:tab/>
        <w:t>Pour l</w:t>
      </w:r>
      <w:r w:rsidR="008D0CFD" w:rsidRPr="0085128E">
        <w:t>’</w:t>
      </w:r>
      <w:r w:rsidRPr="0085128E">
        <w:t xml:space="preserve">exercice </w:t>
      </w:r>
      <w:r w:rsidR="008D0CFD" w:rsidRPr="0085128E">
        <w:t>biennal 2018-</w:t>
      </w:r>
      <w:r w:rsidRPr="0085128E">
        <w:t>2019, les montants des recettes et des dépenses devraient s</w:t>
      </w:r>
      <w:r w:rsidR="008D0CFD" w:rsidRPr="0085128E">
        <w:t>’</w:t>
      </w:r>
      <w:r w:rsidRPr="0085128E">
        <w:t>équilibrer.</w:t>
      </w:r>
    </w:p>
    <w:p w:rsidR="00720382" w:rsidRPr="0085128E" w:rsidRDefault="00720382" w:rsidP="0085128E">
      <w:pPr>
        <w:tabs>
          <w:tab w:val="left" w:pos="567"/>
        </w:tabs>
      </w:pPr>
    </w:p>
    <w:p w:rsidR="00720382" w:rsidRPr="0085128E" w:rsidRDefault="00417735" w:rsidP="0085128E">
      <w:pPr>
        <w:tabs>
          <w:tab w:val="left" w:pos="567"/>
        </w:tabs>
        <w:rPr>
          <w:spacing w:val="-2"/>
          <w:szCs w:val="24"/>
        </w:rPr>
      </w:pPr>
      <w:r w:rsidRPr="0085128E">
        <w:t>3.6</w:t>
      </w:r>
      <w:r w:rsidRPr="0085128E">
        <w:tab/>
        <w:t>Les fonds fiduciaires sont des contributions financières volontaires versées à l</w:t>
      </w:r>
      <w:r w:rsidR="008D0CFD" w:rsidRPr="0085128E">
        <w:t>’</w:t>
      </w:r>
      <w:r w:rsidRPr="0085128E">
        <w:t>UPOV par un membre de l</w:t>
      </w:r>
      <w:r w:rsidR="008D0CFD" w:rsidRPr="0085128E">
        <w:t>’</w:t>
      </w:r>
      <w:r w:rsidRPr="0085128E">
        <w:t>Union, généralement pour financer un programme d</w:t>
      </w:r>
      <w:r w:rsidR="008D0CFD" w:rsidRPr="0085128E">
        <w:t>’</w:t>
      </w:r>
      <w:r w:rsidRPr="0085128E">
        <w:t>activités précis faisant l</w:t>
      </w:r>
      <w:r w:rsidR="008D0CFD" w:rsidRPr="0085128E">
        <w:t>’</w:t>
      </w:r>
      <w:r w:rsidRPr="0085128E">
        <w:t>objet d</w:t>
      </w:r>
      <w:r w:rsidR="008D0CFD" w:rsidRPr="0085128E">
        <w:t>’</w:t>
      </w:r>
      <w:r w:rsidRPr="0085128E">
        <w:t>un accord entre le Bureau de l</w:t>
      </w:r>
      <w:r w:rsidR="008D0CFD" w:rsidRPr="0085128E">
        <w:t>’</w:t>
      </w:r>
      <w:r w:rsidRPr="0085128E">
        <w:t>Union et le membre donate</w:t>
      </w:r>
      <w:r w:rsidR="009F5A99" w:rsidRPr="0085128E">
        <w:t>ur.  Sa</w:t>
      </w:r>
      <w:r w:rsidRPr="0085128E">
        <w:t>ns préjuger des décisions souveraines des pays donateurs, le montant global des fonds fiduciaires pour l</w:t>
      </w:r>
      <w:r w:rsidR="008D0CFD" w:rsidRPr="0085128E">
        <w:t>’</w:t>
      </w:r>
      <w:r w:rsidRPr="0085128E">
        <w:t xml:space="preserve">exercice </w:t>
      </w:r>
      <w:r w:rsidR="008D0CFD" w:rsidRPr="0085128E">
        <w:t>biennal 2018-</w:t>
      </w:r>
      <w:r w:rsidRPr="0085128E">
        <w:t>2019 devrait s</w:t>
      </w:r>
      <w:r w:rsidR="008D0CFD" w:rsidRPr="0085128E">
        <w:t>’</w:t>
      </w:r>
      <w:r w:rsidRPr="0085128E">
        <w:t>établir à 536</w:t>
      </w:r>
      <w:r w:rsidR="00E73CFB" w:rsidRPr="0085128E">
        <w:t> </w:t>
      </w:r>
      <w:r w:rsidRPr="0085128E">
        <w:t>00</w:t>
      </w:r>
      <w:r w:rsidR="008D0CFD" w:rsidRPr="0085128E">
        <w:t>0 franc</w:t>
      </w:r>
      <w:r w:rsidRPr="0085128E">
        <w:t>s suiss</w:t>
      </w:r>
      <w:r w:rsidR="009F5A99" w:rsidRPr="0085128E">
        <w:t>es.  Il</w:t>
      </w:r>
      <w:r w:rsidRPr="0085128E">
        <w:t xml:space="preserve"> convient de noter que les contributions financières (p.</w:t>
      </w:r>
      <w:r w:rsidR="00C833CB" w:rsidRPr="0085128E">
        <w:t> </w:t>
      </w:r>
      <w:r w:rsidRPr="0085128E">
        <w:t>ex</w:t>
      </w:r>
      <w:r w:rsidR="00490BB9" w:rsidRPr="0085128E">
        <w:t>.</w:t>
      </w:r>
      <w:r w:rsidR="00C833CB" w:rsidRPr="0085128E">
        <w:t> </w:t>
      </w:r>
      <w:r w:rsidR="00E619B7" w:rsidRPr="0085128E">
        <w:t xml:space="preserve">les fonds fiduciaires) </w:t>
      </w:r>
      <w:r w:rsidRPr="0085128E">
        <w:t>et les contributions non financières (aide en nature) des membres de l</w:t>
      </w:r>
      <w:r w:rsidR="008D0CFD" w:rsidRPr="0085128E">
        <w:t>’</w:t>
      </w:r>
      <w:r w:rsidRPr="0085128E">
        <w:t>Union, en particulier dans le domaine de l</w:t>
      </w:r>
      <w:r w:rsidR="008D0CFD" w:rsidRPr="0085128E">
        <w:t>’</w:t>
      </w:r>
      <w:r w:rsidRPr="0085128E">
        <w:t>assistance technique et des activités de formation, ne sont pas inscrites au budget de l</w:t>
      </w:r>
      <w:r w:rsidR="008D0CFD" w:rsidRPr="0085128E">
        <w:t>’</w:t>
      </w:r>
      <w:r w:rsidRPr="0085128E">
        <w:t>UPOV.</w:t>
      </w:r>
    </w:p>
    <w:p w:rsidR="00720382" w:rsidRDefault="00720382" w:rsidP="0085128E">
      <w:pPr>
        <w:rPr>
          <w:spacing w:val="-2"/>
          <w:szCs w:val="24"/>
        </w:rPr>
      </w:pPr>
    </w:p>
    <w:p w:rsidR="00003E2C" w:rsidRPr="0085128E" w:rsidRDefault="00003E2C" w:rsidP="0085128E">
      <w:pPr>
        <w:rPr>
          <w:spacing w:val="-2"/>
          <w:szCs w:val="24"/>
        </w:rPr>
      </w:pPr>
    </w:p>
    <w:p w:rsidR="00720382" w:rsidRPr="0085128E" w:rsidRDefault="00417735" w:rsidP="00003E2C">
      <w:pPr>
        <w:pStyle w:val="Heading5"/>
      </w:pPr>
      <w:bookmarkStart w:id="203" w:name="_Toc489956867"/>
      <w:bookmarkStart w:id="204" w:name="_Toc490572933"/>
      <w:bookmarkStart w:id="205" w:name="_Toc491088308"/>
      <w:r w:rsidRPr="0085128E">
        <w:t>Tableau</w:t>
      </w:r>
      <w:r w:rsidR="00E73CFB" w:rsidRPr="0085128E">
        <w:t> </w:t>
      </w:r>
      <w:r w:rsidRPr="0085128E">
        <w:t>3</w:t>
      </w:r>
      <w:r w:rsidR="008D0CFD" w:rsidRPr="0085128E">
        <w:t> :</w:t>
      </w:r>
      <w:r w:rsidRPr="0085128E">
        <w:t xml:space="preserve"> Plan en matière de ressources </w:t>
      </w:r>
      <w:r w:rsidR="008D0CFD" w:rsidRPr="0085128E">
        <w:t>pour 2016-</w:t>
      </w:r>
      <w:r w:rsidRPr="0085128E">
        <w:t>2017 et 2018</w:t>
      </w:r>
      <w:r w:rsidR="008D0CFD" w:rsidRPr="0085128E">
        <w:t>-</w:t>
      </w:r>
      <w:r w:rsidRPr="0085128E">
        <w:t>2019</w:t>
      </w:r>
      <w:bookmarkEnd w:id="203"/>
      <w:bookmarkEnd w:id="204"/>
      <w:bookmarkEnd w:id="205"/>
    </w:p>
    <w:p w:rsidR="00720382" w:rsidRPr="0085128E" w:rsidRDefault="00417735" w:rsidP="00003E2C">
      <w:pPr>
        <w:keepNext/>
        <w:jc w:val="center"/>
        <w:rPr>
          <w:rFonts w:cs="Arial"/>
          <w:i/>
          <w:iCs/>
        </w:rPr>
      </w:pPr>
      <w:r w:rsidRPr="0085128E">
        <w:rPr>
          <w:rFonts w:cs="Arial"/>
          <w:i/>
          <w:iCs/>
        </w:rPr>
        <w:t>(en milliers de francs suisses)</w:t>
      </w:r>
    </w:p>
    <w:p w:rsidR="00720382" w:rsidRPr="0085128E" w:rsidRDefault="00720382" w:rsidP="00003E2C">
      <w:pPr>
        <w:keepNext/>
        <w:jc w:val="center"/>
        <w:rPr>
          <w:spacing w:val="-2"/>
          <w:szCs w:val="24"/>
        </w:rPr>
      </w:pPr>
    </w:p>
    <w:p w:rsidR="00720382" w:rsidRPr="0085128E" w:rsidRDefault="009C4BBF" w:rsidP="0085128E">
      <w:pPr>
        <w:jc w:val="center"/>
        <w:rPr>
          <w:spacing w:val="-2"/>
          <w:szCs w:val="24"/>
        </w:rPr>
      </w:pPr>
      <w:r w:rsidRPr="0085128E">
        <w:rPr>
          <w:noProof/>
          <w:lang w:val="en-US"/>
        </w:rPr>
        <w:drawing>
          <wp:inline distT="0" distB="0" distL="0" distR="0" wp14:anchorId="056F5730" wp14:editId="1B708C21">
            <wp:extent cx="4398010" cy="3265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8010" cy="3265805"/>
                    </a:xfrm>
                    <a:prstGeom prst="rect">
                      <a:avLst/>
                    </a:prstGeom>
                    <a:noFill/>
                    <a:ln>
                      <a:noFill/>
                    </a:ln>
                  </pic:spPr>
                </pic:pic>
              </a:graphicData>
            </a:graphic>
          </wp:inline>
        </w:drawing>
      </w:r>
    </w:p>
    <w:p w:rsidR="00720382" w:rsidRPr="0085128E" w:rsidRDefault="00720382" w:rsidP="0085128E">
      <w:pPr>
        <w:jc w:val="center"/>
        <w:rPr>
          <w:spacing w:val="-2"/>
          <w:szCs w:val="24"/>
        </w:rPr>
      </w:pPr>
    </w:p>
    <w:p w:rsidR="00720382" w:rsidRPr="0085128E" w:rsidRDefault="00720382" w:rsidP="0085128E">
      <w:pPr>
        <w:jc w:val="center"/>
        <w:rPr>
          <w:spacing w:val="-2"/>
          <w:szCs w:val="24"/>
        </w:rPr>
      </w:pPr>
    </w:p>
    <w:p w:rsidR="003711EE" w:rsidRPr="0085128E" w:rsidRDefault="00417735" w:rsidP="0085128E">
      <w:pPr>
        <w:tabs>
          <w:tab w:val="left" w:pos="567"/>
        </w:tabs>
      </w:pPr>
      <w:bookmarkStart w:id="206" w:name="RANGE!A1:F18"/>
      <w:bookmarkEnd w:id="206"/>
      <w:r w:rsidRPr="0085128E">
        <w:t>3.7</w:t>
      </w:r>
      <w:r w:rsidRPr="0085128E">
        <w:tab/>
        <w:t xml:space="preserve">Le </w:t>
      </w:r>
      <w:r w:rsidRPr="0085128E">
        <w:rPr>
          <w:b/>
        </w:rPr>
        <w:t>tableau</w:t>
      </w:r>
      <w:r w:rsidR="00E73CFB" w:rsidRPr="0085128E">
        <w:rPr>
          <w:b/>
        </w:rPr>
        <w:t> </w:t>
      </w:r>
      <w:r w:rsidRPr="0085128E">
        <w:rPr>
          <w:b/>
        </w:rPr>
        <w:t>4</w:t>
      </w:r>
      <w:r w:rsidRPr="0085128E">
        <w:t xml:space="preserve"> indique les variations budgétaires par objet de dépense entre les exercices biennaux 2016</w:t>
      </w:r>
      <w:r w:rsidR="008D0CFD" w:rsidRPr="0085128E">
        <w:t>-</w:t>
      </w:r>
      <w:r w:rsidRPr="0085128E">
        <w:t>2017 et 2018</w:t>
      </w:r>
      <w:r w:rsidR="008D0CFD" w:rsidRPr="0085128E">
        <w:t>-</w:t>
      </w:r>
      <w:r w:rsidRPr="0085128E">
        <w:t>2019.</w:t>
      </w:r>
      <w:r w:rsidR="00604822" w:rsidRPr="0085128E">
        <w:t xml:space="preserve">  </w:t>
      </w:r>
      <w:r w:rsidR="00194E56" w:rsidRPr="0085128E">
        <w:t xml:space="preserve">Le budget proposé </w:t>
      </w:r>
      <w:r w:rsidR="008D0CFD" w:rsidRPr="0085128E">
        <w:t>pour 2018-</w:t>
      </w:r>
      <w:r w:rsidR="00194E56" w:rsidRPr="0085128E">
        <w:t>2019 s</w:t>
      </w:r>
      <w:r w:rsidR="008D0CFD" w:rsidRPr="0085128E">
        <w:t>’</w:t>
      </w:r>
      <w:r w:rsidR="00194E56" w:rsidRPr="0085128E">
        <w:t>élève à 6</w:t>
      </w:r>
      <w:r w:rsidR="00E73CFB" w:rsidRPr="0085128E">
        <w:t> </w:t>
      </w:r>
      <w:r w:rsidR="00194E56" w:rsidRPr="0085128E">
        <w:t>940</w:t>
      </w:r>
      <w:r w:rsidR="00E73CFB" w:rsidRPr="0085128E">
        <w:t> </w:t>
      </w:r>
      <w:r w:rsidR="00194E56" w:rsidRPr="0085128E">
        <w:t>00</w:t>
      </w:r>
      <w:r w:rsidR="008D0CFD" w:rsidRPr="0085128E">
        <w:t>0 franc</w:t>
      </w:r>
      <w:r w:rsidR="00194E56" w:rsidRPr="0085128E">
        <w:t>s suisses, soit une augmentation de 117</w:t>
      </w:r>
      <w:r w:rsidR="00E73CFB" w:rsidRPr="0085128E">
        <w:t> </w:t>
      </w:r>
      <w:r w:rsidR="00194E56" w:rsidRPr="0085128E">
        <w:t>00</w:t>
      </w:r>
      <w:r w:rsidR="008D0CFD" w:rsidRPr="0085128E">
        <w:t>0 franc</w:t>
      </w:r>
      <w:r w:rsidR="00194E56" w:rsidRPr="0085128E">
        <w:t xml:space="preserve">s suisses (1,7%) par rapport au budget </w:t>
      </w:r>
      <w:r w:rsidR="008D0CFD" w:rsidRPr="0085128E">
        <w:t>de 2016-</w:t>
      </w:r>
      <w:r w:rsidR="00194E56" w:rsidRPr="0085128E">
        <w:t>2017.</w:t>
      </w:r>
    </w:p>
    <w:p w:rsidR="00720382" w:rsidRPr="00003E2C" w:rsidRDefault="00720382" w:rsidP="00003E2C"/>
    <w:p w:rsidR="00720382" w:rsidRPr="00003E2C" w:rsidRDefault="00720382" w:rsidP="00003E2C"/>
    <w:p w:rsidR="00720382" w:rsidRPr="0085128E" w:rsidRDefault="00194E56" w:rsidP="00003E2C">
      <w:pPr>
        <w:pStyle w:val="Heading5"/>
      </w:pPr>
      <w:bookmarkStart w:id="207" w:name="_Toc489956868"/>
      <w:bookmarkStart w:id="208" w:name="_Toc490572934"/>
      <w:bookmarkStart w:id="209" w:name="_Toc491088309"/>
      <w:r w:rsidRPr="0085128E">
        <w:t>Tableau</w:t>
      </w:r>
      <w:r w:rsidR="00E73CFB" w:rsidRPr="0085128E">
        <w:t> </w:t>
      </w:r>
      <w:r w:rsidRPr="0085128E">
        <w:t>4</w:t>
      </w:r>
      <w:r w:rsidR="008D0CFD" w:rsidRPr="0085128E">
        <w:t> :</w:t>
      </w:r>
      <w:r w:rsidRPr="0085128E">
        <w:t xml:space="preserve"> Budget proposé </w:t>
      </w:r>
      <w:r w:rsidR="008D0CFD" w:rsidRPr="0085128E">
        <w:t>pour 2018-</w:t>
      </w:r>
      <w:r w:rsidRPr="0085128E">
        <w:t>2019</w:t>
      </w:r>
      <w:r w:rsidR="008D0CFD" w:rsidRPr="0085128E">
        <w:t> :</w:t>
      </w:r>
      <w:r w:rsidRPr="0085128E">
        <w:t xml:space="preserve"> variations budgétaires par objet de dépense</w:t>
      </w:r>
      <w:bookmarkEnd w:id="207"/>
      <w:bookmarkEnd w:id="208"/>
      <w:bookmarkEnd w:id="209"/>
    </w:p>
    <w:p w:rsidR="00720382" w:rsidRPr="0085128E" w:rsidRDefault="00194E56" w:rsidP="00003E2C">
      <w:pPr>
        <w:keepNext/>
        <w:jc w:val="center"/>
        <w:rPr>
          <w:spacing w:val="-2"/>
        </w:rPr>
      </w:pPr>
      <w:r w:rsidRPr="0085128E">
        <w:rPr>
          <w:i/>
          <w:spacing w:val="-2"/>
        </w:rPr>
        <w:t>(en milliers de francs suisses)</w:t>
      </w:r>
    </w:p>
    <w:p w:rsidR="00720382" w:rsidRPr="0085128E" w:rsidRDefault="00720382" w:rsidP="00003E2C">
      <w:pPr>
        <w:keepNext/>
        <w:rPr>
          <w:b/>
          <w:spacing w:val="-2"/>
          <w:szCs w:val="24"/>
        </w:rPr>
      </w:pPr>
    </w:p>
    <w:p w:rsidR="00720382" w:rsidRPr="0085128E" w:rsidRDefault="00392DE0" w:rsidP="0085128E">
      <w:pPr>
        <w:jc w:val="center"/>
        <w:rPr>
          <w:b/>
          <w:spacing w:val="-2"/>
          <w:szCs w:val="24"/>
        </w:rPr>
      </w:pPr>
      <w:r w:rsidRPr="00392DE0">
        <w:rPr>
          <w:noProof/>
          <w:lang w:val="en-US"/>
        </w:rPr>
        <w:drawing>
          <wp:inline distT="0" distB="0" distL="0" distR="0">
            <wp:extent cx="5534025" cy="6086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4025" cy="6086475"/>
                    </a:xfrm>
                    <a:prstGeom prst="rect">
                      <a:avLst/>
                    </a:prstGeom>
                    <a:noFill/>
                    <a:ln>
                      <a:noFill/>
                    </a:ln>
                  </pic:spPr>
                </pic:pic>
              </a:graphicData>
            </a:graphic>
          </wp:inline>
        </w:drawing>
      </w:r>
    </w:p>
    <w:p w:rsidR="00720382" w:rsidRPr="0085128E" w:rsidRDefault="00720382" w:rsidP="00003E2C"/>
    <w:p w:rsidR="00720382" w:rsidRPr="0085128E" w:rsidRDefault="00720382" w:rsidP="00003E2C"/>
    <w:p w:rsidR="003711EE" w:rsidRPr="0085128E" w:rsidRDefault="00194E56" w:rsidP="0085128E">
      <w:pPr>
        <w:tabs>
          <w:tab w:val="left" w:pos="567"/>
        </w:tabs>
      </w:pPr>
      <w:r w:rsidRPr="0085128E">
        <w:t>3.8</w:t>
      </w:r>
      <w:r w:rsidRPr="0085128E">
        <w:tab/>
        <w:t xml:space="preserve">Le </w:t>
      </w:r>
      <w:r w:rsidRPr="0085128E">
        <w:rPr>
          <w:b/>
        </w:rPr>
        <w:t>tableau</w:t>
      </w:r>
      <w:r w:rsidR="00E73CFB" w:rsidRPr="0085128E">
        <w:rPr>
          <w:b/>
        </w:rPr>
        <w:t> </w:t>
      </w:r>
      <w:r w:rsidRPr="0085128E">
        <w:rPr>
          <w:b/>
        </w:rPr>
        <w:t>5</w:t>
      </w:r>
      <w:r w:rsidRPr="0085128E">
        <w:t xml:space="preserve"> indique le nombre de postes ainsi que leur ventilation par gra</w:t>
      </w:r>
      <w:r w:rsidR="009F5A99" w:rsidRPr="0085128E">
        <w:t>de.  Le</w:t>
      </w:r>
      <w:r w:rsidRPr="0085128E">
        <w:t xml:space="preserve"> poste de secrétaire général est inclus dans ces chiffres, mais sans incidences financières, étant donné que le Directeur général actuel de l</w:t>
      </w:r>
      <w:r w:rsidR="008D0CFD" w:rsidRPr="0085128E">
        <w:t>’</w:t>
      </w:r>
      <w:r w:rsidRPr="0085128E">
        <w:t>OMPI a refusé de percevoir tout traitement ou indemnité pour ses fonctions de secrétaire général de l</w:t>
      </w:r>
      <w:r w:rsidR="008D0CFD" w:rsidRPr="0085128E">
        <w:t>’</w:t>
      </w:r>
      <w:r w:rsidRPr="0085128E">
        <w:t>UPOV.</w:t>
      </w:r>
    </w:p>
    <w:p w:rsidR="00720382" w:rsidRPr="0085128E" w:rsidRDefault="00720382" w:rsidP="0085128E">
      <w:pPr>
        <w:tabs>
          <w:tab w:val="left" w:pos="567"/>
        </w:tabs>
      </w:pPr>
    </w:p>
    <w:p w:rsidR="00720382" w:rsidRPr="0085128E" w:rsidRDefault="00194E56" w:rsidP="0085128E">
      <w:pPr>
        <w:tabs>
          <w:tab w:val="left" w:pos="567"/>
        </w:tabs>
        <w:rPr>
          <w:spacing w:val="-2"/>
        </w:rPr>
      </w:pPr>
      <w:r w:rsidRPr="0085128E">
        <w:rPr>
          <w:spacing w:val="-2"/>
        </w:rPr>
        <w:t>3.9</w:t>
      </w:r>
      <w:r w:rsidRPr="0085128E">
        <w:rPr>
          <w:spacing w:val="-2"/>
        </w:rPr>
        <w:tab/>
        <w:t>Le programme et budget pour l</w:t>
      </w:r>
      <w:r w:rsidR="008D0CFD" w:rsidRPr="0085128E">
        <w:rPr>
          <w:spacing w:val="-2"/>
        </w:rPr>
        <w:t>’</w:t>
      </w:r>
      <w:r w:rsidRPr="0085128E">
        <w:rPr>
          <w:spacing w:val="-2"/>
        </w:rPr>
        <w:t xml:space="preserve">exercice </w:t>
      </w:r>
      <w:r w:rsidR="008D0CFD" w:rsidRPr="0085128E">
        <w:rPr>
          <w:spacing w:val="-2"/>
        </w:rPr>
        <w:t>biennal 2018-</w:t>
      </w:r>
      <w:r w:rsidRPr="0085128E">
        <w:rPr>
          <w:spacing w:val="-2"/>
        </w:rPr>
        <w:t>2019 prévoit une augmentation d</w:t>
      </w:r>
      <w:r w:rsidR="008D0CFD" w:rsidRPr="0085128E">
        <w:rPr>
          <w:spacing w:val="-2"/>
        </w:rPr>
        <w:t>’</w:t>
      </w:r>
      <w:r w:rsidRPr="0085128E">
        <w:rPr>
          <w:spacing w:val="-2"/>
        </w:rPr>
        <w:t>un pos</w:t>
      </w:r>
      <w:r w:rsidR="009F5A99" w:rsidRPr="0085128E">
        <w:rPr>
          <w:spacing w:val="-2"/>
        </w:rPr>
        <w:t>te.  Le</w:t>
      </w:r>
      <w:r w:rsidRPr="0085128E">
        <w:rPr>
          <w:spacing w:val="-2"/>
        </w:rPr>
        <w:t xml:space="preserve"> poste supplémentaire sera créé pour un spécialiste en informatique de la catégorie des administrateu</w:t>
      </w:r>
      <w:r w:rsidR="009F5A99" w:rsidRPr="0085128E">
        <w:rPr>
          <w:spacing w:val="-2"/>
        </w:rPr>
        <w:t>rs.  Da</w:t>
      </w:r>
      <w:r w:rsidRPr="0085128E">
        <w:rPr>
          <w:spacing w:val="-2"/>
        </w:rPr>
        <w:t>ns les exercices précédents, l</w:t>
      </w:r>
      <w:r w:rsidR="008D0CFD" w:rsidRPr="0085128E">
        <w:rPr>
          <w:spacing w:val="-2"/>
        </w:rPr>
        <w:t>’</w:t>
      </w:r>
      <w:r w:rsidRPr="0085128E">
        <w:rPr>
          <w:spacing w:val="-2"/>
        </w:rPr>
        <w:t>élaboration et la mise à jour informatiques des bases de données et des autres outils informatiques de l</w:t>
      </w:r>
      <w:r w:rsidR="008D0CFD" w:rsidRPr="0085128E">
        <w:rPr>
          <w:spacing w:val="-2"/>
        </w:rPr>
        <w:t>’</w:t>
      </w:r>
      <w:r w:rsidRPr="0085128E">
        <w:rPr>
          <w:spacing w:val="-2"/>
        </w:rPr>
        <w:t>UPOV, tels que le modèle TG, ont été entreprises ou gérées par les spécialistes en informatique de l</w:t>
      </w:r>
      <w:r w:rsidR="008D0CFD" w:rsidRPr="0085128E">
        <w:rPr>
          <w:spacing w:val="-2"/>
        </w:rPr>
        <w:t>’</w:t>
      </w:r>
      <w:r w:rsidRPr="0085128E">
        <w:rPr>
          <w:spacing w:val="-2"/>
        </w:rPr>
        <w:t>OMPI en tant que dépenses communes au titre de l</w:t>
      </w:r>
      <w:r w:rsidR="008D0CFD" w:rsidRPr="0085128E">
        <w:rPr>
          <w:spacing w:val="-2"/>
        </w:rPr>
        <w:t>’</w:t>
      </w:r>
      <w:r w:rsidRPr="0085128E">
        <w:rPr>
          <w:spacing w:val="-2"/>
        </w:rPr>
        <w:t>“Accord entre l</w:t>
      </w:r>
      <w:r w:rsidR="008D0CFD" w:rsidRPr="0085128E">
        <w:rPr>
          <w:spacing w:val="-2"/>
        </w:rPr>
        <w:t>’</w:t>
      </w:r>
      <w:r w:rsidRPr="0085128E">
        <w:rPr>
          <w:spacing w:val="-2"/>
        </w:rPr>
        <w:t>Organisation Mondiale de la Propriété Intellectuelle et l</w:t>
      </w:r>
      <w:r w:rsidR="008D0CFD" w:rsidRPr="0085128E">
        <w:rPr>
          <w:spacing w:val="-2"/>
        </w:rPr>
        <w:t>’</w:t>
      </w:r>
      <w:r w:rsidRPr="0085128E">
        <w:rPr>
          <w:spacing w:val="-2"/>
        </w:rPr>
        <w:t>Union internationale pour la protection des obtentions végétales” (voir le document UPOV/INF/8).</w:t>
      </w:r>
      <w:r w:rsidR="00604822" w:rsidRPr="0085128E">
        <w:rPr>
          <w:spacing w:val="-2"/>
        </w:rPr>
        <w:t xml:space="preserve">  </w:t>
      </w:r>
      <w:r w:rsidRPr="0085128E">
        <w:rPr>
          <w:rFonts w:cs="Arial"/>
        </w:rPr>
        <w:t>Ces services ne sont plus fournis en tant que services commu</w:t>
      </w:r>
      <w:r w:rsidR="009F5A99" w:rsidRPr="0085128E">
        <w:rPr>
          <w:rFonts w:cs="Arial"/>
        </w:rPr>
        <w:t>ns.  Bi</w:t>
      </w:r>
      <w:r w:rsidRPr="0085128E">
        <w:rPr>
          <w:rFonts w:cs="Arial"/>
        </w:rPr>
        <w:t>en que ce fait nouveau ait permis à l</w:t>
      </w:r>
      <w:r w:rsidR="008D0CFD" w:rsidRPr="0085128E">
        <w:rPr>
          <w:rFonts w:cs="Arial"/>
        </w:rPr>
        <w:t>’</w:t>
      </w:r>
      <w:r w:rsidRPr="0085128E">
        <w:rPr>
          <w:rFonts w:cs="Arial"/>
        </w:rPr>
        <w:t>UPOV de maîtriser ses dépenses de fonctionnement imputées par l</w:t>
      </w:r>
      <w:r w:rsidR="008D0CFD" w:rsidRPr="0085128E">
        <w:rPr>
          <w:rFonts w:cs="Arial"/>
        </w:rPr>
        <w:t>’</w:t>
      </w:r>
      <w:r w:rsidRPr="0085128E">
        <w:rPr>
          <w:rFonts w:cs="Arial"/>
        </w:rPr>
        <w:t>OMPI à l</w:t>
      </w:r>
      <w:r w:rsidR="008D0CFD" w:rsidRPr="0085128E">
        <w:rPr>
          <w:rFonts w:cs="Arial"/>
        </w:rPr>
        <w:t>’</w:t>
      </w:r>
      <w:r w:rsidRPr="0085128E">
        <w:rPr>
          <w:rFonts w:cs="Arial"/>
        </w:rPr>
        <w:t>UPOV, l</w:t>
      </w:r>
      <w:r w:rsidR="008D0CFD" w:rsidRPr="0085128E">
        <w:rPr>
          <w:rFonts w:cs="Arial"/>
        </w:rPr>
        <w:t>’</w:t>
      </w:r>
      <w:r w:rsidRPr="0085128E">
        <w:rPr>
          <w:rFonts w:cs="Arial"/>
        </w:rPr>
        <w:t>Union devra prendre les dispositions nécessaires en matière de compétence informatique afin d</w:t>
      </w:r>
      <w:r w:rsidR="008D0CFD" w:rsidRPr="0085128E">
        <w:rPr>
          <w:rFonts w:cs="Arial"/>
        </w:rPr>
        <w:t>’</w:t>
      </w:r>
      <w:r w:rsidRPr="0085128E">
        <w:rPr>
          <w:rFonts w:cs="Arial"/>
        </w:rPr>
        <w:t>assurer la mise à jour et l</w:t>
      </w:r>
      <w:r w:rsidR="008D0CFD" w:rsidRPr="0085128E">
        <w:rPr>
          <w:rFonts w:cs="Arial"/>
        </w:rPr>
        <w:t>’</w:t>
      </w:r>
      <w:r w:rsidRPr="0085128E">
        <w:rPr>
          <w:rFonts w:cs="Arial"/>
        </w:rPr>
        <w:t>élaboration de ses outils informatiques à l</w:t>
      </w:r>
      <w:r w:rsidR="008D0CFD" w:rsidRPr="0085128E">
        <w:rPr>
          <w:rFonts w:cs="Arial"/>
        </w:rPr>
        <w:t>’</w:t>
      </w:r>
      <w:r w:rsidRPr="0085128E">
        <w:rPr>
          <w:rFonts w:cs="Arial"/>
        </w:rPr>
        <w:t>aven</w:t>
      </w:r>
      <w:r w:rsidR="009F5A99" w:rsidRPr="0085128E">
        <w:rPr>
          <w:rFonts w:cs="Arial"/>
        </w:rPr>
        <w:t>ir.  Le</w:t>
      </w:r>
      <w:r w:rsidR="00972245" w:rsidRPr="0085128E">
        <w:rPr>
          <w:rFonts w:cs="Arial"/>
        </w:rPr>
        <w:t xml:space="preserve"> formulaire de demande électronique, lancé </w:t>
      </w:r>
      <w:r w:rsidR="008D0CFD" w:rsidRPr="0085128E">
        <w:rPr>
          <w:rFonts w:cs="Arial"/>
        </w:rPr>
        <w:t>en 2017</w:t>
      </w:r>
      <w:r w:rsidR="00972245" w:rsidRPr="0085128E">
        <w:rPr>
          <w:rFonts w:cs="Arial"/>
        </w:rPr>
        <w:t>, constitue un nouvel outil informatique essentiel qui facilitera le dépôt des demandes des membres de l</w:t>
      </w:r>
      <w:r w:rsidR="008D0CFD" w:rsidRPr="0085128E">
        <w:rPr>
          <w:rFonts w:cs="Arial"/>
        </w:rPr>
        <w:t>’</w:t>
      </w:r>
      <w:r w:rsidR="00972245" w:rsidRPr="0085128E">
        <w:rPr>
          <w:rFonts w:cs="Arial"/>
        </w:rPr>
        <w:t>Union et n</w:t>
      </w:r>
      <w:r w:rsidR="008D0CFD" w:rsidRPr="0085128E">
        <w:rPr>
          <w:rFonts w:cs="Arial"/>
        </w:rPr>
        <w:t>’</w:t>
      </w:r>
      <w:r w:rsidR="00972245" w:rsidRPr="0085128E">
        <w:rPr>
          <w:rFonts w:cs="Arial"/>
        </w:rPr>
        <w:t>a été rendu possible qu</w:t>
      </w:r>
      <w:r w:rsidR="008D0CFD" w:rsidRPr="0085128E">
        <w:rPr>
          <w:rFonts w:cs="Arial"/>
        </w:rPr>
        <w:t>’</w:t>
      </w:r>
      <w:r w:rsidR="00972245" w:rsidRPr="0085128E">
        <w:rPr>
          <w:rFonts w:cs="Arial"/>
        </w:rPr>
        <w:t>en partant du principe que les taxes acquittées par les demandeurs finiraient par couvrir les coûts d</w:t>
      </w:r>
      <w:r w:rsidR="008D0CFD" w:rsidRPr="0085128E">
        <w:rPr>
          <w:rFonts w:cs="Arial"/>
        </w:rPr>
        <w:t>’</w:t>
      </w:r>
      <w:r w:rsidR="00972245" w:rsidRPr="0085128E">
        <w:rPr>
          <w:rFonts w:cs="Arial"/>
        </w:rPr>
        <w:t>élaboration et de mise à jour du formulai</w:t>
      </w:r>
      <w:r w:rsidR="009F5A99" w:rsidRPr="0085128E">
        <w:rPr>
          <w:rFonts w:cs="Arial"/>
        </w:rPr>
        <w:t xml:space="preserve">re.  </w:t>
      </w:r>
      <w:r w:rsidR="009F5A99" w:rsidRPr="0085128E">
        <w:rPr>
          <w:spacing w:val="-2"/>
        </w:rPr>
        <w:t>Il</w:t>
      </w:r>
      <w:r w:rsidR="00972245" w:rsidRPr="0085128E">
        <w:rPr>
          <w:spacing w:val="-2"/>
        </w:rPr>
        <w:t xml:space="preserve"> est prévu que les recettes découlant de l</w:t>
      </w:r>
      <w:r w:rsidR="008D0CFD" w:rsidRPr="0085128E">
        <w:rPr>
          <w:spacing w:val="-2"/>
        </w:rPr>
        <w:t>’</w:t>
      </w:r>
      <w:r w:rsidR="00972245" w:rsidRPr="0085128E">
        <w:rPr>
          <w:spacing w:val="-2"/>
        </w:rPr>
        <w:t>utilisation du formulaire, qui dépendront de la participation des membres de l</w:t>
      </w:r>
      <w:r w:rsidR="008D0CFD" w:rsidRPr="0085128E">
        <w:rPr>
          <w:spacing w:val="-2"/>
        </w:rPr>
        <w:t>’</w:t>
      </w:r>
      <w:r w:rsidR="00972245" w:rsidRPr="0085128E">
        <w:rPr>
          <w:spacing w:val="-2"/>
        </w:rPr>
        <w:t>Union et d</w:t>
      </w:r>
      <w:r w:rsidR="008D0CFD" w:rsidRPr="0085128E">
        <w:rPr>
          <w:spacing w:val="-2"/>
        </w:rPr>
        <w:t>’</w:t>
      </w:r>
      <w:r w:rsidR="00972245" w:rsidRPr="0085128E">
        <w:rPr>
          <w:spacing w:val="-2"/>
        </w:rPr>
        <w:t>une utilisation maximale de la part des obtenteurs, apportent une contribution financière importante.</w:t>
      </w:r>
    </w:p>
    <w:p w:rsidR="00720382" w:rsidRPr="0085128E" w:rsidRDefault="00720382" w:rsidP="0085128E">
      <w:pPr>
        <w:tabs>
          <w:tab w:val="left" w:pos="567"/>
        </w:tabs>
        <w:rPr>
          <w:spacing w:val="-2"/>
        </w:rPr>
      </w:pPr>
    </w:p>
    <w:p w:rsidR="003711EE" w:rsidRPr="0085128E" w:rsidRDefault="00972245" w:rsidP="0085128E">
      <w:pPr>
        <w:tabs>
          <w:tab w:val="left" w:pos="567"/>
        </w:tabs>
        <w:rPr>
          <w:spacing w:val="-2"/>
        </w:rPr>
      </w:pPr>
      <w:r w:rsidRPr="0085128E">
        <w:rPr>
          <w:spacing w:val="-2"/>
        </w:rPr>
        <w:t>3.10</w:t>
      </w:r>
      <w:r w:rsidRPr="0085128E">
        <w:rPr>
          <w:spacing w:val="-2"/>
        </w:rPr>
        <w:tab/>
        <w:t>L</w:t>
      </w:r>
      <w:r w:rsidR="008D0CFD" w:rsidRPr="0085128E">
        <w:rPr>
          <w:spacing w:val="-2"/>
        </w:rPr>
        <w:t>’</w:t>
      </w:r>
      <w:r w:rsidRPr="0085128E">
        <w:rPr>
          <w:spacing w:val="-2"/>
        </w:rPr>
        <w:t>un des postes d</w:t>
      </w:r>
      <w:r w:rsidR="008D0CFD" w:rsidRPr="0085128E">
        <w:rPr>
          <w:spacing w:val="-2"/>
        </w:rPr>
        <w:t>’</w:t>
      </w:r>
      <w:r w:rsidRPr="0085128E">
        <w:rPr>
          <w:spacing w:val="-2"/>
        </w:rPr>
        <w:t>administrateurs sera pourvu au moyen d</w:t>
      </w:r>
      <w:r w:rsidR="008D0CFD" w:rsidRPr="0085128E">
        <w:rPr>
          <w:spacing w:val="-2"/>
        </w:rPr>
        <w:t>’</w:t>
      </w:r>
      <w:r w:rsidRPr="0085128E">
        <w:rPr>
          <w:spacing w:val="-2"/>
        </w:rPr>
        <w:t>un contrat temporaire au cours d</w:t>
      </w:r>
      <w:r w:rsidR="008D0CFD" w:rsidRPr="0085128E">
        <w:rPr>
          <w:spacing w:val="-2"/>
        </w:rPr>
        <w:t>’</w:t>
      </w:r>
      <w:r w:rsidRPr="0085128E">
        <w:rPr>
          <w:spacing w:val="-2"/>
        </w:rPr>
        <w:t>une partie de l</w:t>
      </w:r>
      <w:r w:rsidR="008D0CFD" w:rsidRPr="0085128E">
        <w:rPr>
          <w:spacing w:val="-2"/>
        </w:rPr>
        <w:t>’</w:t>
      </w:r>
      <w:r w:rsidRPr="0085128E">
        <w:rPr>
          <w:spacing w:val="-2"/>
        </w:rPr>
        <w:t xml:space="preserve">exercice </w:t>
      </w:r>
      <w:r w:rsidR="008D0CFD" w:rsidRPr="0085128E">
        <w:rPr>
          <w:spacing w:val="-2"/>
        </w:rPr>
        <w:t>biennal 2018-</w:t>
      </w:r>
      <w:r w:rsidRPr="0085128E">
        <w:rPr>
          <w:spacing w:val="-2"/>
        </w:rPr>
        <w:t>2019.</w:t>
      </w:r>
      <w:r w:rsidR="00604822" w:rsidRPr="0085128E">
        <w:rPr>
          <w:spacing w:val="-2"/>
        </w:rPr>
        <w:t xml:space="preserve">  </w:t>
      </w:r>
      <w:r w:rsidR="00F7563D" w:rsidRPr="0085128E">
        <w:rPr>
          <w:spacing w:val="-2"/>
        </w:rPr>
        <w:t>De plus, conformément à l</w:t>
      </w:r>
      <w:r w:rsidR="008D0CFD" w:rsidRPr="0085128E">
        <w:rPr>
          <w:spacing w:val="-2"/>
        </w:rPr>
        <w:t>’</w:t>
      </w:r>
      <w:r w:rsidR="00F7563D" w:rsidRPr="0085128E">
        <w:rPr>
          <w:spacing w:val="-2"/>
        </w:rPr>
        <w:t>approche retenue dans les exercices précédents, il sera fait appel à des ressources à court terme dans la catégorie des services généraux selon que de besoin et dans les limites du budg</w:t>
      </w:r>
      <w:r w:rsidR="009F5A99" w:rsidRPr="0085128E">
        <w:rPr>
          <w:spacing w:val="-2"/>
        </w:rPr>
        <w:t>et.  Po</w:t>
      </w:r>
      <w:r w:rsidR="003D7DBB" w:rsidRPr="0085128E">
        <w:rPr>
          <w:spacing w:val="-2"/>
        </w:rPr>
        <w:t>ur l</w:t>
      </w:r>
      <w:r w:rsidR="008D0CFD" w:rsidRPr="0085128E">
        <w:rPr>
          <w:spacing w:val="-2"/>
        </w:rPr>
        <w:t>’</w:t>
      </w:r>
      <w:r w:rsidR="003D7DBB" w:rsidRPr="0085128E">
        <w:rPr>
          <w:spacing w:val="-2"/>
        </w:rPr>
        <w:t xml:space="preserve">exercice </w:t>
      </w:r>
      <w:r w:rsidR="008D0CFD" w:rsidRPr="0085128E">
        <w:rPr>
          <w:spacing w:val="-2"/>
        </w:rPr>
        <w:t>biennal 2018-</w:t>
      </w:r>
      <w:r w:rsidR="003D7DBB" w:rsidRPr="0085128E">
        <w:rPr>
          <w:spacing w:val="-2"/>
        </w:rPr>
        <w:t>2019, il a été prévu d</w:t>
      </w:r>
      <w:r w:rsidR="008D0CFD" w:rsidRPr="0085128E">
        <w:rPr>
          <w:spacing w:val="-2"/>
        </w:rPr>
        <w:t>’</w:t>
      </w:r>
      <w:r w:rsidR="003D7DBB" w:rsidRPr="0085128E">
        <w:rPr>
          <w:spacing w:val="-2"/>
        </w:rPr>
        <w:t xml:space="preserve">engager </w:t>
      </w:r>
      <w:r w:rsidR="00490BB9" w:rsidRPr="0085128E">
        <w:rPr>
          <w:spacing w:val="-2"/>
        </w:rPr>
        <w:t>une personne chargée des tâches</w:t>
      </w:r>
      <w:r w:rsidR="003D7DBB" w:rsidRPr="0085128E">
        <w:rPr>
          <w:spacing w:val="-2"/>
        </w:rPr>
        <w:t xml:space="preserve"> administrati</w:t>
      </w:r>
      <w:r w:rsidR="00490BB9" w:rsidRPr="0085128E">
        <w:rPr>
          <w:spacing w:val="-2"/>
        </w:rPr>
        <w:t>ves</w:t>
      </w:r>
      <w:r w:rsidR="003D7DBB" w:rsidRPr="0085128E">
        <w:rPr>
          <w:spacing w:val="-2"/>
        </w:rPr>
        <w:t>, au bénéfice d</w:t>
      </w:r>
      <w:r w:rsidR="008D0CFD" w:rsidRPr="0085128E">
        <w:rPr>
          <w:spacing w:val="-2"/>
        </w:rPr>
        <w:t>’</w:t>
      </w:r>
      <w:r w:rsidR="003D7DBB" w:rsidRPr="0085128E">
        <w:rPr>
          <w:spacing w:val="-2"/>
        </w:rPr>
        <w:t>un contrat de courte durée, dont le travail consistera notamment à apporter un appui administratif dans le cadre du formulaire de demande électroniq</w:t>
      </w:r>
      <w:r w:rsidR="009F5A99" w:rsidRPr="0085128E">
        <w:rPr>
          <w:spacing w:val="-2"/>
        </w:rPr>
        <w:t>ue.  Un</w:t>
      </w:r>
      <w:r w:rsidR="003D7DBB" w:rsidRPr="0085128E">
        <w:rPr>
          <w:spacing w:val="-2"/>
        </w:rPr>
        <w:t xml:space="preserve"> appui administratif supplémentaire sera assuré par du personnel intérimaire (</w:t>
      </w:r>
      <w:r w:rsidR="0066290A" w:rsidRPr="0085128E">
        <w:rPr>
          <w:spacing w:val="-2"/>
        </w:rPr>
        <w:t xml:space="preserve">ressources </w:t>
      </w:r>
      <w:r w:rsidR="003D7DBB" w:rsidRPr="0085128E">
        <w:rPr>
          <w:spacing w:val="-2"/>
        </w:rPr>
        <w:t xml:space="preserve">autres </w:t>
      </w:r>
      <w:r w:rsidR="00E619B7" w:rsidRPr="0085128E">
        <w:rPr>
          <w:spacing w:val="-2"/>
        </w:rPr>
        <w:t>que les ressources en personnel</w:t>
      </w:r>
      <w:r w:rsidR="003D7DBB" w:rsidRPr="0085128E">
        <w:rPr>
          <w:spacing w:val="-2"/>
        </w:rPr>
        <w:t>), selon que de besoin.</w:t>
      </w:r>
    </w:p>
    <w:p w:rsidR="00720382" w:rsidRPr="0085128E" w:rsidRDefault="00720382" w:rsidP="0085128E">
      <w:pPr>
        <w:rPr>
          <w:spacing w:val="-2"/>
          <w:szCs w:val="24"/>
        </w:rPr>
      </w:pPr>
    </w:p>
    <w:p w:rsidR="00720382" w:rsidRPr="0085128E" w:rsidRDefault="003D7DBB" w:rsidP="00003E2C">
      <w:pPr>
        <w:pStyle w:val="Heading5"/>
      </w:pPr>
      <w:bookmarkStart w:id="210" w:name="_Toc489956869"/>
      <w:bookmarkStart w:id="211" w:name="_Toc490572935"/>
      <w:bookmarkStart w:id="212" w:name="_Toc491088310"/>
      <w:r w:rsidRPr="0085128E">
        <w:t>Tableau</w:t>
      </w:r>
      <w:r w:rsidR="00E73CFB" w:rsidRPr="0085128E">
        <w:t> </w:t>
      </w:r>
      <w:r w:rsidRPr="0085128E">
        <w:t>5</w:t>
      </w:r>
      <w:r w:rsidR="007D4EA3" w:rsidRPr="0085128E">
        <w:t> :</w:t>
      </w:r>
      <w:r w:rsidR="00C833CB" w:rsidRPr="0085128E">
        <w:t xml:space="preserve"> </w:t>
      </w:r>
      <w:r w:rsidRPr="0085128E">
        <w:t>Budget 2018</w:t>
      </w:r>
      <w:r w:rsidR="008D0CFD" w:rsidRPr="0085128E">
        <w:t>-</w:t>
      </w:r>
      <w:r w:rsidRPr="0085128E">
        <w:t>2019</w:t>
      </w:r>
      <w:r w:rsidR="008D0CFD" w:rsidRPr="0085128E">
        <w:t> :</w:t>
      </w:r>
      <w:r w:rsidRPr="0085128E">
        <w:t xml:space="preserve"> Postes par catégorie</w:t>
      </w:r>
      <w:bookmarkEnd w:id="210"/>
      <w:bookmarkEnd w:id="211"/>
      <w:bookmarkEnd w:id="212"/>
    </w:p>
    <w:p w:rsidR="00720382" w:rsidRPr="0085128E" w:rsidRDefault="00720382" w:rsidP="0085128E">
      <w:pPr>
        <w:jc w:val="center"/>
        <w:rPr>
          <w:spacing w:val="-2"/>
          <w:szCs w:val="24"/>
        </w:rPr>
      </w:pPr>
    </w:p>
    <w:p w:rsidR="00720382" w:rsidRPr="0085128E" w:rsidRDefault="00CD3A24" w:rsidP="0085128E">
      <w:pPr>
        <w:jc w:val="center"/>
        <w:rPr>
          <w:spacing w:val="-2"/>
          <w:szCs w:val="24"/>
        </w:rPr>
      </w:pPr>
      <w:r w:rsidRPr="0085128E">
        <w:rPr>
          <w:noProof/>
          <w:lang w:val="en-US"/>
        </w:rPr>
        <w:drawing>
          <wp:inline distT="0" distB="0" distL="0" distR="0" wp14:anchorId="42C39C39" wp14:editId="654D03E2">
            <wp:extent cx="4375150" cy="146685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5150" cy="1466850"/>
                    </a:xfrm>
                    <a:prstGeom prst="rect">
                      <a:avLst/>
                    </a:prstGeom>
                    <a:noFill/>
                    <a:ln>
                      <a:noFill/>
                    </a:ln>
                  </pic:spPr>
                </pic:pic>
              </a:graphicData>
            </a:graphic>
          </wp:inline>
        </w:drawing>
      </w:r>
    </w:p>
    <w:p w:rsidR="00720382" w:rsidRPr="00003E2C" w:rsidRDefault="00720382" w:rsidP="00003E2C"/>
    <w:p w:rsidR="00720382" w:rsidRPr="00003E2C" w:rsidRDefault="00720382" w:rsidP="00003E2C"/>
    <w:p w:rsidR="00720382" w:rsidRPr="0085128E" w:rsidRDefault="00604822" w:rsidP="0085128E">
      <w:pPr>
        <w:tabs>
          <w:tab w:val="left" w:pos="567"/>
        </w:tabs>
      </w:pPr>
      <w:bookmarkStart w:id="213" w:name="OLE_LINK9"/>
      <w:bookmarkStart w:id="214" w:name="OLE_LINK10"/>
      <w:r w:rsidRPr="0085128E">
        <w:t>3.11</w:t>
      </w:r>
      <w:bookmarkEnd w:id="213"/>
      <w:bookmarkEnd w:id="214"/>
      <w:r w:rsidRPr="0085128E">
        <w:tab/>
      </w:r>
      <w:r w:rsidR="00F20974" w:rsidRPr="0085128E">
        <w:tab/>
        <w:t xml:space="preserve">Le </w:t>
      </w:r>
      <w:r w:rsidR="00F20974" w:rsidRPr="0085128E">
        <w:rPr>
          <w:b/>
        </w:rPr>
        <w:t>tableau</w:t>
      </w:r>
      <w:r w:rsidR="00E73CFB" w:rsidRPr="0085128E">
        <w:rPr>
          <w:b/>
        </w:rPr>
        <w:t> </w:t>
      </w:r>
      <w:r w:rsidR="00F20974" w:rsidRPr="0085128E">
        <w:rPr>
          <w:b/>
        </w:rPr>
        <w:t>6</w:t>
      </w:r>
      <w:r w:rsidR="00F20974" w:rsidRPr="0085128E">
        <w:t xml:space="preserve"> indique la </w:t>
      </w:r>
      <w:r w:rsidR="0066290A" w:rsidRPr="0085128E">
        <w:t>dotation</w:t>
      </w:r>
      <w:r w:rsidR="00F20974" w:rsidRPr="0085128E">
        <w:t xml:space="preserve"> budgétaire proposée par sous</w:t>
      </w:r>
      <w:r w:rsidR="008D0CFD" w:rsidRPr="0085128E">
        <w:t>-</w:t>
      </w:r>
      <w:r w:rsidR="00F20974" w:rsidRPr="0085128E">
        <w:t>programme.</w:t>
      </w:r>
    </w:p>
    <w:p w:rsidR="00720382" w:rsidRPr="0085128E" w:rsidRDefault="00720382" w:rsidP="0085128E">
      <w:pPr>
        <w:tabs>
          <w:tab w:val="left" w:pos="567"/>
        </w:tabs>
      </w:pPr>
    </w:p>
    <w:p w:rsidR="003711EE" w:rsidRPr="0085128E" w:rsidRDefault="00F20974" w:rsidP="0085128E">
      <w:pPr>
        <w:tabs>
          <w:tab w:val="left" w:pos="567"/>
        </w:tabs>
      </w:pPr>
      <w:r w:rsidRPr="0085128E">
        <w:t>3.12 Le programme et budget proposé pour l</w:t>
      </w:r>
      <w:r w:rsidR="008D0CFD" w:rsidRPr="0085128E">
        <w:t>’</w:t>
      </w:r>
      <w:r w:rsidRPr="0085128E">
        <w:t xml:space="preserve">exercice </w:t>
      </w:r>
      <w:r w:rsidR="008D0CFD" w:rsidRPr="0085128E">
        <w:t>biennal 2018-</w:t>
      </w:r>
      <w:r w:rsidRPr="0085128E">
        <w:t>2019 est divisé en quatre sous</w:t>
      </w:r>
      <w:r w:rsidR="008D0CFD" w:rsidRPr="0085128E">
        <w:t>-</w:t>
      </w:r>
      <w:r w:rsidRPr="0085128E">
        <w:t>programmes</w:t>
      </w:r>
      <w:r w:rsidR="008D0CFD" w:rsidRPr="0085128E">
        <w:t> :</w:t>
      </w:r>
    </w:p>
    <w:p w:rsidR="00720382" w:rsidRPr="0085128E" w:rsidRDefault="00720382" w:rsidP="0085128E">
      <w:pPr>
        <w:tabs>
          <w:tab w:val="left" w:pos="567"/>
        </w:tabs>
      </w:pPr>
    </w:p>
    <w:p w:rsidR="00720382" w:rsidRPr="0085128E" w:rsidRDefault="00F20974" w:rsidP="0085128E">
      <w:pPr>
        <w:keepNext/>
        <w:autoSpaceDE w:val="0"/>
        <w:autoSpaceDN w:val="0"/>
        <w:adjustRightInd w:val="0"/>
        <w:ind w:left="1417" w:hanging="850"/>
        <w:jc w:val="left"/>
        <w:rPr>
          <w:bCs/>
          <w:szCs w:val="24"/>
        </w:rPr>
      </w:pPr>
      <w:r w:rsidRPr="0085128E">
        <w:rPr>
          <w:bCs/>
          <w:szCs w:val="24"/>
        </w:rPr>
        <w:t>UV.1</w:t>
      </w:r>
      <w:r w:rsidR="008D0CFD" w:rsidRPr="0085128E">
        <w:rPr>
          <w:bCs/>
          <w:szCs w:val="24"/>
        </w:rPr>
        <w:t> :</w:t>
      </w:r>
      <w:r w:rsidRPr="0085128E">
        <w:rPr>
          <w:bCs/>
          <w:szCs w:val="24"/>
        </w:rPr>
        <w:t xml:space="preserve"> Politique générale en matière de protection des obtentions végétales</w:t>
      </w:r>
    </w:p>
    <w:p w:rsidR="00720382" w:rsidRPr="0085128E" w:rsidRDefault="00F20974" w:rsidP="0085128E">
      <w:pPr>
        <w:ind w:left="1417" w:hanging="850"/>
      </w:pPr>
      <w:r w:rsidRPr="0085128E">
        <w:t>UV.2</w:t>
      </w:r>
      <w:r w:rsidR="008D0CFD" w:rsidRPr="0085128E">
        <w:t> :</w:t>
      </w:r>
      <w:r w:rsidRPr="0085128E">
        <w:t xml:space="preserve"> Services fournis à l</w:t>
      </w:r>
      <w:r w:rsidR="008D0CFD" w:rsidRPr="0085128E">
        <w:t>’</w:t>
      </w:r>
      <w:r w:rsidRPr="0085128E">
        <w:t>Union en vue d</w:t>
      </w:r>
      <w:r w:rsidR="008D0CFD" w:rsidRPr="0085128E">
        <w:t>’</w:t>
      </w:r>
      <w:r w:rsidRPr="0085128E">
        <w:t>augmenter l</w:t>
      </w:r>
      <w:r w:rsidR="008D0CFD" w:rsidRPr="0085128E">
        <w:t>’</w:t>
      </w:r>
      <w:r w:rsidRPr="0085128E">
        <w:t>efficacité du système de l</w:t>
      </w:r>
      <w:r w:rsidR="008D0CFD" w:rsidRPr="0085128E">
        <w:t>’</w:t>
      </w:r>
      <w:r w:rsidRPr="0085128E">
        <w:t>UPOV</w:t>
      </w:r>
    </w:p>
    <w:p w:rsidR="00720382" w:rsidRPr="0085128E" w:rsidRDefault="00F20974" w:rsidP="0085128E">
      <w:pPr>
        <w:ind w:left="1417" w:hanging="850"/>
      </w:pPr>
      <w:r w:rsidRPr="0085128E">
        <w:t>UV.3</w:t>
      </w:r>
      <w:r w:rsidR="008D0CFD" w:rsidRPr="0085128E">
        <w:t> :</w:t>
      </w:r>
      <w:r w:rsidRPr="0085128E">
        <w:t xml:space="preserve"> Aide à la mise en place et à l</w:t>
      </w:r>
      <w:r w:rsidR="008D0CFD" w:rsidRPr="0085128E">
        <w:t>’</w:t>
      </w:r>
      <w:r w:rsidRPr="0085128E">
        <w:t>application du système de l</w:t>
      </w:r>
      <w:r w:rsidR="008D0CFD" w:rsidRPr="0085128E">
        <w:t>’</w:t>
      </w:r>
      <w:r w:rsidRPr="0085128E">
        <w:t>UPOV</w:t>
      </w:r>
    </w:p>
    <w:p w:rsidR="00720382" w:rsidRPr="0085128E" w:rsidRDefault="00F20974" w:rsidP="0085128E">
      <w:pPr>
        <w:ind w:left="1417" w:hanging="850"/>
      </w:pPr>
      <w:r w:rsidRPr="0085128E">
        <w:t>UV.4</w:t>
      </w:r>
      <w:r w:rsidR="00003E2C">
        <w:t> :</w:t>
      </w:r>
      <w:r w:rsidRPr="0085128E">
        <w:t xml:space="preserve"> Relations extérieures</w:t>
      </w:r>
    </w:p>
    <w:p w:rsidR="00720382" w:rsidRPr="0085128E" w:rsidRDefault="00720382" w:rsidP="0085128E">
      <w:pPr>
        <w:tabs>
          <w:tab w:val="left" w:pos="567"/>
        </w:tabs>
      </w:pPr>
    </w:p>
    <w:p w:rsidR="00720382" w:rsidRPr="0085128E" w:rsidRDefault="00F20974" w:rsidP="0085128E">
      <w:pPr>
        <w:tabs>
          <w:tab w:val="left" w:pos="567"/>
        </w:tabs>
      </w:pPr>
      <w:r w:rsidRPr="0085128E">
        <w:t>3.13</w:t>
      </w:r>
      <w:r w:rsidRPr="0085128E">
        <w:tab/>
        <w:t>Les ressources en personnel ont été réparties entre les sous</w:t>
      </w:r>
      <w:r w:rsidR="008D0CFD" w:rsidRPr="0085128E">
        <w:t>-</w:t>
      </w:r>
      <w:r w:rsidRPr="0085128E">
        <w:t>programmes en fonction de l</w:t>
      </w:r>
      <w:r w:rsidR="008D0CFD" w:rsidRPr="0085128E">
        <w:t>’</w:t>
      </w:r>
      <w:r w:rsidRPr="0085128E">
        <w:t>estimation du temps consacré par le personnel à chaque sous</w:t>
      </w:r>
      <w:r w:rsidR="008D0CFD" w:rsidRPr="0085128E">
        <w:t>-</w:t>
      </w:r>
      <w:r w:rsidRPr="0085128E">
        <w:t>program</w:t>
      </w:r>
      <w:r w:rsidR="009F5A99" w:rsidRPr="0085128E">
        <w:t>me.  Le</w:t>
      </w:r>
      <w:r w:rsidR="00E53CFE" w:rsidRPr="0085128E">
        <w:t>s dépenses autres que les dépenses de personnel ont été réparties entre les sous</w:t>
      </w:r>
      <w:r w:rsidR="008D0CFD" w:rsidRPr="0085128E">
        <w:t>-</w:t>
      </w:r>
      <w:r w:rsidR="00E53CFE" w:rsidRPr="0085128E">
        <w:t>programmes compte tenu des activités correspondantes prévu</w:t>
      </w:r>
      <w:r w:rsidR="009F5A99" w:rsidRPr="0085128E">
        <w:t>es.  Il</w:t>
      </w:r>
      <w:r w:rsidR="00E53CFE" w:rsidRPr="0085128E">
        <w:t xml:space="preserve"> convient de noter que les dépenses partagées avec l</w:t>
      </w:r>
      <w:r w:rsidR="008D0CFD" w:rsidRPr="0085128E">
        <w:t>’</w:t>
      </w:r>
      <w:r w:rsidR="00E53CFE" w:rsidRPr="0085128E">
        <w:t>OMPI en ce qui concerne les services administratifs au bénéfice de l</w:t>
      </w:r>
      <w:r w:rsidR="008D0CFD" w:rsidRPr="0085128E">
        <w:t>’</w:t>
      </w:r>
      <w:r w:rsidR="00E53CFE" w:rsidRPr="0085128E">
        <w:t>UPOV sont regroupées dans le cadre du sous</w:t>
      </w:r>
      <w:r w:rsidR="008D0CFD" w:rsidRPr="0085128E">
        <w:t>-</w:t>
      </w:r>
      <w:r w:rsidR="00E53CFE" w:rsidRPr="0085128E">
        <w:t>programme UV.2.</w:t>
      </w:r>
    </w:p>
    <w:p w:rsidR="00720382" w:rsidRPr="0085128E" w:rsidRDefault="00720382" w:rsidP="0085128E">
      <w:pPr>
        <w:jc w:val="left"/>
        <w:rPr>
          <w:rFonts w:cs="Arial"/>
          <w:b/>
          <w:bCs/>
        </w:rPr>
      </w:pPr>
    </w:p>
    <w:p w:rsidR="00CD3A24" w:rsidRPr="0085128E" w:rsidRDefault="00E53CFE" w:rsidP="00003E2C">
      <w:pPr>
        <w:pStyle w:val="Heading5"/>
      </w:pPr>
      <w:bookmarkStart w:id="215" w:name="_Toc489956870"/>
      <w:bookmarkStart w:id="216" w:name="_Toc490572936"/>
      <w:bookmarkStart w:id="217" w:name="_Toc491088311"/>
      <w:r w:rsidRPr="0085128E">
        <w:t>Tableau</w:t>
      </w:r>
      <w:r w:rsidR="00E73CFB" w:rsidRPr="0085128E">
        <w:t> </w:t>
      </w:r>
      <w:r w:rsidRPr="0085128E">
        <w:t>6</w:t>
      </w:r>
      <w:r w:rsidR="008D0CFD" w:rsidRPr="0085128E">
        <w:t> :</w:t>
      </w:r>
      <w:r w:rsidRPr="0085128E">
        <w:t xml:space="preserve"> Budget proposé </w:t>
      </w:r>
      <w:r w:rsidR="008D0CFD" w:rsidRPr="0085128E">
        <w:t>pour 2018-</w:t>
      </w:r>
      <w:r w:rsidRPr="0085128E">
        <w:t>2019</w:t>
      </w:r>
      <w:r w:rsidR="008D0CFD" w:rsidRPr="0085128E">
        <w:t> :</w:t>
      </w:r>
      <w:r w:rsidRPr="0085128E">
        <w:t xml:space="preserve"> dotations par objet de dépense</w:t>
      </w:r>
      <w:bookmarkEnd w:id="215"/>
      <w:bookmarkEnd w:id="216"/>
      <w:bookmarkEnd w:id="217"/>
    </w:p>
    <w:p w:rsidR="00720382" w:rsidRPr="0085128E" w:rsidRDefault="00E53CFE" w:rsidP="0085128E">
      <w:pPr>
        <w:keepNext/>
        <w:jc w:val="center"/>
        <w:rPr>
          <w:rFonts w:cs="Arial"/>
        </w:rPr>
      </w:pPr>
      <w:r w:rsidRPr="0085128E">
        <w:rPr>
          <w:rFonts w:cs="Arial"/>
          <w:i/>
        </w:rPr>
        <w:t>(en milliers de francs suisses)</w:t>
      </w:r>
    </w:p>
    <w:p w:rsidR="00720382" w:rsidRPr="0085128E" w:rsidRDefault="00720382" w:rsidP="0085128E">
      <w:pPr>
        <w:keepNext/>
        <w:jc w:val="center"/>
        <w:rPr>
          <w:spacing w:val="-2"/>
          <w:szCs w:val="24"/>
        </w:rPr>
      </w:pPr>
    </w:p>
    <w:p w:rsidR="00720382" w:rsidRPr="0085128E" w:rsidRDefault="00CD3A24" w:rsidP="0085128E">
      <w:pPr>
        <w:jc w:val="center"/>
        <w:rPr>
          <w:spacing w:val="-2"/>
          <w:szCs w:val="24"/>
        </w:rPr>
      </w:pPr>
      <w:r w:rsidRPr="0085128E">
        <w:rPr>
          <w:noProof/>
          <w:lang w:val="en-US"/>
        </w:rPr>
        <w:drawing>
          <wp:inline distT="0" distB="0" distL="0" distR="0" wp14:anchorId="569AD263" wp14:editId="0C85FF47">
            <wp:extent cx="5657850" cy="41465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57850" cy="4146550"/>
                    </a:xfrm>
                    <a:prstGeom prst="rect">
                      <a:avLst/>
                    </a:prstGeom>
                    <a:noFill/>
                    <a:ln>
                      <a:noFill/>
                    </a:ln>
                  </pic:spPr>
                </pic:pic>
              </a:graphicData>
            </a:graphic>
          </wp:inline>
        </w:drawing>
      </w:r>
    </w:p>
    <w:p w:rsidR="00720382" w:rsidRPr="0085128E" w:rsidRDefault="00720382" w:rsidP="00003E2C"/>
    <w:p w:rsidR="00720382" w:rsidRPr="0085128E" w:rsidRDefault="00720382" w:rsidP="00003E2C"/>
    <w:p w:rsidR="00720382" w:rsidRPr="0085128E" w:rsidRDefault="00E53CFE" w:rsidP="0085128E">
      <w:pPr>
        <w:keepNext/>
        <w:tabs>
          <w:tab w:val="left" w:pos="567"/>
        </w:tabs>
      </w:pPr>
      <w:r w:rsidRPr="0085128E">
        <w:t>3.14</w:t>
      </w:r>
      <w:r w:rsidRPr="0085128E">
        <w:tab/>
        <w:t xml:space="preserve">Le </w:t>
      </w:r>
      <w:r w:rsidRPr="0085128E">
        <w:rPr>
          <w:b/>
        </w:rPr>
        <w:t>tableau</w:t>
      </w:r>
      <w:r w:rsidR="00E73CFB" w:rsidRPr="0085128E">
        <w:rPr>
          <w:b/>
        </w:rPr>
        <w:t> </w:t>
      </w:r>
      <w:r w:rsidRPr="0085128E">
        <w:rPr>
          <w:b/>
        </w:rPr>
        <w:t>7</w:t>
      </w:r>
      <w:r w:rsidRPr="0085128E">
        <w:t xml:space="preserve"> indique les variations budgétaires par sous</w:t>
      </w:r>
      <w:r w:rsidR="008D0CFD" w:rsidRPr="0085128E">
        <w:t>-</w:t>
      </w:r>
      <w:r w:rsidRPr="0085128E">
        <w:t>programme entre le budget de l</w:t>
      </w:r>
      <w:r w:rsidR="008D0CFD" w:rsidRPr="0085128E">
        <w:t>’</w:t>
      </w:r>
      <w:r w:rsidRPr="0085128E">
        <w:t xml:space="preserve">exercice </w:t>
      </w:r>
      <w:r w:rsidR="008D0CFD" w:rsidRPr="0085128E">
        <w:t>biennal 2016-</w:t>
      </w:r>
      <w:r w:rsidRPr="0085128E">
        <w:t xml:space="preserve">2017 et le budget proposé </w:t>
      </w:r>
      <w:r w:rsidR="008D0CFD" w:rsidRPr="0085128E">
        <w:t>pour 2018-</w:t>
      </w:r>
      <w:r w:rsidRPr="0085128E">
        <w:t>2019.</w:t>
      </w:r>
    </w:p>
    <w:p w:rsidR="00720382" w:rsidRDefault="00720382" w:rsidP="0085128E">
      <w:pPr>
        <w:keepNext/>
        <w:tabs>
          <w:tab w:val="left" w:pos="567"/>
        </w:tabs>
      </w:pPr>
    </w:p>
    <w:p w:rsidR="007D4EA3" w:rsidRPr="0085128E" w:rsidRDefault="00E53CFE" w:rsidP="00003E2C">
      <w:pPr>
        <w:pStyle w:val="Heading5"/>
      </w:pPr>
      <w:bookmarkStart w:id="218" w:name="_Toc489956871"/>
      <w:bookmarkStart w:id="219" w:name="_Toc490572937"/>
      <w:bookmarkStart w:id="220" w:name="_Toc491088312"/>
      <w:r w:rsidRPr="0085128E">
        <w:t>Tableau</w:t>
      </w:r>
      <w:r w:rsidR="00E73CFB" w:rsidRPr="0085128E">
        <w:t> </w:t>
      </w:r>
      <w:r w:rsidRPr="0085128E">
        <w:t>7</w:t>
      </w:r>
      <w:r w:rsidR="008D0CFD" w:rsidRPr="0085128E">
        <w:t> :</w:t>
      </w:r>
      <w:r w:rsidRPr="0085128E">
        <w:t xml:space="preserve"> Variations budgétaires par sous</w:t>
      </w:r>
      <w:r w:rsidR="008D0CFD" w:rsidRPr="0085128E">
        <w:t>-</w:t>
      </w:r>
      <w:r w:rsidRPr="0085128E">
        <w:t>programme</w:t>
      </w:r>
      <w:bookmarkEnd w:id="218"/>
      <w:bookmarkEnd w:id="219"/>
      <w:bookmarkEnd w:id="220"/>
    </w:p>
    <w:p w:rsidR="00720382" w:rsidRPr="0085128E" w:rsidRDefault="00E53CFE" w:rsidP="0085128E">
      <w:pPr>
        <w:jc w:val="center"/>
      </w:pPr>
      <w:r w:rsidRPr="0085128E">
        <w:rPr>
          <w:i/>
        </w:rPr>
        <w:t>(en milliers de francs suisses)</w:t>
      </w:r>
    </w:p>
    <w:p w:rsidR="00720382" w:rsidRPr="0085128E" w:rsidRDefault="00720382" w:rsidP="0085128E">
      <w:pPr>
        <w:jc w:val="center"/>
        <w:rPr>
          <w:spacing w:val="-2"/>
          <w:szCs w:val="24"/>
        </w:rPr>
      </w:pPr>
    </w:p>
    <w:p w:rsidR="00720382" w:rsidRPr="0085128E" w:rsidRDefault="007D4EA3" w:rsidP="0085128E">
      <w:pPr>
        <w:jc w:val="center"/>
        <w:rPr>
          <w:spacing w:val="-2"/>
          <w:szCs w:val="24"/>
        </w:rPr>
      </w:pPr>
      <w:r w:rsidRPr="0085128E">
        <w:rPr>
          <w:noProof/>
          <w:lang w:val="en-US"/>
        </w:rPr>
        <w:drawing>
          <wp:inline distT="0" distB="0" distL="0" distR="0" wp14:anchorId="0B9EFC12" wp14:editId="6D38F7A2">
            <wp:extent cx="3667125" cy="204025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67125" cy="2040255"/>
                    </a:xfrm>
                    <a:prstGeom prst="rect">
                      <a:avLst/>
                    </a:prstGeom>
                    <a:noFill/>
                    <a:ln>
                      <a:noFill/>
                    </a:ln>
                  </pic:spPr>
                </pic:pic>
              </a:graphicData>
            </a:graphic>
          </wp:inline>
        </w:drawing>
      </w:r>
    </w:p>
    <w:p w:rsidR="00720382" w:rsidRPr="0085128E" w:rsidRDefault="00720382" w:rsidP="0085128E">
      <w:pPr>
        <w:rPr>
          <w:spacing w:val="-2"/>
          <w:szCs w:val="24"/>
        </w:rPr>
      </w:pPr>
    </w:p>
    <w:p w:rsidR="00720382" w:rsidRPr="0085128E" w:rsidRDefault="00720382" w:rsidP="0085128E">
      <w:pPr>
        <w:rPr>
          <w:spacing w:val="-2"/>
          <w:szCs w:val="24"/>
        </w:rPr>
      </w:pPr>
    </w:p>
    <w:p w:rsidR="00720382" w:rsidRPr="0085128E" w:rsidRDefault="00E53CFE" w:rsidP="0085128E">
      <w:r w:rsidRPr="0085128E">
        <w:t>3.15</w:t>
      </w:r>
      <w:r w:rsidRPr="0085128E">
        <w:tab/>
        <w:t xml:space="preserve">Le </w:t>
      </w:r>
      <w:r w:rsidRPr="0085128E">
        <w:rPr>
          <w:b/>
        </w:rPr>
        <w:t>tableau</w:t>
      </w:r>
      <w:r w:rsidR="00E73CFB" w:rsidRPr="0085128E">
        <w:rPr>
          <w:b/>
        </w:rPr>
        <w:t> </w:t>
      </w:r>
      <w:r w:rsidRPr="0085128E">
        <w:rPr>
          <w:b/>
        </w:rPr>
        <w:t>8</w:t>
      </w:r>
      <w:r w:rsidRPr="0085128E">
        <w:t xml:space="preserve"> présente les recettes détaillées par source pour les exercices biennaux 2016</w:t>
      </w:r>
      <w:r w:rsidR="008D0CFD" w:rsidRPr="0085128E">
        <w:t>-</w:t>
      </w:r>
      <w:r w:rsidRPr="0085128E">
        <w:t>2017 et 2018</w:t>
      </w:r>
      <w:r w:rsidR="008D0CFD" w:rsidRPr="0085128E">
        <w:t>-</w:t>
      </w:r>
      <w:r w:rsidRPr="0085128E">
        <w:t>2019.</w:t>
      </w:r>
    </w:p>
    <w:p w:rsidR="00720382" w:rsidRPr="0085128E" w:rsidRDefault="00720382" w:rsidP="0085128E"/>
    <w:p w:rsidR="00720382" w:rsidRPr="0085128E" w:rsidRDefault="00E53CFE" w:rsidP="0085128E">
      <w:r w:rsidRPr="0085128E">
        <w:t>3.16</w:t>
      </w:r>
      <w:r w:rsidRPr="0085128E">
        <w:tab/>
        <w:t>Le montant total des recettes inscrites au budget ordinaire pour l</w:t>
      </w:r>
      <w:r w:rsidR="008D0CFD" w:rsidRPr="0085128E">
        <w:t>’</w:t>
      </w:r>
      <w:r w:rsidRPr="0085128E">
        <w:t xml:space="preserve">exercice </w:t>
      </w:r>
      <w:r w:rsidR="008D0CFD" w:rsidRPr="0085128E">
        <w:t>biennal 2018-</w:t>
      </w:r>
      <w:r w:rsidRPr="0085128E">
        <w:t>2019 est estimé à 6 940 000</w:t>
      </w:r>
      <w:r w:rsidR="00EE3659">
        <w:t> francs suisses</w:t>
      </w:r>
      <w:r w:rsidRPr="0085128E">
        <w:t>.</w:t>
      </w:r>
      <w:r w:rsidR="00604822" w:rsidRPr="0085128E">
        <w:t xml:space="preserve">  </w:t>
      </w:r>
      <w:r w:rsidRPr="0085128E">
        <w:t>Ce chiffre marque une augmentation de 117</w:t>
      </w:r>
      <w:r w:rsidR="00E73CFB" w:rsidRPr="0085128E">
        <w:t> </w:t>
      </w:r>
      <w:r w:rsidRPr="0085128E">
        <w:t>00</w:t>
      </w:r>
      <w:r w:rsidR="008D0CFD" w:rsidRPr="0085128E">
        <w:t>0 franc</w:t>
      </w:r>
      <w:r w:rsidRPr="0085128E">
        <w:t>s suisses (1,7%) par rapport au montant des recettes pour l</w:t>
      </w:r>
      <w:r w:rsidR="008D0CFD" w:rsidRPr="0085128E">
        <w:t>’</w:t>
      </w:r>
      <w:r w:rsidRPr="0085128E">
        <w:t xml:space="preserve">exercice </w:t>
      </w:r>
      <w:r w:rsidR="008D0CFD" w:rsidRPr="0085128E">
        <w:t>biennal 2016-</w:t>
      </w:r>
      <w:r w:rsidRPr="0085128E">
        <w:t>2017, qui s</w:t>
      </w:r>
      <w:r w:rsidR="008D0CFD" w:rsidRPr="0085128E">
        <w:t>’</w:t>
      </w:r>
      <w:r w:rsidRPr="0085128E">
        <w:t>élevait à 6</w:t>
      </w:r>
      <w:r w:rsidR="00E73CFB" w:rsidRPr="0085128E">
        <w:t> </w:t>
      </w:r>
      <w:r w:rsidRPr="0085128E">
        <w:t>823</w:t>
      </w:r>
      <w:r w:rsidR="00E73CFB" w:rsidRPr="0085128E">
        <w:t> </w:t>
      </w:r>
      <w:r w:rsidRPr="0085128E">
        <w:t>00</w:t>
      </w:r>
      <w:r w:rsidR="008D0CFD" w:rsidRPr="0085128E">
        <w:t>0 franc</w:t>
      </w:r>
      <w:r w:rsidRPr="0085128E">
        <w:t>s suiss</w:t>
      </w:r>
      <w:r w:rsidR="009F5A99" w:rsidRPr="0085128E">
        <w:t>es.  Ce</w:t>
      </w:r>
      <w:r w:rsidRPr="0085128E">
        <w:t>s prévisions se fondent en particulier sur un nombre d</w:t>
      </w:r>
      <w:r w:rsidR="008D0CFD" w:rsidRPr="0085128E">
        <w:t>’</w:t>
      </w:r>
      <w:r w:rsidRPr="0085128E">
        <w:t xml:space="preserve">unités de contribution de 62,95 </w:t>
      </w:r>
      <w:r w:rsidR="008D0CFD" w:rsidRPr="0085128E">
        <w:t>en 2018</w:t>
      </w:r>
      <w:r w:rsidRPr="0085128E">
        <w:t xml:space="preserve"> et de 63,15 </w:t>
      </w:r>
      <w:r w:rsidR="008D0CFD" w:rsidRPr="0085128E">
        <w:t>en 2019</w:t>
      </w:r>
      <w:r w:rsidRPr="0085128E">
        <w:t xml:space="preserve"> et sur la proposition de maintenir la valeur de l</w:t>
      </w:r>
      <w:r w:rsidR="008D0CFD" w:rsidRPr="0085128E">
        <w:t>’</w:t>
      </w:r>
      <w:r w:rsidRPr="0085128E">
        <w:t>unité de contribution à 53</w:t>
      </w:r>
      <w:r w:rsidR="00E73CFB" w:rsidRPr="0085128E">
        <w:t> </w:t>
      </w:r>
      <w:r w:rsidRPr="0085128E">
        <w:t>64</w:t>
      </w:r>
      <w:r w:rsidR="008D0CFD" w:rsidRPr="0085128E">
        <w:t>1 franc</w:t>
      </w:r>
      <w:r w:rsidRPr="0085128E">
        <w:t>s suisses durant l</w:t>
      </w:r>
      <w:r w:rsidR="008D0CFD" w:rsidRPr="0085128E">
        <w:t>’</w:t>
      </w:r>
      <w:r w:rsidRPr="0085128E">
        <w:t xml:space="preserve">exercice </w:t>
      </w:r>
      <w:r w:rsidR="008D0CFD" w:rsidRPr="0085128E">
        <w:t>biennal 2018-</w:t>
      </w:r>
      <w:r w:rsidRPr="0085128E">
        <w:t>2019.</w:t>
      </w:r>
    </w:p>
    <w:p w:rsidR="00720382" w:rsidRPr="0085128E" w:rsidRDefault="00720382" w:rsidP="0085128E"/>
    <w:p w:rsidR="00720382" w:rsidRPr="0085128E" w:rsidRDefault="00BA76AA" w:rsidP="0085128E">
      <w:r w:rsidRPr="0085128E">
        <w:t>3.17</w:t>
      </w:r>
      <w:r w:rsidRPr="0085128E">
        <w:tab/>
        <w:t>Les recettes provenant des contributions ont été estimées sur la base d</w:t>
      </w:r>
      <w:r w:rsidR="008D0CFD" w:rsidRPr="0085128E">
        <w:t>’</w:t>
      </w:r>
      <w:r w:rsidRPr="0085128E">
        <w:t>un nouveau membre de l</w:t>
      </w:r>
      <w:r w:rsidR="008D0CFD" w:rsidRPr="0085128E">
        <w:t>’</w:t>
      </w:r>
      <w:r w:rsidRPr="0085128E">
        <w:t>Union par an contribuant pour 0,2</w:t>
      </w:r>
      <w:r w:rsidR="00E06D97" w:rsidRPr="0085128E">
        <w:t> </w:t>
      </w:r>
      <w:r w:rsidRPr="0085128E">
        <w:t xml:space="preserve">unité de contribution au budget (et </w:t>
      </w:r>
      <w:r w:rsidR="00E73CFB" w:rsidRPr="0085128E">
        <w:t>1667</w:t>
      </w:r>
      <w:r w:rsidR="008D0CFD" w:rsidRPr="0085128E">
        <w:t> franc</w:t>
      </w:r>
      <w:r w:rsidRPr="0085128E">
        <w:t>s suisses au fonds de roulement).</w:t>
      </w:r>
      <w:r w:rsidR="00604822" w:rsidRPr="0085128E">
        <w:t xml:space="preserve">  </w:t>
      </w:r>
      <w:r w:rsidRPr="0085128E">
        <w:t>À sa vingt</w:t>
      </w:r>
      <w:r w:rsidR="008D0CFD" w:rsidRPr="0085128E">
        <w:t>-</w:t>
      </w:r>
      <w:r w:rsidRPr="0085128E">
        <w:t>trois</w:t>
      </w:r>
      <w:r w:rsidR="008D0CFD" w:rsidRPr="0085128E">
        <w:t>ième session</w:t>
      </w:r>
      <w:r w:rsidRPr="0085128E">
        <w:t xml:space="preserve"> extraordinaire, tenue à Genève le </w:t>
      </w:r>
      <w:r w:rsidR="008D0CFD" w:rsidRPr="0085128E">
        <w:t>7 avril 20</w:t>
      </w:r>
      <w:r w:rsidRPr="0085128E">
        <w:t>06, le Conseil a décidé que “les membres de l</w:t>
      </w:r>
      <w:r w:rsidR="008D0CFD" w:rsidRPr="0085128E">
        <w:t>’</w:t>
      </w:r>
      <w:r w:rsidRPr="0085128E">
        <w:t>Union ne devraient pas revoir à la baisse leur nombre d</w:t>
      </w:r>
      <w:r w:rsidR="008D0CFD" w:rsidRPr="0085128E">
        <w:t>’</w:t>
      </w:r>
      <w:r w:rsidRPr="0085128E">
        <w:t>unités de contribution sans tenir compte des incidences pour l</w:t>
      </w:r>
      <w:r w:rsidR="008D0CFD" w:rsidRPr="0085128E">
        <w:t>’</w:t>
      </w:r>
      <w:r w:rsidRPr="0085128E">
        <w:t>UPOV et de la manière dont une telle réduction serait compensée par d</w:t>
      </w:r>
      <w:r w:rsidR="008D0CFD" w:rsidRPr="0085128E">
        <w:t>’</w:t>
      </w:r>
      <w:r w:rsidRPr="0085128E">
        <w:t>autres membres de l</w:t>
      </w:r>
      <w:r w:rsidR="008D0CFD" w:rsidRPr="0085128E">
        <w:t>’</w:t>
      </w:r>
      <w:r w:rsidRPr="0085128E">
        <w:t>Union</w:t>
      </w:r>
      <w:r w:rsidR="00C833CB" w:rsidRPr="0085128E">
        <w:t>.</w:t>
      </w:r>
      <w:r w:rsidR="00604822" w:rsidRPr="0085128E">
        <w:t xml:space="preserve">  </w:t>
      </w:r>
      <w:r w:rsidRPr="0085128E">
        <w:t>En particulier, les membres de l</w:t>
      </w:r>
      <w:r w:rsidR="008D0CFD" w:rsidRPr="0085128E">
        <w:t>’</w:t>
      </w:r>
      <w:r w:rsidRPr="0085128E">
        <w:t>Union ne devraient pas réduire le nombre d</w:t>
      </w:r>
      <w:r w:rsidR="008D0CFD" w:rsidRPr="0085128E">
        <w:t>’</w:t>
      </w:r>
      <w:r w:rsidRPr="0085128E">
        <w:t>unités de contribution qui leur est applicable au cours d</w:t>
      </w:r>
      <w:r w:rsidR="008D0CFD" w:rsidRPr="0085128E">
        <w:t>’</w:t>
      </w:r>
      <w:r w:rsidRPr="0085128E">
        <w:t>un exercice budgétaire approuvé par le Conseil, sauf circonstances exceptionnelles et inévitables” (voir l</w:t>
      </w:r>
      <w:r w:rsidR="008D0CFD" w:rsidRPr="0085128E">
        <w:t>’annexe I</w:t>
      </w:r>
      <w:r w:rsidRPr="0085128E">
        <w:t xml:space="preserve"> du document C(Extr.)/23/5).</w:t>
      </w:r>
      <w:r w:rsidR="00604822" w:rsidRPr="0085128E">
        <w:t xml:space="preserve">  </w:t>
      </w:r>
      <w:r w:rsidRPr="0085128E">
        <w:t>Sur cette base, aucune réduction du nombre d</w:t>
      </w:r>
      <w:r w:rsidR="008D0CFD" w:rsidRPr="0085128E">
        <w:t>’</w:t>
      </w:r>
      <w:r w:rsidRPr="0085128E">
        <w:t>unités de contribution n</w:t>
      </w:r>
      <w:r w:rsidR="008D0CFD" w:rsidRPr="0085128E">
        <w:t>’</w:t>
      </w:r>
      <w:r w:rsidRPr="0085128E">
        <w:t>est prévue pour l</w:t>
      </w:r>
      <w:r w:rsidR="008D0CFD" w:rsidRPr="0085128E">
        <w:t>’</w:t>
      </w:r>
      <w:r w:rsidRPr="0085128E">
        <w:t xml:space="preserve">exercice </w:t>
      </w:r>
      <w:r w:rsidR="008D0CFD" w:rsidRPr="0085128E">
        <w:t>biennal 2018-</w:t>
      </w:r>
      <w:r w:rsidRPr="0085128E">
        <w:t>2019.</w:t>
      </w:r>
    </w:p>
    <w:p w:rsidR="00720382" w:rsidRPr="0085128E" w:rsidRDefault="00720382" w:rsidP="0085128E"/>
    <w:p w:rsidR="00720382" w:rsidRPr="0085128E" w:rsidRDefault="00BA76AA" w:rsidP="0085128E">
      <w:pPr>
        <w:tabs>
          <w:tab w:val="left" w:pos="567"/>
        </w:tabs>
      </w:pPr>
      <w:r w:rsidRPr="0085128E">
        <w:t>3.18</w:t>
      </w:r>
      <w:r w:rsidRPr="0085128E">
        <w:tab/>
        <w:t>Outre les contributions des membres de l</w:t>
      </w:r>
      <w:r w:rsidR="008D0CFD" w:rsidRPr="0085128E">
        <w:t>’</w:t>
      </w:r>
      <w:r w:rsidRPr="0085128E">
        <w:t>Union, l</w:t>
      </w:r>
      <w:r w:rsidR="008D0CFD" w:rsidRPr="0085128E">
        <w:t>’</w:t>
      </w:r>
      <w:r w:rsidRPr="0085128E">
        <w:t>UPOV tire des recettes de sources diverses (176</w:t>
      </w:r>
      <w:r w:rsidR="00E73CFB" w:rsidRPr="0085128E">
        <w:t> </w:t>
      </w:r>
      <w:r w:rsidRPr="0085128E">
        <w:t>00</w:t>
      </w:r>
      <w:r w:rsidR="008D0CFD" w:rsidRPr="0085128E">
        <w:t>0 franc</w:t>
      </w:r>
      <w:r w:rsidRPr="0085128E">
        <w:t>s suisses), notamment</w:t>
      </w:r>
      <w:r w:rsidR="00EE3659">
        <w:t> :</w:t>
      </w:r>
    </w:p>
    <w:p w:rsidR="00720382" w:rsidRPr="0085128E" w:rsidRDefault="00720382" w:rsidP="0085128E">
      <w:pPr>
        <w:tabs>
          <w:tab w:val="left" w:pos="567"/>
        </w:tabs>
      </w:pPr>
    </w:p>
    <w:p w:rsidR="00720382" w:rsidRPr="0085128E" w:rsidRDefault="00BA76AA" w:rsidP="0085128E">
      <w:pPr>
        <w:pStyle w:val="ListParagraph"/>
        <w:numPr>
          <w:ilvl w:val="0"/>
          <w:numId w:val="20"/>
        </w:numPr>
        <w:tabs>
          <w:tab w:val="left" w:pos="567"/>
        </w:tabs>
      </w:pPr>
      <w:r w:rsidRPr="0085128E">
        <w:t>des droits d</w:t>
      </w:r>
      <w:r w:rsidR="008D0CFD" w:rsidRPr="0085128E">
        <w:t>’</w:t>
      </w:r>
      <w:r w:rsidRPr="0085128E">
        <w:t>inscription au programme d</w:t>
      </w:r>
      <w:r w:rsidR="008D0CFD" w:rsidRPr="0085128E">
        <w:t>’</w:t>
      </w:r>
      <w:r w:rsidRPr="0085128E">
        <w:t>enseignement à distance</w:t>
      </w:r>
      <w:r w:rsidR="008D0CFD" w:rsidRPr="0085128E">
        <w:t> :</w:t>
      </w:r>
      <w:r w:rsidR="00003E2C">
        <w:t xml:space="preserve"> </w:t>
      </w:r>
      <w:r w:rsidRPr="0085128E">
        <w:t>16</w:t>
      </w:r>
      <w:r w:rsidR="00E73CFB" w:rsidRPr="0085128E">
        <w:t> </w:t>
      </w:r>
      <w:r w:rsidRPr="0085128E">
        <w:t>00</w:t>
      </w:r>
      <w:r w:rsidR="008D0CFD" w:rsidRPr="0085128E">
        <w:t>0 franc</w:t>
      </w:r>
      <w:r w:rsidRPr="0085128E">
        <w:t>s suisses,</w:t>
      </w:r>
    </w:p>
    <w:p w:rsidR="00720382" w:rsidRPr="0085128E" w:rsidRDefault="00BA76AA" w:rsidP="0085128E">
      <w:pPr>
        <w:pStyle w:val="ListParagraph"/>
        <w:numPr>
          <w:ilvl w:val="0"/>
          <w:numId w:val="20"/>
        </w:numPr>
        <w:tabs>
          <w:tab w:val="left" w:pos="567"/>
        </w:tabs>
      </w:pPr>
      <w:r w:rsidRPr="0085128E">
        <w:t>des coûts d</w:t>
      </w:r>
      <w:r w:rsidR="008D0CFD" w:rsidRPr="0085128E">
        <w:t>’</w:t>
      </w:r>
      <w:r w:rsidRPr="0085128E">
        <w:t>appui administratif au titre des fonds fiduciaires</w:t>
      </w:r>
      <w:r w:rsidR="008D0CFD" w:rsidRPr="0085128E">
        <w:t> :</w:t>
      </w:r>
      <w:r w:rsidR="00003E2C">
        <w:t xml:space="preserve"> </w:t>
      </w:r>
      <w:r w:rsidRPr="0085128E">
        <w:t>70</w:t>
      </w:r>
      <w:r w:rsidR="00E73CFB" w:rsidRPr="0085128E">
        <w:t> </w:t>
      </w:r>
      <w:r w:rsidRPr="0085128E">
        <w:t>00</w:t>
      </w:r>
      <w:r w:rsidR="008D0CFD" w:rsidRPr="0085128E">
        <w:t>0 franc</w:t>
      </w:r>
      <w:r w:rsidRPr="0085128E">
        <w:t>s suisses,</w:t>
      </w:r>
    </w:p>
    <w:p w:rsidR="00720382" w:rsidRPr="0085128E" w:rsidRDefault="00BA76AA" w:rsidP="0085128E">
      <w:pPr>
        <w:pStyle w:val="ListParagraph"/>
        <w:numPr>
          <w:ilvl w:val="0"/>
          <w:numId w:val="20"/>
        </w:numPr>
        <w:tabs>
          <w:tab w:val="left" w:pos="567"/>
        </w:tabs>
      </w:pPr>
      <w:r w:rsidRPr="0085128E">
        <w:t>des recettes découlant de l</w:t>
      </w:r>
      <w:r w:rsidR="008D0CFD" w:rsidRPr="0085128E">
        <w:t>’</w:t>
      </w:r>
      <w:r w:rsidRPr="0085128E">
        <w:t>utilisation du formulaire de demande électronique</w:t>
      </w:r>
      <w:r w:rsidR="008D0CFD" w:rsidRPr="0085128E">
        <w:t> :</w:t>
      </w:r>
      <w:r w:rsidR="00003E2C">
        <w:t xml:space="preserve"> </w:t>
      </w:r>
      <w:r w:rsidRPr="0085128E">
        <w:t>90</w:t>
      </w:r>
      <w:r w:rsidR="00E73CFB" w:rsidRPr="0085128E">
        <w:t> </w:t>
      </w:r>
      <w:r w:rsidRPr="0085128E">
        <w:t>00</w:t>
      </w:r>
      <w:r w:rsidR="008D0CFD" w:rsidRPr="0085128E">
        <w:t>0 franc</w:t>
      </w:r>
      <w:r w:rsidRPr="0085128E">
        <w:t>s suisses</w:t>
      </w:r>
    </w:p>
    <w:p w:rsidR="00720382" w:rsidRPr="0085128E" w:rsidRDefault="00720382" w:rsidP="0085128E"/>
    <w:p w:rsidR="003711EE" w:rsidRPr="0085128E" w:rsidRDefault="00746936" w:rsidP="0085128E">
      <w:r w:rsidRPr="0085128E">
        <w:t xml:space="preserve">Les sources des recettes, autres que celles provenant des contributions, devraient constituer 2,5% des recettes totales </w:t>
      </w:r>
      <w:r w:rsidR="008D0CFD" w:rsidRPr="0085128E">
        <w:t>pour 2018-</w:t>
      </w:r>
      <w:r w:rsidRPr="0085128E">
        <w:t>2019.</w:t>
      </w:r>
    </w:p>
    <w:p w:rsidR="00720382" w:rsidRDefault="00720382" w:rsidP="0085128E">
      <w:pPr>
        <w:rPr>
          <w:spacing w:val="-2"/>
          <w:szCs w:val="24"/>
        </w:rPr>
      </w:pPr>
    </w:p>
    <w:p w:rsidR="00003E2C" w:rsidRPr="0085128E" w:rsidRDefault="00003E2C" w:rsidP="0085128E">
      <w:pPr>
        <w:rPr>
          <w:spacing w:val="-2"/>
          <w:szCs w:val="24"/>
        </w:rPr>
      </w:pPr>
    </w:p>
    <w:p w:rsidR="007D4EA3" w:rsidRPr="0085128E" w:rsidRDefault="00746936" w:rsidP="00003E2C">
      <w:pPr>
        <w:pStyle w:val="Heading5"/>
      </w:pPr>
      <w:bookmarkStart w:id="221" w:name="_Toc489956872"/>
      <w:bookmarkStart w:id="222" w:name="_Toc490572938"/>
      <w:bookmarkStart w:id="223" w:name="_Toc491088313"/>
      <w:r w:rsidRPr="0085128E">
        <w:t>Tableau</w:t>
      </w:r>
      <w:r w:rsidR="00E73CFB" w:rsidRPr="0085128E">
        <w:t> </w:t>
      </w:r>
      <w:r w:rsidRPr="0085128E">
        <w:t>8</w:t>
      </w:r>
      <w:r w:rsidR="008D0CFD" w:rsidRPr="0085128E">
        <w:t> :</w:t>
      </w:r>
      <w:r w:rsidRPr="0085128E">
        <w:t xml:space="preserve"> Recettes 2016</w:t>
      </w:r>
      <w:r w:rsidR="008D0CFD" w:rsidRPr="0085128E">
        <w:t>-</w:t>
      </w:r>
      <w:r w:rsidRPr="0085128E">
        <w:t>2017 et 2018</w:t>
      </w:r>
      <w:r w:rsidR="008D0CFD" w:rsidRPr="0085128E">
        <w:t>-</w:t>
      </w:r>
      <w:r w:rsidRPr="0085128E">
        <w:t>2019</w:t>
      </w:r>
      <w:r w:rsidR="008D0CFD" w:rsidRPr="0085128E">
        <w:t> :</w:t>
      </w:r>
      <w:r w:rsidRPr="0085128E">
        <w:t xml:space="preserve"> variation par source</w:t>
      </w:r>
      <w:bookmarkEnd w:id="221"/>
      <w:bookmarkEnd w:id="222"/>
      <w:bookmarkEnd w:id="223"/>
    </w:p>
    <w:p w:rsidR="00720382" w:rsidRPr="0085128E" w:rsidRDefault="00746936" w:rsidP="0085128E">
      <w:pPr>
        <w:keepNext/>
        <w:jc w:val="center"/>
        <w:rPr>
          <w:rFonts w:cs="Arial"/>
          <w:i/>
          <w:iCs/>
        </w:rPr>
      </w:pPr>
      <w:r w:rsidRPr="0085128E">
        <w:rPr>
          <w:rFonts w:cs="Arial"/>
          <w:i/>
          <w:iCs/>
        </w:rPr>
        <w:t>(en milliers de francs suisses)</w:t>
      </w:r>
    </w:p>
    <w:p w:rsidR="00720382" w:rsidRPr="0085128E" w:rsidRDefault="00720382" w:rsidP="0085128E">
      <w:pPr>
        <w:keepNext/>
        <w:jc w:val="center"/>
        <w:rPr>
          <w:rFonts w:cs="Arial"/>
          <w:i/>
          <w:iCs/>
        </w:rPr>
      </w:pPr>
    </w:p>
    <w:p w:rsidR="00720382" w:rsidRPr="0085128E" w:rsidRDefault="00EC675A" w:rsidP="0085128E">
      <w:pPr>
        <w:jc w:val="center"/>
        <w:rPr>
          <w:spacing w:val="-2"/>
          <w:szCs w:val="24"/>
        </w:rPr>
      </w:pPr>
      <w:r w:rsidRPr="0085128E">
        <w:rPr>
          <w:noProof/>
          <w:lang w:val="en-US"/>
        </w:rPr>
        <w:drawing>
          <wp:inline distT="0" distB="0" distL="0" distR="0" wp14:anchorId="3D80EB6D" wp14:editId="15D48BE4">
            <wp:extent cx="5438775" cy="21228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8775" cy="2122805"/>
                    </a:xfrm>
                    <a:prstGeom prst="rect">
                      <a:avLst/>
                    </a:prstGeom>
                    <a:noFill/>
                    <a:ln>
                      <a:noFill/>
                    </a:ln>
                  </pic:spPr>
                </pic:pic>
              </a:graphicData>
            </a:graphic>
          </wp:inline>
        </w:drawing>
      </w:r>
    </w:p>
    <w:p w:rsidR="00720382" w:rsidRPr="0085128E" w:rsidRDefault="00720382" w:rsidP="00003E2C"/>
    <w:p w:rsidR="00720382" w:rsidRPr="0085128E" w:rsidRDefault="00720382" w:rsidP="00003E2C"/>
    <w:p w:rsidR="00720382" w:rsidRPr="0085128E" w:rsidRDefault="00746936" w:rsidP="00003E2C">
      <w:pPr>
        <w:pStyle w:val="Heading1"/>
      </w:pPr>
      <w:bookmarkStart w:id="224" w:name="_Toc489956728"/>
      <w:bookmarkStart w:id="225" w:name="_Toc489956777"/>
      <w:bookmarkStart w:id="226" w:name="_Toc489956873"/>
      <w:bookmarkStart w:id="227" w:name="_Toc490572892"/>
      <w:bookmarkStart w:id="228" w:name="_Toc490572939"/>
      <w:bookmarkStart w:id="229" w:name="_Toc491088267"/>
      <w:bookmarkStart w:id="230" w:name="_Toc491088314"/>
      <w:r w:rsidRPr="0085128E">
        <w:t>4.</w:t>
      </w:r>
      <w:r w:rsidRPr="0085128E">
        <w:tab/>
        <w:t>INDICATEURS FINANCIERS POUR LA PÉRIODE 2012</w:t>
      </w:r>
      <w:r w:rsidR="008D0CFD" w:rsidRPr="0085128E">
        <w:t>-</w:t>
      </w:r>
      <w:r w:rsidRPr="0085128E">
        <w:t>2021</w:t>
      </w:r>
      <w:bookmarkEnd w:id="224"/>
      <w:bookmarkEnd w:id="225"/>
      <w:bookmarkEnd w:id="226"/>
      <w:bookmarkEnd w:id="227"/>
      <w:bookmarkEnd w:id="228"/>
      <w:bookmarkEnd w:id="229"/>
      <w:bookmarkEnd w:id="230"/>
    </w:p>
    <w:p w:rsidR="00720382" w:rsidRPr="0085128E" w:rsidRDefault="00720382" w:rsidP="0085128E"/>
    <w:p w:rsidR="00720382" w:rsidRPr="0085128E" w:rsidRDefault="00746936" w:rsidP="0085128E">
      <w:pPr>
        <w:tabs>
          <w:tab w:val="left" w:pos="567"/>
        </w:tabs>
      </w:pPr>
      <w:r w:rsidRPr="0085128E">
        <w:t>4.1</w:t>
      </w:r>
      <w:r w:rsidRPr="0085128E">
        <w:tab/>
        <w:t>Le programme et budget pour l</w:t>
      </w:r>
      <w:r w:rsidR="008D0CFD" w:rsidRPr="0085128E">
        <w:t>’</w:t>
      </w:r>
      <w:r w:rsidRPr="0085128E">
        <w:t xml:space="preserve">exercice </w:t>
      </w:r>
      <w:r w:rsidR="008D0CFD" w:rsidRPr="0085128E">
        <w:t>biennal 2018-</w:t>
      </w:r>
      <w:r w:rsidRPr="0085128E">
        <w:t>2019 comprend une présentation des indicateurs financiers couvrant une période de 10</w:t>
      </w:r>
      <w:r w:rsidR="00E06D97" w:rsidRPr="0085128E">
        <w:t> </w:t>
      </w:r>
      <w:r w:rsidRPr="0085128E">
        <w:t xml:space="preserve">ans, </w:t>
      </w:r>
      <w:r w:rsidR="008D0CFD" w:rsidRPr="0085128E">
        <w:t>y compris</w:t>
      </w:r>
      <w:r w:rsidRPr="0085128E">
        <w:t xml:space="preserve"> deux</w:t>
      </w:r>
      <w:r w:rsidR="00C833CB" w:rsidRPr="0085128E">
        <w:t> </w:t>
      </w:r>
      <w:r w:rsidRPr="0085128E">
        <w:t>années au</w:t>
      </w:r>
      <w:r w:rsidR="008D0CFD" w:rsidRPr="0085128E">
        <w:t>-</w:t>
      </w:r>
      <w:r w:rsidRPr="0085128E">
        <w:t>delà du nouvel exercice biennal, ainsi que des renseignements sur le passé proc</w:t>
      </w:r>
      <w:r w:rsidR="009F5A99" w:rsidRPr="0085128E">
        <w:t>he.  La</w:t>
      </w:r>
      <w:r w:rsidRPr="0085128E">
        <w:t xml:space="preserve"> présentation des indicateurs financiers est destinée à situer le budget proposé pour l</w:t>
      </w:r>
      <w:r w:rsidR="008D0CFD" w:rsidRPr="0085128E">
        <w:t>’</w:t>
      </w:r>
      <w:r w:rsidRPr="0085128E">
        <w:t xml:space="preserve">exercice </w:t>
      </w:r>
      <w:r w:rsidR="008D0CFD" w:rsidRPr="0085128E">
        <w:t>biennal 2018-</w:t>
      </w:r>
      <w:r w:rsidRPr="0085128E">
        <w:t>2019 dans son contexte en indiquant les tendances et en évaluant la viabilité financière pour l</w:t>
      </w:r>
      <w:r w:rsidR="008D0CFD" w:rsidRPr="0085128E">
        <w:t>’</w:t>
      </w:r>
      <w:r w:rsidRPr="0085128E">
        <w:t>aven</w:t>
      </w:r>
      <w:r w:rsidR="009F5A99" w:rsidRPr="0085128E">
        <w:t>ir.  Ce</w:t>
      </w:r>
      <w:r w:rsidRPr="0085128E">
        <w:t>s renseignements sont destinés à faciliter l</w:t>
      </w:r>
      <w:r w:rsidR="008D0CFD" w:rsidRPr="0085128E">
        <w:t>’</w:t>
      </w:r>
      <w:r w:rsidRPr="0085128E">
        <w:t>examen du projet de programme et budget par les États membres et leurs décisions en la matière et ils ne doivent pas être interprétés comme signifiant un quelconque engagement ou accord financier au</w:t>
      </w:r>
      <w:r w:rsidR="008D0CFD" w:rsidRPr="0085128E">
        <w:t>-</w:t>
      </w:r>
      <w:r w:rsidRPr="0085128E">
        <w:t xml:space="preserve">delà </w:t>
      </w:r>
      <w:r w:rsidR="008D0CFD" w:rsidRPr="0085128E">
        <w:t>de 2019</w:t>
      </w:r>
      <w:r w:rsidRPr="0085128E">
        <w:t>.</w:t>
      </w:r>
    </w:p>
    <w:p w:rsidR="00720382" w:rsidRPr="0085128E" w:rsidRDefault="00720382" w:rsidP="0085128E">
      <w:pPr>
        <w:tabs>
          <w:tab w:val="left" w:pos="567"/>
        </w:tabs>
      </w:pPr>
    </w:p>
    <w:p w:rsidR="00720382" w:rsidRPr="0085128E" w:rsidRDefault="00746936" w:rsidP="0085128E">
      <w:pPr>
        <w:tabs>
          <w:tab w:val="left" w:pos="567"/>
        </w:tabs>
      </w:pPr>
      <w:r w:rsidRPr="0085128E">
        <w:t>4.2</w:t>
      </w:r>
      <w:r w:rsidRPr="0085128E">
        <w:tab/>
        <w:t xml:space="preserve">Le </w:t>
      </w:r>
      <w:r w:rsidRPr="0085128E">
        <w:rPr>
          <w:b/>
        </w:rPr>
        <w:t>tableau</w:t>
      </w:r>
      <w:r w:rsidR="00E73CFB" w:rsidRPr="0085128E">
        <w:rPr>
          <w:b/>
        </w:rPr>
        <w:t> </w:t>
      </w:r>
      <w:r w:rsidRPr="0085128E">
        <w:rPr>
          <w:b/>
        </w:rPr>
        <w:t>9</w:t>
      </w:r>
      <w:r w:rsidRPr="0085128E">
        <w:t xml:space="preserve"> et le </w:t>
      </w:r>
      <w:r w:rsidRPr="0085128E">
        <w:rPr>
          <w:b/>
        </w:rPr>
        <w:t>graphique</w:t>
      </w:r>
      <w:r w:rsidRPr="0085128E">
        <w:t xml:space="preserve"> ci</w:t>
      </w:r>
      <w:r w:rsidR="008D0CFD" w:rsidRPr="0085128E">
        <w:t>-</w:t>
      </w:r>
      <w:r w:rsidRPr="0085128E">
        <w:t>dessous montrent l</w:t>
      </w:r>
      <w:r w:rsidR="008D0CFD" w:rsidRPr="0085128E">
        <w:t>’</w:t>
      </w:r>
      <w:r w:rsidRPr="0085128E">
        <w:t>évolution du budget ordinaire en ce qui concerne les recettes, les dépenses et les fonds de réserve et de roulement.</w:t>
      </w:r>
    </w:p>
    <w:p w:rsidR="00720382" w:rsidRDefault="00720382" w:rsidP="0085128E">
      <w:pPr>
        <w:rPr>
          <w:spacing w:val="-2"/>
          <w:szCs w:val="24"/>
        </w:rPr>
      </w:pPr>
    </w:p>
    <w:p w:rsidR="00003E2C" w:rsidRPr="0085128E" w:rsidRDefault="00003E2C" w:rsidP="0085128E">
      <w:pPr>
        <w:rPr>
          <w:spacing w:val="-2"/>
          <w:szCs w:val="24"/>
        </w:rPr>
      </w:pPr>
    </w:p>
    <w:p w:rsidR="00003E2C" w:rsidRDefault="00746936" w:rsidP="00003E2C">
      <w:pPr>
        <w:pStyle w:val="Heading5"/>
      </w:pPr>
      <w:bookmarkStart w:id="231" w:name="_Toc489956874"/>
      <w:bookmarkStart w:id="232" w:name="_Toc490572940"/>
      <w:bookmarkStart w:id="233" w:name="_Toc491088315"/>
      <w:r w:rsidRPr="0085128E">
        <w:t>Tableau</w:t>
      </w:r>
      <w:r w:rsidR="00E73CFB" w:rsidRPr="0085128E">
        <w:t> </w:t>
      </w:r>
      <w:r w:rsidRPr="0085128E">
        <w:t>9</w:t>
      </w:r>
      <w:r w:rsidR="008D0CFD" w:rsidRPr="0085128E">
        <w:t> :</w:t>
      </w:r>
      <w:r w:rsidRPr="0085128E">
        <w:t xml:space="preserve"> Recettes, dépenses et réserves pour la pério</w:t>
      </w:r>
      <w:r w:rsidR="008D0CFD" w:rsidRPr="0085128E">
        <w:t>de 2012-</w:t>
      </w:r>
      <w:r w:rsidRPr="0085128E">
        <w:t>2021</w:t>
      </w:r>
      <w:bookmarkEnd w:id="231"/>
      <w:bookmarkEnd w:id="232"/>
      <w:bookmarkEnd w:id="233"/>
    </w:p>
    <w:p w:rsidR="00720382" w:rsidRPr="00003E2C" w:rsidRDefault="00746936" w:rsidP="00003E2C">
      <w:pPr>
        <w:keepNext/>
        <w:jc w:val="center"/>
        <w:rPr>
          <w:i/>
        </w:rPr>
      </w:pPr>
      <w:r w:rsidRPr="00003E2C">
        <w:rPr>
          <w:i/>
        </w:rPr>
        <w:t>(en milliers de francs suisses)</w:t>
      </w:r>
    </w:p>
    <w:p w:rsidR="00720382" w:rsidRPr="0085128E" w:rsidRDefault="00720382" w:rsidP="00003E2C">
      <w:pPr>
        <w:keepNext/>
        <w:rPr>
          <w:rFonts w:cs="Arial"/>
          <w:sz w:val="18"/>
        </w:rPr>
      </w:pPr>
    </w:p>
    <w:p w:rsidR="00720382" w:rsidRPr="0085128E" w:rsidRDefault="00EC675A" w:rsidP="00003E2C">
      <w:pPr>
        <w:jc w:val="center"/>
      </w:pPr>
      <w:r w:rsidRPr="0085128E">
        <w:rPr>
          <w:noProof/>
          <w:lang w:val="en-US"/>
        </w:rPr>
        <w:drawing>
          <wp:inline distT="0" distB="0" distL="0" distR="0" wp14:anchorId="2B697DB0" wp14:editId="09079691">
            <wp:extent cx="5760000" cy="933271"/>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00" cy="933271"/>
                    </a:xfrm>
                    <a:prstGeom prst="rect">
                      <a:avLst/>
                    </a:prstGeom>
                    <a:noFill/>
                    <a:ln>
                      <a:noFill/>
                    </a:ln>
                  </pic:spPr>
                </pic:pic>
              </a:graphicData>
            </a:graphic>
          </wp:inline>
        </w:drawing>
      </w:r>
    </w:p>
    <w:p w:rsidR="00720382" w:rsidRPr="0085128E" w:rsidRDefault="00720382" w:rsidP="0085128E"/>
    <w:p w:rsidR="00720382" w:rsidRPr="0085128E" w:rsidRDefault="00720382" w:rsidP="0085128E"/>
    <w:p w:rsidR="00720382" w:rsidRPr="0085128E" w:rsidRDefault="00746936" w:rsidP="0085128E">
      <w:pPr>
        <w:keepNext/>
        <w:jc w:val="center"/>
        <w:rPr>
          <w:rFonts w:cs="Arial"/>
          <w:b/>
          <w:bCs/>
        </w:rPr>
      </w:pPr>
      <w:r w:rsidRPr="0085128E">
        <w:rPr>
          <w:rFonts w:cs="Arial"/>
          <w:b/>
          <w:bCs/>
        </w:rPr>
        <w:t>Graphique du tableau</w:t>
      </w:r>
      <w:r w:rsidR="00E73CFB" w:rsidRPr="0085128E">
        <w:rPr>
          <w:rFonts w:cs="Arial"/>
          <w:b/>
          <w:bCs/>
        </w:rPr>
        <w:t> </w:t>
      </w:r>
      <w:r w:rsidRPr="0085128E">
        <w:rPr>
          <w:rFonts w:cs="Arial"/>
          <w:b/>
          <w:bCs/>
        </w:rPr>
        <w:t>9</w:t>
      </w:r>
    </w:p>
    <w:p w:rsidR="00720382" w:rsidRPr="0085128E" w:rsidRDefault="00720382" w:rsidP="0085128E">
      <w:pPr>
        <w:keepNext/>
        <w:jc w:val="center"/>
      </w:pPr>
    </w:p>
    <w:p w:rsidR="00720382" w:rsidRPr="0085128E" w:rsidRDefault="00EC675A" w:rsidP="00003E2C">
      <w:pPr>
        <w:jc w:val="center"/>
      </w:pPr>
      <w:r w:rsidRPr="0085128E">
        <w:rPr>
          <w:noProof/>
          <w:lang w:val="en-US"/>
        </w:rPr>
        <w:drawing>
          <wp:inline distT="0" distB="0" distL="0" distR="0" wp14:anchorId="5BA0B6E0" wp14:editId="3F9487DE">
            <wp:extent cx="5760000" cy="3154896"/>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000" cy="3154896"/>
                    </a:xfrm>
                    <a:prstGeom prst="rect">
                      <a:avLst/>
                    </a:prstGeom>
                    <a:noFill/>
                    <a:ln>
                      <a:noFill/>
                    </a:ln>
                  </pic:spPr>
                </pic:pic>
              </a:graphicData>
            </a:graphic>
          </wp:inline>
        </w:drawing>
      </w:r>
    </w:p>
    <w:p w:rsidR="00720382" w:rsidRDefault="00720382" w:rsidP="0085128E">
      <w:pPr>
        <w:jc w:val="left"/>
      </w:pPr>
    </w:p>
    <w:p w:rsidR="00003E2C" w:rsidRDefault="00003E2C" w:rsidP="0085128E">
      <w:pPr>
        <w:jc w:val="left"/>
      </w:pPr>
    </w:p>
    <w:p w:rsidR="00720382" w:rsidRPr="0085128E" w:rsidRDefault="00746936" w:rsidP="0085128E">
      <w:pPr>
        <w:keepNext/>
      </w:pPr>
      <w:r w:rsidRPr="0085128E">
        <w:t>4.3.</w:t>
      </w:r>
      <w:r w:rsidRPr="0085128E">
        <w:tab/>
      </w:r>
      <w:r w:rsidR="00CF13E5" w:rsidRPr="0085128E">
        <w:t>Les indicateurs financiers sont établis sur la base des hypothèses suivantes</w:t>
      </w:r>
      <w:r w:rsidR="008D0CFD" w:rsidRPr="0085128E">
        <w:t> :</w:t>
      </w:r>
    </w:p>
    <w:p w:rsidR="00720382" w:rsidRPr="0085128E" w:rsidRDefault="00720382" w:rsidP="0085128E">
      <w:pPr>
        <w:keepNext/>
      </w:pPr>
    </w:p>
    <w:p w:rsidR="00720382" w:rsidRPr="0085128E" w:rsidRDefault="006B5C4B" w:rsidP="0085128E">
      <w:pPr>
        <w:ind w:left="567" w:hanging="567"/>
      </w:pPr>
      <w:r w:rsidRPr="0085128E">
        <w:rPr>
          <w:i/>
        </w:rPr>
        <w:t>–</w:t>
      </w:r>
      <w:r w:rsidRPr="0085128E">
        <w:tab/>
      </w:r>
      <w:r w:rsidRPr="0085128E">
        <w:rPr>
          <w:u w:val="single"/>
        </w:rPr>
        <w:t>Recettes et fonds de roulement</w:t>
      </w:r>
      <w:r w:rsidR="008D0CFD" w:rsidRPr="0085128E">
        <w:t> :</w:t>
      </w:r>
      <w:r w:rsidRPr="0085128E">
        <w:t xml:space="preserve"> adhésion d</w:t>
      </w:r>
      <w:r w:rsidR="008D0CFD" w:rsidRPr="0085128E">
        <w:t>’</w:t>
      </w:r>
      <w:r w:rsidRPr="0085128E">
        <w:t>un membre supplémentaire par an, contribuant au budget pour un montant équivalant à 0,2</w:t>
      </w:r>
      <w:r w:rsidR="00E06D97" w:rsidRPr="0085128E">
        <w:t> </w:t>
      </w:r>
      <w:r w:rsidRPr="0085128E">
        <w:t xml:space="preserve">unité de contribution et au fonds de roulement à hauteur de </w:t>
      </w:r>
      <w:r w:rsidR="00E73CFB" w:rsidRPr="0085128E">
        <w:t>1667</w:t>
      </w:r>
      <w:r w:rsidR="008D0CFD" w:rsidRPr="0085128E">
        <w:t> franc</w:t>
      </w:r>
      <w:r w:rsidRPr="0085128E">
        <w:t>s suiss</w:t>
      </w:r>
      <w:r w:rsidR="009F5A99" w:rsidRPr="0085128E">
        <w:t>es.  Le</w:t>
      </w:r>
      <w:r w:rsidRPr="0085128E">
        <w:t>s montants correspondants indiqués ont été arrond</w:t>
      </w:r>
      <w:r w:rsidR="009F5A99" w:rsidRPr="0085128E">
        <w:t>is.  Le</w:t>
      </w:r>
      <w:r w:rsidRPr="0085128E">
        <w:t xml:space="preserve"> montant des recettes découlant de l</w:t>
      </w:r>
      <w:r w:rsidR="008D0CFD" w:rsidRPr="0085128E">
        <w:t>’</w:t>
      </w:r>
      <w:r w:rsidRPr="0085128E">
        <w:t>utilisation du formulaire de demande électronique devrait s</w:t>
      </w:r>
      <w:r w:rsidR="008D0CFD" w:rsidRPr="0085128E">
        <w:t>’</w:t>
      </w:r>
      <w:r w:rsidRPr="0085128E">
        <w:t>élever à 250</w:t>
      </w:r>
      <w:r w:rsidR="00E73CFB" w:rsidRPr="0085128E">
        <w:t> </w:t>
      </w:r>
      <w:r w:rsidRPr="0085128E">
        <w:t>00</w:t>
      </w:r>
      <w:r w:rsidR="008D0CFD" w:rsidRPr="0085128E">
        <w:t>0 franc</w:t>
      </w:r>
      <w:r w:rsidRPr="0085128E">
        <w:t xml:space="preserve">s suisses </w:t>
      </w:r>
      <w:r w:rsidR="008D0CFD" w:rsidRPr="0085128E">
        <w:t>en 2020-</w:t>
      </w:r>
      <w:r w:rsidRPr="0085128E">
        <w:t>2021.</w:t>
      </w:r>
    </w:p>
    <w:p w:rsidR="00720382" w:rsidRPr="0085128E" w:rsidRDefault="00720382" w:rsidP="0085128E">
      <w:pPr>
        <w:ind w:left="567" w:hanging="567"/>
      </w:pPr>
    </w:p>
    <w:p w:rsidR="00720382" w:rsidRPr="0085128E" w:rsidRDefault="00720382" w:rsidP="0085128E">
      <w:pPr>
        <w:ind w:left="567" w:hanging="567"/>
      </w:pPr>
    </w:p>
    <w:p w:rsidR="003711EE" w:rsidRPr="0085128E" w:rsidRDefault="00BA7221" w:rsidP="0085128E">
      <w:pPr>
        <w:keepNext/>
        <w:ind w:left="567" w:hanging="567"/>
      </w:pPr>
      <w:r w:rsidRPr="0085128E">
        <w:rPr>
          <w:i/>
        </w:rPr>
        <w:t>–</w:t>
      </w:r>
      <w:r w:rsidRPr="0085128E">
        <w:tab/>
      </w:r>
      <w:r w:rsidR="006B5C4B" w:rsidRPr="0085128E">
        <w:rPr>
          <w:u w:val="single"/>
        </w:rPr>
        <w:t>Dépenses</w:t>
      </w:r>
    </w:p>
    <w:p w:rsidR="00720382" w:rsidRPr="0085128E" w:rsidRDefault="00720382" w:rsidP="0085128E">
      <w:pPr>
        <w:keepNext/>
        <w:ind w:left="567" w:hanging="567"/>
      </w:pPr>
    </w:p>
    <w:p w:rsidR="003711EE" w:rsidRPr="0085128E" w:rsidRDefault="00604822" w:rsidP="0085128E">
      <w:pPr>
        <w:ind w:left="567" w:hanging="567"/>
      </w:pPr>
      <w:r w:rsidRPr="0085128E">
        <w:tab/>
      </w:r>
      <w:r w:rsidR="006B5C4B" w:rsidRPr="0085128E">
        <w:rPr>
          <w:i/>
        </w:rPr>
        <w:t>Ressources en personnel</w:t>
      </w:r>
      <w:r w:rsidR="008D0CFD" w:rsidRPr="0085128E">
        <w:rPr>
          <w:i/>
        </w:rPr>
        <w:t> :</w:t>
      </w:r>
      <w:r w:rsidR="006B5C4B" w:rsidRPr="0085128E">
        <w:rPr>
          <w:i/>
        </w:rPr>
        <w:t xml:space="preserve"> </w:t>
      </w:r>
      <w:r w:rsidR="006B5C4B" w:rsidRPr="0085128E">
        <w:t>un recrutement supplémentaire est prévu pour le Bureau de l</w:t>
      </w:r>
      <w:r w:rsidR="008D0CFD" w:rsidRPr="0085128E">
        <w:t>’</w:t>
      </w:r>
      <w:r w:rsidR="006B5C4B" w:rsidRPr="0085128E">
        <w:t>Union au cours de la période considér</w:t>
      </w:r>
      <w:r w:rsidR="009F5A99" w:rsidRPr="0085128E">
        <w:t>ée.  Le</w:t>
      </w:r>
      <w:r w:rsidR="00345D2A" w:rsidRPr="0085128E">
        <w:t xml:space="preserve">s ressources en personnel devraient représenter 68,8% du budget </w:t>
      </w:r>
      <w:r w:rsidR="008D0CFD" w:rsidRPr="0085128E">
        <w:t>en 2018-</w:t>
      </w:r>
      <w:r w:rsidR="00345D2A" w:rsidRPr="0085128E">
        <w:t xml:space="preserve">2019 et 69,0% </w:t>
      </w:r>
      <w:r w:rsidR="008D0CFD" w:rsidRPr="0085128E">
        <w:t>en 2020-</w:t>
      </w:r>
      <w:r w:rsidR="00345D2A" w:rsidRPr="0085128E">
        <w:t>2021, contre 65,1% au cours de l</w:t>
      </w:r>
      <w:r w:rsidR="008D0CFD" w:rsidRPr="0085128E">
        <w:t>’</w:t>
      </w:r>
      <w:r w:rsidR="00345D2A" w:rsidRPr="0085128E">
        <w:t xml:space="preserve">exercice </w:t>
      </w:r>
      <w:r w:rsidR="008D0CFD" w:rsidRPr="0085128E">
        <w:t>biennal 2014-</w:t>
      </w:r>
      <w:r w:rsidR="00345D2A" w:rsidRPr="0085128E">
        <w:t>2015 et 63,7% dans le budget 2016</w:t>
      </w:r>
      <w:r w:rsidR="008D0CFD" w:rsidRPr="0085128E">
        <w:t>-</w:t>
      </w:r>
      <w:r w:rsidR="00345D2A" w:rsidRPr="0085128E">
        <w:t>2017.</w:t>
      </w:r>
    </w:p>
    <w:p w:rsidR="00720382" w:rsidRPr="0085128E" w:rsidRDefault="00720382" w:rsidP="0085128E">
      <w:pPr>
        <w:ind w:left="567" w:hanging="567"/>
      </w:pPr>
    </w:p>
    <w:p w:rsidR="00720382" w:rsidRPr="0085128E" w:rsidRDefault="00604822" w:rsidP="0085128E">
      <w:pPr>
        <w:ind w:left="567" w:hanging="567"/>
      </w:pPr>
      <w:r w:rsidRPr="0085128E">
        <w:tab/>
      </w:r>
      <w:r w:rsidR="00CF13E5" w:rsidRPr="0085128E">
        <w:rPr>
          <w:i/>
        </w:rPr>
        <w:t>Ressources autres que les ressources en personnel</w:t>
      </w:r>
      <w:r w:rsidR="008D0CFD" w:rsidRPr="0085128E">
        <w:rPr>
          <w:i/>
        </w:rPr>
        <w:t> :</w:t>
      </w:r>
      <w:r w:rsidR="00CF13E5" w:rsidRPr="0085128E">
        <w:t xml:space="preserve"> les dépenses de fonctionnement, de matériel et de fournitures devraient rester stables et représenter 31,3% du budget au cours des deux</w:t>
      </w:r>
      <w:r w:rsidR="00C833CB" w:rsidRPr="0085128E">
        <w:t> </w:t>
      </w:r>
      <w:r w:rsidR="00CF13E5" w:rsidRPr="0085128E">
        <w:t>exercices biennaux 2018</w:t>
      </w:r>
      <w:r w:rsidR="008D0CFD" w:rsidRPr="0085128E">
        <w:t>-</w:t>
      </w:r>
      <w:r w:rsidR="00CF13E5" w:rsidRPr="0085128E">
        <w:t>2019 et 2020</w:t>
      </w:r>
      <w:r w:rsidR="008D0CFD" w:rsidRPr="0085128E">
        <w:t>-</w:t>
      </w:r>
      <w:r w:rsidR="00CF13E5" w:rsidRPr="0085128E">
        <w:t>2021, contre 19,2% au cours de l</w:t>
      </w:r>
      <w:r w:rsidR="008D0CFD" w:rsidRPr="0085128E">
        <w:t>’</w:t>
      </w:r>
      <w:r w:rsidR="00CF13E5" w:rsidRPr="0085128E">
        <w:t xml:space="preserve">exercice </w:t>
      </w:r>
      <w:r w:rsidR="008D0CFD" w:rsidRPr="0085128E">
        <w:t>biennal 2014-</w:t>
      </w:r>
      <w:r w:rsidR="00CF13E5" w:rsidRPr="0085128E">
        <w:t>2015 et 18,6% du budget 2016</w:t>
      </w:r>
      <w:r w:rsidR="008D0CFD" w:rsidRPr="0085128E">
        <w:t>-</w:t>
      </w:r>
      <w:r w:rsidR="00CF13E5" w:rsidRPr="0085128E">
        <w:t>2017.</w:t>
      </w:r>
      <w:r w:rsidRPr="0085128E">
        <w:t xml:space="preserve">  </w:t>
      </w:r>
      <w:r w:rsidR="00CF13E5" w:rsidRPr="0085128E">
        <w:t xml:space="preserve">Les dépenses au titre des voyages et des services contractuels devraient représenter 5,6% du budget </w:t>
      </w:r>
      <w:r w:rsidR="008D0CFD" w:rsidRPr="0085128E">
        <w:t>en 2018-</w:t>
      </w:r>
      <w:r w:rsidR="00CF13E5" w:rsidRPr="0085128E">
        <w:t xml:space="preserve">2019 et 5,5% </w:t>
      </w:r>
      <w:r w:rsidR="008D0CFD" w:rsidRPr="0085128E">
        <w:t>en 2020-</w:t>
      </w:r>
      <w:r w:rsidR="00CF13E5" w:rsidRPr="0085128E">
        <w:t>2021, contre 15,7% en au cours de l</w:t>
      </w:r>
      <w:r w:rsidR="008D0CFD" w:rsidRPr="0085128E">
        <w:t>’</w:t>
      </w:r>
      <w:r w:rsidR="00CF13E5" w:rsidRPr="0085128E">
        <w:t xml:space="preserve">exercice </w:t>
      </w:r>
      <w:r w:rsidR="008D0CFD" w:rsidRPr="0085128E">
        <w:t>biennal 2014-</w:t>
      </w:r>
      <w:r w:rsidR="00CF13E5" w:rsidRPr="0085128E">
        <w:t>2015 et 16,7% du budget 2016</w:t>
      </w:r>
      <w:r w:rsidR="008D0CFD" w:rsidRPr="0085128E">
        <w:t>-</w:t>
      </w:r>
      <w:r w:rsidR="00CF13E5" w:rsidRPr="0085128E">
        <w:t>2017.</w:t>
      </w:r>
      <w:r w:rsidRPr="0085128E">
        <w:t xml:space="preserve"> </w:t>
      </w:r>
      <w:r w:rsidR="00C833CB" w:rsidRPr="0085128E">
        <w:t xml:space="preserve"> </w:t>
      </w:r>
      <w:r w:rsidR="00EE7D05" w:rsidRPr="0085128E">
        <w:t xml:space="preserve">Les dépenses au titre des stages devraient représenter 0,6% du budget </w:t>
      </w:r>
      <w:r w:rsidR="008D0CFD" w:rsidRPr="0085128E">
        <w:t>en 2018-</w:t>
      </w:r>
      <w:r w:rsidR="00EE7D05" w:rsidRPr="0085128E">
        <w:t>2019.</w:t>
      </w:r>
    </w:p>
    <w:p w:rsidR="00720382" w:rsidRPr="0085128E" w:rsidRDefault="00720382" w:rsidP="0085128E">
      <w:pPr>
        <w:ind w:left="567" w:hanging="567"/>
      </w:pPr>
    </w:p>
    <w:p w:rsidR="00720382" w:rsidRPr="0085128E" w:rsidRDefault="00720382" w:rsidP="0085128E">
      <w:pPr>
        <w:ind w:left="567" w:hanging="567"/>
      </w:pPr>
    </w:p>
    <w:p w:rsidR="00720382" w:rsidRPr="0085128E" w:rsidRDefault="00EE7D05" w:rsidP="00003E2C">
      <w:pPr>
        <w:ind w:left="567" w:hanging="567"/>
        <w:jc w:val="right"/>
      </w:pPr>
      <w:r w:rsidRPr="0085128E">
        <w:t>[L</w:t>
      </w:r>
      <w:r w:rsidR="008D0CFD" w:rsidRPr="0085128E">
        <w:t>’</w:t>
      </w:r>
      <w:r w:rsidRPr="0085128E">
        <w:t>appendice I suit]</w:t>
      </w:r>
    </w:p>
    <w:p w:rsidR="00604822" w:rsidRPr="0085128E" w:rsidRDefault="00604822" w:rsidP="0085128E">
      <w:pPr>
        <w:ind w:left="567" w:hanging="567"/>
        <w:jc w:val="right"/>
        <w:sectPr w:rsidR="00604822" w:rsidRPr="0085128E" w:rsidSect="003711EE">
          <w:headerReference w:type="default" r:id="rId32"/>
          <w:headerReference w:type="first" r:id="rId33"/>
          <w:pgSz w:w="11907" w:h="16840" w:code="9"/>
          <w:pgMar w:top="510" w:right="1134" w:bottom="1134" w:left="1134" w:header="510" w:footer="680" w:gutter="0"/>
          <w:pgNumType w:start="1"/>
          <w:cols w:space="720"/>
          <w:titlePg/>
          <w:docGrid w:linePitch="272"/>
        </w:sectPr>
      </w:pPr>
    </w:p>
    <w:p w:rsidR="00720382" w:rsidRPr="0085128E" w:rsidRDefault="00EE7D05" w:rsidP="0085128E">
      <w:pPr>
        <w:ind w:left="567" w:hanging="567"/>
        <w:jc w:val="center"/>
      </w:pPr>
      <w:r w:rsidRPr="0085128E">
        <w:t>ANNEXE – APPENDICE I</w:t>
      </w:r>
    </w:p>
    <w:p w:rsidR="00720382" w:rsidRPr="0085128E" w:rsidRDefault="00720382" w:rsidP="0085128E">
      <w:pPr>
        <w:ind w:left="567" w:hanging="567"/>
        <w:jc w:val="center"/>
      </w:pPr>
    </w:p>
    <w:p w:rsidR="00720382" w:rsidRPr="0085128E" w:rsidRDefault="00EE7D05" w:rsidP="0085128E">
      <w:pPr>
        <w:jc w:val="center"/>
        <w:rPr>
          <w:rFonts w:cs="Arial"/>
          <w:i/>
          <w:sz w:val="16"/>
        </w:rPr>
      </w:pPr>
      <w:r w:rsidRPr="0085128E">
        <w:rPr>
          <w:rFonts w:cs="Arial"/>
          <w:sz w:val="16"/>
        </w:rPr>
        <w:t>SITUATION EN CE QUI CONCERNE L</w:t>
      </w:r>
      <w:r w:rsidR="008D0CFD" w:rsidRPr="0085128E">
        <w:rPr>
          <w:rFonts w:cs="Arial"/>
          <w:sz w:val="16"/>
        </w:rPr>
        <w:t>’</w:t>
      </w:r>
      <w:r w:rsidRPr="0085128E">
        <w:rPr>
          <w:rFonts w:cs="Arial"/>
          <w:sz w:val="16"/>
        </w:rPr>
        <w:t xml:space="preserve">UNION INTERNATIONALE POUR LA PROTECTION </w:t>
      </w:r>
      <w:r w:rsidR="00EE3659">
        <w:rPr>
          <w:rFonts w:cs="Arial"/>
          <w:sz w:val="16"/>
        </w:rPr>
        <w:br/>
      </w:r>
      <w:r w:rsidRPr="0085128E">
        <w:rPr>
          <w:rFonts w:cs="Arial"/>
          <w:sz w:val="16"/>
        </w:rPr>
        <w:t xml:space="preserve">DES OBTENTIONS VÉGÉTALES (UPOV) </w:t>
      </w:r>
      <w:r w:rsidR="00EE3659">
        <w:rPr>
          <w:rFonts w:cs="Arial"/>
          <w:sz w:val="16"/>
        </w:rPr>
        <w:br/>
      </w:r>
      <w:r w:rsidRPr="0085128E">
        <w:rPr>
          <w:rFonts w:cs="Arial"/>
          <w:i/>
          <w:sz w:val="16"/>
        </w:rPr>
        <w:t>au 3</w:t>
      </w:r>
      <w:r w:rsidR="008D0CFD" w:rsidRPr="0085128E">
        <w:rPr>
          <w:rFonts w:cs="Arial"/>
          <w:i/>
          <w:sz w:val="16"/>
        </w:rPr>
        <w:t>1 décembre 20</w:t>
      </w:r>
      <w:r w:rsidRPr="0085128E">
        <w:rPr>
          <w:rFonts w:cs="Arial"/>
          <w:i/>
          <w:sz w:val="16"/>
        </w:rPr>
        <w:t>16</w:t>
      </w:r>
    </w:p>
    <w:p w:rsidR="00720382" w:rsidRPr="0085128E" w:rsidRDefault="00720382" w:rsidP="0085128E">
      <w:pPr>
        <w:jc w:val="center"/>
        <w:rPr>
          <w:b/>
        </w:rPr>
      </w:pPr>
    </w:p>
    <w:p w:rsidR="00720382" w:rsidRPr="0085128E" w:rsidRDefault="00EE7D05" w:rsidP="0085128E">
      <w:pPr>
        <w:jc w:val="center"/>
        <w:rPr>
          <w:rFonts w:eastAsia="MS Mincho"/>
          <w:lang w:eastAsia="ja-JP"/>
        </w:rPr>
      </w:pPr>
      <w:r w:rsidRPr="0085128E">
        <w:rPr>
          <w:rFonts w:eastAsia="MS Mincho"/>
          <w:b/>
          <w:lang w:eastAsia="ja-JP"/>
        </w:rPr>
        <w:t>I.  Membres de l</w:t>
      </w:r>
      <w:r w:rsidR="008D0CFD" w:rsidRPr="0085128E">
        <w:rPr>
          <w:rFonts w:eastAsia="MS Mincho"/>
          <w:b/>
          <w:lang w:eastAsia="ja-JP"/>
        </w:rPr>
        <w:t>’</w:t>
      </w:r>
      <w:r w:rsidRPr="0085128E">
        <w:rPr>
          <w:rFonts w:eastAsia="MS Mincho"/>
          <w:b/>
          <w:lang w:eastAsia="ja-JP"/>
        </w:rPr>
        <w:t>UPOV</w:t>
      </w:r>
    </w:p>
    <w:p w:rsidR="00720382" w:rsidRPr="0085128E" w:rsidRDefault="00720382" w:rsidP="0085128E">
      <w:pPr>
        <w:rPr>
          <w:rFonts w:cs="Arial"/>
          <w:b/>
          <w:sz w:val="18"/>
        </w:rPr>
      </w:pPr>
    </w:p>
    <w:p w:rsidR="00604822" w:rsidRPr="0085128E" w:rsidRDefault="00604822" w:rsidP="0085128E">
      <w:pPr>
        <w:rPr>
          <w:rFonts w:cs="Arial"/>
          <w:b/>
          <w:sz w:val="18"/>
        </w:rPr>
        <w:sectPr w:rsidR="00604822" w:rsidRPr="0085128E" w:rsidSect="003711EE">
          <w:pgSz w:w="11907" w:h="16840" w:code="9"/>
          <w:pgMar w:top="510" w:right="1134" w:bottom="1134" w:left="1134" w:header="510" w:footer="624" w:gutter="0"/>
          <w:pgNumType w:start="2"/>
          <w:cols w:space="720"/>
          <w:titlePg/>
          <w:docGrid w:linePitch="272"/>
        </w:sectPr>
      </w:pPr>
    </w:p>
    <w:p w:rsidR="00E35DE9" w:rsidRPr="0085128E" w:rsidRDefault="00E35DE9" w:rsidP="0085128E">
      <w:pPr>
        <w:spacing w:before="40"/>
        <w:jc w:val="left"/>
        <w:rPr>
          <w:rFonts w:cs="Arial"/>
          <w:sz w:val="16"/>
          <w:szCs w:val="16"/>
        </w:rPr>
      </w:pPr>
      <w:r w:rsidRPr="0085128E">
        <w:rPr>
          <w:rFonts w:cs="Arial"/>
          <w:sz w:val="16"/>
          <w:szCs w:val="16"/>
        </w:rPr>
        <w:t>Afrique du Sud</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Albanie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Allemagne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Argentine</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Australie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Autriche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Azerbaïdjan</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Bélarus</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Belgique</w:t>
      </w:r>
      <w:r w:rsidRPr="0085128E">
        <w:rPr>
          <w:rStyle w:val="FootnoteReference"/>
          <w:rFonts w:cs="Arial"/>
          <w:sz w:val="16"/>
          <w:szCs w:val="16"/>
        </w:rPr>
        <w:t>1</w:t>
      </w:r>
    </w:p>
    <w:p w:rsidR="00E35DE9" w:rsidRPr="0085128E" w:rsidRDefault="00E35DE9" w:rsidP="0085128E">
      <w:pPr>
        <w:spacing w:before="40"/>
        <w:ind w:left="57" w:hanging="57"/>
        <w:jc w:val="left"/>
        <w:rPr>
          <w:rFonts w:cs="Arial"/>
          <w:sz w:val="16"/>
          <w:szCs w:val="16"/>
        </w:rPr>
      </w:pPr>
      <w:r w:rsidRPr="0085128E">
        <w:rPr>
          <w:rFonts w:cs="Arial"/>
          <w:sz w:val="16"/>
          <w:szCs w:val="16"/>
        </w:rPr>
        <w:t>Bolivie (État plurinational de)</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Brésil</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Bulgarie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Canada</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Chili</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Chine</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Colombie</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Costa Rica</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Croatie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Danemark</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Équateur</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Espagne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Estonie</w:t>
      </w:r>
      <w:r w:rsidRPr="0085128E">
        <w:rPr>
          <w:rFonts w:cs="Arial"/>
          <w:sz w:val="16"/>
          <w:szCs w:val="16"/>
          <w:vertAlign w:val="superscript"/>
        </w:rPr>
        <w:t>3</w:t>
      </w:r>
    </w:p>
    <w:p w:rsidR="00E35DE9" w:rsidRPr="0085128E" w:rsidRDefault="00E35DE9" w:rsidP="0085128E">
      <w:pPr>
        <w:spacing w:before="40"/>
        <w:ind w:left="28" w:hanging="28"/>
        <w:jc w:val="left"/>
        <w:rPr>
          <w:rFonts w:cs="Arial"/>
          <w:sz w:val="16"/>
          <w:szCs w:val="16"/>
        </w:rPr>
      </w:pPr>
      <w:r w:rsidRPr="0085128E">
        <w:rPr>
          <w:rFonts w:cs="Arial"/>
          <w:sz w:val="16"/>
          <w:szCs w:val="16"/>
        </w:rPr>
        <w:t>États-Unis d’Amérique</w:t>
      </w:r>
      <w:r w:rsidRPr="0085128E">
        <w:rPr>
          <w:rFonts w:cs="Arial"/>
          <w:sz w:val="16"/>
          <w:szCs w:val="16"/>
          <w:vertAlign w:val="superscript"/>
        </w:rPr>
        <w:t>3</w:t>
      </w:r>
    </w:p>
    <w:p w:rsidR="00E35DE9" w:rsidRPr="0085128E" w:rsidRDefault="00E35DE9" w:rsidP="0085128E">
      <w:pPr>
        <w:spacing w:before="40"/>
        <w:ind w:left="57" w:hanging="57"/>
        <w:jc w:val="left"/>
        <w:rPr>
          <w:rFonts w:cs="Arial"/>
          <w:sz w:val="16"/>
          <w:szCs w:val="16"/>
        </w:rPr>
      </w:pPr>
      <w:r w:rsidRPr="0085128E">
        <w:rPr>
          <w:rFonts w:cs="Arial"/>
          <w:sz w:val="16"/>
          <w:szCs w:val="16"/>
        </w:rPr>
        <w:t>Ex-république yougoslave de Macédoine</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rPr>
      </w:pPr>
      <w:r w:rsidRPr="0085128E">
        <w:rPr>
          <w:rFonts w:ascii="Arial" w:hAnsi="Arial" w:cs="Arial"/>
          <w:sz w:val="16"/>
          <w:szCs w:val="16"/>
        </w:rPr>
        <w:t>Fédération de Russie</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Finlande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France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Géorgie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Hongrie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Irlande</w:t>
      </w:r>
      <w:r w:rsidRPr="0085128E">
        <w:rPr>
          <w:rStyle w:val="FootnoteReference"/>
          <w:rFonts w:cs="Arial"/>
          <w:sz w:val="16"/>
          <w:szCs w:val="16"/>
        </w:rPr>
        <w:t>3</w:t>
      </w:r>
      <w:r w:rsidRPr="0085128E">
        <w:rPr>
          <w:rFonts w:cs="Arial"/>
          <w:sz w:val="16"/>
          <w:szCs w:val="16"/>
        </w:rPr>
        <w:tab/>
      </w:r>
    </w:p>
    <w:p w:rsidR="00E35DE9" w:rsidRPr="0085128E" w:rsidRDefault="00E35DE9" w:rsidP="0085128E">
      <w:pPr>
        <w:spacing w:before="40"/>
        <w:jc w:val="left"/>
        <w:rPr>
          <w:rFonts w:cs="Arial"/>
          <w:sz w:val="16"/>
          <w:szCs w:val="16"/>
        </w:rPr>
      </w:pPr>
      <w:r w:rsidRPr="0085128E">
        <w:rPr>
          <w:rFonts w:cs="Arial"/>
          <w:sz w:val="16"/>
          <w:szCs w:val="16"/>
        </w:rPr>
        <w:t>Islande</w:t>
      </w:r>
      <w:r w:rsidRPr="0085128E">
        <w:rPr>
          <w:rStyle w:val="FootnoteReference"/>
          <w:rFonts w:cs="Arial"/>
          <w:sz w:val="16"/>
          <w:szCs w:val="16"/>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Israël</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Italie</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Japon</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Jordanie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Kenya</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Kirghizistan</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Lettonie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Lituanie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Maroc</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Mexique</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Monténégro</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Nicaragua</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Norvège</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Nouvelle-Zélande</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Oman</w:t>
      </w:r>
      <w:r w:rsidRPr="0085128E">
        <w:rPr>
          <w:rFonts w:cs="Arial"/>
          <w:sz w:val="16"/>
          <w:szCs w:val="16"/>
          <w:vertAlign w:val="superscript"/>
        </w:rPr>
        <w:t>3</w:t>
      </w:r>
    </w:p>
    <w:p w:rsidR="00E35DE9" w:rsidRPr="0085128E" w:rsidRDefault="00E35DE9" w:rsidP="00E35DE9">
      <w:pPr>
        <w:keepLines/>
        <w:spacing w:before="40"/>
        <w:ind w:left="57" w:hanging="57"/>
        <w:jc w:val="left"/>
        <w:rPr>
          <w:rFonts w:cs="Arial"/>
          <w:sz w:val="16"/>
          <w:szCs w:val="16"/>
        </w:rPr>
      </w:pPr>
      <w:r w:rsidRPr="0085128E">
        <w:rPr>
          <w:rFonts w:cs="Arial"/>
          <w:sz w:val="16"/>
          <w:szCs w:val="16"/>
        </w:rPr>
        <w:t>Organisation africaine de la propriété intellectuelle</w:t>
      </w:r>
      <w:r w:rsidRPr="0085128E">
        <w:rPr>
          <w:rFonts w:cs="Arial"/>
          <w:sz w:val="16"/>
          <w:szCs w:val="16"/>
          <w:vertAlign w:val="superscript"/>
        </w:rPr>
        <w:t>3, 5</w:t>
      </w:r>
    </w:p>
    <w:p w:rsidR="00E35DE9" w:rsidRPr="0085128E" w:rsidRDefault="00E35DE9" w:rsidP="0085128E">
      <w:pPr>
        <w:spacing w:before="40"/>
        <w:jc w:val="left"/>
        <w:rPr>
          <w:rFonts w:cs="Arial"/>
          <w:sz w:val="16"/>
          <w:szCs w:val="16"/>
        </w:rPr>
      </w:pPr>
      <w:r w:rsidRPr="0085128E">
        <w:rPr>
          <w:rFonts w:cs="Arial"/>
          <w:sz w:val="16"/>
          <w:szCs w:val="16"/>
        </w:rPr>
        <w:t>Ouzbékistan</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Panama</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Paraguay</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Pays-Bas</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Pérou</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Pologne</w:t>
      </w:r>
      <w:r w:rsidRPr="0085128E">
        <w:rPr>
          <w:rStyle w:val="FootnoteReference"/>
          <w:rFonts w:ascii="Arial" w:hAnsi="Arial" w:cs="Arial"/>
          <w:sz w:val="16"/>
          <w:szCs w:val="16"/>
        </w:rPr>
        <w:t>3</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Portugal</w:t>
      </w:r>
      <w:r w:rsidRPr="0085128E">
        <w:rPr>
          <w:rFonts w:ascii="Arial" w:hAnsi="Arial" w:cs="Arial"/>
          <w:sz w:val="16"/>
          <w:szCs w:val="16"/>
          <w:vertAlign w:val="superscript"/>
        </w:rPr>
        <w:t>2</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République de Corée</w:t>
      </w:r>
      <w:r w:rsidRPr="0085128E">
        <w:rPr>
          <w:rFonts w:ascii="Arial" w:hAnsi="Arial"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République de Moldova</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République dominicaine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République tchèque</w:t>
      </w:r>
      <w:r w:rsidRPr="0085128E">
        <w:rPr>
          <w:rFonts w:cs="Arial"/>
          <w:sz w:val="16"/>
          <w:szCs w:val="16"/>
          <w:vertAlign w:val="superscript"/>
        </w:rPr>
        <w:t>3</w:t>
      </w:r>
    </w:p>
    <w:p w:rsidR="00E35DE9" w:rsidRPr="0085128E" w:rsidRDefault="00E35DE9" w:rsidP="0085128E">
      <w:pPr>
        <w:spacing w:before="40"/>
        <w:ind w:left="57" w:hanging="57"/>
        <w:jc w:val="left"/>
        <w:rPr>
          <w:rFonts w:cs="Arial"/>
          <w:sz w:val="16"/>
          <w:szCs w:val="16"/>
        </w:rPr>
      </w:pPr>
      <w:r w:rsidRPr="0085128E">
        <w:rPr>
          <w:rFonts w:cs="Arial"/>
          <w:sz w:val="16"/>
          <w:szCs w:val="16"/>
        </w:rPr>
        <w:t>République-Unie de Tanzanie</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Roumanie</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Royaume-Uni</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rPr>
      </w:pPr>
      <w:r w:rsidRPr="0085128E">
        <w:rPr>
          <w:rFonts w:ascii="Arial" w:hAnsi="Arial" w:cs="Arial"/>
          <w:sz w:val="16"/>
          <w:szCs w:val="16"/>
        </w:rPr>
        <w:t>Serbie</w:t>
      </w:r>
      <w:r w:rsidRPr="0085128E">
        <w:rPr>
          <w:rFonts w:ascii="Arial" w:hAnsi="Arial"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rPr>
      </w:pPr>
      <w:r w:rsidRPr="0085128E">
        <w:rPr>
          <w:rFonts w:ascii="Arial" w:hAnsi="Arial" w:cs="Arial"/>
          <w:sz w:val="16"/>
          <w:szCs w:val="16"/>
        </w:rPr>
        <w:t>Singapour</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Slovaquie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Slovénie</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rPr>
      </w:pPr>
      <w:r w:rsidRPr="0085128E">
        <w:rPr>
          <w:rFonts w:ascii="Arial" w:hAnsi="Arial" w:cs="Arial"/>
          <w:sz w:val="16"/>
          <w:szCs w:val="16"/>
        </w:rPr>
        <w:t>Suède</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Suisse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Trinité et Tobago</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Tunisie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Turquie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Ukraine</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Union européenne</w:t>
      </w:r>
      <w:r w:rsidRPr="0085128E">
        <w:rPr>
          <w:rFonts w:cs="Arial"/>
          <w:sz w:val="16"/>
          <w:szCs w:val="16"/>
          <w:vertAlign w:val="superscript"/>
        </w:rPr>
        <w:t>3, 4</w:t>
      </w:r>
    </w:p>
    <w:p w:rsidR="00E35DE9" w:rsidRPr="0085128E" w:rsidRDefault="00E35DE9" w:rsidP="0085128E">
      <w:pPr>
        <w:spacing w:before="40"/>
        <w:jc w:val="left"/>
        <w:rPr>
          <w:rFonts w:cs="Arial"/>
          <w:sz w:val="16"/>
          <w:szCs w:val="16"/>
        </w:rPr>
      </w:pPr>
      <w:r w:rsidRPr="0085128E">
        <w:rPr>
          <w:rFonts w:cs="Arial"/>
          <w:sz w:val="16"/>
          <w:szCs w:val="16"/>
        </w:rPr>
        <w:t>Uruguay</w:t>
      </w:r>
      <w:r w:rsidRPr="0085128E">
        <w:rPr>
          <w:rFonts w:cs="Arial"/>
          <w:sz w:val="16"/>
          <w:szCs w:val="16"/>
          <w:vertAlign w:val="superscript"/>
        </w:rPr>
        <w:t>2</w:t>
      </w:r>
    </w:p>
    <w:p w:rsidR="00E35DE9" w:rsidRPr="0085128E" w:rsidRDefault="00E35DE9" w:rsidP="0085128E">
      <w:pPr>
        <w:spacing w:before="40"/>
        <w:jc w:val="left"/>
        <w:rPr>
          <w:rFonts w:cs="Arial"/>
          <w:sz w:val="16"/>
          <w:szCs w:val="16"/>
          <w:vertAlign w:val="superscript"/>
        </w:rPr>
      </w:pPr>
      <w:r w:rsidRPr="0085128E">
        <w:rPr>
          <w:rFonts w:cs="Arial"/>
          <w:sz w:val="16"/>
          <w:szCs w:val="16"/>
        </w:rPr>
        <w:t>Viet Nam</w:t>
      </w:r>
      <w:r w:rsidRPr="0085128E">
        <w:rPr>
          <w:rFonts w:cs="Arial"/>
          <w:sz w:val="16"/>
          <w:szCs w:val="16"/>
          <w:vertAlign w:val="superscript"/>
        </w:rPr>
        <w:t>3</w:t>
      </w:r>
    </w:p>
    <w:p w:rsidR="00720382" w:rsidRPr="0085128E" w:rsidRDefault="00720382" w:rsidP="0085128E">
      <w:pPr>
        <w:spacing w:before="40"/>
        <w:jc w:val="left"/>
        <w:rPr>
          <w:rFonts w:cs="Arial"/>
          <w:sz w:val="16"/>
          <w:szCs w:val="16"/>
          <w:vertAlign w:val="superscript"/>
        </w:rPr>
      </w:pPr>
    </w:p>
    <w:p w:rsidR="00720382" w:rsidRPr="0085128E" w:rsidRDefault="00720382" w:rsidP="0085128E">
      <w:pPr>
        <w:spacing w:before="40"/>
        <w:jc w:val="left"/>
        <w:rPr>
          <w:rFonts w:cs="Arial"/>
          <w:sz w:val="16"/>
          <w:szCs w:val="16"/>
          <w:vertAlign w:val="superscript"/>
        </w:rPr>
      </w:pPr>
    </w:p>
    <w:p w:rsidR="00720382" w:rsidRPr="0085128E" w:rsidRDefault="00604822" w:rsidP="0085128E">
      <w:pPr>
        <w:spacing w:before="40"/>
        <w:jc w:val="right"/>
        <w:rPr>
          <w:rFonts w:cs="Arial"/>
          <w:sz w:val="16"/>
          <w:szCs w:val="16"/>
        </w:rPr>
      </w:pPr>
      <w:r w:rsidRPr="0085128E">
        <w:rPr>
          <w:rFonts w:cs="Arial"/>
          <w:sz w:val="16"/>
          <w:szCs w:val="16"/>
        </w:rPr>
        <w:t>(Total 74)</w:t>
      </w:r>
    </w:p>
    <w:p w:rsidR="00720382" w:rsidRPr="0085128E" w:rsidRDefault="00720382" w:rsidP="0085128E">
      <w:pPr>
        <w:spacing w:before="40"/>
        <w:rPr>
          <w:rFonts w:cs="Arial"/>
          <w:sz w:val="16"/>
          <w:szCs w:val="16"/>
          <w:vertAlign w:val="superscript"/>
        </w:rPr>
      </w:pPr>
    </w:p>
    <w:p w:rsidR="00604822" w:rsidRPr="0085128E" w:rsidRDefault="00604822" w:rsidP="0085128E">
      <w:pPr>
        <w:tabs>
          <w:tab w:val="left" w:pos="1560"/>
        </w:tabs>
        <w:spacing w:after="60"/>
        <w:rPr>
          <w:sz w:val="16"/>
          <w:u w:val="single"/>
        </w:rPr>
        <w:sectPr w:rsidR="00604822" w:rsidRPr="0085128E" w:rsidSect="003711EE">
          <w:type w:val="continuous"/>
          <w:pgSz w:w="11907" w:h="16840" w:code="9"/>
          <w:pgMar w:top="510" w:right="992" w:bottom="1134" w:left="1134" w:header="510" w:footer="624" w:gutter="0"/>
          <w:pgNumType w:start="2"/>
          <w:cols w:num="5" w:space="170" w:equalWidth="0">
            <w:col w:w="1843" w:space="284"/>
            <w:col w:w="1649" w:space="335"/>
            <w:col w:w="1418" w:space="283"/>
            <w:col w:w="1921" w:space="227"/>
            <w:col w:w="1821"/>
          </w:cols>
          <w:titlePg/>
          <w:docGrid w:linePitch="272"/>
        </w:sectPr>
      </w:pPr>
    </w:p>
    <w:p w:rsidR="00720382" w:rsidRPr="0085128E" w:rsidRDefault="00604822" w:rsidP="0085128E">
      <w:pPr>
        <w:tabs>
          <w:tab w:val="left" w:pos="1560"/>
        </w:tabs>
        <w:spacing w:after="60"/>
        <w:ind w:left="284"/>
        <w:rPr>
          <w:sz w:val="16"/>
          <w:u w:val="single"/>
        </w:rPr>
      </w:pPr>
      <w:r w:rsidRPr="0085128E">
        <w:rPr>
          <w:sz w:val="16"/>
          <w:u w:val="single"/>
        </w:rPr>
        <w:tab/>
      </w:r>
    </w:p>
    <w:p w:rsidR="00720382" w:rsidRPr="0085128E" w:rsidRDefault="00604822" w:rsidP="0085128E">
      <w:pPr>
        <w:tabs>
          <w:tab w:val="left" w:pos="284"/>
        </w:tabs>
        <w:spacing w:after="60"/>
        <w:ind w:left="284"/>
        <w:rPr>
          <w:rFonts w:cs="Arial"/>
          <w:sz w:val="14"/>
          <w:szCs w:val="16"/>
        </w:rPr>
      </w:pPr>
      <w:r w:rsidRPr="0085128E">
        <w:rPr>
          <w:rFonts w:cs="Arial"/>
          <w:sz w:val="14"/>
          <w:szCs w:val="16"/>
          <w:vertAlign w:val="superscript"/>
        </w:rPr>
        <w:t>1</w:t>
      </w:r>
      <w:r w:rsidRPr="0085128E">
        <w:rPr>
          <w:rFonts w:cs="Arial"/>
          <w:sz w:val="14"/>
          <w:szCs w:val="16"/>
        </w:rPr>
        <w:tab/>
      </w:r>
      <w:r w:rsidR="004E0D80" w:rsidRPr="0085128E">
        <w:rPr>
          <w:rFonts w:cs="Arial"/>
          <w:sz w:val="14"/>
          <w:szCs w:val="16"/>
        </w:rPr>
        <w:t xml:space="preserve">La Convention </w:t>
      </w:r>
      <w:r w:rsidR="008D0CFD" w:rsidRPr="0085128E">
        <w:rPr>
          <w:rFonts w:cs="Arial"/>
          <w:sz w:val="14"/>
          <w:szCs w:val="16"/>
        </w:rPr>
        <w:t>de 1961</w:t>
      </w:r>
      <w:r w:rsidR="004E0D80" w:rsidRPr="0085128E">
        <w:rPr>
          <w:rFonts w:cs="Arial"/>
          <w:sz w:val="14"/>
          <w:szCs w:val="16"/>
        </w:rPr>
        <w:t xml:space="preserve"> modifiée par l</w:t>
      </w:r>
      <w:r w:rsidR="008D0CFD" w:rsidRPr="0085128E">
        <w:rPr>
          <w:rFonts w:cs="Arial"/>
          <w:sz w:val="14"/>
          <w:szCs w:val="16"/>
        </w:rPr>
        <w:t>’</w:t>
      </w:r>
      <w:r w:rsidR="004E0D80" w:rsidRPr="0085128E">
        <w:rPr>
          <w:rFonts w:cs="Arial"/>
          <w:sz w:val="14"/>
          <w:szCs w:val="16"/>
        </w:rPr>
        <w:t xml:space="preserve">Acte additionnel </w:t>
      </w:r>
      <w:r w:rsidR="008D0CFD" w:rsidRPr="0085128E">
        <w:rPr>
          <w:rFonts w:cs="Arial"/>
          <w:sz w:val="14"/>
          <w:szCs w:val="16"/>
        </w:rPr>
        <w:t>de 1972</w:t>
      </w:r>
      <w:r w:rsidR="004E0D80" w:rsidRPr="0085128E">
        <w:rPr>
          <w:rFonts w:cs="Arial"/>
          <w:sz w:val="14"/>
          <w:szCs w:val="16"/>
        </w:rPr>
        <w:t xml:space="preserve"> est le dernier Acte auquel un État a adhéré.</w:t>
      </w:r>
    </w:p>
    <w:p w:rsidR="00720382" w:rsidRPr="0085128E" w:rsidRDefault="004E0D80" w:rsidP="0085128E">
      <w:pPr>
        <w:tabs>
          <w:tab w:val="left" w:pos="284"/>
        </w:tabs>
        <w:spacing w:after="60"/>
        <w:ind w:left="284"/>
        <w:rPr>
          <w:rFonts w:cs="Arial"/>
          <w:sz w:val="14"/>
          <w:szCs w:val="16"/>
        </w:rPr>
      </w:pPr>
      <w:r w:rsidRPr="0085128E">
        <w:rPr>
          <w:rFonts w:cs="Arial"/>
          <w:sz w:val="14"/>
          <w:szCs w:val="16"/>
          <w:vertAlign w:val="superscript"/>
        </w:rPr>
        <w:t>2</w:t>
      </w:r>
      <w:r w:rsidRPr="0085128E">
        <w:rPr>
          <w:rFonts w:cs="Arial"/>
          <w:sz w:val="14"/>
          <w:szCs w:val="16"/>
        </w:rPr>
        <w:tab/>
        <w:t>L</w:t>
      </w:r>
      <w:r w:rsidR="008D0CFD" w:rsidRPr="0085128E">
        <w:rPr>
          <w:rFonts w:cs="Arial"/>
          <w:sz w:val="14"/>
          <w:szCs w:val="16"/>
        </w:rPr>
        <w:t>’</w:t>
      </w:r>
      <w:r w:rsidRPr="0085128E">
        <w:rPr>
          <w:rFonts w:cs="Arial"/>
          <w:sz w:val="14"/>
          <w:szCs w:val="16"/>
        </w:rPr>
        <w:t xml:space="preserve">Acte </w:t>
      </w:r>
      <w:r w:rsidR="008D0CFD" w:rsidRPr="0085128E">
        <w:rPr>
          <w:rFonts w:cs="Arial"/>
          <w:sz w:val="14"/>
          <w:szCs w:val="16"/>
        </w:rPr>
        <w:t>de 1978</w:t>
      </w:r>
      <w:r w:rsidRPr="0085128E">
        <w:rPr>
          <w:rFonts w:cs="Arial"/>
          <w:sz w:val="14"/>
          <w:szCs w:val="16"/>
        </w:rPr>
        <w:t xml:space="preserve"> est le dernier Acte auquel 17</w:t>
      </w:r>
      <w:r w:rsidR="00E06D97" w:rsidRPr="0085128E">
        <w:rPr>
          <w:rFonts w:cs="Arial"/>
          <w:sz w:val="14"/>
          <w:szCs w:val="16"/>
        </w:rPr>
        <w:t> </w:t>
      </w:r>
      <w:r w:rsidRPr="0085128E">
        <w:rPr>
          <w:rFonts w:cs="Arial"/>
          <w:sz w:val="14"/>
          <w:szCs w:val="16"/>
        </w:rPr>
        <w:t>États ont adhéré.</w:t>
      </w:r>
    </w:p>
    <w:p w:rsidR="00720382" w:rsidRPr="0085128E" w:rsidRDefault="00604822" w:rsidP="0085128E">
      <w:pPr>
        <w:tabs>
          <w:tab w:val="left" w:pos="284"/>
        </w:tabs>
        <w:spacing w:after="60"/>
        <w:ind w:left="284"/>
        <w:rPr>
          <w:rFonts w:cs="Arial"/>
          <w:sz w:val="14"/>
          <w:szCs w:val="16"/>
        </w:rPr>
      </w:pPr>
      <w:r w:rsidRPr="0085128E">
        <w:rPr>
          <w:rFonts w:cs="Arial"/>
          <w:sz w:val="14"/>
          <w:szCs w:val="16"/>
          <w:vertAlign w:val="superscript"/>
        </w:rPr>
        <w:t>3</w:t>
      </w:r>
      <w:r w:rsidRPr="0085128E">
        <w:rPr>
          <w:rFonts w:cs="Arial"/>
          <w:sz w:val="14"/>
          <w:szCs w:val="16"/>
        </w:rPr>
        <w:tab/>
      </w:r>
      <w:r w:rsidR="004E0D80" w:rsidRPr="0085128E">
        <w:rPr>
          <w:rFonts w:cs="Arial"/>
          <w:sz w:val="14"/>
          <w:szCs w:val="16"/>
        </w:rPr>
        <w:t>L</w:t>
      </w:r>
      <w:r w:rsidR="008D0CFD" w:rsidRPr="0085128E">
        <w:rPr>
          <w:rFonts w:cs="Arial"/>
          <w:sz w:val="14"/>
          <w:szCs w:val="16"/>
        </w:rPr>
        <w:t>’</w:t>
      </w:r>
      <w:r w:rsidR="004E0D80" w:rsidRPr="0085128E">
        <w:rPr>
          <w:rFonts w:cs="Arial"/>
          <w:sz w:val="14"/>
          <w:szCs w:val="16"/>
        </w:rPr>
        <w:t xml:space="preserve">Acte </w:t>
      </w:r>
      <w:r w:rsidR="008D0CFD" w:rsidRPr="0085128E">
        <w:rPr>
          <w:rFonts w:cs="Arial"/>
          <w:sz w:val="14"/>
          <w:szCs w:val="16"/>
        </w:rPr>
        <w:t>de 1991</w:t>
      </w:r>
      <w:r w:rsidR="004E0D80" w:rsidRPr="0085128E">
        <w:rPr>
          <w:rFonts w:cs="Arial"/>
          <w:sz w:val="14"/>
          <w:szCs w:val="16"/>
        </w:rPr>
        <w:t xml:space="preserve"> est le dernier Acte auquel 54</w:t>
      </w:r>
      <w:r w:rsidR="00E06D97" w:rsidRPr="0085128E">
        <w:rPr>
          <w:rFonts w:cs="Arial"/>
          <w:sz w:val="14"/>
          <w:szCs w:val="16"/>
        </w:rPr>
        <w:t> </w:t>
      </w:r>
      <w:r w:rsidR="004E0D80" w:rsidRPr="0085128E">
        <w:rPr>
          <w:rFonts w:cs="Arial"/>
          <w:sz w:val="14"/>
          <w:szCs w:val="16"/>
        </w:rPr>
        <w:t>États et 2</w:t>
      </w:r>
      <w:r w:rsidR="00E06D97" w:rsidRPr="0085128E">
        <w:rPr>
          <w:rFonts w:cs="Arial"/>
          <w:sz w:val="14"/>
          <w:szCs w:val="16"/>
        </w:rPr>
        <w:t> </w:t>
      </w:r>
      <w:r w:rsidR="004E0D80" w:rsidRPr="0085128E">
        <w:rPr>
          <w:rFonts w:cs="Arial"/>
          <w:sz w:val="14"/>
          <w:szCs w:val="16"/>
        </w:rPr>
        <w:t>organisations ont adhéré.</w:t>
      </w:r>
    </w:p>
    <w:p w:rsidR="00720382" w:rsidRPr="0085128E" w:rsidRDefault="00604822" w:rsidP="0085128E">
      <w:pPr>
        <w:tabs>
          <w:tab w:val="left" w:pos="284"/>
        </w:tabs>
        <w:ind w:left="284"/>
        <w:rPr>
          <w:rFonts w:cs="Arial"/>
          <w:sz w:val="14"/>
          <w:szCs w:val="16"/>
        </w:rPr>
      </w:pPr>
      <w:r w:rsidRPr="0085128E">
        <w:rPr>
          <w:rFonts w:cs="Arial"/>
          <w:sz w:val="14"/>
          <w:szCs w:val="16"/>
          <w:vertAlign w:val="superscript"/>
        </w:rPr>
        <w:t>4</w:t>
      </w:r>
      <w:r w:rsidRPr="0085128E">
        <w:rPr>
          <w:rFonts w:cs="Arial"/>
          <w:sz w:val="14"/>
          <w:szCs w:val="16"/>
        </w:rPr>
        <w:tab/>
      </w:r>
      <w:r w:rsidR="004E0D80" w:rsidRPr="0085128E">
        <w:rPr>
          <w:rFonts w:cs="Arial"/>
          <w:sz w:val="14"/>
          <w:szCs w:val="16"/>
        </w:rPr>
        <w:t>A adopté un système de protection des droits d</w:t>
      </w:r>
      <w:r w:rsidR="008D0CFD" w:rsidRPr="0085128E">
        <w:rPr>
          <w:rFonts w:cs="Arial"/>
          <w:sz w:val="14"/>
          <w:szCs w:val="16"/>
        </w:rPr>
        <w:t>’</w:t>
      </w:r>
      <w:r w:rsidR="004E0D80" w:rsidRPr="0085128E">
        <w:rPr>
          <w:rFonts w:cs="Arial"/>
          <w:sz w:val="14"/>
          <w:szCs w:val="16"/>
        </w:rPr>
        <w:t>obtenteur qui couvre le territoire de ses 28</w:t>
      </w:r>
      <w:r w:rsidR="00E06D97" w:rsidRPr="0085128E">
        <w:rPr>
          <w:rFonts w:cs="Arial"/>
          <w:sz w:val="14"/>
          <w:szCs w:val="16"/>
        </w:rPr>
        <w:t> </w:t>
      </w:r>
      <w:r w:rsidR="004E0D80" w:rsidRPr="0085128E">
        <w:rPr>
          <w:rFonts w:cs="Arial"/>
          <w:sz w:val="14"/>
          <w:szCs w:val="16"/>
        </w:rPr>
        <w:t>États membres.</w:t>
      </w:r>
    </w:p>
    <w:p w:rsidR="00720382" w:rsidRPr="0085128E" w:rsidRDefault="004E0D80" w:rsidP="0085128E">
      <w:pPr>
        <w:tabs>
          <w:tab w:val="left" w:pos="284"/>
        </w:tabs>
        <w:spacing w:after="60"/>
        <w:ind w:left="567"/>
        <w:rPr>
          <w:rFonts w:cs="Arial"/>
          <w:sz w:val="14"/>
          <w:szCs w:val="14"/>
        </w:rPr>
      </w:pPr>
      <w:r w:rsidRPr="0085128E">
        <w:rPr>
          <w:rFonts w:cs="Arial"/>
          <w:i/>
          <w:sz w:val="14"/>
          <w:szCs w:val="14"/>
        </w:rPr>
        <w:t>(États membres de l</w:t>
      </w:r>
      <w:r w:rsidR="008D0CFD" w:rsidRPr="0085128E">
        <w:rPr>
          <w:rFonts w:cs="Arial"/>
          <w:i/>
          <w:sz w:val="14"/>
          <w:szCs w:val="14"/>
        </w:rPr>
        <w:t>’</w:t>
      </w:r>
      <w:r w:rsidRPr="0085128E">
        <w:rPr>
          <w:rFonts w:cs="Arial"/>
          <w:i/>
          <w:sz w:val="14"/>
          <w:szCs w:val="14"/>
        </w:rPr>
        <w:t>Union européenne</w:t>
      </w:r>
      <w:r w:rsidR="008D0CFD" w:rsidRPr="0085128E">
        <w:rPr>
          <w:rFonts w:cs="Arial"/>
          <w:i/>
          <w:sz w:val="14"/>
          <w:szCs w:val="14"/>
        </w:rPr>
        <w:t> :</w:t>
      </w:r>
      <w:r w:rsidRPr="0085128E">
        <w:rPr>
          <w:rFonts w:cs="Arial"/>
          <w:i/>
          <w:sz w:val="14"/>
          <w:szCs w:val="14"/>
        </w:rPr>
        <w:t xml:space="preserve"> Allemagne, Autriche, Belgique, Bulgarie, Chypre, Croatie, Danemark, Espagne, Estonie, Finlande, France, Grèce, Hongrie, Irlande, Italie, Lettonie, Lituanie, Luxembourg, Malte, Pays</w:t>
      </w:r>
      <w:r w:rsidR="008D0CFD" w:rsidRPr="0085128E">
        <w:rPr>
          <w:rFonts w:cs="Arial"/>
          <w:i/>
          <w:sz w:val="14"/>
          <w:szCs w:val="14"/>
        </w:rPr>
        <w:t>-</w:t>
      </w:r>
      <w:r w:rsidRPr="0085128E">
        <w:rPr>
          <w:rFonts w:cs="Arial"/>
          <w:i/>
          <w:sz w:val="14"/>
          <w:szCs w:val="14"/>
        </w:rPr>
        <w:t>Bas, Pologne, Portugal, République tchèque, Roumanie, Royaume</w:t>
      </w:r>
      <w:r w:rsidR="008D0CFD" w:rsidRPr="0085128E">
        <w:rPr>
          <w:rFonts w:cs="Arial"/>
          <w:i/>
          <w:sz w:val="14"/>
          <w:szCs w:val="14"/>
        </w:rPr>
        <w:t>-</w:t>
      </w:r>
      <w:r w:rsidRPr="0085128E">
        <w:rPr>
          <w:rFonts w:cs="Arial"/>
          <w:i/>
          <w:sz w:val="14"/>
          <w:szCs w:val="14"/>
        </w:rPr>
        <w:t>Uni, Slovaquie, Slovénie, Suède)</w:t>
      </w:r>
    </w:p>
    <w:p w:rsidR="00720382" w:rsidRPr="0085128E" w:rsidRDefault="00604822" w:rsidP="0085128E">
      <w:pPr>
        <w:tabs>
          <w:tab w:val="left" w:pos="284"/>
        </w:tabs>
        <w:ind w:left="284"/>
        <w:rPr>
          <w:rFonts w:cs="Arial"/>
          <w:sz w:val="14"/>
          <w:szCs w:val="16"/>
        </w:rPr>
      </w:pPr>
      <w:r w:rsidRPr="0085128E">
        <w:rPr>
          <w:rFonts w:cs="Arial"/>
          <w:sz w:val="14"/>
          <w:szCs w:val="16"/>
          <w:vertAlign w:val="superscript"/>
        </w:rPr>
        <w:t>5</w:t>
      </w:r>
      <w:r w:rsidRPr="0085128E">
        <w:rPr>
          <w:rFonts w:cs="Arial"/>
          <w:sz w:val="14"/>
          <w:szCs w:val="16"/>
        </w:rPr>
        <w:tab/>
      </w:r>
      <w:r w:rsidR="004E0D80" w:rsidRPr="0085128E">
        <w:rPr>
          <w:rFonts w:cs="Arial"/>
          <w:sz w:val="14"/>
          <w:szCs w:val="16"/>
        </w:rPr>
        <w:t>A adopté un système de protection des droits d</w:t>
      </w:r>
      <w:r w:rsidR="008D0CFD" w:rsidRPr="0085128E">
        <w:rPr>
          <w:rFonts w:cs="Arial"/>
          <w:sz w:val="14"/>
          <w:szCs w:val="16"/>
        </w:rPr>
        <w:t>’</w:t>
      </w:r>
      <w:r w:rsidR="004E0D80" w:rsidRPr="0085128E">
        <w:rPr>
          <w:rFonts w:cs="Arial"/>
          <w:sz w:val="14"/>
          <w:szCs w:val="16"/>
        </w:rPr>
        <w:t>obtenteur qui couvre le territoire de ses 17</w:t>
      </w:r>
      <w:r w:rsidR="00E06D97" w:rsidRPr="0085128E">
        <w:rPr>
          <w:rFonts w:cs="Arial"/>
          <w:sz w:val="14"/>
          <w:szCs w:val="16"/>
        </w:rPr>
        <w:t> </w:t>
      </w:r>
      <w:r w:rsidR="004E0D80" w:rsidRPr="0085128E">
        <w:rPr>
          <w:rFonts w:cs="Arial"/>
          <w:sz w:val="14"/>
          <w:szCs w:val="16"/>
        </w:rPr>
        <w:t>États membres.</w:t>
      </w:r>
    </w:p>
    <w:p w:rsidR="00720382" w:rsidRPr="0085128E" w:rsidRDefault="004E0D80" w:rsidP="0085128E">
      <w:pPr>
        <w:spacing w:after="60"/>
        <w:ind w:left="567"/>
        <w:rPr>
          <w:rFonts w:cs="Arial"/>
          <w:i/>
          <w:sz w:val="14"/>
          <w:szCs w:val="14"/>
        </w:rPr>
      </w:pPr>
      <w:r w:rsidRPr="0085128E">
        <w:rPr>
          <w:rFonts w:cs="Arial"/>
          <w:i/>
          <w:sz w:val="14"/>
          <w:szCs w:val="14"/>
        </w:rPr>
        <w:t>(États membres de l</w:t>
      </w:r>
      <w:r w:rsidR="008D0CFD" w:rsidRPr="0085128E">
        <w:rPr>
          <w:rFonts w:cs="Arial"/>
          <w:i/>
          <w:sz w:val="14"/>
          <w:szCs w:val="14"/>
        </w:rPr>
        <w:t>’</w:t>
      </w:r>
      <w:r w:rsidRPr="0085128E">
        <w:rPr>
          <w:rFonts w:cs="Arial"/>
          <w:i/>
          <w:sz w:val="14"/>
          <w:szCs w:val="14"/>
        </w:rPr>
        <w:t>OAPI</w:t>
      </w:r>
      <w:r w:rsidR="008D0CFD" w:rsidRPr="0085128E">
        <w:rPr>
          <w:rFonts w:cs="Arial"/>
          <w:i/>
          <w:sz w:val="14"/>
          <w:szCs w:val="14"/>
        </w:rPr>
        <w:t> :</w:t>
      </w:r>
      <w:r w:rsidRPr="0085128E">
        <w:rPr>
          <w:rFonts w:cs="Arial"/>
          <w:i/>
          <w:sz w:val="14"/>
          <w:szCs w:val="14"/>
        </w:rPr>
        <w:t xml:space="preserve"> Bénin, Burkina Faso, Cameroun, Comores, Congo, Côte d</w:t>
      </w:r>
      <w:r w:rsidR="008D0CFD" w:rsidRPr="0085128E">
        <w:rPr>
          <w:rFonts w:cs="Arial"/>
          <w:i/>
          <w:sz w:val="14"/>
          <w:szCs w:val="14"/>
        </w:rPr>
        <w:t>’</w:t>
      </w:r>
      <w:r w:rsidRPr="0085128E">
        <w:rPr>
          <w:rFonts w:cs="Arial"/>
          <w:i/>
          <w:sz w:val="14"/>
          <w:szCs w:val="14"/>
        </w:rPr>
        <w:t>Ivoire, Gabon, Guinée, Guinée</w:t>
      </w:r>
      <w:r w:rsidR="008D0CFD" w:rsidRPr="0085128E">
        <w:rPr>
          <w:rFonts w:cs="Arial"/>
          <w:i/>
          <w:sz w:val="14"/>
          <w:szCs w:val="14"/>
        </w:rPr>
        <w:t>-</w:t>
      </w:r>
      <w:r w:rsidRPr="0085128E">
        <w:rPr>
          <w:rFonts w:cs="Arial"/>
          <w:i/>
          <w:sz w:val="14"/>
          <w:szCs w:val="14"/>
        </w:rPr>
        <w:t>Bissau, Guinée équatoriale, Mali, Mauritanie, Niger, République centrafricaine, Sénégal, Tchad, Togo)</w:t>
      </w:r>
    </w:p>
    <w:p w:rsidR="00720382" w:rsidRPr="0085128E" w:rsidRDefault="00720382" w:rsidP="0085128E">
      <w:pPr>
        <w:tabs>
          <w:tab w:val="left" w:pos="1560"/>
        </w:tabs>
        <w:spacing w:after="60"/>
        <w:rPr>
          <w:sz w:val="16"/>
          <w:u w:val="single"/>
        </w:rPr>
      </w:pPr>
    </w:p>
    <w:p w:rsidR="00720382" w:rsidRPr="0085128E" w:rsidRDefault="00036F86" w:rsidP="0085128E">
      <w:pPr>
        <w:keepNext/>
        <w:jc w:val="center"/>
        <w:rPr>
          <w:rFonts w:cs="Arial"/>
          <w:b/>
          <w:sz w:val="18"/>
          <w:szCs w:val="24"/>
        </w:rPr>
      </w:pPr>
      <w:r>
        <w:rPr>
          <w:rFonts w:cs="Arial"/>
          <w:b/>
          <w:sz w:val="18"/>
          <w:szCs w:val="24"/>
        </w:rPr>
        <w:t>II.</w:t>
      </w:r>
      <w:r>
        <w:rPr>
          <w:rFonts w:cs="Arial"/>
          <w:b/>
          <w:sz w:val="18"/>
          <w:szCs w:val="24"/>
        </w:rPr>
        <w:tab/>
      </w:r>
      <w:r w:rsidR="00324807" w:rsidRPr="0085128E">
        <w:rPr>
          <w:rFonts w:cs="Arial"/>
          <w:b/>
          <w:sz w:val="18"/>
          <w:szCs w:val="24"/>
        </w:rPr>
        <w:t>États et organisations intergouvernementales ayant engagé la procédure d</w:t>
      </w:r>
      <w:r w:rsidR="008D0CFD" w:rsidRPr="0085128E">
        <w:rPr>
          <w:rFonts w:cs="Arial"/>
          <w:b/>
          <w:sz w:val="18"/>
          <w:szCs w:val="24"/>
        </w:rPr>
        <w:t>’</w:t>
      </w:r>
      <w:r w:rsidR="00324807" w:rsidRPr="0085128E">
        <w:rPr>
          <w:rFonts w:cs="Arial"/>
          <w:b/>
          <w:sz w:val="18"/>
          <w:szCs w:val="24"/>
        </w:rPr>
        <w:t xml:space="preserve">adhésion à la </w:t>
      </w:r>
      <w:r w:rsidR="008D0CFD" w:rsidRPr="0085128E">
        <w:rPr>
          <w:rFonts w:cs="Arial"/>
          <w:b/>
          <w:sz w:val="18"/>
          <w:szCs w:val="24"/>
        </w:rPr>
        <w:t>Convention UPOV</w:t>
      </w:r>
    </w:p>
    <w:p w:rsidR="00720382" w:rsidRPr="0085128E" w:rsidRDefault="00720382" w:rsidP="0085128E">
      <w:pPr>
        <w:rPr>
          <w:sz w:val="16"/>
          <w:szCs w:val="16"/>
        </w:rPr>
      </w:pPr>
    </w:p>
    <w:p w:rsidR="00720382" w:rsidRPr="0085128E" w:rsidRDefault="00324807" w:rsidP="0085128E">
      <w:pPr>
        <w:keepNext/>
        <w:rPr>
          <w:rFonts w:cs="Arial"/>
          <w:i/>
          <w:sz w:val="16"/>
          <w:szCs w:val="16"/>
        </w:rPr>
      </w:pPr>
      <w:r w:rsidRPr="0085128E">
        <w:rPr>
          <w:rFonts w:cs="Arial"/>
          <w:i/>
          <w:sz w:val="16"/>
          <w:szCs w:val="16"/>
        </w:rPr>
        <w:t>États (15)</w:t>
      </w:r>
      <w:r w:rsidR="008D0CFD" w:rsidRPr="0085128E">
        <w:rPr>
          <w:rFonts w:cs="Arial"/>
          <w:i/>
          <w:sz w:val="16"/>
          <w:szCs w:val="16"/>
        </w:rPr>
        <w:t> :</w:t>
      </w:r>
    </w:p>
    <w:p w:rsidR="00720382" w:rsidRPr="0085128E" w:rsidRDefault="00720382" w:rsidP="0085128E">
      <w:pPr>
        <w:keepNext/>
        <w:rPr>
          <w:rFonts w:cs="Arial"/>
          <w:sz w:val="16"/>
          <w:szCs w:val="16"/>
        </w:rPr>
      </w:pPr>
    </w:p>
    <w:p w:rsidR="00720382" w:rsidRPr="0085128E" w:rsidRDefault="00324807" w:rsidP="0085128E">
      <w:pPr>
        <w:rPr>
          <w:rFonts w:cs="Arial"/>
          <w:spacing w:val="-2"/>
          <w:sz w:val="16"/>
          <w:szCs w:val="16"/>
        </w:rPr>
      </w:pPr>
      <w:r w:rsidRPr="0085128E">
        <w:rPr>
          <w:rFonts w:cs="Arial"/>
          <w:spacing w:val="-2"/>
          <w:sz w:val="16"/>
          <w:szCs w:val="16"/>
        </w:rPr>
        <w:t>Arménie, Bosnie</w:t>
      </w:r>
      <w:r w:rsidR="008D0CFD" w:rsidRPr="0085128E">
        <w:rPr>
          <w:rFonts w:cs="Arial"/>
          <w:spacing w:val="-2"/>
          <w:sz w:val="16"/>
          <w:szCs w:val="16"/>
        </w:rPr>
        <w:t>-</w:t>
      </w:r>
      <w:r w:rsidRPr="0085128E">
        <w:rPr>
          <w:rFonts w:cs="Arial"/>
          <w:spacing w:val="-2"/>
          <w:sz w:val="16"/>
          <w:szCs w:val="16"/>
        </w:rPr>
        <w:t>Herzégovine, Égypte, Ghana, Guatemala, Honduras, Inde, Iran (République islamique d</w:t>
      </w:r>
      <w:r w:rsidR="008D0CFD" w:rsidRPr="0085128E">
        <w:rPr>
          <w:rFonts w:cs="Arial"/>
          <w:spacing w:val="-2"/>
          <w:sz w:val="16"/>
          <w:szCs w:val="16"/>
        </w:rPr>
        <w:t>’</w:t>
      </w:r>
      <w:r w:rsidRPr="0085128E">
        <w:rPr>
          <w:rFonts w:cs="Arial"/>
          <w:spacing w:val="-2"/>
          <w:sz w:val="16"/>
          <w:szCs w:val="16"/>
        </w:rPr>
        <w:t>), Kazakhstan, Malaisie, Maurice, Philippines, Tadjikistan, Venezuela (République bolivarienne du) et Zimbabwe</w:t>
      </w:r>
    </w:p>
    <w:p w:rsidR="00720382" w:rsidRPr="0085128E" w:rsidRDefault="00720382" w:rsidP="0085128E">
      <w:pPr>
        <w:rPr>
          <w:rFonts w:cs="Arial"/>
          <w:sz w:val="16"/>
          <w:szCs w:val="16"/>
        </w:rPr>
      </w:pPr>
    </w:p>
    <w:p w:rsidR="00720382" w:rsidRPr="0085128E" w:rsidRDefault="00324807" w:rsidP="0085128E">
      <w:pPr>
        <w:rPr>
          <w:rFonts w:cs="Arial"/>
          <w:i/>
          <w:spacing w:val="-2"/>
          <w:sz w:val="16"/>
          <w:szCs w:val="16"/>
        </w:rPr>
      </w:pPr>
      <w:r w:rsidRPr="0085128E">
        <w:rPr>
          <w:rFonts w:cs="Arial"/>
          <w:i/>
          <w:spacing w:val="-2"/>
          <w:sz w:val="16"/>
          <w:szCs w:val="16"/>
        </w:rPr>
        <w:t>Organisation (1)</w:t>
      </w:r>
      <w:r w:rsidR="008D0CFD" w:rsidRPr="0085128E">
        <w:rPr>
          <w:rFonts w:cs="Arial"/>
          <w:i/>
          <w:spacing w:val="-2"/>
          <w:sz w:val="16"/>
          <w:szCs w:val="16"/>
        </w:rPr>
        <w:t> :</w:t>
      </w:r>
    </w:p>
    <w:p w:rsidR="00720382" w:rsidRPr="0085128E" w:rsidRDefault="00720382" w:rsidP="0085128E">
      <w:pPr>
        <w:rPr>
          <w:rFonts w:cs="Arial"/>
          <w:spacing w:val="-2"/>
          <w:sz w:val="16"/>
          <w:szCs w:val="16"/>
        </w:rPr>
      </w:pPr>
    </w:p>
    <w:p w:rsidR="003711EE" w:rsidRPr="0085128E" w:rsidRDefault="00324807" w:rsidP="0085128E">
      <w:pPr>
        <w:rPr>
          <w:rFonts w:cs="Arial"/>
          <w:sz w:val="16"/>
          <w:szCs w:val="24"/>
        </w:rPr>
      </w:pPr>
      <w:r w:rsidRPr="0085128E">
        <w:rPr>
          <w:rFonts w:cs="Arial"/>
          <w:sz w:val="16"/>
          <w:szCs w:val="24"/>
        </w:rPr>
        <w:t>Organisation régionale africaine de la propriété intellectuelle (ARIPO)</w:t>
      </w:r>
    </w:p>
    <w:p w:rsidR="00720382" w:rsidRPr="0085128E" w:rsidRDefault="00324807" w:rsidP="0085128E">
      <w:pPr>
        <w:rPr>
          <w:rFonts w:cs="Arial"/>
          <w:sz w:val="16"/>
          <w:szCs w:val="16"/>
        </w:rPr>
      </w:pPr>
      <w:r w:rsidRPr="0085128E">
        <w:rPr>
          <w:rFonts w:cs="Arial"/>
          <w:i/>
          <w:sz w:val="16"/>
          <w:szCs w:val="16"/>
        </w:rPr>
        <w:t>(États membres de l</w:t>
      </w:r>
      <w:r w:rsidR="008D0CFD" w:rsidRPr="0085128E">
        <w:rPr>
          <w:rFonts w:cs="Arial"/>
          <w:i/>
          <w:sz w:val="16"/>
          <w:szCs w:val="16"/>
        </w:rPr>
        <w:t>’</w:t>
      </w:r>
      <w:r w:rsidRPr="0085128E">
        <w:rPr>
          <w:rFonts w:cs="Arial"/>
          <w:i/>
          <w:sz w:val="16"/>
          <w:szCs w:val="16"/>
        </w:rPr>
        <w:t>ARIPO (19)</w:t>
      </w:r>
      <w:r w:rsidR="008D0CFD" w:rsidRPr="0085128E">
        <w:rPr>
          <w:rFonts w:cs="Arial"/>
          <w:i/>
          <w:sz w:val="16"/>
          <w:szCs w:val="16"/>
        </w:rPr>
        <w:t> :</w:t>
      </w:r>
      <w:r w:rsidRPr="0085128E">
        <w:rPr>
          <w:rFonts w:cs="Arial"/>
          <w:i/>
          <w:sz w:val="16"/>
          <w:szCs w:val="16"/>
        </w:rPr>
        <w:t xml:space="preserve"> Botswana, Gambie, Ghana, Kenya, Lesotho, Libéria, Malawi, Mozambique, Namibie, Ouganda, République</w:t>
      </w:r>
      <w:r w:rsidR="008D0CFD" w:rsidRPr="0085128E">
        <w:rPr>
          <w:rFonts w:cs="Arial"/>
          <w:i/>
          <w:sz w:val="16"/>
          <w:szCs w:val="16"/>
        </w:rPr>
        <w:t>-</w:t>
      </w:r>
      <w:r w:rsidRPr="0085128E">
        <w:rPr>
          <w:rFonts w:cs="Arial"/>
          <w:i/>
          <w:sz w:val="16"/>
          <w:szCs w:val="16"/>
        </w:rPr>
        <w:t>Unie de Tanzanie, Rwanda, Sao Tomé</w:t>
      </w:r>
      <w:r w:rsidR="008D0CFD" w:rsidRPr="0085128E">
        <w:rPr>
          <w:rFonts w:cs="Arial"/>
          <w:i/>
          <w:sz w:val="16"/>
          <w:szCs w:val="16"/>
        </w:rPr>
        <w:t>-</w:t>
      </w:r>
      <w:r w:rsidRPr="0085128E">
        <w:rPr>
          <w:rFonts w:cs="Arial"/>
          <w:i/>
          <w:sz w:val="16"/>
          <w:szCs w:val="16"/>
        </w:rPr>
        <w:t>et</w:t>
      </w:r>
      <w:r w:rsidR="008D0CFD" w:rsidRPr="0085128E">
        <w:rPr>
          <w:rFonts w:cs="Arial"/>
          <w:i/>
          <w:sz w:val="16"/>
          <w:szCs w:val="16"/>
        </w:rPr>
        <w:t>-</w:t>
      </w:r>
      <w:r w:rsidRPr="0085128E">
        <w:rPr>
          <w:rFonts w:cs="Arial"/>
          <w:i/>
          <w:sz w:val="16"/>
          <w:szCs w:val="16"/>
        </w:rPr>
        <w:t>Principe, Sierra Leone, Somalie, Soudan, Swaziland, Zambie, Zimbabwe)</w:t>
      </w:r>
    </w:p>
    <w:p w:rsidR="00720382" w:rsidRPr="0085128E" w:rsidRDefault="00720382" w:rsidP="0085128E">
      <w:pPr>
        <w:rPr>
          <w:rFonts w:cs="Arial"/>
          <w:sz w:val="16"/>
          <w:szCs w:val="16"/>
        </w:rPr>
      </w:pPr>
    </w:p>
    <w:p w:rsidR="00720382" w:rsidRPr="0085128E" w:rsidRDefault="00720382" w:rsidP="0085128E">
      <w:pPr>
        <w:tabs>
          <w:tab w:val="left" w:pos="1560"/>
        </w:tabs>
        <w:spacing w:after="60"/>
        <w:rPr>
          <w:sz w:val="16"/>
          <w:u w:val="single"/>
        </w:rPr>
      </w:pPr>
    </w:p>
    <w:p w:rsidR="00720382" w:rsidRPr="0085128E" w:rsidRDefault="00036F86" w:rsidP="0085128E">
      <w:pPr>
        <w:jc w:val="center"/>
        <w:rPr>
          <w:rFonts w:cs="Arial"/>
          <w:b/>
          <w:sz w:val="18"/>
          <w:szCs w:val="24"/>
        </w:rPr>
      </w:pPr>
      <w:r>
        <w:rPr>
          <w:rFonts w:cs="Arial"/>
          <w:b/>
          <w:sz w:val="18"/>
          <w:szCs w:val="24"/>
        </w:rPr>
        <w:t>III.</w:t>
      </w:r>
      <w:r>
        <w:rPr>
          <w:rFonts w:cs="Arial"/>
          <w:b/>
          <w:sz w:val="18"/>
          <w:szCs w:val="24"/>
        </w:rPr>
        <w:tab/>
      </w:r>
      <w:r w:rsidR="009F5A99" w:rsidRPr="0085128E">
        <w:rPr>
          <w:rFonts w:cs="Arial"/>
          <w:b/>
          <w:sz w:val="18"/>
          <w:szCs w:val="24"/>
        </w:rPr>
        <w:t>Ét</w:t>
      </w:r>
      <w:r w:rsidR="00324807" w:rsidRPr="0085128E">
        <w:rPr>
          <w:rFonts w:cs="Arial"/>
          <w:b/>
          <w:sz w:val="18"/>
          <w:szCs w:val="24"/>
        </w:rPr>
        <w:t>ats et organisations intergouvernementales ayant été en rapport avec le Bureau de l</w:t>
      </w:r>
      <w:r w:rsidR="008D0CFD" w:rsidRPr="0085128E">
        <w:rPr>
          <w:rFonts w:cs="Arial"/>
          <w:b/>
          <w:sz w:val="18"/>
          <w:szCs w:val="24"/>
        </w:rPr>
        <w:t>’</w:t>
      </w:r>
      <w:r w:rsidR="00324807" w:rsidRPr="0085128E">
        <w:rPr>
          <w:rFonts w:cs="Arial"/>
          <w:b/>
          <w:sz w:val="18"/>
          <w:szCs w:val="24"/>
        </w:rPr>
        <w:t>Union en vue d</w:t>
      </w:r>
      <w:r w:rsidR="008D0CFD" w:rsidRPr="0085128E">
        <w:rPr>
          <w:rFonts w:cs="Arial"/>
          <w:b/>
          <w:sz w:val="18"/>
          <w:szCs w:val="24"/>
        </w:rPr>
        <w:t>’</w:t>
      </w:r>
      <w:r w:rsidR="00324807" w:rsidRPr="0085128E">
        <w:rPr>
          <w:rFonts w:cs="Arial"/>
          <w:b/>
          <w:sz w:val="18"/>
          <w:szCs w:val="24"/>
        </w:rPr>
        <w:t>obtenir une assistance pour l</w:t>
      </w:r>
      <w:r w:rsidR="008D0CFD" w:rsidRPr="0085128E">
        <w:rPr>
          <w:rFonts w:cs="Arial"/>
          <w:b/>
          <w:sz w:val="18"/>
          <w:szCs w:val="24"/>
        </w:rPr>
        <w:t>’</w:t>
      </w:r>
      <w:r w:rsidR="00324807" w:rsidRPr="0085128E">
        <w:rPr>
          <w:rFonts w:cs="Arial"/>
          <w:b/>
          <w:sz w:val="18"/>
          <w:szCs w:val="24"/>
        </w:rPr>
        <w:t xml:space="preserve">élaboration de lois fondées sur la </w:t>
      </w:r>
      <w:r w:rsidR="008D0CFD" w:rsidRPr="0085128E">
        <w:rPr>
          <w:rFonts w:cs="Arial"/>
          <w:b/>
          <w:sz w:val="18"/>
          <w:szCs w:val="24"/>
        </w:rPr>
        <w:t>Convention UPOV</w:t>
      </w:r>
    </w:p>
    <w:p w:rsidR="00720382" w:rsidRPr="0085128E" w:rsidRDefault="00720382" w:rsidP="0085128E">
      <w:pPr>
        <w:jc w:val="center"/>
        <w:rPr>
          <w:rFonts w:cs="Arial"/>
          <w:b/>
          <w:sz w:val="18"/>
          <w:szCs w:val="24"/>
        </w:rPr>
      </w:pPr>
    </w:p>
    <w:p w:rsidR="00720382" w:rsidRPr="0085128E" w:rsidRDefault="00324807" w:rsidP="0085128E">
      <w:pPr>
        <w:keepNext/>
        <w:rPr>
          <w:rFonts w:cs="Arial"/>
          <w:i/>
          <w:sz w:val="16"/>
          <w:szCs w:val="24"/>
        </w:rPr>
      </w:pPr>
      <w:r w:rsidRPr="0085128E">
        <w:rPr>
          <w:rFonts w:cs="Arial"/>
          <w:i/>
          <w:sz w:val="16"/>
          <w:szCs w:val="24"/>
        </w:rPr>
        <w:t>États (25)</w:t>
      </w:r>
      <w:r w:rsidR="008D0CFD" w:rsidRPr="0085128E">
        <w:rPr>
          <w:rFonts w:cs="Arial"/>
          <w:i/>
          <w:sz w:val="16"/>
          <w:szCs w:val="24"/>
        </w:rPr>
        <w:t> :</w:t>
      </w:r>
    </w:p>
    <w:p w:rsidR="00720382" w:rsidRPr="0085128E" w:rsidRDefault="00720382" w:rsidP="0085128E">
      <w:pPr>
        <w:keepNext/>
        <w:rPr>
          <w:rFonts w:cs="Arial"/>
          <w:sz w:val="10"/>
          <w:szCs w:val="24"/>
        </w:rPr>
      </w:pPr>
    </w:p>
    <w:p w:rsidR="00720382" w:rsidRPr="0085128E" w:rsidRDefault="00324807" w:rsidP="0085128E">
      <w:pPr>
        <w:suppressAutoHyphens/>
        <w:rPr>
          <w:rFonts w:cs="Arial"/>
          <w:sz w:val="16"/>
          <w:szCs w:val="24"/>
        </w:rPr>
      </w:pPr>
      <w:r w:rsidRPr="0085128E">
        <w:rPr>
          <w:rFonts w:cs="Arial"/>
          <w:sz w:val="16"/>
          <w:szCs w:val="24"/>
        </w:rPr>
        <w:t xml:space="preserve">Algérie, </w:t>
      </w:r>
      <w:r w:rsidR="008D0CFD" w:rsidRPr="0085128E">
        <w:rPr>
          <w:rFonts w:cs="Arial"/>
          <w:sz w:val="16"/>
          <w:szCs w:val="24"/>
        </w:rPr>
        <w:t>Arabie saoudite</w:t>
      </w:r>
      <w:r w:rsidRPr="0085128E">
        <w:rPr>
          <w:rFonts w:cs="Arial"/>
          <w:sz w:val="16"/>
          <w:szCs w:val="24"/>
        </w:rPr>
        <w:t>, Bahreïn, Barbade, Brunéi Darussalam, Cambodge, Chypre, Cuba, El Salvador, Émirats arabes unis, Indonésie, Iraq, Jamaïque, Libye, Liechtenstein, Mozambique, Myanmar, Namibie, Pakistan, République démocratique populaire lao, Soudan, Thaïlande, Tonga, Turkménistan et Zambie</w:t>
      </w:r>
    </w:p>
    <w:p w:rsidR="00720382" w:rsidRPr="0085128E" w:rsidRDefault="00720382" w:rsidP="0085128E">
      <w:pPr>
        <w:rPr>
          <w:rFonts w:cs="Arial"/>
          <w:sz w:val="16"/>
          <w:szCs w:val="24"/>
        </w:rPr>
      </w:pPr>
    </w:p>
    <w:p w:rsidR="00720382" w:rsidRPr="0085128E" w:rsidRDefault="00324807" w:rsidP="0085128E">
      <w:pPr>
        <w:keepNext/>
        <w:rPr>
          <w:rFonts w:cs="Arial"/>
          <w:i/>
          <w:sz w:val="16"/>
          <w:szCs w:val="24"/>
        </w:rPr>
      </w:pPr>
      <w:r w:rsidRPr="0085128E">
        <w:rPr>
          <w:rFonts w:cs="Arial"/>
          <w:i/>
          <w:sz w:val="16"/>
          <w:szCs w:val="24"/>
        </w:rPr>
        <w:t>Organisation (1)</w:t>
      </w:r>
      <w:r w:rsidR="008D0CFD" w:rsidRPr="0085128E">
        <w:rPr>
          <w:rFonts w:cs="Arial"/>
          <w:i/>
          <w:sz w:val="16"/>
          <w:szCs w:val="24"/>
        </w:rPr>
        <w:t> :</w:t>
      </w:r>
    </w:p>
    <w:p w:rsidR="00720382" w:rsidRPr="0085128E" w:rsidRDefault="00720382" w:rsidP="0085128E">
      <w:pPr>
        <w:keepNext/>
        <w:rPr>
          <w:rFonts w:cs="Arial"/>
          <w:sz w:val="10"/>
          <w:szCs w:val="24"/>
        </w:rPr>
      </w:pPr>
    </w:p>
    <w:p w:rsidR="003711EE" w:rsidRPr="0085128E" w:rsidRDefault="00324807" w:rsidP="0085128E">
      <w:pPr>
        <w:rPr>
          <w:rFonts w:cs="Arial"/>
          <w:sz w:val="16"/>
          <w:szCs w:val="24"/>
        </w:rPr>
      </w:pPr>
      <w:r w:rsidRPr="0085128E">
        <w:rPr>
          <w:rFonts w:cs="Arial"/>
          <w:sz w:val="16"/>
          <w:szCs w:val="24"/>
        </w:rPr>
        <w:t>Communauté pour le développement de l</w:t>
      </w:r>
      <w:r w:rsidR="008D0CFD" w:rsidRPr="0085128E">
        <w:rPr>
          <w:rFonts w:cs="Arial"/>
          <w:sz w:val="16"/>
          <w:szCs w:val="24"/>
        </w:rPr>
        <w:t>’</w:t>
      </w:r>
      <w:r w:rsidRPr="0085128E">
        <w:rPr>
          <w:rFonts w:cs="Arial"/>
          <w:sz w:val="16"/>
          <w:szCs w:val="24"/>
        </w:rPr>
        <w:t>Afrique australe (SADC)</w:t>
      </w:r>
    </w:p>
    <w:p w:rsidR="00720382" w:rsidRPr="0085128E" w:rsidRDefault="00324807" w:rsidP="0085128E">
      <w:pPr>
        <w:rPr>
          <w:rFonts w:cs="Arial"/>
          <w:i/>
          <w:sz w:val="16"/>
          <w:szCs w:val="24"/>
        </w:rPr>
      </w:pPr>
      <w:r w:rsidRPr="0085128E">
        <w:rPr>
          <w:rFonts w:cs="Arial"/>
          <w:i/>
          <w:sz w:val="16"/>
          <w:szCs w:val="24"/>
        </w:rPr>
        <w:t>(États membres de</w:t>
      </w:r>
      <w:r w:rsidR="008D0CFD" w:rsidRPr="0085128E">
        <w:rPr>
          <w:rFonts w:cs="Arial"/>
          <w:i/>
          <w:sz w:val="16"/>
          <w:szCs w:val="24"/>
        </w:rPr>
        <w:t xml:space="preserve"> la SAD</w:t>
      </w:r>
      <w:r w:rsidRPr="0085128E">
        <w:rPr>
          <w:rFonts w:cs="Arial"/>
          <w:i/>
          <w:sz w:val="16"/>
          <w:szCs w:val="24"/>
        </w:rPr>
        <w:t>C (15)</w:t>
      </w:r>
      <w:r w:rsidR="008D0CFD" w:rsidRPr="0085128E">
        <w:rPr>
          <w:rFonts w:cs="Arial"/>
          <w:i/>
          <w:sz w:val="16"/>
          <w:szCs w:val="24"/>
        </w:rPr>
        <w:t> :</w:t>
      </w:r>
      <w:r w:rsidRPr="0085128E">
        <w:rPr>
          <w:rFonts w:cs="Arial"/>
          <w:i/>
          <w:sz w:val="16"/>
          <w:szCs w:val="24"/>
        </w:rPr>
        <w:t xml:space="preserve"> Afrique du Sud, Angola, Botswana, Lesotho, Madagascar, Malawi, Maurice, Mozambique, Namibie, République démocratique du Congo, République</w:t>
      </w:r>
      <w:r w:rsidR="008D0CFD" w:rsidRPr="0085128E">
        <w:rPr>
          <w:rFonts w:cs="Arial"/>
          <w:i/>
          <w:sz w:val="16"/>
          <w:szCs w:val="24"/>
        </w:rPr>
        <w:t>-</w:t>
      </w:r>
      <w:r w:rsidRPr="0085128E">
        <w:rPr>
          <w:rFonts w:cs="Arial"/>
          <w:i/>
          <w:sz w:val="16"/>
          <w:szCs w:val="24"/>
        </w:rPr>
        <w:t>Unie de Tanzanie, Seychelles, Swaziland, Zambie, Zimbabwe)</w:t>
      </w:r>
    </w:p>
    <w:p w:rsidR="00720382" w:rsidRPr="0085128E" w:rsidRDefault="00720382" w:rsidP="0085128E">
      <w:pPr>
        <w:rPr>
          <w:rFonts w:cs="Arial"/>
          <w:i/>
          <w:sz w:val="16"/>
          <w:szCs w:val="24"/>
        </w:rPr>
      </w:pPr>
    </w:p>
    <w:p w:rsidR="00720382" w:rsidRPr="0085128E" w:rsidRDefault="00720382" w:rsidP="0085128E">
      <w:pPr>
        <w:rPr>
          <w:rFonts w:cs="Arial"/>
          <w:snapToGrid w:val="0"/>
        </w:rPr>
      </w:pPr>
    </w:p>
    <w:p w:rsidR="00720382" w:rsidRPr="0085128E" w:rsidRDefault="00720382" w:rsidP="0085128E">
      <w:pPr>
        <w:rPr>
          <w:rFonts w:cs="Arial"/>
          <w:snapToGrid w:val="0"/>
        </w:rPr>
      </w:pPr>
    </w:p>
    <w:p w:rsidR="00720382" w:rsidRPr="0085128E" w:rsidRDefault="00324807" w:rsidP="0085128E">
      <w:pPr>
        <w:pStyle w:val="Endofdocument"/>
        <w:jc w:val="right"/>
        <w:rPr>
          <w:rFonts w:ascii="Arial" w:hAnsi="Arial" w:cs="Arial"/>
          <w:snapToGrid w:val="0"/>
          <w:sz w:val="20"/>
        </w:rPr>
      </w:pPr>
      <w:r w:rsidRPr="0085128E">
        <w:rPr>
          <w:rFonts w:ascii="Arial" w:hAnsi="Arial" w:cs="Arial"/>
          <w:snapToGrid w:val="0"/>
          <w:sz w:val="20"/>
        </w:rPr>
        <w:t>[L</w:t>
      </w:r>
      <w:r w:rsidR="008D0CFD" w:rsidRPr="0085128E">
        <w:rPr>
          <w:rFonts w:ascii="Arial" w:hAnsi="Arial" w:cs="Arial"/>
          <w:snapToGrid w:val="0"/>
          <w:sz w:val="20"/>
        </w:rPr>
        <w:t>’</w:t>
      </w:r>
      <w:r w:rsidRPr="0085128E">
        <w:rPr>
          <w:rFonts w:ascii="Arial" w:hAnsi="Arial" w:cs="Arial"/>
          <w:snapToGrid w:val="0"/>
          <w:sz w:val="20"/>
        </w:rPr>
        <w:t>appendice II suit]</w:t>
      </w:r>
    </w:p>
    <w:p w:rsidR="00604822" w:rsidRPr="0085128E" w:rsidRDefault="00604822" w:rsidP="0085128E">
      <w:pPr>
        <w:pStyle w:val="Endofdocument"/>
        <w:jc w:val="both"/>
        <w:rPr>
          <w:rFonts w:ascii="Arial" w:hAnsi="Arial" w:cs="Arial"/>
          <w:snapToGrid w:val="0"/>
          <w:sz w:val="20"/>
        </w:rPr>
        <w:sectPr w:rsidR="00604822" w:rsidRPr="0085128E" w:rsidSect="003711EE">
          <w:type w:val="continuous"/>
          <w:pgSz w:w="11907" w:h="16840" w:code="9"/>
          <w:pgMar w:top="510" w:right="1134" w:bottom="1134" w:left="1134" w:header="510" w:footer="624" w:gutter="0"/>
          <w:pgNumType w:start="2"/>
          <w:cols w:space="720"/>
          <w:titlePg/>
          <w:docGrid w:linePitch="272"/>
        </w:sectPr>
      </w:pPr>
    </w:p>
    <w:p w:rsidR="003711EE" w:rsidRPr="0085128E" w:rsidRDefault="00324807" w:rsidP="0085128E">
      <w:pPr>
        <w:jc w:val="center"/>
      </w:pPr>
      <w:r w:rsidRPr="0085128E">
        <w:t>ANNEXE – APPENDICE II</w:t>
      </w:r>
    </w:p>
    <w:p w:rsidR="00720382" w:rsidRPr="0085128E" w:rsidRDefault="00720382" w:rsidP="0085128E">
      <w:pPr>
        <w:pStyle w:val="Endofdocument"/>
        <w:jc w:val="both"/>
        <w:rPr>
          <w:rFonts w:ascii="Arial" w:hAnsi="Arial" w:cs="Arial"/>
          <w:snapToGrid w:val="0"/>
          <w:sz w:val="20"/>
        </w:rPr>
      </w:pPr>
    </w:p>
    <w:p w:rsidR="00720382" w:rsidRPr="0085128E" w:rsidRDefault="00324807" w:rsidP="0085128E">
      <w:pPr>
        <w:jc w:val="center"/>
      </w:pPr>
      <w:r w:rsidRPr="0085128E">
        <w:t>MÉTHODE UTILISÉE POUR ÉTABLIR LE BUDGET</w:t>
      </w:r>
    </w:p>
    <w:p w:rsidR="00720382" w:rsidRPr="0085128E" w:rsidRDefault="00720382" w:rsidP="0085128E">
      <w:pPr>
        <w:jc w:val="center"/>
      </w:pPr>
    </w:p>
    <w:p w:rsidR="00720382" w:rsidRPr="0085128E" w:rsidRDefault="00720382" w:rsidP="0085128E">
      <w:pPr>
        <w:jc w:val="center"/>
      </w:pPr>
    </w:p>
    <w:p w:rsidR="00720382" w:rsidRPr="0085128E" w:rsidRDefault="005E499F" w:rsidP="0085128E">
      <w:pPr>
        <w:tabs>
          <w:tab w:val="left" w:pos="567"/>
        </w:tabs>
      </w:pPr>
      <w:r w:rsidRPr="0085128E">
        <w:t>1.</w:t>
      </w:r>
      <w:r w:rsidRPr="0085128E">
        <w:tab/>
        <w:t>La description de la méthode utilisée pour établir le budget ordinaire rationalise et précise la pratique budgétaire ainsi que le rôle des différentes sections contenues dans ce projet de programme et budg</w:t>
      </w:r>
      <w:r w:rsidR="009F5A99" w:rsidRPr="0085128E">
        <w:t>et.  Le</w:t>
      </w:r>
      <w:r w:rsidRPr="0085128E">
        <w:t xml:space="preserve"> processus de formulation du budget débute par l</w:t>
      </w:r>
      <w:r w:rsidR="008D0CFD" w:rsidRPr="0085128E">
        <w:t>’</w:t>
      </w:r>
      <w:r w:rsidRPr="0085128E">
        <w:t xml:space="preserve">élaboration du budget adopté </w:t>
      </w:r>
      <w:r w:rsidR="008D0CFD" w:rsidRPr="0085128E">
        <w:t>pour 2016-</w:t>
      </w:r>
      <w:r w:rsidRPr="0085128E">
        <w:t>2017, et se termine par le budget proposé pour l</w:t>
      </w:r>
      <w:r w:rsidR="008D0CFD" w:rsidRPr="0085128E">
        <w:t>’</w:t>
      </w:r>
      <w:r w:rsidRPr="0085128E">
        <w:t xml:space="preserve">exercice </w:t>
      </w:r>
      <w:r w:rsidR="008D0CFD" w:rsidRPr="0085128E">
        <w:t>biennal 2018-</w:t>
      </w:r>
      <w:r w:rsidRPr="0085128E">
        <w:t>2019 en tenant compte de la variation des ressources entre le budget 2016</w:t>
      </w:r>
      <w:r w:rsidR="008D0CFD" w:rsidRPr="0085128E">
        <w:t>-</w:t>
      </w:r>
      <w:r w:rsidRPr="0085128E">
        <w:t>2017 et le budget proposé pour l</w:t>
      </w:r>
      <w:r w:rsidR="008D0CFD" w:rsidRPr="0085128E">
        <w:t>’</w:t>
      </w:r>
      <w:r w:rsidRPr="0085128E">
        <w:t xml:space="preserve">exercice </w:t>
      </w:r>
      <w:r w:rsidR="0020665D">
        <w:t>2018</w:t>
      </w:r>
      <w:r w:rsidR="008D0CFD" w:rsidRPr="0085128E">
        <w:t>-</w:t>
      </w:r>
      <w:r w:rsidRPr="0085128E">
        <w:t>2019.</w:t>
      </w:r>
      <w:r w:rsidR="00604822" w:rsidRPr="0085128E">
        <w:t xml:space="preserve">  </w:t>
      </w:r>
      <w:r w:rsidRPr="0085128E">
        <w:t>Le tableau</w:t>
      </w:r>
      <w:r w:rsidR="00E73CFB" w:rsidRPr="0085128E">
        <w:t> </w:t>
      </w:r>
      <w:r w:rsidRPr="0085128E">
        <w:t>4 présente un résumé des principaux indicateurs examinés dans l</w:t>
      </w:r>
      <w:r w:rsidR="008D0CFD" w:rsidRPr="0085128E">
        <w:t>’</w:t>
      </w:r>
      <w:r w:rsidRPr="0085128E">
        <w:t>appendice II.</w:t>
      </w:r>
    </w:p>
    <w:p w:rsidR="00720382" w:rsidRPr="0085128E" w:rsidRDefault="00720382" w:rsidP="0085128E"/>
    <w:p w:rsidR="00720382" w:rsidRPr="0085128E" w:rsidRDefault="005E499F" w:rsidP="0085128E">
      <w:pPr>
        <w:tabs>
          <w:tab w:val="left" w:pos="567"/>
        </w:tabs>
      </w:pPr>
      <w:r w:rsidRPr="0085128E">
        <w:t>2.</w:t>
      </w:r>
      <w:r w:rsidRPr="0085128E">
        <w:tab/>
        <w:t>Budget 2016</w:t>
      </w:r>
      <w:r w:rsidR="008D0CFD" w:rsidRPr="0085128E">
        <w:t>-</w:t>
      </w:r>
      <w:r w:rsidRPr="0085128E">
        <w:t>2017</w:t>
      </w:r>
      <w:r w:rsidR="008D0CFD" w:rsidRPr="0085128E">
        <w:t> :</w:t>
      </w:r>
      <w:r w:rsidRPr="0085128E">
        <w:t xml:space="preserve"> le point de départ pour ce budget est celui qui </w:t>
      </w:r>
      <w:r w:rsidR="00EE3659">
        <w:t>a été présenté dans le document </w:t>
      </w:r>
      <w:r w:rsidRPr="0085128E">
        <w:t>C/49/4</w:t>
      </w:r>
      <w:r w:rsidR="00E73CFB" w:rsidRPr="0085128E">
        <w:t> </w:t>
      </w:r>
      <w:r w:rsidRPr="0085128E">
        <w:t>Rev.</w:t>
      </w:r>
    </w:p>
    <w:p w:rsidR="00720382" w:rsidRPr="0085128E" w:rsidRDefault="00720382" w:rsidP="0085128E"/>
    <w:p w:rsidR="00720382" w:rsidRPr="0085128E" w:rsidRDefault="005E499F" w:rsidP="0085128E">
      <w:pPr>
        <w:tabs>
          <w:tab w:val="left" w:pos="567"/>
        </w:tabs>
      </w:pPr>
      <w:r w:rsidRPr="0085128E">
        <w:t>3.</w:t>
      </w:r>
      <w:r w:rsidRPr="0085128E">
        <w:tab/>
        <w:t xml:space="preserve">Budget proposé </w:t>
      </w:r>
      <w:r w:rsidR="008D0CFD" w:rsidRPr="0085128E">
        <w:t>pour 2018-</w:t>
      </w:r>
      <w:r w:rsidRPr="0085128E">
        <w:t>2019</w:t>
      </w:r>
      <w:r w:rsidR="008D0CFD" w:rsidRPr="0085128E">
        <w:t> :</w:t>
      </w:r>
      <w:r w:rsidRPr="0085128E">
        <w:t xml:space="preserve"> le budget proposé représente la somme de la variation des ressources et du budget 2016</w:t>
      </w:r>
      <w:r w:rsidR="008D0CFD" w:rsidRPr="0085128E">
        <w:t>-</w:t>
      </w:r>
      <w:r w:rsidRPr="0085128E">
        <w:t>2017 et des révisions ultérieures des rubriques de dépense conformément aux priorités de l</w:t>
      </w:r>
      <w:r w:rsidR="008D0CFD" w:rsidRPr="0085128E">
        <w:t>’</w:t>
      </w:r>
      <w:r w:rsidRPr="0085128E">
        <w:t>UPOV.</w:t>
      </w:r>
    </w:p>
    <w:p w:rsidR="00720382" w:rsidRPr="0085128E" w:rsidRDefault="00720382" w:rsidP="0085128E"/>
    <w:p w:rsidR="00720382" w:rsidRPr="0085128E" w:rsidRDefault="005E499F" w:rsidP="0085128E">
      <w:pPr>
        <w:tabs>
          <w:tab w:val="left" w:pos="567"/>
        </w:tabs>
      </w:pPr>
      <w:r w:rsidRPr="0085128E">
        <w:t>4.</w:t>
      </w:r>
      <w:r w:rsidRPr="0085128E">
        <w:tab/>
        <w:t>Un plan des ressources établi pour une période de 10</w:t>
      </w:r>
      <w:r w:rsidR="00E06D97" w:rsidRPr="0085128E">
        <w:t> </w:t>
      </w:r>
      <w:r w:rsidRPr="0085128E">
        <w:t>ans est présenté dans le tableau</w:t>
      </w:r>
      <w:r w:rsidR="00E73CFB" w:rsidRPr="0085128E">
        <w:t> </w:t>
      </w:r>
      <w:r w:rsidRPr="0085128E">
        <w:t>9 du présent document afin d</w:t>
      </w:r>
      <w:r w:rsidR="008D0CFD" w:rsidRPr="0085128E">
        <w:t>’</w:t>
      </w:r>
      <w:r w:rsidRPr="0085128E">
        <w:t>offrir une vue d</w:t>
      </w:r>
      <w:r w:rsidR="008D0CFD" w:rsidRPr="0085128E">
        <w:t>’</w:t>
      </w:r>
      <w:r w:rsidRPr="0085128E">
        <w:t xml:space="preserve">ensemble de données financières, </w:t>
      </w:r>
      <w:r w:rsidR="008D0CFD" w:rsidRPr="0085128E">
        <w:t>y compris</w:t>
      </w:r>
      <w:r w:rsidRPr="0085128E">
        <w:t xml:space="preserve"> les estimations budgétaires, les ressources disponibles et les mouvements des réserv</w:t>
      </w:r>
      <w:r w:rsidR="009F5A99" w:rsidRPr="0085128E">
        <w:t>es.  Ce</w:t>
      </w:r>
      <w:r w:rsidR="005E0AD0" w:rsidRPr="0085128E">
        <w:t xml:space="preserve"> plan devrait permettre de mieux évaluer la viabilité financière de l</w:t>
      </w:r>
      <w:r w:rsidR="008D0CFD" w:rsidRPr="0085128E">
        <w:t>’</w:t>
      </w:r>
      <w:r w:rsidR="005E0AD0" w:rsidRPr="0085128E">
        <w:t>Union à moyen terme.</w:t>
      </w:r>
    </w:p>
    <w:p w:rsidR="00720382" w:rsidRPr="0085128E" w:rsidRDefault="00720382" w:rsidP="0085128E"/>
    <w:p w:rsidR="00720382" w:rsidRPr="0085128E" w:rsidRDefault="00720382" w:rsidP="0085128E"/>
    <w:p w:rsidR="00720382" w:rsidRPr="0085128E" w:rsidRDefault="00720382" w:rsidP="0085128E"/>
    <w:p w:rsidR="00720382" w:rsidRPr="0085128E" w:rsidRDefault="005E0AD0" w:rsidP="0085128E">
      <w:pPr>
        <w:pStyle w:val="Endofdocument"/>
        <w:jc w:val="right"/>
        <w:rPr>
          <w:rFonts w:ascii="Arial" w:hAnsi="Arial" w:cs="Arial"/>
          <w:snapToGrid w:val="0"/>
          <w:sz w:val="20"/>
        </w:rPr>
      </w:pPr>
      <w:r w:rsidRPr="0085128E">
        <w:rPr>
          <w:rFonts w:ascii="Arial" w:hAnsi="Arial" w:cs="Arial"/>
          <w:snapToGrid w:val="0"/>
          <w:sz w:val="20"/>
        </w:rPr>
        <w:t>[L</w:t>
      </w:r>
      <w:r w:rsidR="008D0CFD" w:rsidRPr="0085128E">
        <w:rPr>
          <w:rFonts w:ascii="Arial" w:hAnsi="Arial" w:cs="Arial"/>
          <w:snapToGrid w:val="0"/>
          <w:sz w:val="20"/>
        </w:rPr>
        <w:t>’</w:t>
      </w:r>
      <w:r w:rsidRPr="0085128E">
        <w:rPr>
          <w:rFonts w:ascii="Arial" w:hAnsi="Arial" w:cs="Arial"/>
          <w:snapToGrid w:val="0"/>
          <w:sz w:val="20"/>
        </w:rPr>
        <w:t>appendice III suit]</w:t>
      </w:r>
    </w:p>
    <w:p w:rsidR="00720382" w:rsidRPr="0085128E" w:rsidRDefault="00720382" w:rsidP="0085128E"/>
    <w:p w:rsidR="00720382" w:rsidRPr="0085128E" w:rsidRDefault="00720382" w:rsidP="0085128E"/>
    <w:p w:rsidR="00720382" w:rsidRPr="0085128E" w:rsidRDefault="00720382" w:rsidP="0085128E"/>
    <w:p w:rsidR="00720382" w:rsidRPr="0085128E" w:rsidRDefault="00720382" w:rsidP="0085128E"/>
    <w:p w:rsidR="00604822" w:rsidRPr="0085128E" w:rsidRDefault="00604822" w:rsidP="0085128E">
      <w:pPr>
        <w:sectPr w:rsidR="00604822" w:rsidRPr="0085128E" w:rsidSect="003711EE">
          <w:headerReference w:type="first" r:id="rId34"/>
          <w:pgSz w:w="11907" w:h="16840" w:code="9"/>
          <w:pgMar w:top="510" w:right="1134" w:bottom="1134" w:left="1134" w:header="510" w:footer="624" w:gutter="0"/>
          <w:pgNumType w:start="2"/>
          <w:cols w:space="720"/>
          <w:titlePg/>
          <w:docGrid w:linePitch="272"/>
        </w:sectPr>
      </w:pPr>
    </w:p>
    <w:p w:rsidR="00720382" w:rsidRPr="0085128E" w:rsidRDefault="005E0AD0" w:rsidP="0085128E">
      <w:pPr>
        <w:jc w:val="center"/>
      </w:pPr>
      <w:r w:rsidRPr="0085128E">
        <w:t>ANNEXE – APPENDICE III</w:t>
      </w:r>
    </w:p>
    <w:p w:rsidR="00720382" w:rsidRPr="0085128E" w:rsidRDefault="00720382" w:rsidP="0085128E">
      <w:pPr>
        <w:jc w:val="center"/>
      </w:pPr>
    </w:p>
    <w:p w:rsidR="00720382" w:rsidRPr="0085128E" w:rsidRDefault="005E0AD0" w:rsidP="0085128E">
      <w:pPr>
        <w:jc w:val="center"/>
      </w:pPr>
      <w:r w:rsidRPr="0085128E">
        <w:t>CONTRIBUTIONS DES MEMBRES</w:t>
      </w:r>
    </w:p>
    <w:p w:rsidR="00720382" w:rsidRPr="0085128E" w:rsidRDefault="005E0AD0" w:rsidP="0085128E">
      <w:pPr>
        <w:jc w:val="center"/>
      </w:pPr>
      <w:r w:rsidRPr="0085128E">
        <w:t xml:space="preserve">AU 31 </w:t>
      </w:r>
      <w:r w:rsidR="00EE3659">
        <w:t>JUILLET</w:t>
      </w:r>
      <w:r w:rsidRPr="0085128E">
        <w:t xml:space="preserve"> 2017</w:t>
      </w:r>
    </w:p>
    <w:p w:rsidR="00720382" w:rsidRPr="0085128E" w:rsidRDefault="005E0AD0" w:rsidP="0085128E">
      <w:pPr>
        <w:jc w:val="center"/>
        <w:rPr>
          <w:caps/>
        </w:rPr>
      </w:pPr>
      <w:r w:rsidRPr="0085128E">
        <w:rPr>
          <w:caps/>
        </w:rPr>
        <w:t>(</w:t>
      </w:r>
      <w:r w:rsidR="00A21A96" w:rsidRPr="0085128E">
        <w:t>en francs suisses</w:t>
      </w:r>
      <w:r w:rsidRPr="0085128E">
        <w:rPr>
          <w:caps/>
        </w:rPr>
        <w:t>)</w:t>
      </w:r>
    </w:p>
    <w:p w:rsidR="00604822" w:rsidRPr="0085128E" w:rsidRDefault="00604822" w:rsidP="0085128E">
      <w:pPr>
        <w:jc w:val="center"/>
      </w:pPr>
    </w:p>
    <w:tbl>
      <w:tblPr>
        <w:tblW w:w="4934" w:type="pct"/>
        <w:tblCellMar>
          <w:top w:w="28" w:type="dxa"/>
          <w:left w:w="113" w:type="dxa"/>
          <w:bottom w:w="28" w:type="dxa"/>
        </w:tblCellMar>
        <w:tblLook w:val="0000" w:firstRow="0" w:lastRow="0" w:firstColumn="0" w:lastColumn="0" w:noHBand="0" w:noVBand="0"/>
      </w:tblPr>
      <w:tblGrid>
        <w:gridCol w:w="1213"/>
        <w:gridCol w:w="1132"/>
        <w:gridCol w:w="3136"/>
        <w:gridCol w:w="1152"/>
        <w:gridCol w:w="1549"/>
        <w:gridCol w:w="1548"/>
      </w:tblGrid>
      <w:tr w:rsidR="0085128E" w:rsidRPr="0085128E" w:rsidTr="0051178A">
        <w:trPr>
          <w:cantSplit/>
          <w:tblHeader/>
        </w:trPr>
        <w:tc>
          <w:tcPr>
            <w:tcW w:w="1218" w:type="dxa"/>
            <w:tcBorders>
              <w:top w:val="single" w:sz="8" w:space="0" w:color="auto"/>
              <w:bottom w:val="single" w:sz="8" w:space="0" w:color="auto"/>
            </w:tcBorders>
            <w:vAlign w:val="bottom"/>
          </w:tcPr>
          <w:p w:rsidR="00604822" w:rsidRPr="0085128E" w:rsidRDefault="00A21A96" w:rsidP="0051178A">
            <w:pPr>
              <w:jc w:val="center"/>
              <w:rPr>
                <w:rFonts w:cs="Arial"/>
                <w:sz w:val="18"/>
                <w:szCs w:val="18"/>
              </w:rPr>
            </w:pPr>
            <w:r w:rsidRPr="0085128E">
              <w:rPr>
                <w:rFonts w:cs="Arial"/>
                <w:sz w:val="18"/>
                <w:szCs w:val="18"/>
              </w:rPr>
              <w:t xml:space="preserve">Montant facturé </w:t>
            </w:r>
            <w:r w:rsidR="008D0CFD" w:rsidRPr="0085128E">
              <w:rPr>
                <w:rFonts w:cs="Arial"/>
                <w:sz w:val="18"/>
                <w:szCs w:val="18"/>
              </w:rPr>
              <w:t>pour 2016</w:t>
            </w:r>
          </w:p>
        </w:tc>
        <w:tc>
          <w:tcPr>
            <w:tcW w:w="1134" w:type="dxa"/>
            <w:tcBorders>
              <w:top w:val="single" w:sz="8" w:space="0" w:color="auto"/>
              <w:bottom w:val="single" w:sz="8" w:space="0" w:color="auto"/>
            </w:tcBorders>
            <w:vAlign w:val="bottom"/>
          </w:tcPr>
          <w:p w:rsidR="00604822" w:rsidRPr="0085128E" w:rsidRDefault="00A21A96" w:rsidP="0051178A">
            <w:pPr>
              <w:jc w:val="center"/>
              <w:rPr>
                <w:rFonts w:cs="Arial"/>
                <w:sz w:val="18"/>
                <w:szCs w:val="18"/>
              </w:rPr>
            </w:pPr>
            <w:r w:rsidRPr="0085128E">
              <w:rPr>
                <w:rFonts w:cs="Arial"/>
                <w:sz w:val="18"/>
                <w:szCs w:val="18"/>
              </w:rPr>
              <w:t xml:space="preserve">Montant facturé </w:t>
            </w:r>
            <w:r w:rsidR="008D0CFD" w:rsidRPr="0085128E">
              <w:rPr>
                <w:rFonts w:cs="Arial"/>
                <w:sz w:val="18"/>
                <w:szCs w:val="18"/>
              </w:rPr>
              <w:t>pour 2017</w:t>
            </w:r>
          </w:p>
        </w:tc>
        <w:tc>
          <w:tcPr>
            <w:tcW w:w="3177" w:type="dxa"/>
            <w:tcBorders>
              <w:top w:val="single" w:sz="8" w:space="0" w:color="auto"/>
              <w:bottom w:val="single" w:sz="8" w:space="0" w:color="auto"/>
            </w:tcBorders>
            <w:vAlign w:val="bottom"/>
          </w:tcPr>
          <w:p w:rsidR="00604822" w:rsidRPr="0085128E" w:rsidRDefault="00A21A96" w:rsidP="0051178A">
            <w:pPr>
              <w:jc w:val="center"/>
              <w:rPr>
                <w:rFonts w:cs="Arial"/>
                <w:snapToGrid w:val="0"/>
                <w:sz w:val="18"/>
                <w:szCs w:val="18"/>
              </w:rPr>
            </w:pPr>
            <w:r w:rsidRPr="0085128E">
              <w:rPr>
                <w:rFonts w:cs="Arial"/>
                <w:snapToGrid w:val="0"/>
                <w:sz w:val="18"/>
                <w:szCs w:val="18"/>
              </w:rPr>
              <w:t>Membres</w:t>
            </w:r>
          </w:p>
        </w:tc>
        <w:tc>
          <w:tcPr>
            <w:tcW w:w="1032" w:type="dxa"/>
            <w:tcBorders>
              <w:top w:val="single" w:sz="8" w:space="0" w:color="auto"/>
              <w:bottom w:val="single" w:sz="8" w:space="0" w:color="auto"/>
            </w:tcBorders>
            <w:vAlign w:val="bottom"/>
          </w:tcPr>
          <w:p w:rsidR="00604822" w:rsidRPr="0085128E" w:rsidRDefault="00A21A96" w:rsidP="0051178A">
            <w:pPr>
              <w:jc w:val="center"/>
              <w:rPr>
                <w:rFonts w:cs="Arial"/>
                <w:snapToGrid w:val="0"/>
                <w:sz w:val="18"/>
                <w:szCs w:val="18"/>
              </w:rPr>
            </w:pPr>
            <w:r w:rsidRPr="0085128E">
              <w:rPr>
                <w:rFonts w:cs="Arial"/>
                <w:snapToGrid w:val="0"/>
                <w:sz w:val="18"/>
                <w:szCs w:val="18"/>
              </w:rPr>
              <w:t>Nombre d</w:t>
            </w:r>
            <w:r w:rsidR="008D0CFD" w:rsidRPr="0085128E">
              <w:rPr>
                <w:rFonts w:cs="Arial"/>
                <w:snapToGrid w:val="0"/>
                <w:sz w:val="18"/>
                <w:szCs w:val="18"/>
              </w:rPr>
              <w:t>’</w:t>
            </w:r>
            <w:r w:rsidRPr="0085128E">
              <w:rPr>
                <w:rFonts w:cs="Arial"/>
                <w:snapToGrid w:val="0"/>
                <w:sz w:val="18"/>
                <w:szCs w:val="18"/>
              </w:rPr>
              <w:t>unités de contribution</w:t>
            </w:r>
          </w:p>
        </w:tc>
        <w:tc>
          <w:tcPr>
            <w:tcW w:w="1560" w:type="dxa"/>
            <w:tcBorders>
              <w:top w:val="single" w:sz="8" w:space="0" w:color="auto"/>
              <w:bottom w:val="single" w:sz="8" w:space="0" w:color="auto"/>
            </w:tcBorders>
            <w:vAlign w:val="bottom"/>
          </w:tcPr>
          <w:p w:rsidR="00604822" w:rsidRPr="0085128E" w:rsidRDefault="00A21A96" w:rsidP="0051178A">
            <w:pPr>
              <w:jc w:val="center"/>
              <w:rPr>
                <w:rFonts w:cs="Arial"/>
                <w:sz w:val="18"/>
                <w:szCs w:val="18"/>
              </w:rPr>
            </w:pPr>
            <w:r w:rsidRPr="0085128E">
              <w:rPr>
                <w:rFonts w:cs="Arial"/>
                <w:sz w:val="18"/>
                <w:szCs w:val="18"/>
              </w:rPr>
              <w:t xml:space="preserve">Montant estimatif à facturer </w:t>
            </w:r>
            <w:r w:rsidR="008D0CFD" w:rsidRPr="0085128E">
              <w:rPr>
                <w:rFonts w:cs="Arial"/>
                <w:sz w:val="18"/>
                <w:szCs w:val="18"/>
              </w:rPr>
              <w:t>pour 2018</w:t>
            </w:r>
          </w:p>
        </w:tc>
        <w:tc>
          <w:tcPr>
            <w:tcW w:w="1559" w:type="dxa"/>
            <w:tcBorders>
              <w:top w:val="single" w:sz="8" w:space="0" w:color="auto"/>
              <w:bottom w:val="single" w:sz="8" w:space="0" w:color="auto"/>
            </w:tcBorders>
            <w:vAlign w:val="bottom"/>
          </w:tcPr>
          <w:p w:rsidR="00604822" w:rsidRPr="0085128E" w:rsidRDefault="00A21A96" w:rsidP="0051178A">
            <w:pPr>
              <w:jc w:val="center"/>
              <w:rPr>
                <w:rFonts w:cs="Arial"/>
                <w:sz w:val="18"/>
                <w:szCs w:val="18"/>
              </w:rPr>
            </w:pPr>
            <w:r w:rsidRPr="0085128E">
              <w:rPr>
                <w:rFonts w:cs="Arial"/>
                <w:sz w:val="18"/>
                <w:szCs w:val="18"/>
              </w:rPr>
              <w:t xml:space="preserve">Montant estimatif à facturer </w:t>
            </w:r>
            <w:r w:rsidR="008D0CFD" w:rsidRPr="0085128E">
              <w:rPr>
                <w:rFonts w:cs="Arial"/>
                <w:sz w:val="18"/>
                <w:szCs w:val="18"/>
              </w:rPr>
              <w:t>pour 2019</w:t>
            </w:r>
          </w:p>
        </w:tc>
      </w:tr>
      <w:tr w:rsidR="0085128E" w:rsidRPr="0051178A" w:rsidTr="0051178A">
        <w:trPr>
          <w:cantSplit/>
          <w:tblHeader/>
        </w:trPr>
        <w:tc>
          <w:tcPr>
            <w:tcW w:w="1218" w:type="dxa"/>
            <w:tcBorders>
              <w:top w:val="single" w:sz="8" w:space="0" w:color="auto"/>
            </w:tcBorders>
          </w:tcPr>
          <w:p w:rsidR="00604822" w:rsidRPr="0051178A" w:rsidRDefault="00604822" w:rsidP="0051178A">
            <w:pPr>
              <w:jc w:val="right"/>
              <w:rPr>
                <w:rFonts w:cs="Arial"/>
                <w:snapToGrid w:val="0"/>
                <w:sz w:val="4"/>
                <w:szCs w:val="18"/>
              </w:rPr>
            </w:pPr>
          </w:p>
        </w:tc>
        <w:tc>
          <w:tcPr>
            <w:tcW w:w="1134" w:type="dxa"/>
            <w:tcBorders>
              <w:top w:val="single" w:sz="8" w:space="0" w:color="auto"/>
            </w:tcBorders>
          </w:tcPr>
          <w:p w:rsidR="00604822" w:rsidRPr="0051178A" w:rsidRDefault="00604822" w:rsidP="0051178A">
            <w:pPr>
              <w:jc w:val="right"/>
              <w:rPr>
                <w:rFonts w:cs="Arial"/>
                <w:snapToGrid w:val="0"/>
                <w:sz w:val="4"/>
                <w:szCs w:val="18"/>
              </w:rPr>
            </w:pPr>
          </w:p>
        </w:tc>
        <w:tc>
          <w:tcPr>
            <w:tcW w:w="3177" w:type="dxa"/>
            <w:tcBorders>
              <w:top w:val="single" w:sz="8" w:space="0" w:color="auto"/>
            </w:tcBorders>
          </w:tcPr>
          <w:p w:rsidR="00604822" w:rsidRPr="0051178A" w:rsidRDefault="00604822" w:rsidP="0051178A">
            <w:pPr>
              <w:rPr>
                <w:rFonts w:cs="Arial"/>
                <w:snapToGrid w:val="0"/>
                <w:sz w:val="4"/>
                <w:szCs w:val="18"/>
              </w:rPr>
            </w:pPr>
          </w:p>
        </w:tc>
        <w:tc>
          <w:tcPr>
            <w:tcW w:w="1032" w:type="dxa"/>
            <w:tcBorders>
              <w:top w:val="single" w:sz="8" w:space="0" w:color="auto"/>
            </w:tcBorders>
          </w:tcPr>
          <w:p w:rsidR="00604822" w:rsidRPr="0051178A" w:rsidRDefault="00604822" w:rsidP="0051178A">
            <w:pPr>
              <w:tabs>
                <w:tab w:val="decimal" w:pos="482"/>
              </w:tabs>
              <w:jc w:val="left"/>
              <w:rPr>
                <w:rFonts w:cs="Arial"/>
                <w:snapToGrid w:val="0"/>
                <w:sz w:val="4"/>
                <w:szCs w:val="18"/>
              </w:rPr>
            </w:pPr>
          </w:p>
        </w:tc>
        <w:tc>
          <w:tcPr>
            <w:tcW w:w="1560" w:type="dxa"/>
            <w:tcBorders>
              <w:top w:val="single" w:sz="8" w:space="0" w:color="auto"/>
            </w:tcBorders>
          </w:tcPr>
          <w:p w:rsidR="00604822" w:rsidRPr="0051178A" w:rsidRDefault="00604822" w:rsidP="0051178A">
            <w:pPr>
              <w:jc w:val="right"/>
              <w:rPr>
                <w:rFonts w:cs="Arial"/>
                <w:snapToGrid w:val="0"/>
                <w:sz w:val="4"/>
                <w:szCs w:val="18"/>
              </w:rPr>
            </w:pPr>
          </w:p>
        </w:tc>
        <w:tc>
          <w:tcPr>
            <w:tcW w:w="1559" w:type="dxa"/>
            <w:tcBorders>
              <w:top w:val="single" w:sz="8" w:space="0" w:color="auto"/>
            </w:tcBorders>
          </w:tcPr>
          <w:p w:rsidR="00604822" w:rsidRPr="0051178A" w:rsidRDefault="00604822" w:rsidP="0051178A">
            <w:pPr>
              <w:jc w:val="right"/>
              <w:rPr>
                <w:rFonts w:cs="Arial"/>
                <w:snapToGrid w:val="0"/>
                <w:sz w:val="4"/>
                <w:szCs w:val="18"/>
              </w:rPr>
            </w:pP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tabs>
                <w:tab w:val="left" w:pos="212"/>
              </w:tabs>
              <w:jc w:val="left"/>
              <w:rPr>
                <w:rFonts w:cs="Arial"/>
                <w:snapToGrid w:val="0"/>
                <w:sz w:val="18"/>
                <w:szCs w:val="18"/>
              </w:rPr>
            </w:pPr>
            <w:r w:rsidRPr="0085128E">
              <w:rPr>
                <w:rFonts w:cs="Arial"/>
                <w:snapToGrid w:val="0"/>
                <w:sz w:val="18"/>
                <w:szCs w:val="18"/>
              </w:rPr>
              <w:t>Afrique du Sud</w:t>
            </w:r>
          </w:p>
        </w:tc>
        <w:tc>
          <w:tcPr>
            <w:tcW w:w="1032" w:type="dxa"/>
          </w:tcPr>
          <w:p w:rsidR="0051178A" w:rsidRPr="0085128E" w:rsidRDefault="0051178A" w:rsidP="0051178A">
            <w:pPr>
              <w:jc w:val="right"/>
              <w:rPr>
                <w:rFonts w:cs="Arial"/>
                <w:sz w:val="18"/>
                <w:szCs w:val="18"/>
              </w:rPr>
            </w:pPr>
            <w:r w:rsidRPr="0085128E">
              <w:rPr>
                <w:rFonts w:cs="Arial"/>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Albanie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Allemagne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Argentine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Australie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Autriche </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0,75</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Azerbaïdjan</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Bélarus</w:t>
            </w:r>
          </w:p>
        </w:tc>
        <w:tc>
          <w:tcPr>
            <w:tcW w:w="1032" w:type="dxa"/>
          </w:tcPr>
          <w:p w:rsidR="0051178A" w:rsidRPr="0085128E" w:rsidRDefault="0051178A" w:rsidP="0051178A">
            <w:pPr>
              <w:jc w:val="right"/>
              <w:rPr>
                <w:rFonts w:cs="Arial"/>
                <w:snapToGrid w:val="0"/>
                <w:sz w:val="18"/>
                <w:szCs w:val="18"/>
                <w:vertAlign w:val="superscript"/>
              </w:rPr>
            </w:pPr>
            <w:r w:rsidRPr="0085128E">
              <w:rPr>
                <w:rFonts w:cs="Arial"/>
                <w:snapToGrid w:val="0"/>
                <w:sz w:val="18"/>
                <w:szCs w:val="18"/>
                <w:vertAlign w:val="superscript"/>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Belgique </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r>
      <w:tr w:rsidR="0051178A" w:rsidRPr="0085128E" w:rsidTr="0051178A">
        <w:trPr>
          <w:cantSplit/>
        </w:trPr>
        <w:tc>
          <w:tcPr>
            <w:tcW w:w="1218"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Bolivie (État plurinational de)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13 410</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Brésil</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0,25</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13 410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13 410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Bulgarie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Canada</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Chili</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shd w:val="clear" w:color="auto" w:fill="auto"/>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shd w:val="clear" w:color="auto" w:fill="auto"/>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shd w:val="clear" w:color="auto" w:fill="auto"/>
          </w:tcPr>
          <w:p w:rsidR="0051178A" w:rsidRPr="0085128E" w:rsidRDefault="0051178A" w:rsidP="0051178A">
            <w:pPr>
              <w:jc w:val="left"/>
              <w:rPr>
                <w:rFonts w:cs="Arial"/>
                <w:snapToGrid w:val="0"/>
                <w:sz w:val="18"/>
                <w:szCs w:val="18"/>
              </w:rPr>
            </w:pPr>
            <w:r w:rsidRPr="0085128E">
              <w:rPr>
                <w:rFonts w:cs="Arial"/>
                <w:snapToGrid w:val="0"/>
                <w:sz w:val="18"/>
                <w:szCs w:val="18"/>
              </w:rPr>
              <w:t>Chine</w:t>
            </w:r>
          </w:p>
        </w:tc>
        <w:tc>
          <w:tcPr>
            <w:tcW w:w="1032" w:type="dxa"/>
            <w:shd w:val="clear" w:color="auto" w:fill="auto"/>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shd w:val="clear" w:color="auto" w:fill="auto"/>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shd w:val="clear" w:color="auto" w:fill="auto"/>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Colombie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Costa Rica</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Croatie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Danemark</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Équateur</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Espagne</w:t>
            </w:r>
          </w:p>
        </w:tc>
        <w:tc>
          <w:tcPr>
            <w:tcW w:w="1032" w:type="dxa"/>
          </w:tcPr>
          <w:p w:rsidR="0051178A" w:rsidRPr="0085128E" w:rsidRDefault="0051178A" w:rsidP="0051178A">
            <w:pPr>
              <w:jc w:val="right"/>
              <w:rPr>
                <w:rFonts w:cs="Arial"/>
                <w:sz w:val="18"/>
                <w:szCs w:val="18"/>
              </w:rPr>
            </w:pPr>
            <w:r w:rsidRPr="0085128E">
              <w:rPr>
                <w:rFonts w:cs="Arial"/>
                <w:sz w:val="18"/>
                <w:szCs w:val="18"/>
              </w:rPr>
              <w:t>2,00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Estonie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États-Unis d’Amérique</w:t>
            </w:r>
          </w:p>
        </w:tc>
        <w:tc>
          <w:tcPr>
            <w:tcW w:w="1032" w:type="dxa"/>
          </w:tcPr>
          <w:p w:rsidR="0051178A" w:rsidRPr="0085128E" w:rsidRDefault="0051178A" w:rsidP="0051178A">
            <w:pPr>
              <w:jc w:val="right"/>
              <w:rPr>
                <w:rFonts w:cs="Arial"/>
                <w:sz w:val="18"/>
                <w:szCs w:val="18"/>
              </w:rPr>
            </w:pPr>
            <w:r w:rsidRPr="0085128E">
              <w:rPr>
                <w:rFonts w:cs="Arial"/>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Ex-République yougoslave de Macédoine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Fédération de Russie </w:t>
            </w:r>
          </w:p>
        </w:tc>
        <w:tc>
          <w:tcPr>
            <w:tcW w:w="1032" w:type="dxa"/>
          </w:tcPr>
          <w:p w:rsidR="0051178A" w:rsidRPr="0085128E" w:rsidRDefault="0051178A" w:rsidP="0051178A">
            <w:pPr>
              <w:jc w:val="right"/>
              <w:rPr>
                <w:rFonts w:cs="Arial"/>
                <w:sz w:val="18"/>
                <w:szCs w:val="18"/>
              </w:rPr>
            </w:pPr>
            <w:r w:rsidRPr="0085128E">
              <w:rPr>
                <w:rFonts w:cs="Arial"/>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Finlande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France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Géorgie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Hongrie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Irlande</w:t>
            </w:r>
          </w:p>
        </w:tc>
        <w:tc>
          <w:tcPr>
            <w:tcW w:w="1032" w:type="dxa"/>
          </w:tcPr>
          <w:p w:rsidR="0051178A" w:rsidRPr="0085128E" w:rsidRDefault="0051178A" w:rsidP="0051178A">
            <w:pPr>
              <w:jc w:val="right"/>
              <w:rPr>
                <w:rFonts w:cs="Arial"/>
                <w:snapToGrid w:val="0"/>
                <w:sz w:val="18"/>
                <w:szCs w:val="18"/>
                <w:vertAlign w:val="superscript"/>
              </w:rPr>
            </w:pPr>
            <w:r w:rsidRPr="0085128E">
              <w:rPr>
                <w:rFonts w:cs="Arial"/>
                <w:snapToGrid w:val="0"/>
                <w:sz w:val="18"/>
                <w:szCs w:val="18"/>
                <w:vertAlign w:val="superscript"/>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Islande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Israël</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Italie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2,00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Japon</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Jordanie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Kenya</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Kirghizistan</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Lettonie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Lituanie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Maroc</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Mexique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0,75</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Monténégro</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Nicaragua</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Norvège</w:t>
            </w:r>
          </w:p>
        </w:tc>
        <w:tc>
          <w:tcPr>
            <w:tcW w:w="1032" w:type="dxa"/>
          </w:tcPr>
          <w:p w:rsidR="0051178A" w:rsidRPr="0085128E" w:rsidRDefault="0051178A" w:rsidP="0051178A">
            <w:pPr>
              <w:jc w:val="right"/>
              <w:rPr>
                <w:rFonts w:cs="Arial"/>
                <w:sz w:val="18"/>
                <w:szCs w:val="18"/>
              </w:rPr>
            </w:pPr>
            <w:r w:rsidRPr="0085128E">
              <w:rPr>
                <w:rFonts w:cs="Arial"/>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Nouvelle-Zélande</w:t>
            </w:r>
          </w:p>
        </w:tc>
        <w:tc>
          <w:tcPr>
            <w:tcW w:w="1032" w:type="dxa"/>
          </w:tcPr>
          <w:p w:rsidR="0051178A" w:rsidRPr="0085128E" w:rsidRDefault="0051178A" w:rsidP="0051178A">
            <w:pPr>
              <w:jc w:val="right"/>
              <w:rPr>
                <w:rFonts w:cs="Arial"/>
                <w:sz w:val="18"/>
                <w:szCs w:val="18"/>
              </w:rPr>
            </w:pPr>
            <w:r w:rsidRPr="0085128E">
              <w:rPr>
                <w:rFonts w:cs="Arial"/>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53 </w:t>
            </w:r>
            <w:r w:rsidR="0051178A" w:rsidRPr="0085128E">
              <w:rPr>
                <w:rFonts w:cs="Arial"/>
                <w:snapToGrid w:val="0"/>
                <w:sz w:val="18"/>
                <w:szCs w:val="18"/>
              </w:rPr>
              <w:t>4</w:t>
            </w:r>
            <w:r>
              <w:rPr>
                <w:rFonts w:cs="Arial"/>
                <w:snapToGrid w:val="0"/>
                <w:sz w:val="18"/>
                <w:szCs w:val="18"/>
              </w:rPr>
              <w:t>6</w:t>
            </w:r>
            <w:r w:rsidR="0051178A" w:rsidRPr="0085128E">
              <w:rPr>
                <w:rFonts w:cs="Arial"/>
                <w:snapToGrid w:val="0"/>
                <w:sz w:val="18"/>
                <w:szCs w:val="18"/>
              </w:rPr>
              <w:t>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Oman</w:t>
            </w:r>
          </w:p>
        </w:tc>
        <w:tc>
          <w:tcPr>
            <w:tcW w:w="1032" w:type="dxa"/>
          </w:tcPr>
          <w:p w:rsidR="0051178A" w:rsidRPr="0085128E" w:rsidRDefault="0051178A" w:rsidP="0051178A">
            <w:pPr>
              <w:jc w:val="right"/>
              <w:rPr>
                <w:rFonts w:cs="Arial"/>
                <w:sz w:val="18"/>
                <w:szCs w:val="18"/>
              </w:rPr>
            </w:pPr>
            <w:r w:rsidRPr="0085128E">
              <w:rPr>
                <w:rFonts w:cs="Arial"/>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bookmarkStart w:id="234" w:name="_Hlk173836680"/>
            <w:r w:rsidRPr="0085128E">
              <w:rPr>
                <w:rFonts w:cs="Arial"/>
                <w:snapToGrid w:val="0"/>
                <w:sz w:val="18"/>
                <w:szCs w:val="18"/>
              </w:rPr>
              <w:t>10 728</w:t>
            </w:r>
          </w:p>
        </w:tc>
        <w:tc>
          <w:tcPr>
            <w:tcW w:w="1134" w:type="dxa"/>
          </w:tcPr>
          <w:p w:rsidR="0051178A" w:rsidRPr="0085128E" w:rsidRDefault="0051178A" w:rsidP="008373AC">
            <w:pPr>
              <w:jc w:val="right"/>
              <w:rPr>
                <w:rFonts w:cs="Arial"/>
                <w:snapToGrid w:val="0"/>
                <w:sz w:val="18"/>
                <w:szCs w:val="18"/>
              </w:rPr>
            </w:pPr>
            <w:r w:rsidRPr="0085128E">
              <w:rPr>
                <w:rFonts w:cs="Arial"/>
                <w:snapToGrid w:val="0"/>
                <w:sz w:val="18"/>
                <w:szCs w:val="18"/>
              </w:rPr>
              <w:t>10 </w:t>
            </w:r>
            <w:r w:rsidR="008373AC">
              <w:rPr>
                <w:rFonts w:cs="Arial"/>
                <w:snapToGrid w:val="0"/>
                <w:sz w:val="18"/>
                <w:szCs w:val="18"/>
              </w:rPr>
              <w:t>543</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Organisation africaine de la propriété intellectuelle (OAPI)</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bookmarkEnd w:id="234"/>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Ouzbékistan</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1A413F">
            <w:pPr>
              <w:jc w:val="right"/>
              <w:rPr>
                <w:rFonts w:cs="Arial"/>
                <w:snapToGrid w:val="0"/>
                <w:sz w:val="18"/>
                <w:szCs w:val="18"/>
              </w:rPr>
            </w:pPr>
            <w:r>
              <w:rPr>
                <w:rFonts w:cs="Arial"/>
                <w:snapToGrid w:val="0"/>
                <w:sz w:val="18"/>
                <w:szCs w:val="18"/>
              </w:rPr>
              <w:t>9</w:t>
            </w:r>
            <w:r w:rsidR="0051178A" w:rsidRPr="0085128E">
              <w:rPr>
                <w:rFonts w:cs="Arial"/>
                <w:snapToGrid w:val="0"/>
                <w:sz w:val="18"/>
                <w:szCs w:val="18"/>
              </w:rPr>
              <w:t> 2</w:t>
            </w:r>
            <w:r>
              <w:rPr>
                <w:rFonts w:cs="Arial"/>
                <w:snapToGrid w:val="0"/>
                <w:sz w:val="18"/>
                <w:szCs w:val="18"/>
              </w:rPr>
              <w:t>77</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Panama</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Paraguay</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160 923</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160 923</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Pays-Bas </w:t>
            </w:r>
          </w:p>
        </w:tc>
        <w:tc>
          <w:tcPr>
            <w:tcW w:w="1032" w:type="dxa"/>
          </w:tcPr>
          <w:p w:rsidR="0051178A" w:rsidRPr="0085128E" w:rsidRDefault="0051178A" w:rsidP="0051178A">
            <w:pPr>
              <w:jc w:val="right"/>
              <w:rPr>
                <w:rFonts w:cs="Arial"/>
                <w:sz w:val="18"/>
                <w:szCs w:val="18"/>
              </w:rPr>
            </w:pPr>
            <w:r w:rsidRPr="0085128E">
              <w:rPr>
                <w:rFonts w:cs="Arial"/>
                <w:sz w:val="18"/>
                <w:szCs w:val="18"/>
              </w:rPr>
              <w:t>3,00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160 923</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160 923</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Pérou</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Pologne</w:t>
            </w:r>
          </w:p>
        </w:tc>
        <w:tc>
          <w:tcPr>
            <w:tcW w:w="1032" w:type="dxa"/>
          </w:tcPr>
          <w:p w:rsidR="0051178A" w:rsidRPr="0085128E" w:rsidRDefault="0051178A" w:rsidP="0051178A">
            <w:pPr>
              <w:jc w:val="right"/>
              <w:rPr>
                <w:rFonts w:cs="Arial"/>
                <w:sz w:val="18"/>
                <w:szCs w:val="18"/>
              </w:rPr>
            </w:pPr>
            <w:r w:rsidRPr="0085128E">
              <w:rPr>
                <w:rFonts w:cs="Arial"/>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Portugal</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République de Corée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République de Moldova</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1A413F">
            <w:pPr>
              <w:jc w:val="right"/>
              <w:rPr>
                <w:rFonts w:cs="Arial"/>
                <w:snapToGrid w:val="0"/>
                <w:sz w:val="18"/>
                <w:szCs w:val="18"/>
              </w:rPr>
            </w:pPr>
            <w:r w:rsidRPr="0085128E">
              <w:rPr>
                <w:rFonts w:cs="Arial"/>
                <w:snapToGrid w:val="0"/>
                <w:sz w:val="18"/>
                <w:szCs w:val="18"/>
              </w:rPr>
              <w:t>10 </w:t>
            </w:r>
            <w:r w:rsidR="001A413F">
              <w:rPr>
                <w:rFonts w:cs="Arial"/>
                <w:snapToGrid w:val="0"/>
                <w:sz w:val="18"/>
                <w:szCs w:val="18"/>
              </w:rPr>
              <w:t>566</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République dominicaine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République tchèque </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République-Unie de Tanzanie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Roumanie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Royaume-Uni</w:t>
            </w:r>
          </w:p>
        </w:tc>
        <w:tc>
          <w:tcPr>
            <w:tcW w:w="1032" w:type="dxa"/>
          </w:tcPr>
          <w:p w:rsidR="0051178A" w:rsidRPr="0085128E" w:rsidRDefault="0051178A" w:rsidP="0051178A">
            <w:pPr>
              <w:jc w:val="right"/>
              <w:rPr>
                <w:rFonts w:cs="Arial"/>
                <w:sz w:val="18"/>
                <w:szCs w:val="18"/>
              </w:rPr>
            </w:pPr>
            <w:r w:rsidRPr="0085128E">
              <w:rPr>
                <w:rFonts w:cs="Arial"/>
                <w:sz w:val="18"/>
                <w:szCs w:val="18"/>
              </w:rPr>
              <w:t>2,00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Serbie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Singapour</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Slovaquie</w:t>
            </w:r>
          </w:p>
        </w:tc>
        <w:tc>
          <w:tcPr>
            <w:tcW w:w="1032" w:type="dxa"/>
          </w:tcPr>
          <w:p w:rsidR="0051178A" w:rsidRPr="0085128E" w:rsidRDefault="0051178A" w:rsidP="0051178A">
            <w:pPr>
              <w:jc w:val="right"/>
              <w:rPr>
                <w:rFonts w:cs="Arial"/>
                <w:sz w:val="18"/>
                <w:szCs w:val="18"/>
              </w:rPr>
            </w:pPr>
            <w:r w:rsidRPr="0085128E">
              <w:rPr>
                <w:rFonts w:cs="Arial"/>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Slovénie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Suède</w:t>
            </w:r>
          </w:p>
        </w:tc>
        <w:tc>
          <w:tcPr>
            <w:tcW w:w="1032" w:type="dxa"/>
          </w:tcPr>
          <w:p w:rsidR="0051178A" w:rsidRPr="0085128E" w:rsidRDefault="0051178A" w:rsidP="0051178A">
            <w:pPr>
              <w:jc w:val="right"/>
              <w:rPr>
                <w:rFonts w:cs="Arial"/>
                <w:sz w:val="18"/>
                <w:szCs w:val="18"/>
              </w:rPr>
            </w:pPr>
            <w:r w:rsidRPr="0085128E">
              <w:rPr>
                <w:rFonts w:cs="Arial"/>
                <w:sz w:val="18"/>
                <w:szCs w:val="18"/>
              </w:rPr>
              <w:t>1,50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Suisse</w:t>
            </w:r>
          </w:p>
        </w:tc>
        <w:tc>
          <w:tcPr>
            <w:tcW w:w="1032" w:type="dxa"/>
          </w:tcPr>
          <w:p w:rsidR="0051178A" w:rsidRPr="0085128E" w:rsidRDefault="0051178A" w:rsidP="0051178A">
            <w:pPr>
              <w:jc w:val="right"/>
              <w:rPr>
                <w:rFonts w:cs="Arial"/>
                <w:sz w:val="18"/>
                <w:szCs w:val="18"/>
              </w:rPr>
            </w:pPr>
            <w:r w:rsidRPr="0085128E">
              <w:rPr>
                <w:rFonts w:cs="Arial"/>
                <w:sz w:val="18"/>
                <w:szCs w:val="18"/>
              </w:rPr>
              <w:t>1,50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Trinité-et-Tobago</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Tunisie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Turquie</w:t>
            </w:r>
          </w:p>
        </w:tc>
        <w:tc>
          <w:tcPr>
            <w:tcW w:w="1032" w:type="dxa"/>
          </w:tcPr>
          <w:p w:rsidR="0051178A" w:rsidRPr="0085128E" w:rsidRDefault="0051178A" w:rsidP="0051178A">
            <w:pPr>
              <w:jc w:val="right"/>
              <w:rPr>
                <w:rFonts w:cs="Arial"/>
                <w:sz w:val="18"/>
                <w:szCs w:val="18"/>
              </w:rPr>
            </w:pPr>
            <w:r w:rsidRPr="0085128E">
              <w:rPr>
                <w:rFonts w:cs="Arial"/>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Ukraine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Union européenne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Uruguay</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blHeader/>
        </w:trPr>
        <w:tc>
          <w:tcPr>
            <w:tcW w:w="1218" w:type="dxa"/>
            <w:tcBorders>
              <w:bottom w:val="single" w:sz="8" w:space="0" w:color="auto"/>
            </w:tcBorders>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Borders>
              <w:bottom w:val="single" w:sz="8" w:space="0" w:color="auto"/>
            </w:tcBorders>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Borders>
              <w:bottom w:val="single" w:sz="8" w:space="0" w:color="auto"/>
            </w:tcBorders>
          </w:tcPr>
          <w:p w:rsidR="0051178A" w:rsidRPr="0085128E" w:rsidRDefault="0051178A" w:rsidP="0051178A">
            <w:pPr>
              <w:jc w:val="left"/>
              <w:rPr>
                <w:rFonts w:cs="Arial"/>
                <w:snapToGrid w:val="0"/>
                <w:sz w:val="18"/>
                <w:szCs w:val="18"/>
              </w:rPr>
            </w:pPr>
            <w:r w:rsidRPr="0085128E">
              <w:rPr>
                <w:rFonts w:cs="Arial"/>
                <w:snapToGrid w:val="0"/>
                <w:sz w:val="18"/>
                <w:szCs w:val="18"/>
              </w:rPr>
              <w:t>Viet Nam</w:t>
            </w:r>
          </w:p>
        </w:tc>
        <w:tc>
          <w:tcPr>
            <w:tcW w:w="1032" w:type="dxa"/>
            <w:tcBorders>
              <w:bottom w:val="single" w:sz="8" w:space="0" w:color="auto"/>
            </w:tcBorders>
          </w:tcPr>
          <w:p w:rsidR="0051178A" w:rsidRPr="0085128E" w:rsidRDefault="0051178A" w:rsidP="0051178A">
            <w:pPr>
              <w:jc w:val="right"/>
              <w:rPr>
                <w:rFonts w:cs="Arial"/>
                <w:sz w:val="18"/>
                <w:szCs w:val="18"/>
              </w:rPr>
            </w:pPr>
            <w:r w:rsidRPr="0085128E">
              <w:rPr>
                <w:rFonts w:cs="Arial"/>
                <w:sz w:val="18"/>
                <w:szCs w:val="18"/>
              </w:rPr>
              <w:t>0,20</w:t>
            </w:r>
          </w:p>
        </w:tc>
        <w:tc>
          <w:tcPr>
            <w:tcW w:w="1560" w:type="dxa"/>
            <w:tcBorders>
              <w:bottom w:val="single" w:sz="8" w:space="0" w:color="auto"/>
            </w:tcBorders>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Borders>
              <w:bottom w:val="single" w:sz="8" w:space="0" w:color="auto"/>
            </w:tcBorders>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85128E" w:rsidRPr="0085128E" w:rsidTr="0051178A">
        <w:trPr>
          <w:cantSplit/>
        </w:trPr>
        <w:tc>
          <w:tcPr>
            <w:tcW w:w="1218" w:type="dxa"/>
            <w:tcBorders>
              <w:top w:val="single" w:sz="8" w:space="0" w:color="auto"/>
              <w:bottom w:val="single" w:sz="8" w:space="0" w:color="auto"/>
            </w:tcBorders>
          </w:tcPr>
          <w:p w:rsidR="00604822" w:rsidRPr="0085128E" w:rsidRDefault="00604822" w:rsidP="0051178A">
            <w:pPr>
              <w:jc w:val="right"/>
              <w:rPr>
                <w:rFonts w:cs="Arial"/>
                <w:snapToGrid w:val="0"/>
                <w:sz w:val="18"/>
                <w:szCs w:val="18"/>
              </w:rPr>
            </w:pPr>
          </w:p>
        </w:tc>
        <w:tc>
          <w:tcPr>
            <w:tcW w:w="1134" w:type="dxa"/>
            <w:tcBorders>
              <w:top w:val="single" w:sz="8" w:space="0" w:color="auto"/>
              <w:bottom w:val="single" w:sz="8" w:space="0" w:color="auto"/>
            </w:tcBorders>
          </w:tcPr>
          <w:p w:rsidR="00604822" w:rsidRPr="0085128E" w:rsidRDefault="00604822" w:rsidP="0051178A">
            <w:pPr>
              <w:jc w:val="right"/>
              <w:rPr>
                <w:rFonts w:cs="Arial"/>
                <w:snapToGrid w:val="0"/>
                <w:sz w:val="18"/>
                <w:szCs w:val="18"/>
              </w:rPr>
            </w:pPr>
          </w:p>
        </w:tc>
        <w:tc>
          <w:tcPr>
            <w:tcW w:w="3177" w:type="dxa"/>
            <w:tcBorders>
              <w:top w:val="single" w:sz="8" w:space="0" w:color="auto"/>
              <w:bottom w:val="single" w:sz="8" w:space="0" w:color="auto"/>
            </w:tcBorders>
          </w:tcPr>
          <w:p w:rsidR="00604822" w:rsidRPr="0085128E" w:rsidRDefault="00604822" w:rsidP="0051178A">
            <w:pPr>
              <w:rPr>
                <w:rFonts w:cs="Arial"/>
                <w:snapToGrid w:val="0"/>
                <w:sz w:val="18"/>
                <w:szCs w:val="18"/>
              </w:rPr>
            </w:pPr>
          </w:p>
        </w:tc>
        <w:tc>
          <w:tcPr>
            <w:tcW w:w="1032" w:type="dxa"/>
            <w:tcBorders>
              <w:top w:val="single" w:sz="8" w:space="0" w:color="auto"/>
              <w:bottom w:val="single" w:sz="8" w:space="0" w:color="auto"/>
            </w:tcBorders>
          </w:tcPr>
          <w:p w:rsidR="00604822" w:rsidRPr="0085128E" w:rsidRDefault="00604822" w:rsidP="0051178A">
            <w:pPr>
              <w:tabs>
                <w:tab w:val="decimal" w:pos="284"/>
                <w:tab w:val="decimal" w:pos="482"/>
              </w:tabs>
              <w:jc w:val="left"/>
              <w:rPr>
                <w:rFonts w:cs="Arial"/>
                <w:snapToGrid w:val="0"/>
                <w:sz w:val="18"/>
                <w:szCs w:val="18"/>
              </w:rPr>
            </w:pPr>
          </w:p>
        </w:tc>
        <w:tc>
          <w:tcPr>
            <w:tcW w:w="1560" w:type="dxa"/>
            <w:tcBorders>
              <w:top w:val="single" w:sz="8" w:space="0" w:color="auto"/>
              <w:bottom w:val="single" w:sz="8" w:space="0" w:color="auto"/>
            </w:tcBorders>
          </w:tcPr>
          <w:p w:rsidR="00604822" w:rsidRPr="0085128E" w:rsidRDefault="00604822" w:rsidP="0051178A">
            <w:pPr>
              <w:jc w:val="right"/>
              <w:rPr>
                <w:rFonts w:cs="Arial"/>
                <w:snapToGrid w:val="0"/>
                <w:sz w:val="18"/>
                <w:szCs w:val="18"/>
              </w:rPr>
            </w:pPr>
          </w:p>
        </w:tc>
        <w:tc>
          <w:tcPr>
            <w:tcW w:w="1559" w:type="dxa"/>
            <w:tcBorders>
              <w:top w:val="single" w:sz="8" w:space="0" w:color="auto"/>
              <w:bottom w:val="single" w:sz="8" w:space="0" w:color="auto"/>
            </w:tcBorders>
          </w:tcPr>
          <w:p w:rsidR="00604822" w:rsidRPr="0085128E" w:rsidRDefault="00604822" w:rsidP="0051178A">
            <w:pPr>
              <w:jc w:val="right"/>
              <w:rPr>
                <w:rFonts w:cs="Arial"/>
                <w:snapToGrid w:val="0"/>
                <w:sz w:val="18"/>
                <w:szCs w:val="18"/>
              </w:rPr>
            </w:pPr>
          </w:p>
        </w:tc>
      </w:tr>
      <w:tr w:rsidR="00604822" w:rsidRPr="0085128E" w:rsidTr="0051178A">
        <w:trPr>
          <w:cantSplit/>
        </w:trPr>
        <w:tc>
          <w:tcPr>
            <w:tcW w:w="1218" w:type="dxa"/>
            <w:tcBorders>
              <w:top w:val="single" w:sz="8" w:space="0" w:color="auto"/>
              <w:bottom w:val="single" w:sz="8" w:space="0" w:color="auto"/>
            </w:tcBorders>
          </w:tcPr>
          <w:p w:rsidR="00604822" w:rsidRPr="0085128E" w:rsidRDefault="00A21A96" w:rsidP="001A413F">
            <w:pPr>
              <w:jc w:val="center"/>
              <w:rPr>
                <w:rFonts w:cs="Arial"/>
                <w:b/>
                <w:snapToGrid w:val="0"/>
                <w:sz w:val="18"/>
                <w:szCs w:val="18"/>
              </w:rPr>
            </w:pPr>
            <w:r w:rsidRPr="0085128E">
              <w:rPr>
                <w:rFonts w:cs="Arial"/>
                <w:b/>
                <w:snapToGrid w:val="0"/>
                <w:sz w:val="18"/>
                <w:szCs w:val="18"/>
              </w:rPr>
              <w:t>3 3</w:t>
            </w:r>
            <w:r w:rsidR="001A413F">
              <w:rPr>
                <w:rFonts w:cs="Arial"/>
                <w:b/>
                <w:snapToGrid w:val="0"/>
                <w:sz w:val="18"/>
                <w:szCs w:val="18"/>
              </w:rPr>
              <w:t>33</w:t>
            </w:r>
            <w:r w:rsidRPr="0085128E">
              <w:rPr>
                <w:rFonts w:cs="Arial"/>
                <w:b/>
                <w:snapToGrid w:val="0"/>
                <w:sz w:val="18"/>
                <w:szCs w:val="18"/>
              </w:rPr>
              <w:t> </w:t>
            </w:r>
            <w:r w:rsidR="001A413F">
              <w:rPr>
                <w:rFonts w:cs="Arial"/>
                <w:b/>
                <w:snapToGrid w:val="0"/>
                <w:sz w:val="18"/>
                <w:szCs w:val="18"/>
              </w:rPr>
              <w:t>778</w:t>
            </w:r>
          </w:p>
        </w:tc>
        <w:tc>
          <w:tcPr>
            <w:tcW w:w="1134" w:type="dxa"/>
            <w:tcBorders>
              <w:top w:val="single" w:sz="8" w:space="0" w:color="auto"/>
              <w:bottom w:val="single" w:sz="8" w:space="0" w:color="auto"/>
            </w:tcBorders>
          </w:tcPr>
          <w:p w:rsidR="00604822" w:rsidRPr="0085128E" w:rsidRDefault="001A413F" w:rsidP="001A413F">
            <w:pPr>
              <w:jc w:val="center"/>
              <w:rPr>
                <w:rFonts w:cs="Arial"/>
                <w:b/>
                <w:snapToGrid w:val="0"/>
                <w:sz w:val="18"/>
                <w:szCs w:val="18"/>
              </w:rPr>
            </w:pPr>
            <w:r>
              <w:rPr>
                <w:rFonts w:cs="Arial"/>
                <w:b/>
                <w:snapToGrid w:val="0"/>
                <w:sz w:val="18"/>
                <w:szCs w:val="18"/>
              </w:rPr>
              <w:t>2</w:t>
            </w:r>
            <w:r w:rsidR="00A21A96" w:rsidRPr="0085128E">
              <w:rPr>
                <w:rFonts w:cs="Arial"/>
                <w:b/>
                <w:snapToGrid w:val="0"/>
                <w:sz w:val="18"/>
                <w:szCs w:val="18"/>
              </w:rPr>
              <w:t> </w:t>
            </w:r>
            <w:r>
              <w:rPr>
                <w:rFonts w:cs="Arial"/>
                <w:b/>
                <w:snapToGrid w:val="0"/>
                <w:sz w:val="18"/>
                <w:szCs w:val="18"/>
              </w:rPr>
              <w:t>942</w:t>
            </w:r>
            <w:r w:rsidR="00A21A96" w:rsidRPr="0085128E">
              <w:rPr>
                <w:rFonts w:cs="Arial"/>
                <w:b/>
                <w:snapToGrid w:val="0"/>
                <w:sz w:val="18"/>
                <w:szCs w:val="18"/>
              </w:rPr>
              <w:t> 9</w:t>
            </w:r>
            <w:r>
              <w:rPr>
                <w:rFonts w:cs="Arial"/>
                <w:b/>
                <w:snapToGrid w:val="0"/>
                <w:sz w:val="18"/>
                <w:szCs w:val="18"/>
              </w:rPr>
              <w:t>05</w:t>
            </w:r>
          </w:p>
        </w:tc>
        <w:tc>
          <w:tcPr>
            <w:tcW w:w="3177" w:type="dxa"/>
            <w:tcBorders>
              <w:top w:val="single" w:sz="8" w:space="0" w:color="auto"/>
              <w:bottom w:val="single" w:sz="8" w:space="0" w:color="auto"/>
            </w:tcBorders>
          </w:tcPr>
          <w:p w:rsidR="00604822" w:rsidRPr="0085128E" w:rsidRDefault="00604822" w:rsidP="0051178A">
            <w:pPr>
              <w:rPr>
                <w:rFonts w:cs="Arial"/>
                <w:b/>
                <w:snapToGrid w:val="0"/>
                <w:sz w:val="18"/>
                <w:szCs w:val="18"/>
                <w:vertAlign w:val="superscript"/>
              </w:rPr>
            </w:pPr>
          </w:p>
        </w:tc>
        <w:tc>
          <w:tcPr>
            <w:tcW w:w="1032" w:type="dxa"/>
            <w:tcBorders>
              <w:top w:val="single" w:sz="8" w:space="0" w:color="auto"/>
              <w:bottom w:val="single" w:sz="8" w:space="0" w:color="auto"/>
            </w:tcBorders>
          </w:tcPr>
          <w:p w:rsidR="00604822" w:rsidRPr="0085128E" w:rsidRDefault="00A21A96" w:rsidP="0051178A">
            <w:pPr>
              <w:jc w:val="right"/>
              <w:rPr>
                <w:rFonts w:cs="Arial"/>
                <w:b/>
                <w:snapToGrid w:val="0"/>
                <w:sz w:val="18"/>
                <w:szCs w:val="18"/>
              </w:rPr>
            </w:pPr>
            <w:r w:rsidRPr="0085128E">
              <w:rPr>
                <w:rFonts w:cs="Arial"/>
                <w:b/>
                <w:snapToGrid w:val="0"/>
                <w:sz w:val="18"/>
                <w:szCs w:val="18"/>
              </w:rPr>
              <w:t>62,80</w:t>
            </w:r>
          </w:p>
        </w:tc>
        <w:tc>
          <w:tcPr>
            <w:tcW w:w="1560" w:type="dxa"/>
            <w:tcBorders>
              <w:top w:val="single" w:sz="8" w:space="0" w:color="auto"/>
              <w:bottom w:val="single" w:sz="8" w:space="0" w:color="auto"/>
            </w:tcBorders>
          </w:tcPr>
          <w:p w:rsidR="00604822" w:rsidRPr="0085128E" w:rsidRDefault="00A21A96" w:rsidP="0051178A">
            <w:pPr>
              <w:jc w:val="right"/>
              <w:rPr>
                <w:rFonts w:cs="Arial"/>
                <w:b/>
                <w:snapToGrid w:val="0"/>
                <w:sz w:val="18"/>
                <w:szCs w:val="18"/>
              </w:rPr>
            </w:pPr>
            <w:r w:rsidRPr="0085128E">
              <w:rPr>
                <w:rFonts w:cs="Arial"/>
                <w:b/>
                <w:snapToGrid w:val="0"/>
                <w:sz w:val="18"/>
                <w:szCs w:val="18"/>
              </w:rPr>
              <w:t>3 365 962</w:t>
            </w:r>
          </w:p>
        </w:tc>
        <w:tc>
          <w:tcPr>
            <w:tcW w:w="1559" w:type="dxa"/>
            <w:tcBorders>
              <w:top w:val="single" w:sz="8" w:space="0" w:color="auto"/>
              <w:bottom w:val="single" w:sz="8" w:space="0" w:color="auto"/>
            </w:tcBorders>
          </w:tcPr>
          <w:p w:rsidR="00604822" w:rsidRPr="0085128E" w:rsidRDefault="00A21A96" w:rsidP="0051178A">
            <w:pPr>
              <w:jc w:val="right"/>
              <w:rPr>
                <w:rFonts w:cs="Arial"/>
                <w:b/>
                <w:snapToGrid w:val="0"/>
                <w:sz w:val="18"/>
                <w:szCs w:val="18"/>
              </w:rPr>
            </w:pPr>
            <w:r w:rsidRPr="0085128E">
              <w:rPr>
                <w:rFonts w:cs="Arial"/>
                <w:b/>
                <w:snapToGrid w:val="0"/>
                <w:sz w:val="18"/>
                <w:szCs w:val="18"/>
              </w:rPr>
              <w:t>3 365 962</w:t>
            </w:r>
          </w:p>
        </w:tc>
      </w:tr>
    </w:tbl>
    <w:p w:rsidR="00720382" w:rsidRPr="0085128E" w:rsidRDefault="00720382" w:rsidP="0085128E">
      <w:pPr>
        <w:rPr>
          <w:highlight w:val="cyan"/>
        </w:rPr>
      </w:pPr>
    </w:p>
    <w:p w:rsidR="00720382" w:rsidRPr="0085128E" w:rsidRDefault="00720382" w:rsidP="0085128E">
      <w:pPr>
        <w:rPr>
          <w:highlight w:val="cyan"/>
        </w:rPr>
      </w:pPr>
    </w:p>
    <w:p w:rsidR="00720382" w:rsidRPr="0085128E" w:rsidRDefault="00720382" w:rsidP="0085128E">
      <w:pPr>
        <w:rPr>
          <w:highlight w:val="cyan"/>
        </w:rPr>
      </w:pPr>
    </w:p>
    <w:p w:rsidR="00720382" w:rsidRPr="0085128E" w:rsidRDefault="00A21A96" w:rsidP="0085128E">
      <w:pPr>
        <w:pStyle w:val="Endofdocument"/>
        <w:tabs>
          <w:tab w:val="decimal" w:pos="9071"/>
        </w:tabs>
        <w:ind w:right="-1"/>
        <w:jc w:val="right"/>
        <w:rPr>
          <w:rFonts w:ascii="Arial" w:hAnsi="Arial" w:cs="Arial"/>
          <w:sz w:val="20"/>
        </w:rPr>
      </w:pPr>
      <w:r w:rsidRPr="0085128E">
        <w:rPr>
          <w:rFonts w:ascii="Arial" w:hAnsi="Arial" w:cs="Arial"/>
          <w:sz w:val="20"/>
        </w:rPr>
        <w:t>[L</w:t>
      </w:r>
      <w:r w:rsidR="008D0CFD" w:rsidRPr="0085128E">
        <w:rPr>
          <w:rFonts w:ascii="Arial" w:hAnsi="Arial" w:cs="Arial"/>
          <w:sz w:val="20"/>
        </w:rPr>
        <w:t>’</w:t>
      </w:r>
      <w:r w:rsidRPr="0085128E">
        <w:rPr>
          <w:rFonts w:ascii="Arial" w:hAnsi="Arial" w:cs="Arial"/>
          <w:sz w:val="20"/>
        </w:rPr>
        <w:t>appendice IV suit]</w:t>
      </w:r>
    </w:p>
    <w:p w:rsidR="00720382" w:rsidRPr="0085128E" w:rsidRDefault="00720382" w:rsidP="0085128E">
      <w:pPr>
        <w:rPr>
          <w:highlight w:val="cyan"/>
        </w:rPr>
      </w:pPr>
    </w:p>
    <w:p w:rsidR="00604822" w:rsidRPr="0085128E" w:rsidRDefault="00604822" w:rsidP="0085128E">
      <w:pPr>
        <w:rPr>
          <w:rFonts w:cs="Arial"/>
          <w:b/>
          <w:highlight w:val="cyan"/>
        </w:rPr>
        <w:sectPr w:rsidR="00604822" w:rsidRPr="0085128E" w:rsidSect="003711EE">
          <w:headerReference w:type="default" r:id="rId35"/>
          <w:headerReference w:type="first" r:id="rId36"/>
          <w:footerReference w:type="first" r:id="rId37"/>
          <w:pgSz w:w="11907" w:h="16840" w:code="9"/>
          <w:pgMar w:top="510" w:right="1134" w:bottom="1134" w:left="1134" w:header="510" w:footer="624" w:gutter="0"/>
          <w:pgNumType w:start="1"/>
          <w:cols w:space="720"/>
          <w:titlePg/>
          <w:docGrid w:linePitch="272"/>
        </w:sectPr>
      </w:pPr>
    </w:p>
    <w:p w:rsidR="00720382" w:rsidRPr="0085128E" w:rsidRDefault="00720382" w:rsidP="0085128E">
      <w:pPr>
        <w:jc w:val="center"/>
      </w:pPr>
      <w:r w:rsidRPr="0085128E">
        <w:t>ANNEXE – APPENDICE IV</w:t>
      </w:r>
    </w:p>
    <w:p w:rsidR="00720382" w:rsidRPr="0085128E" w:rsidRDefault="00720382" w:rsidP="0085128E">
      <w:pPr>
        <w:jc w:val="center"/>
      </w:pPr>
    </w:p>
    <w:p w:rsidR="00720382" w:rsidRPr="0085128E" w:rsidRDefault="00720382" w:rsidP="0085128E">
      <w:pPr>
        <w:jc w:val="center"/>
      </w:pPr>
    </w:p>
    <w:p w:rsidR="00720382" w:rsidRPr="0085128E" w:rsidRDefault="00720382" w:rsidP="0085128E">
      <w:pPr>
        <w:jc w:val="center"/>
      </w:pPr>
      <w:r w:rsidRPr="0085128E">
        <w:t>DÉFINITIONS DES RUBRIQUES BUDGÉTAIRES</w:t>
      </w:r>
    </w:p>
    <w:p w:rsidR="00720382" w:rsidRPr="0085128E" w:rsidRDefault="00720382" w:rsidP="0085128E"/>
    <w:p w:rsidR="00720382" w:rsidRPr="0085128E" w:rsidRDefault="00720382" w:rsidP="0085128E"/>
    <w:p w:rsidR="00720382" w:rsidRPr="0085128E" w:rsidRDefault="00720382" w:rsidP="0085128E">
      <w:pPr>
        <w:jc w:val="center"/>
        <w:rPr>
          <w:b/>
          <w:szCs w:val="24"/>
        </w:rPr>
      </w:pPr>
      <w:r w:rsidRPr="0085128E">
        <w:rPr>
          <w:b/>
          <w:szCs w:val="24"/>
          <w:u w:val="single"/>
        </w:rPr>
        <w:t>Recettes par provenance</w:t>
      </w:r>
    </w:p>
    <w:p w:rsidR="00720382" w:rsidRPr="0085128E" w:rsidRDefault="00720382" w:rsidP="0085128E"/>
    <w:p w:rsidR="00720382" w:rsidRPr="0085128E" w:rsidRDefault="00720382" w:rsidP="0085128E">
      <w:pPr>
        <w:rPr>
          <w:rStyle w:val="underline"/>
          <w:b/>
          <w:i/>
        </w:rPr>
      </w:pPr>
      <w:r w:rsidRPr="0085128E">
        <w:rPr>
          <w:rStyle w:val="underline"/>
          <w:b/>
        </w:rPr>
        <w:t>Contributions</w:t>
      </w:r>
    </w:p>
    <w:p w:rsidR="00720382" w:rsidRPr="0085128E" w:rsidRDefault="00720382" w:rsidP="0085128E"/>
    <w:p w:rsidR="00720382" w:rsidRPr="0085128E" w:rsidRDefault="00720382" w:rsidP="0085128E">
      <w:r w:rsidRPr="0085128E">
        <w:t>Contributions des membres de l</w:t>
      </w:r>
      <w:r w:rsidR="008D0CFD" w:rsidRPr="0085128E">
        <w:t>’</w:t>
      </w:r>
      <w:r w:rsidRPr="0085128E">
        <w:t xml:space="preserve">Union selon la </w:t>
      </w:r>
      <w:r w:rsidR="008D0CFD" w:rsidRPr="0085128E">
        <w:t>Convention UPOV</w:t>
      </w:r>
      <w:r w:rsidRPr="0085128E">
        <w:t xml:space="preserve"> (</w:t>
      </w:r>
      <w:r w:rsidR="008D0CFD" w:rsidRPr="0085128E">
        <w:t>article 2</w:t>
      </w:r>
      <w:r w:rsidRPr="0085128E">
        <w:t>9 de l</w:t>
      </w:r>
      <w:r w:rsidR="008D0CFD" w:rsidRPr="0085128E">
        <w:t>’</w:t>
      </w:r>
      <w:r w:rsidRPr="0085128E">
        <w:t xml:space="preserve">Acte </w:t>
      </w:r>
      <w:r w:rsidR="008D0CFD" w:rsidRPr="0085128E">
        <w:t>de 1991</w:t>
      </w:r>
      <w:r w:rsidRPr="0085128E">
        <w:t xml:space="preserve"> et </w:t>
      </w:r>
      <w:r w:rsidR="008D0CFD" w:rsidRPr="0085128E">
        <w:t>article 2</w:t>
      </w:r>
      <w:r w:rsidRPr="0085128E">
        <w:t>6 de l</w:t>
      </w:r>
      <w:r w:rsidR="008D0CFD" w:rsidRPr="0085128E">
        <w:t>’</w:t>
      </w:r>
      <w:r w:rsidRPr="0085128E">
        <w:t xml:space="preserve">Acte </w:t>
      </w:r>
      <w:r w:rsidR="008D0CFD" w:rsidRPr="0085128E">
        <w:t>de 1978</w:t>
      </w:r>
      <w:r w:rsidRPr="0085128E">
        <w:t>).</w:t>
      </w:r>
    </w:p>
    <w:p w:rsidR="00720382" w:rsidRPr="0085128E" w:rsidRDefault="00720382" w:rsidP="0085128E"/>
    <w:p w:rsidR="00720382" w:rsidRPr="0085128E" w:rsidRDefault="00720382" w:rsidP="0085128E">
      <w:pPr>
        <w:keepNext/>
        <w:spacing w:after="40"/>
        <w:rPr>
          <w:b/>
        </w:rPr>
      </w:pPr>
      <w:r w:rsidRPr="0085128E">
        <w:rPr>
          <w:b/>
        </w:rPr>
        <w:t>Recettes provenant des publications</w:t>
      </w:r>
    </w:p>
    <w:p w:rsidR="00720382" w:rsidRPr="0085128E" w:rsidRDefault="00720382" w:rsidP="0085128E">
      <w:r w:rsidRPr="0085128E">
        <w:t>Recettes provenant de la vente des publications et des produits du Bureau de l</w:t>
      </w:r>
      <w:r w:rsidR="008D0CFD" w:rsidRPr="0085128E">
        <w:t>’</w:t>
      </w:r>
      <w:r w:rsidRPr="0085128E">
        <w:t>Union.</w:t>
      </w:r>
    </w:p>
    <w:p w:rsidR="00720382" w:rsidRPr="0085128E" w:rsidRDefault="00720382" w:rsidP="0085128E"/>
    <w:p w:rsidR="00720382" w:rsidRPr="0085128E" w:rsidRDefault="00720382" w:rsidP="0085128E">
      <w:pPr>
        <w:keepNext/>
        <w:spacing w:after="40"/>
        <w:rPr>
          <w:b/>
        </w:rPr>
      </w:pPr>
      <w:r w:rsidRPr="0085128E">
        <w:rPr>
          <w:b/>
        </w:rPr>
        <w:t>Intérêts</w:t>
      </w:r>
    </w:p>
    <w:p w:rsidR="00720382" w:rsidRPr="0085128E" w:rsidRDefault="00720382" w:rsidP="0085128E">
      <w:r w:rsidRPr="0085128E">
        <w:t>Recettes représentant les intérêts sur les dépôts en espèces.</w:t>
      </w:r>
    </w:p>
    <w:p w:rsidR="00720382" w:rsidRPr="0085128E" w:rsidRDefault="00720382" w:rsidP="0085128E"/>
    <w:p w:rsidR="00720382" w:rsidRPr="0085128E" w:rsidRDefault="00A7160E" w:rsidP="0085128E">
      <w:pPr>
        <w:keepNext/>
        <w:spacing w:after="40"/>
        <w:rPr>
          <w:b/>
        </w:rPr>
      </w:pPr>
      <w:r w:rsidRPr="0085128E">
        <w:rPr>
          <w:b/>
        </w:rPr>
        <w:t>Autres recettes</w:t>
      </w:r>
    </w:p>
    <w:p w:rsidR="00720382" w:rsidRPr="0085128E" w:rsidRDefault="00A7160E" w:rsidP="0085128E">
      <w:r w:rsidRPr="0085128E">
        <w:t>Toutes les recettes non répertoriées ci</w:t>
      </w:r>
      <w:r w:rsidR="008D0CFD" w:rsidRPr="0085128E">
        <w:t>-</w:t>
      </w:r>
      <w:r w:rsidRPr="0085128E">
        <w:t xml:space="preserve">dessus, </w:t>
      </w:r>
      <w:r w:rsidR="008D0CFD" w:rsidRPr="0085128E">
        <w:t>y compris</w:t>
      </w:r>
      <w:r w:rsidRPr="0085128E">
        <w:t xml:space="preserve"> les ajustements comptables (crédits) relatifs à des années antérieures, les ajustements de change (crédits), les recettes correspondant aux “dépenses d</w:t>
      </w:r>
      <w:r w:rsidR="008D0CFD" w:rsidRPr="0085128E">
        <w:t>’</w:t>
      </w:r>
      <w:r w:rsidRPr="0085128E">
        <w:t>appui” relatives aux activités extrabudgétaires de l</w:t>
      </w:r>
      <w:r w:rsidR="008D0CFD" w:rsidRPr="0085128E">
        <w:t>’</w:t>
      </w:r>
      <w:r w:rsidRPr="0085128E">
        <w:t>UPOV financées par les fonds fiduciaires et la part de l</w:t>
      </w:r>
      <w:r w:rsidR="008D0CFD" w:rsidRPr="0085128E">
        <w:t>’</w:t>
      </w:r>
      <w:r w:rsidRPr="0085128E">
        <w:t>UPOV dans les recettes communes de l</w:t>
      </w:r>
      <w:r w:rsidR="008D0CFD" w:rsidRPr="0085128E">
        <w:t>’</w:t>
      </w:r>
      <w:r w:rsidRPr="0085128E">
        <w:t>OMPI;  recettes nominales découlant de l</w:t>
      </w:r>
      <w:r w:rsidR="008D0CFD" w:rsidRPr="0085128E">
        <w:t>’</w:t>
      </w:r>
      <w:r w:rsidRPr="0085128E">
        <w:t>utilisation du formulaire de demande électronique.</w:t>
      </w:r>
    </w:p>
    <w:p w:rsidR="00720382" w:rsidRPr="0085128E" w:rsidRDefault="00720382" w:rsidP="0085128E"/>
    <w:p w:rsidR="00720382" w:rsidRPr="0085128E" w:rsidRDefault="00720382" w:rsidP="0085128E"/>
    <w:p w:rsidR="00720382" w:rsidRPr="0085128E" w:rsidRDefault="00A7160E" w:rsidP="0085128E">
      <w:pPr>
        <w:jc w:val="center"/>
        <w:rPr>
          <w:rStyle w:val="underline"/>
          <w:b/>
          <w:szCs w:val="24"/>
        </w:rPr>
      </w:pPr>
      <w:r w:rsidRPr="0085128E">
        <w:rPr>
          <w:rStyle w:val="underline"/>
          <w:b/>
          <w:szCs w:val="24"/>
        </w:rPr>
        <w:t>Objets de dépense</w:t>
      </w:r>
    </w:p>
    <w:p w:rsidR="00720382" w:rsidRPr="0085128E" w:rsidRDefault="00720382" w:rsidP="0085128E">
      <w:pPr>
        <w:jc w:val="center"/>
      </w:pPr>
    </w:p>
    <w:p w:rsidR="00720382" w:rsidRPr="0085128E" w:rsidRDefault="00A7160E" w:rsidP="0085128E">
      <w:pPr>
        <w:rPr>
          <w:b/>
          <w:u w:val="single"/>
        </w:rPr>
      </w:pPr>
      <w:r w:rsidRPr="0085128E">
        <w:rPr>
          <w:b/>
          <w:u w:val="single"/>
        </w:rPr>
        <w:t>Ressources en personnel</w:t>
      </w:r>
    </w:p>
    <w:p w:rsidR="00720382" w:rsidRPr="0085128E" w:rsidRDefault="00720382" w:rsidP="0085128E"/>
    <w:p w:rsidR="00720382" w:rsidRPr="0085128E" w:rsidRDefault="00A7160E" w:rsidP="0085128E">
      <w:pPr>
        <w:keepNext/>
        <w:spacing w:after="40"/>
        <w:rPr>
          <w:b/>
        </w:rPr>
      </w:pPr>
      <w:r w:rsidRPr="0085128E">
        <w:rPr>
          <w:b/>
        </w:rPr>
        <w:t>Postes</w:t>
      </w:r>
    </w:p>
    <w:p w:rsidR="00720382" w:rsidRPr="0085128E" w:rsidRDefault="00A7160E" w:rsidP="0085128E">
      <w:r w:rsidRPr="0085128E">
        <w:t>Rémunérations perçues par les fonctionnaires, en particulier les traitements, les indemnités de poste, les allocations familiales, les primes pour connaissances linguistiques, les paiements pour heures supplémentaires, les indemnités de non</w:t>
      </w:r>
      <w:r w:rsidR="008D0CFD" w:rsidRPr="0085128E">
        <w:t>-</w:t>
      </w:r>
      <w:r w:rsidRPr="0085128E">
        <w:t>résident, les primes d</w:t>
      </w:r>
      <w:r w:rsidR="008D0CFD" w:rsidRPr="0085128E">
        <w:t>’</w:t>
      </w:r>
      <w:r w:rsidRPr="0085128E">
        <w:t>affectation et les indemnités de représentation, ainsi que toutes les indemnités versées aux fonctionnaires non comprises dans leur traiteme</w:t>
      </w:r>
      <w:r w:rsidR="009F5A99" w:rsidRPr="0085128E">
        <w:t>nt.  Ce</w:t>
      </w:r>
      <w:r w:rsidR="00B64BEE" w:rsidRPr="0085128E">
        <w:t>lles</w:t>
      </w:r>
      <w:r w:rsidR="008D0CFD" w:rsidRPr="0085128E">
        <w:t>-</w:t>
      </w:r>
      <w:r w:rsidR="00B64BEE" w:rsidRPr="0085128E">
        <w:t>ci comprennent en particulier la cotisation d</w:t>
      </w:r>
      <w:r w:rsidR="008D0CFD" w:rsidRPr="0085128E">
        <w:t>’</w:t>
      </w:r>
      <w:r w:rsidR="00B64BEE" w:rsidRPr="0085128E">
        <w:t>employeur à la caisse de pensions, la participation au régime d</w:t>
      </w:r>
      <w:r w:rsidR="008D0CFD" w:rsidRPr="0085128E">
        <w:t>’</w:t>
      </w:r>
      <w:r w:rsidR="00B64BEE" w:rsidRPr="0085128E">
        <w:t>assurance maladie, la dotation à la provision pour frais encourus lors de cessations de service, les allocations pour frais d</w:t>
      </w:r>
      <w:r w:rsidR="008D0CFD" w:rsidRPr="0085128E">
        <w:t>’</w:t>
      </w:r>
      <w:r w:rsidR="00B64BEE" w:rsidRPr="0085128E">
        <w:t>étude, les frais de déménagement, de voyage d</w:t>
      </w:r>
      <w:r w:rsidR="008D0CFD" w:rsidRPr="0085128E">
        <w:t>’</w:t>
      </w:r>
      <w:r w:rsidR="00B64BEE" w:rsidRPr="0085128E">
        <w:t>enfants pour leurs études, de voyage au titre du congé dans les foyers et d</w:t>
      </w:r>
      <w:r w:rsidR="008D0CFD" w:rsidRPr="0085128E">
        <w:t>’</w:t>
      </w:r>
      <w:r w:rsidR="00B64BEE" w:rsidRPr="0085128E">
        <w:t>installation au lieu d</w:t>
      </w:r>
      <w:r w:rsidR="008D0CFD" w:rsidRPr="0085128E">
        <w:t>’</w:t>
      </w:r>
      <w:r w:rsidR="00B64BEE" w:rsidRPr="0085128E">
        <w:t>affectation, les primes de l</w:t>
      </w:r>
      <w:r w:rsidR="008D0CFD" w:rsidRPr="0085128E">
        <w:t>’</w:t>
      </w:r>
      <w:r w:rsidR="00B64BEE" w:rsidRPr="0085128E">
        <w:t>assurance accidents professionnels, le remboursement des impôts nationaux sur le revenu perçus sur les traitements, allocations, indemnités ou primes versés par le Bureau de l</w:t>
      </w:r>
      <w:r w:rsidR="008D0CFD" w:rsidRPr="0085128E">
        <w:t>’</w:t>
      </w:r>
      <w:r w:rsidR="00B64BEE" w:rsidRPr="0085128E">
        <w:t>Union.</w:t>
      </w:r>
    </w:p>
    <w:p w:rsidR="00720382" w:rsidRPr="0085128E" w:rsidRDefault="00720382" w:rsidP="0085128E"/>
    <w:p w:rsidR="00720382" w:rsidRPr="0085128E" w:rsidRDefault="00B64BEE" w:rsidP="0085128E">
      <w:pPr>
        <w:keepNext/>
        <w:spacing w:after="40"/>
        <w:rPr>
          <w:b/>
        </w:rPr>
      </w:pPr>
      <w:r w:rsidRPr="0085128E">
        <w:rPr>
          <w:b/>
        </w:rPr>
        <w:t>Fonctionnaires temporaires</w:t>
      </w:r>
    </w:p>
    <w:p w:rsidR="00720382" w:rsidRPr="0085128E" w:rsidRDefault="00B64BEE" w:rsidP="0085128E">
      <w:r w:rsidRPr="0085128E">
        <w:t>Rémunérations et indemnités versées au personnel engagé pour des périodes de courte durée.</w:t>
      </w:r>
    </w:p>
    <w:p w:rsidR="00720382" w:rsidRPr="0085128E" w:rsidRDefault="00720382" w:rsidP="0085128E"/>
    <w:p w:rsidR="00720382" w:rsidRPr="0085128E" w:rsidRDefault="00720382" w:rsidP="0085128E"/>
    <w:p w:rsidR="00720382" w:rsidRPr="0085128E" w:rsidRDefault="00B64BEE" w:rsidP="0085128E">
      <w:pPr>
        <w:rPr>
          <w:b/>
          <w:u w:val="single"/>
        </w:rPr>
      </w:pPr>
      <w:r w:rsidRPr="0085128E">
        <w:rPr>
          <w:b/>
          <w:u w:val="single"/>
        </w:rPr>
        <w:t>Autres dépenses</w:t>
      </w:r>
    </w:p>
    <w:p w:rsidR="00720382" w:rsidRPr="0085128E" w:rsidRDefault="00720382" w:rsidP="0085128E">
      <w:pPr>
        <w:rPr>
          <w:b/>
          <w:u w:val="single"/>
        </w:rPr>
      </w:pPr>
    </w:p>
    <w:p w:rsidR="00720382" w:rsidRPr="0085128E" w:rsidRDefault="00B64BEE" w:rsidP="0085128E">
      <w:pPr>
        <w:rPr>
          <w:rFonts w:cs="Arial"/>
          <w:b/>
          <w:bCs/>
        </w:rPr>
      </w:pPr>
      <w:r w:rsidRPr="0085128E">
        <w:rPr>
          <w:rFonts w:cs="Arial"/>
          <w:b/>
          <w:bCs/>
        </w:rPr>
        <w:t>Stages et bourses</w:t>
      </w:r>
    </w:p>
    <w:p w:rsidR="00720382" w:rsidRPr="0085128E" w:rsidRDefault="00720382" w:rsidP="0085128E">
      <w:pPr>
        <w:rPr>
          <w:rFonts w:cs="Arial"/>
        </w:rPr>
      </w:pPr>
    </w:p>
    <w:p w:rsidR="003711EE" w:rsidRPr="0085128E" w:rsidRDefault="00B64BEE" w:rsidP="0085128E">
      <w:pPr>
        <w:rPr>
          <w:rFonts w:cs="Arial"/>
        </w:rPr>
      </w:pPr>
      <w:r w:rsidRPr="0085128E">
        <w:rPr>
          <w:rFonts w:cs="Arial"/>
          <w:b/>
          <w:i/>
        </w:rPr>
        <w:t>Stages</w:t>
      </w:r>
      <w:r w:rsidR="008D0CFD" w:rsidRPr="0085128E">
        <w:rPr>
          <w:rFonts w:cs="Arial"/>
          <w:b/>
          <w:i/>
        </w:rPr>
        <w:t> :</w:t>
      </w:r>
      <w:r w:rsidRPr="0085128E">
        <w:rPr>
          <w:rFonts w:cs="Arial"/>
          <w:b/>
          <w:i/>
        </w:rPr>
        <w:t xml:space="preserve"> </w:t>
      </w:r>
      <w:r w:rsidRPr="0085128E">
        <w:rPr>
          <w:rFonts w:cs="Arial"/>
        </w:rPr>
        <w:t>rémunération et indemnités versées aux stagiaires.</w:t>
      </w:r>
    </w:p>
    <w:p w:rsidR="00720382" w:rsidRPr="0085128E" w:rsidRDefault="00720382" w:rsidP="0085128E"/>
    <w:p w:rsidR="003711EE" w:rsidRPr="0085128E" w:rsidRDefault="00345FFE" w:rsidP="0085128E">
      <w:pPr>
        <w:rPr>
          <w:rFonts w:cs="Arial"/>
        </w:rPr>
      </w:pPr>
      <w:r w:rsidRPr="0085128E">
        <w:rPr>
          <w:rFonts w:cs="Arial"/>
          <w:b/>
          <w:i/>
        </w:rPr>
        <w:t>Bourses</w:t>
      </w:r>
      <w:r w:rsidR="008D0CFD" w:rsidRPr="0085128E">
        <w:rPr>
          <w:rFonts w:cs="Arial"/>
          <w:b/>
          <w:i/>
        </w:rPr>
        <w:t> :</w:t>
      </w:r>
      <w:r w:rsidRPr="0085128E">
        <w:rPr>
          <w:rFonts w:cs="Arial"/>
          <w:b/>
          <w:i/>
        </w:rPr>
        <w:t xml:space="preserve"> </w:t>
      </w:r>
      <w:r w:rsidRPr="0085128E">
        <w:rPr>
          <w:rFonts w:cs="Arial"/>
        </w:rPr>
        <w:t xml:space="preserve">dépenses liées à une activité de formation qui </w:t>
      </w:r>
      <w:r w:rsidR="00E371E1" w:rsidRPr="0085128E">
        <w:rPr>
          <w:rFonts w:cs="Arial"/>
        </w:rPr>
        <w:t>donne droit</w:t>
      </w:r>
      <w:r w:rsidRPr="0085128E">
        <w:rPr>
          <w:rFonts w:cs="Arial"/>
        </w:rPr>
        <w:t xml:space="preserve"> </w:t>
      </w:r>
      <w:r w:rsidR="007D4EA3" w:rsidRPr="0085128E">
        <w:rPr>
          <w:rFonts w:cs="Arial"/>
        </w:rPr>
        <w:t xml:space="preserve">à </w:t>
      </w:r>
      <w:r w:rsidRPr="0085128E">
        <w:rPr>
          <w:rFonts w:cs="Arial"/>
        </w:rPr>
        <w:t>une indemnité monétaire à des personnes qualifiées pour remplir des objectifs pédagogiques particuliers.</w:t>
      </w:r>
    </w:p>
    <w:p w:rsidR="00720382" w:rsidRPr="0085128E" w:rsidRDefault="00720382" w:rsidP="0085128E">
      <w:pPr>
        <w:rPr>
          <w:b/>
          <w:u w:val="single"/>
        </w:rPr>
      </w:pPr>
    </w:p>
    <w:p w:rsidR="003711EE" w:rsidRPr="0085128E" w:rsidRDefault="00345FFE" w:rsidP="0085128E">
      <w:pPr>
        <w:keepNext/>
        <w:rPr>
          <w:b/>
        </w:rPr>
      </w:pPr>
      <w:r w:rsidRPr="0085128E">
        <w:rPr>
          <w:b/>
        </w:rPr>
        <w:t>Voyages, formations et indemnités</w:t>
      </w:r>
    </w:p>
    <w:p w:rsidR="00720382" w:rsidRPr="0085128E" w:rsidRDefault="00720382" w:rsidP="0085128E">
      <w:pPr>
        <w:keepNext/>
        <w:rPr>
          <w:b/>
          <w:u w:val="single"/>
        </w:rPr>
      </w:pPr>
    </w:p>
    <w:p w:rsidR="00720382" w:rsidRPr="0085128E" w:rsidRDefault="00345FFE" w:rsidP="0085128E">
      <w:pPr>
        <w:jc w:val="left"/>
        <w:rPr>
          <w:rFonts w:cs="Arial"/>
        </w:rPr>
      </w:pPr>
      <w:r w:rsidRPr="0085128E">
        <w:rPr>
          <w:rFonts w:cs="Arial"/>
          <w:b/>
          <w:i/>
        </w:rPr>
        <w:t>Missions de fonctionnaires</w:t>
      </w:r>
      <w:r w:rsidR="008D0CFD" w:rsidRPr="0085128E">
        <w:rPr>
          <w:rFonts w:cs="Arial"/>
          <w:b/>
          <w:i/>
        </w:rPr>
        <w:t> :</w:t>
      </w:r>
      <w:r w:rsidRPr="0085128E">
        <w:rPr>
          <w:rFonts w:cs="Arial"/>
          <w:b/>
          <w:i/>
        </w:rPr>
        <w:t xml:space="preserve"> </w:t>
      </w:r>
      <w:r w:rsidRPr="0085128E">
        <w:rPr>
          <w:rFonts w:cs="Arial"/>
        </w:rPr>
        <w:t>frais de voyage et indemnités journalières de subsistance pour tous les fonctionnaires en voyage officiel.</w:t>
      </w:r>
    </w:p>
    <w:p w:rsidR="00720382" w:rsidRPr="0085128E" w:rsidRDefault="00720382" w:rsidP="0085128E"/>
    <w:p w:rsidR="00720382" w:rsidRPr="0085128E" w:rsidRDefault="00345FFE" w:rsidP="0085128E">
      <w:pPr>
        <w:jc w:val="left"/>
        <w:rPr>
          <w:rFonts w:cs="Arial"/>
        </w:rPr>
      </w:pPr>
      <w:r w:rsidRPr="0085128E">
        <w:rPr>
          <w:rFonts w:cs="Arial"/>
          <w:b/>
          <w:i/>
        </w:rPr>
        <w:t>Voyages de tiers</w:t>
      </w:r>
      <w:r w:rsidR="008D0CFD" w:rsidRPr="0085128E">
        <w:rPr>
          <w:rFonts w:cs="Arial"/>
          <w:b/>
          <w:i/>
        </w:rPr>
        <w:t> :</w:t>
      </w:r>
      <w:r w:rsidRPr="0085128E">
        <w:rPr>
          <w:rFonts w:cs="Arial"/>
        </w:rPr>
        <w:t xml:space="preserve"> frais de voyage et indemnités journalières de subsistance pour tous les tiers – </w:t>
      </w:r>
      <w:r w:rsidR="008D0CFD" w:rsidRPr="0085128E">
        <w:rPr>
          <w:rFonts w:cs="Arial"/>
        </w:rPr>
        <w:t>à savoir</w:t>
      </w:r>
      <w:r w:rsidRPr="0085128E">
        <w:rPr>
          <w:rFonts w:cs="Arial"/>
        </w:rPr>
        <w:t xml:space="preserve"> les personnes qui ne sont pas membres du personn</w:t>
      </w:r>
      <w:r w:rsidR="009F5A99" w:rsidRPr="0085128E">
        <w:rPr>
          <w:rFonts w:cs="Arial"/>
        </w:rPr>
        <w:t>el.  Ce</w:t>
      </w:r>
      <w:r w:rsidRPr="0085128E">
        <w:rPr>
          <w:rFonts w:cs="Arial"/>
        </w:rPr>
        <w:t>la comprend les frais de voyage de fonctionnaires nationaux, de participants et de conférenciers se rendant à des réunions organisées sous l</w:t>
      </w:r>
      <w:r w:rsidR="008D0CFD" w:rsidRPr="0085128E">
        <w:rPr>
          <w:rFonts w:cs="Arial"/>
        </w:rPr>
        <w:t>’</w:t>
      </w:r>
      <w:r w:rsidRPr="0085128E">
        <w:rPr>
          <w:rFonts w:cs="Arial"/>
        </w:rPr>
        <w:t>égide de l</w:t>
      </w:r>
      <w:r w:rsidR="008D0CFD" w:rsidRPr="0085128E">
        <w:rPr>
          <w:rFonts w:cs="Arial"/>
        </w:rPr>
        <w:t>’</w:t>
      </w:r>
      <w:r w:rsidRPr="0085128E">
        <w:rPr>
          <w:rFonts w:cs="Arial"/>
        </w:rPr>
        <w:t>UPOV.</w:t>
      </w:r>
    </w:p>
    <w:p w:rsidR="00720382" w:rsidRPr="0085128E" w:rsidRDefault="00720382" w:rsidP="0085128E"/>
    <w:p w:rsidR="003711EE" w:rsidRPr="0085128E" w:rsidRDefault="00345FFE" w:rsidP="0085128E">
      <w:pPr>
        <w:jc w:val="left"/>
        <w:rPr>
          <w:rFonts w:cs="Arial"/>
        </w:rPr>
      </w:pPr>
      <w:r w:rsidRPr="0085128E">
        <w:rPr>
          <w:rFonts w:cs="Arial"/>
          <w:b/>
          <w:i/>
        </w:rPr>
        <w:t>Formations et frais de voyage connexes</w:t>
      </w:r>
      <w:r w:rsidR="008D0CFD" w:rsidRPr="0085128E">
        <w:rPr>
          <w:rFonts w:cs="Arial"/>
          <w:b/>
          <w:i/>
        </w:rPr>
        <w:t> :</w:t>
      </w:r>
      <w:r w:rsidRPr="0085128E">
        <w:rPr>
          <w:rFonts w:cs="Arial"/>
        </w:rPr>
        <w:t xml:space="preserve"> frais de voyage, indemnités journalières de subsistance, droits d</w:t>
      </w:r>
      <w:r w:rsidR="008D0CFD" w:rsidRPr="0085128E">
        <w:rPr>
          <w:rFonts w:cs="Arial"/>
        </w:rPr>
        <w:t>’</w:t>
      </w:r>
      <w:r w:rsidRPr="0085128E">
        <w:rPr>
          <w:rFonts w:cs="Arial"/>
        </w:rPr>
        <w:t>inscription et autres dépenses relatives à la participation de stagiaires aux cours, séminaires et stages.</w:t>
      </w:r>
    </w:p>
    <w:p w:rsidR="00720382" w:rsidRPr="0085128E" w:rsidRDefault="00720382" w:rsidP="0085128E"/>
    <w:p w:rsidR="00720382" w:rsidRPr="0085128E" w:rsidRDefault="00345FFE" w:rsidP="0085128E">
      <w:pPr>
        <w:keepNext/>
        <w:rPr>
          <w:b/>
        </w:rPr>
      </w:pPr>
      <w:r w:rsidRPr="0085128E">
        <w:rPr>
          <w:b/>
        </w:rPr>
        <w:t>Services contractuels</w:t>
      </w:r>
    </w:p>
    <w:p w:rsidR="00720382" w:rsidRPr="0085128E" w:rsidRDefault="00720382" w:rsidP="0085128E">
      <w:pPr>
        <w:keepNext/>
        <w:rPr>
          <w:b/>
          <w:u w:val="single"/>
        </w:rPr>
      </w:pPr>
    </w:p>
    <w:p w:rsidR="003711EE" w:rsidRPr="0085128E" w:rsidRDefault="00345FFE" w:rsidP="0085128E">
      <w:pPr>
        <w:keepNext/>
        <w:keepLines/>
        <w:jc w:val="left"/>
        <w:rPr>
          <w:szCs w:val="22"/>
        </w:rPr>
      </w:pPr>
      <w:r w:rsidRPr="0085128E">
        <w:rPr>
          <w:b/>
          <w:i/>
          <w:szCs w:val="22"/>
        </w:rPr>
        <w:t>Conférences</w:t>
      </w:r>
      <w:r w:rsidR="008D0CFD" w:rsidRPr="0085128E">
        <w:rPr>
          <w:b/>
          <w:i/>
          <w:szCs w:val="22"/>
        </w:rPr>
        <w:t> :</w:t>
      </w:r>
      <w:r w:rsidRPr="0085128E">
        <w:rPr>
          <w:szCs w:val="22"/>
        </w:rPr>
        <w:t xml:space="preserve"> rémunération, frais de voyage et indemnités journalières de subsistance des interprètes;</w:t>
      </w:r>
      <w:r w:rsidRPr="0085128E">
        <w:t xml:space="preserve"> </w:t>
      </w:r>
      <w:r w:rsidR="00C833CB" w:rsidRPr="0085128E">
        <w:rPr>
          <w:szCs w:val="22"/>
        </w:rPr>
        <w:t xml:space="preserve"> </w:t>
      </w:r>
      <w:r w:rsidRPr="0085128E">
        <w:rPr>
          <w:szCs w:val="22"/>
        </w:rPr>
        <w:t>location de salles de conférence et de matériel d</w:t>
      </w:r>
      <w:r w:rsidR="008D0CFD" w:rsidRPr="0085128E">
        <w:rPr>
          <w:szCs w:val="22"/>
        </w:rPr>
        <w:t>’</w:t>
      </w:r>
      <w:r w:rsidRPr="0085128E">
        <w:rPr>
          <w:szCs w:val="22"/>
        </w:rPr>
        <w:t>interprétation;</w:t>
      </w:r>
      <w:r w:rsidRPr="0085128E">
        <w:t xml:space="preserve"> </w:t>
      </w:r>
      <w:r w:rsidR="00C833CB" w:rsidRPr="0085128E">
        <w:rPr>
          <w:szCs w:val="22"/>
        </w:rPr>
        <w:t xml:space="preserve"> </w:t>
      </w:r>
      <w:r w:rsidRPr="0085128E">
        <w:rPr>
          <w:szCs w:val="22"/>
        </w:rPr>
        <w:t>rafraîchissements et réceptions;</w:t>
      </w:r>
      <w:r w:rsidR="00C833CB" w:rsidRPr="0085128E">
        <w:rPr>
          <w:szCs w:val="22"/>
        </w:rPr>
        <w:t xml:space="preserve"> </w:t>
      </w:r>
      <w:r w:rsidRPr="0085128E">
        <w:t xml:space="preserve"> </w:t>
      </w:r>
      <w:r w:rsidRPr="0085128E">
        <w:rPr>
          <w:szCs w:val="22"/>
        </w:rPr>
        <w:t>et frais afférents à tout autre service directement lié à l</w:t>
      </w:r>
      <w:r w:rsidR="008D0CFD" w:rsidRPr="0085128E">
        <w:rPr>
          <w:szCs w:val="22"/>
        </w:rPr>
        <w:t>’</w:t>
      </w:r>
      <w:r w:rsidRPr="0085128E">
        <w:rPr>
          <w:szCs w:val="22"/>
        </w:rPr>
        <w:t>organisation d</w:t>
      </w:r>
      <w:r w:rsidR="008D0CFD" w:rsidRPr="0085128E">
        <w:rPr>
          <w:szCs w:val="22"/>
        </w:rPr>
        <w:t>’</w:t>
      </w:r>
      <w:r w:rsidRPr="0085128E">
        <w:rPr>
          <w:szCs w:val="22"/>
        </w:rPr>
        <w:t>une conférence.</w:t>
      </w:r>
    </w:p>
    <w:p w:rsidR="00720382" w:rsidRPr="0085128E" w:rsidRDefault="00720382" w:rsidP="0085128E"/>
    <w:p w:rsidR="00720382" w:rsidRPr="0085128E" w:rsidRDefault="00345FFE" w:rsidP="0085128E">
      <w:pPr>
        <w:rPr>
          <w:szCs w:val="22"/>
        </w:rPr>
      </w:pPr>
      <w:r w:rsidRPr="0085128E">
        <w:rPr>
          <w:b/>
          <w:i/>
          <w:szCs w:val="22"/>
        </w:rPr>
        <w:t>Publication</w:t>
      </w:r>
      <w:r w:rsidR="008D0CFD" w:rsidRPr="0085128E">
        <w:rPr>
          <w:b/>
          <w:i/>
          <w:szCs w:val="22"/>
        </w:rPr>
        <w:t> :</w:t>
      </w:r>
      <w:r w:rsidRPr="0085128E">
        <w:rPr>
          <w:szCs w:val="22"/>
        </w:rPr>
        <w:t xml:space="preserve"> travaux d</w:t>
      </w:r>
      <w:r w:rsidR="008D0CFD" w:rsidRPr="0085128E">
        <w:rPr>
          <w:szCs w:val="22"/>
        </w:rPr>
        <w:t>’</w:t>
      </w:r>
      <w:r w:rsidRPr="0085128E">
        <w:rPr>
          <w:szCs w:val="22"/>
        </w:rPr>
        <w:t>impression et de reliure faits à l</w:t>
      </w:r>
      <w:r w:rsidR="008D0CFD" w:rsidRPr="0085128E">
        <w:rPr>
          <w:szCs w:val="22"/>
        </w:rPr>
        <w:t>’</w:t>
      </w:r>
      <w:r w:rsidRPr="0085128E">
        <w:rPr>
          <w:szCs w:val="22"/>
        </w:rPr>
        <w:t xml:space="preserve">extérieur; </w:t>
      </w:r>
      <w:r w:rsidR="00C833CB" w:rsidRPr="0085128E">
        <w:rPr>
          <w:szCs w:val="22"/>
        </w:rPr>
        <w:t xml:space="preserve"> </w:t>
      </w:r>
      <w:r w:rsidRPr="0085128E">
        <w:rPr>
          <w:szCs w:val="22"/>
        </w:rPr>
        <w:t>revues;</w:t>
      </w:r>
      <w:r w:rsidRPr="0085128E">
        <w:t xml:space="preserve"> </w:t>
      </w:r>
      <w:r w:rsidR="00C833CB" w:rsidRPr="0085128E">
        <w:rPr>
          <w:szCs w:val="22"/>
        </w:rPr>
        <w:t xml:space="preserve"> </w:t>
      </w:r>
      <w:r w:rsidRPr="0085128E">
        <w:rPr>
          <w:szCs w:val="22"/>
        </w:rPr>
        <w:t>papier et impression;</w:t>
      </w:r>
      <w:r w:rsidRPr="0085128E">
        <w:t xml:space="preserve"> </w:t>
      </w:r>
      <w:r w:rsidR="00C833CB" w:rsidRPr="0085128E">
        <w:rPr>
          <w:szCs w:val="22"/>
        </w:rPr>
        <w:t xml:space="preserve"> </w:t>
      </w:r>
      <w:r w:rsidRPr="0085128E">
        <w:rPr>
          <w:szCs w:val="22"/>
        </w:rPr>
        <w:t>autres travaux d</w:t>
      </w:r>
      <w:r w:rsidR="008D0CFD" w:rsidRPr="0085128E">
        <w:rPr>
          <w:szCs w:val="22"/>
        </w:rPr>
        <w:t>’</w:t>
      </w:r>
      <w:r w:rsidRPr="0085128E">
        <w:rPr>
          <w:szCs w:val="22"/>
        </w:rPr>
        <w:t>impression</w:t>
      </w:r>
      <w:r w:rsidR="008D0CFD" w:rsidRPr="0085128E">
        <w:rPr>
          <w:szCs w:val="22"/>
        </w:rPr>
        <w:t> :</w:t>
      </w:r>
      <w:r w:rsidRPr="0085128E">
        <w:rPr>
          <w:szCs w:val="22"/>
        </w:rPr>
        <w:t xml:space="preserve"> tirages à part d</w:t>
      </w:r>
      <w:r w:rsidR="008D0CFD" w:rsidRPr="0085128E">
        <w:rPr>
          <w:szCs w:val="22"/>
        </w:rPr>
        <w:t>’</w:t>
      </w:r>
      <w:r w:rsidRPr="0085128E">
        <w:rPr>
          <w:szCs w:val="22"/>
        </w:rPr>
        <w:t>articles parus dans les revues;</w:t>
      </w:r>
      <w:r w:rsidRPr="0085128E">
        <w:t xml:space="preserve"> </w:t>
      </w:r>
      <w:r w:rsidR="00C833CB" w:rsidRPr="0085128E">
        <w:rPr>
          <w:szCs w:val="22"/>
        </w:rPr>
        <w:t xml:space="preserve"> </w:t>
      </w:r>
      <w:r w:rsidRPr="0085128E">
        <w:rPr>
          <w:szCs w:val="22"/>
        </w:rPr>
        <w:t>brochures;</w:t>
      </w:r>
      <w:r w:rsidRPr="0085128E">
        <w:t xml:space="preserve"> </w:t>
      </w:r>
      <w:r w:rsidR="00C833CB" w:rsidRPr="0085128E">
        <w:rPr>
          <w:szCs w:val="22"/>
        </w:rPr>
        <w:t xml:space="preserve"> </w:t>
      </w:r>
      <w:r w:rsidRPr="0085128E">
        <w:rPr>
          <w:szCs w:val="22"/>
        </w:rPr>
        <w:t>traités;</w:t>
      </w:r>
      <w:r w:rsidRPr="0085128E">
        <w:t xml:space="preserve"> </w:t>
      </w:r>
      <w:r w:rsidR="00C833CB" w:rsidRPr="0085128E">
        <w:rPr>
          <w:szCs w:val="22"/>
        </w:rPr>
        <w:t xml:space="preserve"> </w:t>
      </w:r>
      <w:r w:rsidRPr="0085128E">
        <w:rPr>
          <w:szCs w:val="22"/>
        </w:rPr>
        <w:t>recueils;</w:t>
      </w:r>
      <w:r w:rsidRPr="0085128E">
        <w:t xml:space="preserve"> </w:t>
      </w:r>
      <w:r w:rsidR="00C833CB" w:rsidRPr="0085128E">
        <w:rPr>
          <w:szCs w:val="22"/>
        </w:rPr>
        <w:t xml:space="preserve"> </w:t>
      </w:r>
      <w:r w:rsidRPr="0085128E">
        <w:rPr>
          <w:szCs w:val="22"/>
        </w:rPr>
        <w:t>manuels;</w:t>
      </w:r>
      <w:r w:rsidRPr="0085128E">
        <w:t xml:space="preserve"> </w:t>
      </w:r>
      <w:r w:rsidR="00C833CB" w:rsidRPr="0085128E">
        <w:rPr>
          <w:szCs w:val="22"/>
        </w:rPr>
        <w:t xml:space="preserve"> </w:t>
      </w:r>
      <w:r w:rsidRPr="0085128E">
        <w:rPr>
          <w:szCs w:val="22"/>
        </w:rPr>
        <w:t>formulaires de travail et autres travaux d</w:t>
      </w:r>
      <w:r w:rsidR="008D0CFD" w:rsidRPr="0085128E">
        <w:rPr>
          <w:szCs w:val="22"/>
        </w:rPr>
        <w:t>’</w:t>
      </w:r>
      <w:r w:rsidRPr="0085128E">
        <w:rPr>
          <w:szCs w:val="22"/>
        </w:rPr>
        <w:t>impression divers;</w:t>
      </w:r>
      <w:r w:rsidR="00C833CB" w:rsidRPr="0085128E">
        <w:rPr>
          <w:szCs w:val="22"/>
        </w:rPr>
        <w:t xml:space="preserve"> </w:t>
      </w:r>
      <w:r w:rsidRPr="0085128E">
        <w:t xml:space="preserve"> </w:t>
      </w:r>
      <w:r w:rsidRPr="0085128E">
        <w:rPr>
          <w:szCs w:val="22"/>
        </w:rPr>
        <w:t>production de CD</w:t>
      </w:r>
      <w:r w:rsidR="008D0CFD" w:rsidRPr="0085128E">
        <w:rPr>
          <w:szCs w:val="22"/>
        </w:rPr>
        <w:t>-</w:t>
      </w:r>
      <w:r w:rsidRPr="0085128E">
        <w:rPr>
          <w:szCs w:val="22"/>
        </w:rPr>
        <w:t>ROM, de cassettes vidéo, de bandes magnétiques et autres formes de publication électronique.</w:t>
      </w:r>
    </w:p>
    <w:p w:rsidR="00720382" w:rsidRPr="0085128E" w:rsidRDefault="00720382" w:rsidP="0085128E"/>
    <w:p w:rsidR="00720382" w:rsidRPr="0085128E" w:rsidRDefault="00345FFE" w:rsidP="0085128E">
      <w:pPr>
        <w:rPr>
          <w:szCs w:val="22"/>
        </w:rPr>
      </w:pPr>
      <w:r w:rsidRPr="0085128E">
        <w:rPr>
          <w:b/>
          <w:i/>
          <w:szCs w:val="22"/>
        </w:rPr>
        <w:t>Services contractuels de personnes</w:t>
      </w:r>
      <w:r w:rsidR="008D0CFD" w:rsidRPr="0085128E">
        <w:rPr>
          <w:b/>
          <w:i/>
          <w:szCs w:val="22"/>
        </w:rPr>
        <w:t> :</w:t>
      </w:r>
      <w:r w:rsidRPr="0085128E">
        <w:rPr>
          <w:szCs w:val="22"/>
        </w:rPr>
        <w:t xml:space="preserve"> rémunération versée pour des services contractuels de personn</w:t>
      </w:r>
      <w:r w:rsidR="009F5A99" w:rsidRPr="0085128E">
        <w:rPr>
          <w:szCs w:val="22"/>
        </w:rPr>
        <w:t>es.  Ce</w:t>
      </w:r>
      <w:r w:rsidRPr="0085128E">
        <w:rPr>
          <w:szCs w:val="22"/>
        </w:rPr>
        <w:t>tte catégorie comprend également le budget pour les honoraires d</w:t>
      </w:r>
      <w:r w:rsidR="008D0CFD" w:rsidRPr="0085128E">
        <w:rPr>
          <w:szCs w:val="22"/>
        </w:rPr>
        <w:t>’</w:t>
      </w:r>
      <w:r w:rsidRPr="0085128E">
        <w:rPr>
          <w:szCs w:val="22"/>
        </w:rPr>
        <w:t>experts.</w:t>
      </w:r>
    </w:p>
    <w:p w:rsidR="00720382" w:rsidRPr="0085128E" w:rsidRDefault="00720382" w:rsidP="0085128E"/>
    <w:p w:rsidR="00720382" w:rsidRPr="0085128E" w:rsidRDefault="00345FFE" w:rsidP="0085128E">
      <w:pPr>
        <w:rPr>
          <w:szCs w:val="22"/>
        </w:rPr>
      </w:pPr>
      <w:r w:rsidRPr="0085128E">
        <w:rPr>
          <w:b/>
          <w:i/>
          <w:szCs w:val="22"/>
        </w:rPr>
        <w:t>Autres services contractuels</w:t>
      </w:r>
      <w:r w:rsidR="008D0CFD" w:rsidRPr="0085128E">
        <w:rPr>
          <w:b/>
          <w:i/>
          <w:szCs w:val="22"/>
        </w:rPr>
        <w:t> :</w:t>
      </w:r>
      <w:r w:rsidRPr="0085128E">
        <w:rPr>
          <w:b/>
          <w:i/>
          <w:szCs w:val="22"/>
        </w:rPr>
        <w:t xml:space="preserve"> </w:t>
      </w:r>
      <w:r w:rsidRPr="0085128E">
        <w:rPr>
          <w:szCs w:val="22"/>
        </w:rPr>
        <w:t>comprend tous les autres services contractuels conclus avec des prestataires de services commerciaux et non commerciaux.</w:t>
      </w:r>
    </w:p>
    <w:p w:rsidR="00720382" w:rsidRPr="0085128E" w:rsidRDefault="00720382" w:rsidP="0085128E"/>
    <w:p w:rsidR="00720382" w:rsidRPr="0085128E" w:rsidRDefault="00345FFE" w:rsidP="0085128E">
      <w:pPr>
        <w:keepNext/>
        <w:rPr>
          <w:b/>
        </w:rPr>
      </w:pPr>
      <w:r w:rsidRPr="0085128E">
        <w:rPr>
          <w:b/>
        </w:rPr>
        <w:t>Dépenses de fonctionnement</w:t>
      </w:r>
    </w:p>
    <w:p w:rsidR="00720382" w:rsidRPr="0085128E" w:rsidRDefault="00720382" w:rsidP="0085128E">
      <w:pPr>
        <w:keepNext/>
        <w:rPr>
          <w:b/>
          <w:u w:val="single"/>
        </w:rPr>
      </w:pPr>
    </w:p>
    <w:p w:rsidR="00720382" w:rsidRPr="0085128E" w:rsidRDefault="00345FFE" w:rsidP="0085128E">
      <w:r w:rsidRPr="0085128E">
        <w:t>Toutes les dépenses afférentes à l</w:t>
      </w:r>
      <w:r w:rsidR="008D0CFD" w:rsidRPr="0085128E">
        <w:t>’</w:t>
      </w:r>
      <w:r w:rsidRPr="0085128E">
        <w:t>acquisition, à la location, à l</w:t>
      </w:r>
      <w:r w:rsidR="008D0CFD" w:rsidRPr="0085128E">
        <w:t>’</w:t>
      </w:r>
      <w:r w:rsidRPr="0085128E">
        <w:t>amélioration et à l</w:t>
      </w:r>
      <w:r w:rsidR="008D0CFD" w:rsidRPr="0085128E">
        <w:t>’</w:t>
      </w:r>
      <w:r w:rsidRPr="0085128E">
        <w:t>entretien de bureaux et à la location ou à l</w:t>
      </w:r>
      <w:r w:rsidR="008D0CFD" w:rsidRPr="0085128E">
        <w:t>’</w:t>
      </w:r>
      <w:r w:rsidRPr="0085128E">
        <w:t>entretien de matériel et de mobili</w:t>
      </w:r>
      <w:r w:rsidR="009F5A99" w:rsidRPr="0085128E">
        <w:t>er.  Dé</w:t>
      </w:r>
      <w:r w:rsidR="00B41A59" w:rsidRPr="0085128E">
        <w:t xml:space="preserve">penses de communication comprenant les frais de téléphone, télégraphe, télex, télécopie et courrier, </w:t>
      </w:r>
      <w:r w:rsidR="008D0CFD" w:rsidRPr="0085128E">
        <w:t>y compris</w:t>
      </w:r>
      <w:r w:rsidR="00B41A59" w:rsidRPr="0085128E">
        <w:t xml:space="preserve"> les frais de port et de transport des documents; </w:t>
      </w:r>
      <w:r w:rsidR="00C833CB" w:rsidRPr="0085128E">
        <w:t xml:space="preserve"> </w:t>
      </w:r>
      <w:r w:rsidR="00B41A59" w:rsidRPr="0085128E">
        <w:t>autres dépenses de fonctionnement, notamment</w:t>
      </w:r>
      <w:r w:rsidR="008D0CFD" w:rsidRPr="0085128E">
        <w:t> :</w:t>
      </w:r>
      <w:r w:rsidR="00B41A59" w:rsidRPr="0085128E">
        <w:t xml:space="preserve"> assistance médicale, service logement, tribunal administratif, association du personnel, frais de représentation; </w:t>
      </w:r>
      <w:r w:rsidR="00C833CB" w:rsidRPr="0085128E">
        <w:t xml:space="preserve"> </w:t>
      </w:r>
      <w:r w:rsidR="00B41A59" w:rsidRPr="0085128E">
        <w:t>frais bancaires;  intérêts sur prêts bancaires et autres (à l</w:t>
      </w:r>
      <w:r w:rsidR="008D0CFD" w:rsidRPr="0085128E">
        <w:t>’</w:t>
      </w:r>
      <w:r w:rsidR="00B41A59" w:rsidRPr="0085128E">
        <w:t xml:space="preserve">exception des prêts relatifs aux bâtiments);  ajustements de change (débits);  dépenses relatives à la vérification des comptes;  dépenses imprévues et ajustements comptables (débits) relatifs à des années antérieures, et contributions aux activités administratives communes dans le cadre du régime commun des </w:t>
      </w:r>
      <w:r w:rsidR="008D0CFD" w:rsidRPr="0085128E">
        <w:t>Nations Uni</w:t>
      </w:r>
      <w:r w:rsidR="009F5A99" w:rsidRPr="0085128E">
        <w:t>es.  En</w:t>
      </w:r>
      <w:r w:rsidR="00B41A59" w:rsidRPr="0085128E">
        <w:t xml:space="preserve"> outre, toutes les dépenses communes liées soit à des activités communes avec l</w:t>
      </w:r>
      <w:r w:rsidR="008D0CFD" w:rsidRPr="0085128E">
        <w:t>’</w:t>
      </w:r>
      <w:r w:rsidR="00B41A59" w:rsidRPr="0085128E">
        <w:t>OMPI, soit à des services effectivement rendus par l</w:t>
      </w:r>
      <w:r w:rsidR="008D0CFD" w:rsidRPr="0085128E">
        <w:t>’</w:t>
      </w:r>
      <w:r w:rsidR="00B41A59" w:rsidRPr="0085128E">
        <w:t>OMPI.</w:t>
      </w:r>
    </w:p>
    <w:p w:rsidR="00720382" w:rsidRPr="0085128E" w:rsidRDefault="00720382" w:rsidP="0085128E">
      <w:pPr>
        <w:rPr>
          <w:rStyle w:val="underline"/>
          <w:b/>
        </w:rPr>
      </w:pPr>
    </w:p>
    <w:p w:rsidR="00720382" w:rsidRPr="0085128E" w:rsidRDefault="00B41A59" w:rsidP="0085128E">
      <w:pPr>
        <w:jc w:val="left"/>
        <w:rPr>
          <w:rFonts w:cs="Arial"/>
          <w:b/>
          <w:bCs/>
        </w:rPr>
      </w:pPr>
      <w:r w:rsidRPr="0085128E">
        <w:rPr>
          <w:rFonts w:cs="Arial"/>
          <w:b/>
          <w:bCs/>
        </w:rPr>
        <w:t>Matériel et fournitures</w:t>
      </w:r>
    </w:p>
    <w:p w:rsidR="00720382" w:rsidRPr="0085128E" w:rsidRDefault="00720382" w:rsidP="0085128E">
      <w:pPr>
        <w:rPr>
          <w:rFonts w:cs="Arial"/>
        </w:rPr>
      </w:pPr>
    </w:p>
    <w:p w:rsidR="00720382" w:rsidRPr="0085128E" w:rsidRDefault="00B41A59" w:rsidP="0085128E">
      <w:pPr>
        <w:rPr>
          <w:rFonts w:cs="Arial"/>
        </w:rPr>
      </w:pPr>
      <w:r w:rsidRPr="0085128E">
        <w:rPr>
          <w:rFonts w:cs="Arial"/>
          <w:b/>
          <w:i/>
        </w:rPr>
        <w:t>Mobilier et matériel</w:t>
      </w:r>
      <w:r w:rsidR="008D0CFD" w:rsidRPr="0085128E">
        <w:rPr>
          <w:rFonts w:cs="Arial"/>
          <w:b/>
          <w:i/>
        </w:rPr>
        <w:t> :</w:t>
      </w:r>
      <w:r w:rsidRPr="0085128E">
        <w:rPr>
          <w:rFonts w:cs="Arial"/>
          <w:b/>
          <w:i/>
        </w:rPr>
        <w:t xml:space="preserve"> </w:t>
      </w:r>
      <w:r w:rsidRPr="0085128E">
        <w:rPr>
          <w:rFonts w:cs="Arial"/>
        </w:rPr>
        <w:t>achat de mobilier et machines de bureau, de matériel informatique (ordinateurs personnels, ordinateurs portables, imprimantes, serveurs, etc.), de matériel utilisé pour les conférences, de matériel de reproduction des documents et de matériel de transport.</w:t>
      </w:r>
    </w:p>
    <w:p w:rsidR="00720382" w:rsidRPr="0085128E" w:rsidRDefault="00720382" w:rsidP="0085128E"/>
    <w:p w:rsidR="00720382" w:rsidRPr="0085128E" w:rsidRDefault="00B41A59" w:rsidP="0085128E">
      <w:pPr>
        <w:rPr>
          <w:rFonts w:cs="Arial"/>
        </w:rPr>
      </w:pPr>
      <w:r w:rsidRPr="0085128E">
        <w:rPr>
          <w:rFonts w:cs="Arial"/>
          <w:b/>
          <w:i/>
        </w:rPr>
        <w:t>Fournitures</w:t>
      </w:r>
      <w:r w:rsidR="008D0CFD" w:rsidRPr="0085128E">
        <w:rPr>
          <w:rFonts w:cs="Arial"/>
          <w:b/>
          <w:i/>
        </w:rPr>
        <w:t> :</w:t>
      </w:r>
      <w:r w:rsidRPr="0085128E">
        <w:rPr>
          <w:rFonts w:cs="Arial"/>
          <w:b/>
          <w:i/>
        </w:rPr>
        <w:t xml:space="preserve"> </w:t>
      </w:r>
      <w:r w:rsidRPr="0085128E">
        <w:rPr>
          <w:rFonts w:cs="Arial"/>
        </w:rPr>
        <w:t>papier et fournitures de bureau;</w:t>
      </w:r>
      <w:r w:rsidRPr="0085128E">
        <w:t xml:space="preserve"> </w:t>
      </w:r>
      <w:r w:rsidR="00C833CB" w:rsidRPr="0085128E">
        <w:rPr>
          <w:rFonts w:cs="Arial"/>
        </w:rPr>
        <w:t xml:space="preserve"> </w:t>
      </w:r>
      <w:r w:rsidRPr="0085128E">
        <w:rPr>
          <w:rFonts w:cs="Arial"/>
        </w:rPr>
        <w:t>fournitures de reproduction interne (offset, microfilms, etc.);</w:t>
      </w:r>
      <w:r w:rsidRPr="0085128E">
        <w:t xml:space="preserve"> </w:t>
      </w:r>
      <w:r w:rsidR="00C833CB" w:rsidRPr="0085128E">
        <w:rPr>
          <w:rFonts w:cs="Arial"/>
        </w:rPr>
        <w:t xml:space="preserve"> </w:t>
      </w:r>
      <w:r w:rsidRPr="0085128E">
        <w:rPr>
          <w:rFonts w:cs="Arial"/>
        </w:rPr>
        <w:t>livres de bibliothèque et abonnements à des revues et périodiques;</w:t>
      </w:r>
      <w:r w:rsidRPr="0085128E">
        <w:t xml:space="preserve"> </w:t>
      </w:r>
      <w:r w:rsidR="00C833CB" w:rsidRPr="0085128E">
        <w:rPr>
          <w:rFonts w:cs="Arial"/>
        </w:rPr>
        <w:t xml:space="preserve"> </w:t>
      </w:r>
      <w:r w:rsidR="00060779" w:rsidRPr="0085128E">
        <w:rPr>
          <w:rFonts w:cs="Arial"/>
        </w:rPr>
        <w:t xml:space="preserve">uniformes; </w:t>
      </w:r>
      <w:r w:rsidR="00C833CB" w:rsidRPr="0085128E">
        <w:rPr>
          <w:rFonts w:cs="Arial"/>
        </w:rPr>
        <w:t xml:space="preserve"> </w:t>
      </w:r>
      <w:r w:rsidR="00060779" w:rsidRPr="0085128E">
        <w:rPr>
          <w:rFonts w:cs="Arial"/>
        </w:rPr>
        <w:t>fournitures</w:t>
      </w:r>
      <w:r w:rsidRPr="0085128E">
        <w:rPr>
          <w:rFonts w:cs="Arial"/>
        </w:rPr>
        <w:t xml:space="preserve"> de traitement de données;</w:t>
      </w:r>
      <w:r w:rsidR="00C833CB" w:rsidRPr="0085128E">
        <w:rPr>
          <w:rFonts w:cs="Arial"/>
        </w:rPr>
        <w:t xml:space="preserve"> </w:t>
      </w:r>
      <w:r w:rsidRPr="0085128E">
        <w:t xml:space="preserve"> </w:t>
      </w:r>
      <w:r w:rsidRPr="0085128E">
        <w:rPr>
          <w:rFonts w:cs="Arial"/>
        </w:rPr>
        <w:t>logiciels et licences informatiques.</w:t>
      </w:r>
    </w:p>
    <w:p w:rsidR="00720382" w:rsidRPr="0085128E" w:rsidRDefault="00720382" w:rsidP="0085128E"/>
    <w:p w:rsidR="00720382" w:rsidRPr="0085128E" w:rsidRDefault="00720382" w:rsidP="0085128E"/>
    <w:p w:rsidR="00720382" w:rsidRPr="0085128E" w:rsidRDefault="00B41A59" w:rsidP="0085128E">
      <w:pPr>
        <w:jc w:val="center"/>
        <w:rPr>
          <w:rStyle w:val="underline"/>
          <w:b/>
          <w:szCs w:val="24"/>
        </w:rPr>
      </w:pPr>
      <w:r w:rsidRPr="0085128E">
        <w:rPr>
          <w:rStyle w:val="underline"/>
          <w:b/>
          <w:szCs w:val="24"/>
        </w:rPr>
        <w:t>Programme</w:t>
      </w:r>
    </w:p>
    <w:p w:rsidR="00720382" w:rsidRPr="0085128E" w:rsidRDefault="00720382" w:rsidP="0085128E">
      <w:pPr>
        <w:jc w:val="center"/>
      </w:pPr>
    </w:p>
    <w:p w:rsidR="00720382" w:rsidRPr="0085128E" w:rsidRDefault="00B41A59" w:rsidP="0085128E">
      <w:r w:rsidRPr="0085128E">
        <w:rPr>
          <w:b/>
        </w:rPr>
        <w:t>Programme principal</w:t>
      </w:r>
      <w:r w:rsidR="008D0CFD" w:rsidRPr="0085128E">
        <w:rPr>
          <w:b/>
        </w:rPr>
        <w:t> :</w:t>
      </w:r>
      <w:r w:rsidRPr="0085128E">
        <w:t xml:space="preserve"> le programme de l</w:t>
      </w:r>
      <w:r w:rsidR="008D0CFD" w:rsidRPr="0085128E">
        <w:t>’</w:t>
      </w:r>
      <w:r w:rsidRPr="0085128E">
        <w:t>UPOV consiste en un programme principal unique qui a été conçu de manière à répondre aux priorités définies par les membres de l</w:t>
      </w:r>
      <w:r w:rsidR="008D0CFD" w:rsidRPr="0085128E">
        <w:t>’</w:t>
      </w:r>
      <w:r w:rsidRPr="0085128E">
        <w:t>Uni</w:t>
      </w:r>
      <w:r w:rsidR="009F5A99" w:rsidRPr="0085128E">
        <w:t>on.  Se</w:t>
      </w:r>
      <w:r w:rsidRPr="0085128E">
        <w:t>s objectifs, ambitieux, sont regroupés par type dans les différents sous</w:t>
      </w:r>
      <w:r w:rsidR="008D0CFD" w:rsidRPr="0085128E">
        <w:t>-</w:t>
      </w:r>
      <w:r w:rsidRPr="0085128E">
        <w:t>programmes.</w:t>
      </w:r>
    </w:p>
    <w:p w:rsidR="00720382" w:rsidRPr="0085128E" w:rsidRDefault="00720382" w:rsidP="0085128E"/>
    <w:p w:rsidR="00720382" w:rsidRPr="0085128E" w:rsidRDefault="00B41A59" w:rsidP="0085128E">
      <w:r w:rsidRPr="0085128E">
        <w:rPr>
          <w:b/>
        </w:rPr>
        <w:t>Sous</w:t>
      </w:r>
      <w:r w:rsidR="008D0CFD" w:rsidRPr="0085128E">
        <w:rPr>
          <w:b/>
        </w:rPr>
        <w:t>-</w:t>
      </w:r>
      <w:r w:rsidRPr="0085128E">
        <w:rPr>
          <w:b/>
        </w:rPr>
        <w:t>programmes</w:t>
      </w:r>
      <w:r w:rsidR="008D0CFD" w:rsidRPr="0085128E">
        <w:rPr>
          <w:b/>
        </w:rPr>
        <w:t> :</w:t>
      </w:r>
      <w:r w:rsidRPr="0085128E">
        <w:t xml:space="preserve"> le programme principal de l</w:t>
      </w:r>
      <w:r w:rsidR="008D0CFD" w:rsidRPr="0085128E">
        <w:t>’</w:t>
      </w:r>
      <w:r w:rsidRPr="0085128E">
        <w:t>UPOV est divisé en quatre</w:t>
      </w:r>
      <w:r w:rsidR="00C833CB" w:rsidRPr="0085128E">
        <w:t> </w:t>
      </w:r>
      <w:r w:rsidRPr="0085128E">
        <w:t>sous</w:t>
      </w:r>
      <w:r w:rsidR="008D0CFD" w:rsidRPr="0085128E">
        <w:t>-</w:t>
      </w:r>
      <w:r w:rsidRPr="0085128E">
        <w:t>programmes (UV.1</w:t>
      </w:r>
      <w:r w:rsidR="008D0CFD" w:rsidRPr="0085128E">
        <w:t>-</w:t>
      </w:r>
      <w:r w:rsidRPr="0085128E">
        <w:t>UV.4).</w:t>
      </w:r>
      <w:r w:rsidR="00604822" w:rsidRPr="0085128E">
        <w:t xml:space="preserve">  </w:t>
      </w:r>
      <w:r w:rsidRPr="0085128E">
        <w:t>Les progrès effectués dans le cadre de chaque sous</w:t>
      </w:r>
      <w:r w:rsidR="008D0CFD" w:rsidRPr="0085128E">
        <w:t>-</w:t>
      </w:r>
      <w:r w:rsidRPr="0085128E">
        <w:t>programme font l</w:t>
      </w:r>
      <w:r w:rsidR="008D0CFD" w:rsidRPr="0085128E">
        <w:t>’</w:t>
      </w:r>
      <w:r w:rsidRPr="0085128E">
        <w:t>objet d</w:t>
      </w:r>
      <w:r w:rsidR="008D0CFD" w:rsidRPr="0085128E">
        <w:t>’</w:t>
      </w:r>
      <w:r w:rsidRPr="0085128E">
        <w:t>un suivi au regard d</w:t>
      </w:r>
      <w:r w:rsidR="008D0CFD" w:rsidRPr="0085128E">
        <w:t>’</w:t>
      </w:r>
      <w:r w:rsidRPr="0085128E">
        <w:t>objectifs prédéfin</w:t>
      </w:r>
      <w:r w:rsidR="009F5A99" w:rsidRPr="0085128E">
        <w:t>is.  Ce</w:t>
      </w:r>
      <w:r w:rsidRPr="0085128E">
        <w:t>tte méthode s</w:t>
      </w:r>
      <w:r w:rsidR="008D0CFD" w:rsidRPr="0085128E">
        <w:t>’</w:t>
      </w:r>
      <w:r w:rsidRPr="0085128E">
        <w:t>appuie sur une utilisation efficace et rentable des ressources et un système de reddition des comptes pour la mise en œuvre du programme.</w:t>
      </w:r>
    </w:p>
    <w:p w:rsidR="00720382" w:rsidRPr="0085128E" w:rsidRDefault="00B41A59" w:rsidP="0085128E">
      <w:pPr>
        <w:pStyle w:val="endofdoc"/>
        <w:rPr>
          <w:rFonts w:cs="Arial"/>
          <w:lang w:val="fr-FR"/>
        </w:rPr>
      </w:pPr>
      <w:r w:rsidRPr="0085128E">
        <w:rPr>
          <w:rFonts w:cs="Arial"/>
          <w:lang w:val="fr-FR"/>
        </w:rPr>
        <w:t>[Fin de l</w:t>
      </w:r>
      <w:r w:rsidR="008D0CFD" w:rsidRPr="0085128E">
        <w:rPr>
          <w:rFonts w:cs="Arial"/>
          <w:lang w:val="fr-FR"/>
        </w:rPr>
        <w:t>’</w:t>
      </w:r>
      <w:r w:rsidRPr="0085128E">
        <w:rPr>
          <w:rFonts w:cs="Arial"/>
          <w:lang w:val="fr-FR"/>
        </w:rPr>
        <w:t>annexe et du document]</w:t>
      </w:r>
      <w:bookmarkStart w:id="235" w:name="_GoBack"/>
      <w:bookmarkEnd w:id="235"/>
    </w:p>
    <w:sectPr w:rsidR="00720382" w:rsidRPr="0085128E" w:rsidSect="003711EE">
      <w:headerReference w:type="default" r:id="rId38"/>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59" w:rsidRDefault="00EE3659" w:rsidP="006655D3">
      <w:r>
        <w:separator/>
      </w:r>
    </w:p>
    <w:p w:rsidR="00EE3659" w:rsidRDefault="00EE3659" w:rsidP="006655D3"/>
    <w:p w:rsidR="00EE3659" w:rsidRDefault="00EE3659" w:rsidP="006655D3"/>
  </w:endnote>
  <w:endnote w:type="continuationSeparator" w:id="0">
    <w:p w:rsidR="00EE3659" w:rsidRDefault="00EE3659" w:rsidP="006655D3">
      <w:r>
        <w:separator/>
      </w:r>
    </w:p>
    <w:p w:rsidR="00EE3659" w:rsidRPr="00294751" w:rsidRDefault="00EE3659">
      <w:pPr>
        <w:pStyle w:val="Footer"/>
        <w:spacing w:after="60"/>
        <w:rPr>
          <w:sz w:val="18"/>
          <w:lang w:val="fr-FR"/>
        </w:rPr>
      </w:pPr>
      <w:r w:rsidRPr="00294751">
        <w:rPr>
          <w:sz w:val="18"/>
          <w:lang w:val="fr-FR"/>
        </w:rPr>
        <w:t>[Suite de la note de la page précédente]</w:t>
      </w:r>
    </w:p>
    <w:p w:rsidR="00EE3659" w:rsidRPr="00294751" w:rsidRDefault="00EE3659" w:rsidP="006655D3"/>
    <w:p w:rsidR="00EE3659" w:rsidRPr="00294751" w:rsidRDefault="00EE3659" w:rsidP="006655D3"/>
  </w:endnote>
  <w:endnote w:type="continuationNotice" w:id="1">
    <w:p w:rsidR="00EE3659" w:rsidRPr="00294751" w:rsidRDefault="00EE3659" w:rsidP="006655D3">
      <w:r w:rsidRPr="00294751">
        <w:t>[Suite de la note page suivante]</w:t>
      </w:r>
    </w:p>
    <w:p w:rsidR="00EE3659" w:rsidRPr="00294751" w:rsidRDefault="00EE3659" w:rsidP="006655D3"/>
    <w:p w:rsidR="00EE3659" w:rsidRPr="00294751" w:rsidRDefault="00EE365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Default="00EE3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59" w:rsidRDefault="00EE3659" w:rsidP="006655D3">
      <w:r>
        <w:separator/>
      </w:r>
    </w:p>
  </w:footnote>
  <w:footnote w:type="continuationSeparator" w:id="0">
    <w:p w:rsidR="00EE3659" w:rsidRDefault="00EE3659" w:rsidP="006655D3">
      <w:r>
        <w:separator/>
      </w:r>
    </w:p>
  </w:footnote>
  <w:footnote w:type="continuationNotice" w:id="1">
    <w:p w:rsidR="00EE3659" w:rsidRPr="00AB530F" w:rsidRDefault="00EE3659" w:rsidP="00AB530F">
      <w:pPr>
        <w:pStyle w:val="Footer"/>
      </w:pPr>
    </w:p>
  </w:footnote>
  <w:footnote w:id="2">
    <w:p w:rsidR="00EE3659" w:rsidRPr="0085128E" w:rsidRDefault="00EE3659" w:rsidP="008547FF">
      <w:pPr>
        <w:pStyle w:val="FootnoteText"/>
        <w:rPr>
          <w:lang w:val="fr-CH"/>
        </w:rPr>
      </w:pPr>
      <w:r w:rsidRPr="0085128E">
        <w:rPr>
          <w:rStyle w:val="FootnoteReference"/>
        </w:rPr>
        <w:footnoteRef/>
      </w:r>
      <w:r w:rsidRPr="0085128E">
        <w:t xml:space="preserve"> </w:t>
      </w:r>
      <w:r w:rsidRPr="0085128E">
        <w:tab/>
      </w:r>
      <w:hyperlink r:id="rId1" w:history="1">
        <w:r w:rsidRPr="00386DDE">
          <w:rPr>
            <w:rStyle w:val="Hyperlink"/>
          </w:rPr>
          <w:t>http://www.upov.int/edocs/pubdocs/fr/upov_pub_353.pdf</w:t>
        </w:r>
      </w:hyperlink>
      <w:r>
        <w:t xml:space="preserve"> </w:t>
      </w:r>
    </w:p>
  </w:footnote>
  <w:footnote w:id="3">
    <w:p w:rsidR="00EE3659" w:rsidRPr="0085128E" w:rsidRDefault="00EE3659" w:rsidP="008547FF">
      <w:pPr>
        <w:pStyle w:val="FootnoteText"/>
      </w:pPr>
      <w:r w:rsidRPr="0085128E">
        <w:rPr>
          <w:rStyle w:val="FootnoteReference"/>
        </w:rPr>
        <w:footnoteRef/>
      </w:r>
      <w:r w:rsidRPr="0085128E">
        <w:t xml:space="preserve"> </w:t>
      </w:r>
      <w:r w:rsidRPr="0085128E">
        <w:tab/>
        <w:t>(C’est-à-dire les territoires des États concernés (Ex-République yougoslave de Macédoine, Pérou, Serbie, Monténégro et République-Unie de Tanzanie) et le territoire sur lequel s’applique le traité constitutif de l’OAPI).</w:t>
      </w:r>
    </w:p>
  </w:footnote>
  <w:footnote w:id="4">
    <w:p w:rsidR="00EE3659" w:rsidRPr="0085128E" w:rsidRDefault="00EE3659" w:rsidP="008547FF">
      <w:pPr>
        <w:pStyle w:val="FootnoteText"/>
        <w:rPr>
          <w:lang w:val="fr-CH"/>
        </w:rPr>
      </w:pPr>
      <w:r w:rsidRPr="0085128E">
        <w:rPr>
          <w:rStyle w:val="FootnoteReference"/>
        </w:rPr>
        <w:footnoteRef/>
      </w:r>
      <w:r w:rsidRPr="0085128E">
        <w:rPr>
          <w:lang w:val="fr-CH"/>
        </w:rPr>
        <w:t xml:space="preserve"> </w:t>
      </w:r>
      <w:r w:rsidRPr="0085128E">
        <w:rPr>
          <w:lang w:val="fr-CH"/>
        </w:rPr>
        <w:tab/>
        <w:t xml:space="preserve">Voir le paragraphe 48 du document C/50/17 </w:t>
      </w:r>
      <w:r>
        <w:t>“Report by the Vice-President on the work of the ninety-second session of the Consultative Committee; adoption of recommendations, if any, prepared by that committee” (</w:t>
      </w:r>
      <w:r w:rsidRPr="0085128E">
        <w:rPr>
          <w:lang w:val="fr-CH"/>
        </w:rPr>
        <w:t>“Rapport du vice-président sur les travaux de la quatre-vingt-douzième session du Comité consultatif;  adoption, le cas échéant, des recommandations, élaborée par ce comité”</w:t>
      </w:r>
      <w:r>
        <w:rPr>
          <w:lang w:val="fr-CH"/>
        </w:rPr>
        <w:t>)</w:t>
      </w:r>
      <w:r w:rsidRPr="0085128E">
        <w:rPr>
          <w:lang w:val="fr-CH"/>
        </w:rPr>
        <w:t>.</w:t>
      </w:r>
    </w:p>
  </w:footnote>
  <w:footnote w:id="5">
    <w:p w:rsidR="00EE3659" w:rsidRPr="0085128E" w:rsidRDefault="00EE3659" w:rsidP="008547FF">
      <w:pPr>
        <w:pStyle w:val="FootnoteText"/>
      </w:pPr>
      <w:r w:rsidRPr="0085128E">
        <w:rPr>
          <w:rStyle w:val="FootnoteReference"/>
        </w:rPr>
        <w:footnoteRef/>
      </w:r>
      <w:r w:rsidRPr="0085128E">
        <w:t xml:space="preserve"> </w:t>
      </w:r>
      <w:r w:rsidRPr="0085128E">
        <w:tab/>
        <w:t>Ces exemples tirés de la situation en 2016 ne doivent pas être interprétés comme signifiant un quelconque engagement ou accord financier au-delà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C5280D" w:rsidRDefault="00EE3659" w:rsidP="00EB048E">
    <w:pPr>
      <w:pStyle w:val="Header"/>
      <w:rPr>
        <w:rStyle w:val="PageNumber"/>
        <w:lang w:val="en-US"/>
      </w:rPr>
    </w:pPr>
    <w:r>
      <w:rPr>
        <w:rStyle w:val="PageNumber"/>
        <w:lang w:val="en-US"/>
      </w:rPr>
      <w:t>C/51/4</w:t>
    </w:r>
  </w:p>
  <w:p w:rsidR="00EE3659" w:rsidRPr="00C5280D" w:rsidRDefault="00EE365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5EA5">
      <w:rPr>
        <w:rStyle w:val="PageNumber"/>
        <w:noProof/>
        <w:lang w:val="en-US"/>
      </w:rPr>
      <w:t>2</w:t>
    </w:r>
    <w:r w:rsidRPr="00C5280D">
      <w:rPr>
        <w:rStyle w:val="PageNumber"/>
        <w:lang w:val="en-US"/>
      </w:rPr>
      <w:fldChar w:fldCharType="end"/>
    </w:r>
  </w:p>
  <w:p w:rsidR="00EE3659" w:rsidRPr="00C5280D" w:rsidRDefault="00EE365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FE0119" w:rsidRDefault="00EE3659">
    <w:pPr>
      <w:pStyle w:val="Header"/>
      <w:rPr>
        <w:lang w:val="en-US"/>
      </w:rPr>
    </w:pPr>
    <w:r>
      <w:t>C/51/4</w:t>
    </w:r>
  </w:p>
  <w:p w:rsidR="00EE3659" w:rsidRPr="00FE0119" w:rsidRDefault="00EE3659">
    <w:pPr>
      <w:pStyle w:val="Header"/>
      <w:rPr>
        <w:lang w:val="en-US"/>
      </w:rPr>
    </w:pPr>
    <w:r>
      <w:rPr>
        <w:lang w:val="en-US"/>
      </w:rPr>
      <w:t>Annexe</w:t>
    </w:r>
    <w:r w:rsidRPr="00FE0119">
      <w:rPr>
        <w:lang w:val="en-US"/>
      </w:rPr>
      <w:t xml:space="preserve">, page </w:t>
    </w:r>
    <w:sdt>
      <w:sdtPr>
        <w:rPr>
          <w:lang w:val="en-US"/>
        </w:rPr>
        <w:id w:val="1355917200"/>
        <w:docPartObj>
          <w:docPartGallery w:val="Page Numbers (Top of Page)"/>
          <w:docPartUnique/>
        </w:docPartObj>
      </w:sdtPr>
      <w:sdtEndPr>
        <w:rPr>
          <w:noProof/>
        </w:rPr>
      </w:sdtEndPr>
      <w:sdtContent>
        <w:r w:rsidRPr="009C4BBF">
          <w:rPr>
            <w:lang w:val="en-US"/>
          </w:rPr>
          <w:fldChar w:fldCharType="begin"/>
        </w:r>
        <w:r w:rsidRPr="009C4BBF">
          <w:rPr>
            <w:lang w:val="en-US"/>
          </w:rPr>
          <w:instrText>PAGE   \* MERGEFORMAT</w:instrText>
        </w:r>
        <w:r w:rsidRPr="009C4BBF">
          <w:rPr>
            <w:lang w:val="en-US"/>
          </w:rPr>
          <w:fldChar w:fldCharType="separate"/>
        </w:r>
        <w:r w:rsidR="00625EA5">
          <w:rPr>
            <w:noProof/>
            <w:lang w:val="en-US"/>
          </w:rPr>
          <w:t>29</w:t>
        </w:r>
        <w:r w:rsidRPr="009C4BBF">
          <w:rPr>
            <w:lang w:val="en-US"/>
          </w:rPr>
          <w:fldChar w:fldCharType="end"/>
        </w:r>
      </w:sdtContent>
    </w:sdt>
  </w:p>
  <w:p w:rsidR="00EE3659" w:rsidRPr="00FE0119" w:rsidRDefault="00EE3659" w:rsidP="00962988">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Default="00EE3659" w:rsidP="00962988">
    <w:pPr>
      <w:jc w:val="center"/>
    </w:pPr>
    <w:r>
      <w:t>C/51/4</w:t>
    </w:r>
  </w:p>
  <w:p w:rsidR="00EE3659" w:rsidRDefault="00EE3659" w:rsidP="00962988">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C25CD4" w:rsidRDefault="00EE3659" w:rsidP="00962988">
    <w:pPr>
      <w:jc w:val="center"/>
    </w:pPr>
    <w:r>
      <w:t>C/51/4</w:t>
    </w:r>
  </w:p>
  <w:p w:rsidR="00EE3659" w:rsidRPr="00C25CD4" w:rsidRDefault="00EE3659" w:rsidP="00962988">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0D2E14" w:rsidRDefault="00EE3659" w:rsidP="00962988">
    <w:pPr>
      <w:jc w:val="center"/>
    </w:pPr>
    <w:r>
      <w:t>C/51/4</w:t>
    </w:r>
  </w:p>
  <w:p w:rsidR="00EE3659" w:rsidRPr="000D2E14" w:rsidRDefault="00EE3659" w:rsidP="00962988">
    <w:pPr>
      <w:jc w:val="center"/>
    </w:pPr>
  </w:p>
  <w:p w:rsidR="00EE3659" w:rsidRPr="000D2E14" w:rsidRDefault="00EE3659" w:rsidP="00962988">
    <w:pPr>
      <w:jc w:val="center"/>
    </w:pPr>
    <w:r>
      <w:t>Annexe</w:t>
    </w:r>
    <w:r w:rsidRPr="000D2E14">
      <w:t xml:space="preserve"> – Appendi</w:t>
    </w:r>
    <w:r>
      <w:t>ce</w:t>
    </w:r>
    <w:r w:rsidRPr="000D2E14">
      <w:t xml:space="preserve"> III – page </w:t>
    </w:r>
    <w:r w:rsidRPr="000D2E14">
      <w:fldChar w:fldCharType="begin"/>
    </w:r>
    <w:r w:rsidRPr="000D2E14">
      <w:instrText xml:space="preserve"> PAGE   \* MERGEFORMAT </w:instrText>
    </w:r>
    <w:r w:rsidRPr="000D2E14">
      <w:fldChar w:fldCharType="separate"/>
    </w:r>
    <w:r w:rsidR="00625EA5">
      <w:rPr>
        <w:noProof/>
      </w:rPr>
      <w:t>2</w:t>
    </w:r>
    <w:r w:rsidRPr="000D2E14">
      <w:rPr>
        <w:noProof/>
      </w:rPr>
      <w:fldChar w:fldCharType="end"/>
    </w:r>
  </w:p>
  <w:p w:rsidR="00EE3659" w:rsidRPr="000D2E14" w:rsidRDefault="00EE3659"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6E6F82" w:rsidRDefault="00EE3659" w:rsidP="00962988">
    <w:pPr>
      <w:jc w:val="center"/>
    </w:pPr>
    <w:r>
      <w:t>C/51/4</w:t>
    </w:r>
  </w:p>
  <w:p w:rsidR="00EE3659" w:rsidRPr="006E6F82" w:rsidRDefault="00EE3659" w:rsidP="00962988">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0D2E14" w:rsidRDefault="00EE3659" w:rsidP="00962988">
    <w:pPr>
      <w:jc w:val="center"/>
    </w:pPr>
    <w:r>
      <w:t>C/51/4</w:t>
    </w:r>
  </w:p>
  <w:p w:rsidR="00EE3659" w:rsidRPr="000D2E14" w:rsidRDefault="00EE3659" w:rsidP="00962988">
    <w:pPr>
      <w:jc w:val="center"/>
    </w:pPr>
  </w:p>
  <w:p w:rsidR="00EE3659" w:rsidRPr="000D2E14" w:rsidRDefault="00EE3659" w:rsidP="00962988">
    <w:pPr>
      <w:jc w:val="center"/>
    </w:pPr>
    <w:r>
      <w:t>Annexe – Appendice</w:t>
    </w:r>
    <w:r w:rsidRPr="000D2E14">
      <w:t xml:space="preserve"> I</w:t>
    </w:r>
    <w:r>
      <w:t>V</w:t>
    </w:r>
    <w:r w:rsidRPr="000D2E14">
      <w:t xml:space="preserve"> – page </w:t>
    </w:r>
    <w:r w:rsidRPr="000D2E14">
      <w:fldChar w:fldCharType="begin"/>
    </w:r>
    <w:r w:rsidRPr="000D2E14">
      <w:instrText xml:space="preserve"> PAGE   \* MERGEFORMAT </w:instrText>
    </w:r>
    <w:r w:rsidRPr="000D2E14">
      <w:fldChar w:fldCharType="separate"/>
    </w:r>
    <w:r w:rsidR="00625EA5">
      <w:rPr>
        <w:noProof/>
      </w:rPr>
      <w:t>2</w:t>
    </w:r>
    <w:r w:rsidRPr="000D2E14">
      <w:rPr>
        <w:noProof/>
      </w:rPr>
      <w:fldChar w:fldCharType="end"/>
    </w:r>
  </w:p>
  <w:p w:rsidR="00EE3659" w:rsidRPr="000D2E14" w:rsidRDefault="00EE365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396C67FE"/>
    <w:lvl w:ilvl="0" w:tplc="3CFACEA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AD6A25A2"/>
    <w:lvl w:ilvl="0" w:tplc="3CFACEA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9313078"/>
    <w:multiLevelType w:val="hybridMultilevel"/>
    <w:tmpl w:val="F4969E0A"/>
    <w:lvl w:ilvl="0" w:tplc="3CFACEA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17">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9330FA"/>
    <w:multiLevelType w:val="hybridMultilevel"/>
    <w:tmpl w:val="0ABE559E"/>
    <w:lvl w:ilvl="0" w:tplc="FADC5F80">
      <w:start w:val="1"/>
      <w:numFmt w:val="bullet"/>
      <w:lvlText w:val=""/>
      <w:lvlJc w:val="left"/>
      <w:pPr>
        <w:ind w:left="1134" w:hanging="567"/>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1"/>
  </w:num>
  <w:num w:numId="3">
    <w:abstractNumId w:val="2"/>
  </w:num>
  <w:num w:numId="4">
    <w:abstractNumId w:val="0"/>
  </w:num>
  <w:num w:numId="5">
    <w:abstractNumId w:val="4"/>
  </w:num>
  <w:num w:numId="6">
    <w:abstractNumId w:val="12"/>
  </w:num>
  <w:num w:numId="7">
    <w:abstractNumId w:val="7"/>
  </w:num>
  <w:num w:numId="8">
    <w:abstractNumId w:val="17"/>
  </w:num>
  <w:num w:numId="9">
    <w:abstractNumId w:val="19"/>
  </w:num>
  <w:num w:numId="10">
    <w:abstractNumId w:val="3"/>
  </w:num>
  <w:num w:numId="11">
    <w:abstractNumId w:val="1"/>
  </w:num>
  <w:num w:numId="12">
    <w:abstractNumId w:val="15"/>
  </w:num>
  <w:num w:numId="13">
    <w:abstractNumId w:val="14"/>
  </w:num>
  <w:num w:numId="14">
    <w:abstractNumId w:val="6"/>
  </w:num>
  <w:num w:numId="15">
    <w:abstractNumId w:val="18"/>
  </w:num>
  <w:num w:numId="16">
    <w:abstractNumId w:val="9"/>
  </w:num>
  <w:num w:numId="17">
    <w:abstractNumId w:val="16"/>
  </w:num>
  <w:num w:numId="18">
    <w:abstractNumId w:val="8"/>
  </w:num>
  <w:num w:numId="19">
    <w:abstractNumId w:val="5"/>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TRADTERM|UPOV_Beta|UPOVOld|WIPONew"/>
    <w:docVar w:name="TermBaseURL" w:val="empty"/>
    <w:docVar w:name="TextBases" w:val="Team Server TMs\Chinese|Team Server TMs\Default|Team Server TMs\French|Team Server TMs\Russian|Team Server TMs\Spanis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17732"/>
    <w:rsid w:val="00003E2C"/>
    <w:rsid w:val="0000468F"/>
    <w:rsid w:val="0000704B"/>
    <w:rsid w:val="00010CF3"/>
    <w:rsid w:val="00011E27"/>
    <w:rsid w:val="000148BC"/>
    <w:rsid w:val="000151A5"/>
    <w:rsid w:val="00024AB8"/>
    <w:rsid w:val="00030854"/>
    <w:rsid w:val="00036028"/>
    <w:rsid w:val="00036F86"/>
    <w:rsid w:val="00044642"/>
    <w:rsid w:val="000446B9"/>
    <w:rsid w:val="00047E21"/>
    <w:rsid w:val="00050E16"/>
    <w:rsid w:val="00060779"/>
    <w:rsid w:val="00075565"/>
    <w:rsid w:val="00085505"/>
    <w:rsid w:val="000C02D1"/>
    <w:rsid w:val="000C4E25"/>
    <w:rsid w:val="000C7021"/>
    <w:rsid w:val="000D6BBC"/>
    <w:rsid w:val="000D7780"/>
    <w:rsid w:val="000E0D91"/>
    <w:rsid w:val="000E1937"/>
    <w:rsid w:val="000E636A"/>
    <w:rsid w:val="000F2F11"/>
    <w:rsid w:val="00105929"/>
    <w:rsid w:val="00110C36"/>
    <w:rsid w:val="001131D5"/>
    <w:rsid w:val="00141DB8"/>
    <w:rsid w:val="00142C41"/>
    <w:rsid w:val="00146159"/>
    <w:rsid w:val="001466CD"/>
    <w:rsid w:val="0015096D"/>
    <w:rsid w:val="00160CDD"/>
    <w:rsid w:val="00172084"/>
    <w:rsid w:val="0017474A"/>
    <w:rsid w:val="001758C6"/>
    <w:rsid w:val="00182B99"/>
    <w:rsid w:val="00194E56"/>
    <w:rsid w:val="001A413F"/>
    <w:rsid w:val="001B0CDE"/>
    <w:rsid w:val="001C1525"/>
    <w:rsid w:val="001D3855"/>
    <w:rsid w:val="001E40CD"/>
    <w:rsid w:val="001F649F"/>
    <w:rsid w:val="002014DF"/>
    <w:rsid w:val="0020267A"/>
    <w:rsid w:val="0020665D"/>
    <w:rsid w:val="0021332C"/>
    <w:rsid w:val="00213982"/>
    <w:rsid w:val="00214C72"/>
    <w:rsid w:val="00217732"/>
    <w:rsid w:val="0024416D"/>
    <w:rsid w:val="002505E0"/>
    <w:rsid w:val="00253DE3"/>
    <w:rsid w:val="002549FF"/>
    <w:rsid w:val="00271911"/>
    <w:rsid w:val="002800A0"/>
    <w:rsid w:val="002801B3"/>
    <w:rsid w:val="00281060"/>
    <w:rsid w:val="00293652"/>
    <w:rsid w:val="002940E8"/>
    <w:rsid w:val="00294751"/>
    <w:rsid w:val="002A36F2"/>
    <w:rsid w:val="002A6E50"/>
    <w:rsid w:val="002B4298"/>
    <w:rsid w:val="002C256A"/>
    <w:rsid w:val="002C49F5"/>
    <w:rsid w:val="00305A7F"/>
    <w:rsid w:val="003152FE"/>
    <w:rsid w:val="003247FE"/>
    <w:rsid w:val="00324807"/>
    <w:rsid w:val="00327436"/>
    <w:rsid w:val="003275C3"/>
    <w:rsid w:val="00344BD6"/>
    <w:rsid w:val="00345D2A"/>
    <w:rsid w:val="00345FFE"/>
    <w:rsid w:val="0035528D"/>
    <w:rsid w:val="00361821"/>
    <w:rsid w:val="00361E9E"/>
    <w:rsid w:val="003711EE"/>
    <w:rsid w:val="003810C2"/>
    <w:rsid w:val="00387DB3"/>
    <w:rsid w:val="0039138C"/>
    <w:rsid w:val="00392DE0"/>
    <w:rsid w:val="0039633A"/>
    <w:rsid w:val="003C7FBE"/>
    <w:rsid w:val="003D227C"/>
    <w:rsid w:val="003D2B4D"/>
    <w:rsid w:val="003D7DBB"/>
    <w:rsid w:val="003E7B0A"/>
    <w:rsid w:val="003F5F2B"/>
    <w:rsid w:val="00400B87"/>
    <w:rsid w:val="00405464"/>
    <w:rsid w:val="00417735"/>
    <w:rsid w:val="00444A88"/>
    <w:rsid w:val="00462B44"/>
    <w:rsid w:val="004748F3"/>
    <w:rsid w:val="00474DA4"/>
    <w:rsid w:val="00476B4D"/>
    <w:rsid w:val="004805FA"/>
    <w:rsid w:val="00490BB9"/>
    <w:rsid w:val="004935D2"/>
    <w:rsid w:val="004B1215"/>
    <w:rsid w:val="004D047D"/>
    <w:rsid w:val="004D5DF5"/>
    <w:rsid w:val="004E0B32"/>
    <w:rsid w:val="004E0D80"/>
    <w:rsid w:val="004E0DCE"/>
    <w:rsid w:val="004F1E9E"/>
    <w:rsid w:val="004F305A"/>
    <w:rsid w:val="0051178A"/>
    <w:rsid w:val="00512164"/>
    <w:rsid w:val="00520297"/>
    <w:rsid w:val="005338F9"/>
    <w:rsid w:val="0054281C"/>
    <w:rsid w:val="00544581"/>
    <w:rsid w:val="0055268D"/>
    <w:rsid w:val="00571132"/>
    <w:rsid w:val="00576BE4"/>
    <w:rsid w:val="005871F1"/>
    <w:rsid w:val="005A400A"/>
    <w:rsid w:val="005B1E88"/>
    <w:rsid w:val="005C13A1"/>
    <w:rsid w:val="005C2C5B"/>
    <w:rsid w:val="005E0AD0"/>
    <w:rsid w:val="005E4780"/>
    <w:rsid w:val="005E499F"/>
    <w:rsid w:val="005F4B99"/>
    <w:rsid w:val="005F7B92"/>
    <w:rsid w:val="00604822"/>
    <w:rsid w:val="00604982"/>
    <w:rsid w:val="00612379"/>
    <w:rsid w:val="006153B6"/>
    <w:rsid w:val="0061555F"/>
    <w:rsid w:val="006155AB"/>
    <w:rsid w:val="00623327"/>
    <w:rsid w:val="00625EA5"/>
    <w:rsid w:val="00636CA6"/>
    <w:rsid w:val="00641200"/>
    <w:rsid w:val="00645CA8"/>
    <w:rsid w:val="0066290A"/>
    <w:rsid w:val="006629D8"/>
    <w:rsid w:val="00663BDD"/>
    <w:rsid w:val="006655D3"/>
    <w:rsid w:val="00667404"/>
    <w:rsid w:val="00687EB4"/>
    <w:rsid w:val="00691429"/>
    <w:rsid w:val="006946D9"/>
    <w:rsid w:val="00695C56"/>
    <w:rsid w:val="006A5CDE"/>
    <w:rsid w:val="006A644A"/>
    <w:rsid w:val="006A6536"/>
    <w:rsid w:val="006B17D2"/>
    <w:rsid w:val="006B5C4B"/>
    <w:rsid w:val="006C224E"/>
    <w:rsid w:val="006C6C01"/>
    <w:rsid w:val="006D3801"/>
    <w:rsid w:val="006D780A"/>
    <w:rsid w:val="006E3FA1"/>
    <w:rsid w:val="006E6317"/>
    <w:rsid w:val="006E70E3"/>
    <w:rsid w:val="00701F09"/>
    <w:rsid w:val="00705171"/>
    <w:rsid w:val="0071271E"/>
    <w:rsid w:val="00713AD7"/>
    <w:rsid w:val="00713CE6"/>
    <w:rsid w:val="00715E0C"/>
    <w:rsid w:val="00717C7E"/>
    <w:rsid w:val="00720382"/>
    <w:rsid w:val="0073185B"/>
    <w:rsid w:val="00732DEC"/>
    <w:rsid w:val="00733405"/>
    <w:rsid w:val="00735BD5"/>
    <w:rsid w:val="00736BEB"/>
    <w:rsid w:val="007451EC"/>
    <w:rsid w:val="00746936"/>
    <w:rsid w:val="00751613"/>
    <w:rsid w:val="007556F6"/>
    <w:rsid w:val="0075613F"/>
    <w:rsid w:val="00760EEF"/>
    <w:rsid w:val="007632AE"/>
    <w:rsid w:val="00777EE5"/>
    <w:rsid w:val="00784521"/>
    <w:rsid w:val="00784836"/>
    <w:rsid w:val="0079023E"/>
    <w:rsid w:val="007A2854"/>
    <w:rsid w:val="007C1D92"/>
    <w:rsid w:val="007C4C3C"/>
    <w:rsid w:val="007C4CB9"/>
    <w:rsid w:val="007D0B9D"/>
    <w:rsid w:val="007D19B0"/>
    <w:rsid w:val="007D4635"/>
    <w:rsid w:val="007D4EA3"/>
    <w:rsid w:val="007F498F"/>
    <w:rsid w:val="0080679D"/>
    <w:rsid w:val="008108B0"/>
    <w:rsid w:val="00811B20"/>
    <w:rsid w:val="008201CA"/>
    <w:rsid w:val="008211B5"/>
    <w:rsid w:val="0082296E"/>
    <w:rsid w:val="00824099"/>
    <w:rsid w:val="008373AC"/>
    <w:rsid w:val="00846D7C"/>
    <w:rsid w:val="0085128E"/>
    <w:rsid w:val="008547FF"/>
    <w:rsid w:val="00867AC1"/>
    <w:rsid w:val="0088179C"/>
    <w:rsid w:val="00890DF8"/>
    <w:rsid w:val="00893962"/>
    <w:rsid w:val="008973A6"/>
    <w:rsid w:val="008A25EE"/>
    <w:rsid w:val="008A2FA2"/>
    <w:rsid w:val="008A743F"/>
    <w:rsid w:val="008C0970"/>
    <w:rsid w:val="008C7612"/>
    <w:rsid w:val="008D0BC5"/>
    <w:rsid w:val="008D0CFD"/>
    <w:rsid w:val="008D2CF7"/>
    <w:rsid w:val="008F3BA2"/>
    <w:rsid w:val="00900C26"/>
    <w:rsid w:val="0090197F"/>
    <w:rsid w:val="00903264"/>
    <w:rsid w:val="00906DDC"/>
    <w:rsid w:val="00924199"/>
    <w:rsid w:val="009248BA"/>
    <w:rsid w:val="00925753"/>
    <w:rsid w:val="00934E09"/>
    <w:rsid w:val="00936253"/>
    <w:rsid w:val="00940D46"/>
    <w:rsid w:val="009528F1"/>
    <w:rsid w:val="00952DD4"/>
    <w:rsid w:val="0096254D"/>
    <w:rsid w:val="00962988"/>
    <w:rsid w:val="00965AE7"/>
    <w:rsid w:val="00967ADE"/>
    <w:rsid w:val="00970FED"/>
    <w:rsid w:val="00972245"/>
    <w:rsid w:val="00981761"/>
    <w:rsid w:val="00992D82"/>
    <w:rsid w:val="00997029"/>
    <w:rsid w:val="009A7339"/>
    <w:rsid w:val="009B440E"/>
    <w:rsid w:val="009C4BBF"/>
    <w:rsid w:val="009D690D"/>
    <w:rsid w:val="009E04C4"/>
    <w:rsid w:val="009E206C"/>
    <w:rsid w:val="009E5B04"/>
    <w:rsid w:val="009E65B6"/>
    <w:rsid w:val="009F2E57"/>
    <w:rsid w:val="009F5A99"/>
    <w:rsid w:val="009F77CF"/>
    <w:rsid w:val="00A20C35"/>
    <w:rsid w:val="00A21A96"/>
    <w:rsid w:val="00A24C10"/>
    <w:rsid w:val="00A3365A"/>
    <w:rsid w:val="00A42AC3"/>
    <w:rsid w:val="00A430CF"/>
    <w:rsid w:val="00A54309"/>
    <w:rsid w:val="00A7160E"/>
    <w:rsid w:val="00AA62C0"/>
    <w:rsid w:val="00AB2B93"/>
    <w:rsid w:val="00AB530F"/>
    <w:rsid w:val="00AB7E5B"/>
    <w:rsid w:val="00AC2883"/>
    <w:rsid w:val="00AD03E8"/>
    <w:rsid w:val="00AE0EF1"/>
    <w:rsid w:val="00AE2937"/>
    <w:rsid w:val="00AE7CE9"/>
    <w:rsid w:val="00AF0E43"/>
    <w:rsid w:val="00AF50D4"/>
    <w:rsid w:val="00B07301"/>
    <w:rsid w:val="00B11F3E"/>
    <w:rsid w:val="00B224DE"/>
    <w:rsid w:val="00B324D4"/>
    <w:rsid w:val="00B37058"/>
    <w:rsid w:val="00B41A59"/>
    <w:rsid w:val="00B46575"/>
    <w:rsid w:val="00B61777"/>
    <w:rsid w:val="00B64BEE"/>
    <w:rsid w:val="00B8113F"/>
    <w:rsid w:val="00B84BBD"/>
    <w:rsid w:val="00BA43FB"/>
    <w:rsid w:val="00BA7221"/>
    <w:rsid w:val="00BA76AA"/>
    <w:rsid w:val="00BB2858"/>
    <w:rsid w:val="00BC127D"/>
    <w:rsid w:val="00BC1FE6"/>
    <w:rsid w:val="00BC3ED7"/>
    <w:rsid w:val="00BC74BB"/>
    <w:rsid w:val="00BF44C6"/>
    <w:rsid w:val="00C061B6"/>
    <w:rsid w:val="00C243A8"/>
    <w:rsid w:val="00C2446C"/>
    <w:rsid w:val="00C338F2"/>
    <w:rsid w:val="00C36AE5"/>
    <w:rsid w:val="00C41F17"/>
    <w:rsid w:val="00C42810"/>
    <w:rsid w:val="00C527FA"/>
    <w:rsid w:val="00C5280D"/>
    <w:rsid w:val="00C53EB3"/>
    <w:rsid w:val="00C5791C"/>
    <w:rsid w:val="00C66290"/>
    <w:rsid w:val="00C72B7A"/>
    <w:rsid w:val="00C833CB"/>
    <w:rsid w:val="00C973F2"/>
    <w:rsid w:val="00CA304C"/>
    <w:rsid w:val="00CA774A"/>
    <w:rsid w:val="00CA7CDA"/>
    <w:rsid w:val="00CB4E48"/>
    <w:rsid w:val="00CB5AB2"/>
    <w:rsid w:val="00CC11B0"/>
    <w:rsid w:val="00CC2841"/>
    <w:rsid w:val="00CD3A24"/>
    <w:rsid w:val="00CF1330"/>
    <w:rsid w:val="00CF13E5"/>
    <w:rsid w:val="00CF7E36"/>
    <w:rsid w:val="00D272F3"/>
    <w:rsid w:val="00D3708D"/>
    <w:rsid w:val="00D40426"/>
    <w:rsid w:val="00D51BFE"/>
    <w:rsid w:val="00D57C96"/>
    <w:rsid w:val="00D57D18"/>
    <w:rsid w:val="00D634D1"/>
    <w:rsid w:val="00D91203"/>
    <w:rsid w:val="00D93C51"/>
    <w:rsid w:val="00D95174"/>
    <w:rsid w:val="00DA4973"/>
    <w:rsid w:val="00DA6F36"/>
    <w:rsid w:val="00DB596E"/>
    <w:rsid w:val="00DB7773"/>
    <w:rsid w:val="00DC00EA"/>
    <w:rsid w:val="00DC3802"/>
    <w:rsid w:val="00DF7FC1"/>
    <w:rsid w:val="00E06D97"/>
    <w:rsid w:val="00E07C61"/>
    <w:rsid w:val="00E07D87"/>
    <w:rsid w:val="00E11EEF"/>
    <w:rsid w:val="00E32F7E"/>
    <w:rsid w:val="00E35DE9"/>
    <w:rsid w:val="00E371E1"/>
    <w:rsid w:val="00E44DFD"/>
    <w:rsid w:val="00E5267B"/>
    <w:rsid w:val="00E53CFE"/>
    <w:rsid w:val="00E619B7"/>
    <w:rsid w:val="00E63C0E"/>
    <w:rsid w:val="00E72D49"/>
    <w:rsid w:val="00E73CFB"/>
    <w:rsid w:val="00E7593C"/>
    <w:rsid w:val="00E7678A"/>
    <w:rsid w:val="00E935F1"/>
    <w:rsid w:val="00E94A81"/>
    <w:rsid w:val="00EA1FFB"/>
    <w:rsid w:val="00EB048E"/>
    <w:rsid w:val="00EB4E9C"/>
    <w:rsid w:val="00EC675A"/>
    <w:rsid w:val="00ED0696"/>
    <w:rsid w:val="00EE34DF"/>
    <w:rsid w:val="00EE3659"/>
    <w:rsid w:val="00EE7D05"/>
    <w:rsid w:val="00EF2F89"/>
    <w:rsid w:val="00F03E98"/>
    <w:rsid w:val="00F03FEF"/>
    <w:rsid w:val="00F1237A"/>
    <w:rsid w:val="00F179AF"/>
    <w:rsid w:val="00F20974"/>
    <w:rsid w:val="00F22CBD"/>
    <w:rsid w:val="00F272F1"/>
    <w:rsid w:val="00F27786"/>
    <w:rsid w:val="00F45372"/>
    <w:rsid w:val="00F55829"/>
    <w:rsid w:val="00F560F7"/>
    <w:rsid w:val="00F6334D"/>
    <w:rsid w:val="00F63599"/>
    <w:rsid w:val="00F7563D"/>
    <w:rsid w:val="00F83527"/>
    <w:rsid w:val="00FA49AB"/>
    <w:rsid w:val="00FB4422"/>
    <w:rsid w:val="00FD4FFB"/>
    <w:rsid w:val="00FE39C7"/>
    <w:rsid w:val="00FE449B"/>
    <w:rsid w:val="00FE76D0"/>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8E"/>
    <w:pPr>
      <w:jc w:val="both"/>
    </w:pPr>
    <w:rPr>
      <w:rFonts w:ascii="Arial" w:hAnsi="Arial"/>
      <w:lang w:val="fr-FR"/>
    </w:rPr>
  </w:style>
  <w:style w:type="paragraph" w:styleId="Heading1">
    <w:name w:val="heading 1"/>
    <w:next w:val="Normal"/>
    <w:qFormat/>
    <w:rsid w:val="0085128E"/>
    <w:pPr>
      <w:keepNext/>
      <w:jc w:val="both"/>
      <w:outlineLvl w:val="0"/>
    </w:pPr>
    <w:rPr>
      <w:rFonts w:ascii="Arial" w:hAnsi="Arial"/>
      <w:b/>
      <w:caps/>
    </w:rPr>
  </w:style>
  <w:style w:type="paragraph" w:styleId="Heading2">
    <w:name w:val="heading 2"/>
    <w:next w:val="Normal"/>
    <w:qFormat/>
    <w:rsid w:val="00462B44"/>
    <w:pPr>
      <w:keepNext/>
      <w:ind w:left="567" w:hanging="567"/>
      <w:jc w:val="both"/>
      <w:outlineLvl w:val="1"/>
    </w:pPr>
    <w:rPr>
      <w:rFonts w:ascii="Arial" w:hAnsi="Arial"/>
      <w:b/>
      <w:u w:val="single"/>
      <w:lang w:val="fr-FR"/>
    </w:rPr>
  </w:style>
  <w:style w:type="paragraph" w:styleId="Heading3">
    <w:name w:val="heading 3"/>
    <w:next w:val="Normal"/>
    <w:link w:val="Heading3Char"/>
    <w:qFormat/>
    <w:rsid w:val="00462B44"/>
    <w:pPr>
      <w:keepNext/>
      <w:jc w:val="both"/>
      <w:outlineLvl w:val="2"/>
    </w:pPr>
    <w:rPr>
      <w:rFonts w:ascii="Arial" w:hAnsi="Arial"/>
      <w:b/>
      <w:lang w:val="fr-FR"/>
    </w:rPr>
  </w:style>
  <w:style w:type="paragraph" w:styleId="Heading4">
    <w:name w:val="heading 4"/>
    <w:next w:val="Normal"/>
    <w:autoRedefine/>
    <w:qFormat/>
    <w:rsid w:val="00462B44"/>
    <w:pPr>
      <w:keepNext/>
      <w:jc w:val="both"/>
      <w:outlineLvl w:val="3"/>
    </w:pPr>
    <w:rPr>
      <w:rFonts w:ascii="Arial" w:hAnsi="Arial"/>
      <w:u w:val="single"/>
      <w:lang w:val="fr-FR"/>
    </w:rPr>
  </w:style>
  <w:style w:type="paragraph" w:styleId="Heading5">
    <w:name w:val="heading 5"/>
    <w:next w:val="Normal"/>
    <w:autoRedefine/>
    <w:qFormat/>
    <w:rsid w:val="0088179C"/>
    <w:pPr>
      <w:keepNext/>
      <w:jc w:val="center"/>
      <w:outlineLvl w:val="4"/>
    </w:pPr>
    <w:rPr>
      <w:rFonts w:ascii="Arial" w:hAnsi="Arial"/>
      <w:b/>
      <w:lang w:val="fr-FR"/>
    </w:rPr>
  </w:style>
  <w:style w:type="paragraph" w:styleId="Heading6">
    <w:name w:val="heading 6"/>
    <w:basedOn w:val="Normal"/>
    <w:next w:val="Normal"/>
    <w:link w:val="Heading6Char"/>
    <w:unhideWhenUsed/>
    <w:qFormat/>
    <w:rsid w:val="00003E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8547FF"/>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613F"/>
    <w:pPr>
      <w:spacing w:after="120"/>
      <w:ind w:left="567"/>
    </w:pPr>
    <w:rPr>
      <w:rFonts w:ascii="Arial" w:hAnsi="Arial"/>
    </w:rPr>
  </w:style>
  <w:style w:type="paragraph" w:styleId="TOC3">
    <w:name w:val="toc 3"/>
    <w:next w:val="Normal"/>
    <w:uiPriority w:val="39"/>
    <w:rsid w:val="003275C3"/>
    <w:pPr>
      <w:spacing w:after="120"/>
      <w:ind w:left="1134"/>
      <w:contextualSpacing/>
    </w:pPr>
    <w:rPr>
      <w:rFonts w:ascii="Arial" w:hAnsi="Arial"/>
      <w:i/>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275C3"/>
    <w:pPr>
      <w:tabs>
        <w:tab w:val="right" w:leader="dot" w:pos="9639"/>
      </w:tabs>
      <w:spacing w:after="120"/>
      <w:ind w:left="1701"/>
      <w:contextualSpacing/>
    </w:pPr>
    <w:rPr>
      <w:rFonts w:ascii="Arial" w:hAnsi="Arial"/>
      <w:lang w:val="fr-FR"/>
    </w:rPr>
  </w:style>
  <w:style w:type="paragraph" w:styleId="TOC1">
    <w:name w:val="toc 1"/>
    <w:next w:val="Normal"/>
    <w:autoRedefine/>
    <w:uiPriority w:val="39"/>
    <w:rsid w:val="009E04C4"/>
    <w:pPr>
      <w:tabs>
        <w:tab w:val="left" w:pos="567"/>
        <w:tab w:val="right" w:leader="dot" w:pos="9629"/>
      </w:tabs>
      <w:spacing w:after="120"/>
    </w:pPr>
    <w:rPr>
      <w:rFonts w:ascii="Arial" w:hAnsi="Arial"/>
      <w:caps/>
    </w:rPr>
  </w:style>
  <w:style w:type="paragraph" w:styleId="TOC5">
    <w:name w:val="toc 5"/>
    <w:next w:val="Normal"/>
    <w:autoRedefine/>
    <w:uiPriority w:val="39"/>
    <w:rsid w:val="003275C3"/>
    <w:pPr>
      <w:tabs>
        <w:tab w:val="right" w:leader="dot" w:pos="9639"/>
      </w:tabs>
      <w:spacing w:after="120"/>
      <w:ind w:left="567"/>
      <w:contextualSpacing/>
    </w:pPr>
    <w:rPr>
      <w:rFonts w:ascii="Arial" w:hAnsi="Arial"/>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048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604822"/>
    <w:pPr>
      <w:spacing w:before="108"/>
    </w:pPr>
    <w:rPr>
      <w:rFonts w:ascii="Times New Roman" w:hAnsi="Times New Roman"/>
      <w:sz w:val="24"/>
    </w:rPr>
  </w:style>
  <w:style w:type="paragraph" w:customStyle="1" w:styleId="Inf4Heading4">
    <w:name w:val="Inf_4_Heading_4"/>
    <w:basedOn w:val="Heading4"/>
    <w:next w:val="Normal"/>
    <w:rsid w:val="00604822"/>
    <w:pPr>
      <w:spacing w:before="120"/>
    </w:pPr>
    <w:rPr>
      <w:rFonts w:ascii="Times New Roman" w:hAnsi="Times New Roman"/>
      <w:b/>
      <w:bCs/>
      <w:sz w:val="22"/>
      <w:u w:val="none"/>
      <w:lang w:val="en-US"/>
    </w:rPr>
  </w:style>
  <w:style w:type="paragraph" w:customStyle="1" w:styleId="Inf4Heading6">
    <w:name w:val="Inf_4_Heading_6"/>
    <w:basedOn w:val="Normal"/>
    <w:rsid w:val="0060482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604822"/>
    <w:pPr>
      <w:keepNext w:val="0"/>
      <w:spacing w:before="240"/>
      <w:jc w:val="center"/>
    </w:pPr>
    <w:rPr>
      <w:rFonts w:cs="Arial"/>
      <w:b w:val="0"/>
      <w:bCs/>
      <w:i/>
    </w:rPr>
  </w:style>
  <w:style w:type="character" w:customStyle="1" w:styleId="Heading3Char">
    <w:name w:val="Heading 3 Char"/>
    <w:basedOn w:val="DefaultParagraphFont"/>
    <w:link w:val="Heading3"/>
    <w:rsid w:val="00462B44"/>
    <w:rPr>
      <w:rFonts w:ascii="Arial" w:hAnsi="Arial"/>
      <w:b/>
      <w:lang w:val="fr-FR"/>
    </w:rPr>
  </w:style>
  <w:style w:type="paragraph" w:customStyle="1" w:styleId="StyleDocoriginalNotBold">
    <w:name w:val="Style Doc_original + Not Bold"/>
    <w:basedOn w:val="Docoriginal"/>
    <w:link w:val="StyleDocoriginalNotBoldChar"/>
    <w:autoRedefine/>
    <w:rsid w:val="00604822"/>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04822"/>
    <w:rPr>
      <w:rFonts w:ascii="Arial" w:hAnsi="Arial"/>
      <w:b/>
      <w:bCs/>
      <w:spacing w:val="10"/>
      <w:sz w:val="18"/>
      <w:lang w:val="fr-FR" w:eastAsia="en-US" w:bidi="ar-SA"/>
    </w:rPr>
  </w:style>
  <w:style w:type="paragraph" w:customStyle="1" w:styleId="StyleDocnumber">
    <w:name w:val="Style Doc_number"/>
    <w:basedOn w:val="Docoriginal"/>
    <w:rsid w:val="006048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04822"/>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0482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0482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0482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04822"/>
    <w:rPr>
      <w:rFonts w:ascii="Arial" w:hAnsi="Arial"/>
      <w:b/>
      <w:bCs/>
      <w:spacing w:val="10"/>
      <w:lang w:val="en-US" w:eastAsia="en-US" w:bidi="ar-SA"/>
    </w:rPr>
  </w:style>
  <w:style w:type="character" w:customStyle="1" w:styleId="StyleDoclangBold">
    <w:name w:val="Style Doc_lang + Bold"/>
    <w:basedOn w:val="Doclang"/>
    <w:rsid w:val="00604822"/>
    <w:rPr>
      <w:rFonts w:ascii="Arial" w:hAnsi="Arial"/>
      <w:b/>
      <w:bCs/>
      <w:sz w:val="20"/>
      <w:lang w:val="en-US"/>
    </w:rPr>
  </w:style>
  <w:style w:type="paragraph" w:styleId="ListParagraph">
    <w:name w:val="List Paragraph"/>
    <w:basedOn w:val="Normal"/>
    <w:uiPriority w:val="34"/>
    <w:qFormat/>
    <w:rsid w:val="00604822"/>
    <w:pPr>
      <w:ind w:left="720"/>
      <w:contextualSpacing/>
    </w:pPr>
  </w:style>
  <w:style w:type="paragraph" w:customStyle="1" w:styleId="ZchnZchn1">
    <w:name w:val="Zchn Zchn1"/>
    <w:basedOn w:val="Normal"/>
    <w:rsid w:val="00604822"/>
    <w:pPr>
      <w:spacing w:after="160" w:line="240" w:lineRule="exact"/>
      <w:jc w:val="left"/>
    </w:pPr>
    <w:rPr>
      <w:rFonts w:ascii="Verdana" w:eastAsia="PMingLiU" w:hAnsi="Verdana"/>
    </w:rPr>
  </w:style>
  <w:style w:type="paragraph" w:styleId="Subtitle">
    <w:name w:val="Subtitle"/>
    <w:basedOn w:val="Normal"/>
    <w:link w:val="SubtitleChar"/>
    <w:qFormat/>
    <w:rsid w:val="0060482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604822"/>
    <w:rPr>
      <w:b/>
      <w:caps/>
      <w:color w:val="0000FF"/>
      <w:sz w:val="28"/>
    </w:rPr>
  </w:style>
  <w:style w:type="paragraph" w:customStyle="1" w:styleId="Endofdocument">
    <w:name w:val="End of document"/>
    <w:basedOn w:val="Normal"/>
    <w:rsid w:val="00604822"/>
    <w:pPr>
      <w:ind w:left="4536"/>
      <w:jc w:val="center"/>
    </w:pPr>
    <w:rPr>
      <w:rFonts w:ascii="Times New Roman" w:hAnsi="Times New Roman"/>
      <w:sz w:val="24"/>
    </w:rPr>
  </w:style>
  <w:style w:type="character" w:customStyle="1" w:styleId="underline">
    <w:name w:val="underline"/>
    <w:basedOn w:val="DefaultParagraphFont"/>
    <w:rsid w:val="00604822"/>
    <w:rPr>
      <w:u w:val="single"/>
    </w:rPr>
  </w:style>
  <w:style w:type="paragraph" w:customStyle="1" w:styleId="BodyTextKeep">
    <w:name w:val="Body Text Keep"/>
    <w:basedOn w:val="BodyText"/>
    <w:rsid w:val="00604822"/>
    <w:pPr>
      <w:keepNext/>
      <w:spacing w:after="160"/>
      <w:jc w:val="left"/>
    </w:pPr>
    <w:rPr>
      <w:rFonts w:ascii="Times New Roman" w:hAnsi="Times New Roman"/>
    </w:rPr>
  </w:style>
  <w:style w:type="character" w:styleId="Emphasis">
    <w:name w:val="Emphasis"/>
    <w:basedOn w:val="DefaultParagraphFont"/>
    <w:qFormat/>
    <w:rsid w:val="00604822"/>
    <w:rPr>
      <w:i/>
      <w:iCs/>
    </w:rPr>
  </w:style>
  <w:style w:type="character" w:customStyle="1" w:styleId="HeaderChar">
    <w:name w:val="Header Char"/>
    <w:basedOn w:val="DefaultParagraphFont"/>
    <w:link w:val="Header"/>
    <w:uiPriority w:val="99"/>
    <w:rsid w:val="00604822"/>
    <w:rPr>
      <w:rFonts w:ascii="Arial" w:hAnsi="Arial"/>
      <w:lang w:val="fr-FR"/>
    </w:rPr>
  </w:style>
  <w:style w:type="character" w:styleId="CommentReference">
    <w:name w:val="annotation reference"/>
    <w:basedOn w:val="DefaultParagraphFont"/>
    <w:rsid w:val="00604822"/>
    <w:rPr>
      <w:sz w:val="16"/>
      <w:szCs w:val="16"/>
    </w:rPr>
  </w:style>
  <w:style w:type="paragraph" w:styleId="CommentText">
    <w:name w:val="annotation text"/>
    <w:basedOn w:val="Normal"/>
    <w:link w:val="CommentTextChar"/>
    <w:rsid w:val="00604822"/>
  </w:style>
  <w:style w:type="character" w:customStyle="1" w:styleId="CommentTextChar">
    <w:name w:val="Comment Text Char"/>
    <w:basedOn w:val="DefaultParagraphFont"/>
    <w:link w:val="CommentText"/>
    <w:rsid w:val="00604822"/>
    <w:rPr>
      <w:rFonts w:ascii="Arial" w:hAnsi="Arial"/>
    </w:rPr>
  </w:style>
  <w:style w:type="paragraph" w:styleId="CommentSubject">
    <w:name w:val="annotation subject"/>
    <w:basedOn w:val="CommentText"/>
    <w:next w:val="CommentText"/>
    <w:link w:val="CommentSubjectChar"/>
    <w:rsid w:val="00604822"/>
    <w:rPr>
      <w:b/>
      <w:bCs/>
    </w:rPr>
  </w:style>
  <w:style w:type="character" w:customStyle="1" w:styleId="CommentSubjectChar">
    <w:name w:val="Comment Subject Char"/>
    <w:basedOn w:val="CommentTextChar"/>
    <w:link w:val="CommentSubject"/>
    <w:rsid w:val="00604822"/>
    <w:rPr>
      <w:rFonts w:ascii="Arial" w:hAnsi="Arial"/>
      <w:b/>
      <w:bCs/>
    </w:rPr>
  </w:style>
  <w:style w:type="paragraph" w:styleId="NormalWeb">
    <w:name w:val="Normal (Web)"/>
    <w:basedOn w:val="Normal"/>
    <w:uiPriority w:val="99"/>
    <w:unhideWhenUsed/>
    <w:rsid w:val="00604822"/>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604822"/>
    <w:pPr>
      <w:keepLines/>
      <w:spacing w:before="480" w:line="276" w:lineRule="auto"/>
      <w:jc w:val="left"/>
      <w:outlineLvl w:val="9"/>
    </w:pPr>
    <w:rPr>
      <w:rFonts w:asciiTheme="majorHAnsi" w:eastAsiaTheme="majorEastAsia" w:hAnsiTheme="majorHAnsi" w:cstheme="majorBidi"/>
      <w:b w:val="0"/>
      <w:bCs/>
      <w:caps w:val="0"/>
      <w:color w:val="365F91" w:themeColor="accent1" w:themeShade="BF"/>
      <w:sz w:val="28"/>
      <w:szCs w:val="28"/>
      <w:lang w:eastAsia="ja-JP"/>
    </w:rPr>
  </w:style>
  <w:style w:type="paragraph" w:customStyle="1" w:styleId="figures">
    <w:name w:val="figures"/>
    <w:basedOn w:val="Normal"/>
    <w:next w:val="Normal"/>
    <w:qFormat/>
    <w:rsid w:val="00604822"/>
    <w:pPr>
      <w:keepNext/>
      <w:spacing w:after="60"/>
      <w:jc w:val="center"/>
    </w:pPr>
    <w:rPr>
      <w:rFonts w:eastAsia="MS Mincho"/>
      <w:i/>
      <w:sz w:val="18"/>
      <w:lang w:eastAsia="ja-JP"/>
    </w:rPr>
  </w:style>
  <w:style w:type="character" w:customStyle="1" w:styleId="Heading6Char">
    <w:name w:val="Heading 6 Char"/>
    <w:basedOn w:val="DefaultParagraphFont"/>
    <w:link w:val="Heading6"/>
    <w:rsid w:val="00003E2C"/>
    <w:rPr>
      <w:rFonts w:asciiTheme="majorHAnsi" w:eastAsiaTheme="majorEastAsia" w:hAnsiTheme="majorHAnsi" w:cstheme="majorBidi"/>
      <w:i/>
      <w:iCs/>
      <w:color w:val="243F60" w:themeColor="accent1" w:themeShade="7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8E"/>
    <w:pPr>
      <w:jc w:val="both"/>
    </w:pPr>
    <w:rPr>
      <w:rFonts w:ascii="Arial" w:hAnsi="Arial"/>
      <w:lang w:val="fr-FR"/>
    </w:rPr>
  </w:style>
  <w:style w:type="paragraph" w:styleId="Heading1">
    <w:name w:val="heading 1"/>
    <w:next w:val="Normal"/>
    <w:qFormat/>
    <w:rsid w:val="0085128E"/>
    <w:pPr>
      <w:keepNext/>
      <w:jc w:val="both"/>
      <w:outlineLvl w:val="0"/>
    </w:pPr>
    <w:rPr>
      <w:rFonts w:ascii="Arial" w:hAnsi="Arial"/>
      <w:b/>
      <w:caps/>
    </w:rPr>
  </w:style>
  <w:style w:type="paragraph" w:styleId="Heading2">
    <w:name w:val="heading 2"/>
    <w:next w:val="Normal"/>
    <w:qFormat/>
    <w:rsid w:val="00462B44"/>
    <w:pPr>
      <w:keepNext/>
      <w:ind w:left="567" w:hanging="567"/>
      <w:jc w:val="both"/>
      <w:outlineLvl w:val="1"/>
    </w:pPr>
    <w:rPr>
      <w:rFonts w:ascii="Arial" w:hAnsi="Arial"/>
      <w:b/>
      <w:u w:val="single"/>
      <w:lang w:val="fr-FR"/>
    </w:rPr>
  </w:style>
  <w:style w:type="paragraph" w:styleId="Heading3">
    <w:name w:val="heading 3"/>
    <w:next w:val="Normal"/>
    <w:link w:val="Heading3Char"/>
    <w:qFormat/>
    <w:rsid w:val="00462B44"/>
    <w:pPr>
      <w:keepNext/>
      <w:jc w:val="both"/>
      <w:outlineLvl w:val="2"/>
    </w:pPr>
    <w:rPr>
      <w:rFonts w:ascii="Arial" w:hAnsi="Arial"/>
      <w:b/>
      <w:lang w:val="fr-FR"/>
    </w:rPr>
  </w:style>
  <w:style w:type="paragraph" w:styleId="Heading4">
    <w:name w:val="heading 4"/>
    <w:next w:val="Normal"/>
    <w:autoRedefine/>
    <w:qFormat/>
    <w:rsid w:val="00462B44"/>
    <w:pPr>
      <w:keepNext/>
      <w:jc w:val="both"/>
      <w:outlineLvl w:val="3"/>
    </w:pPr>
    <w:rPr>
      <w:rFonts w:ascii="Arial" w:hAnsi="Arial"/>
      <w:u w:val="single"/>
      <w:lang w:val="fr-FR"/>
    </w:rPr>
  </w:style>
  <w:style w:type="paragraph" w:styleId="Heading5">
    <w:name w:val="heading 5"/>
    <w:next w:val="Normal"/>
    <w:autoRedefine/>
    <w:qFormat/>
    <w:rsid w:val="0088179C"/>
    <w:pPr>
      <w:keepNext/>
      <w:jc w:val="center"/>
      <w:outlineLvl w:val="4"/>
    </w:pPr>
    <w:rPr>
      <w:rFonts w:ascii="Arial" w:hAnsi="Arial"/>
      <w:b/>
      <w:lang w:val="fr-FR"/>
    </w:rPr>
  </w:style>
  <w:style w:type="paragraph" w:styleId="Heading6">
    <w:name w:val="heading 6"/>
    <w:basedOn w:val="Normal"/>
    <w:next w:val="Normal"/>
    <w:link w:val="Heading6Char"/>
    <w:unhideWhenUsed/>
    <w:qFormat/>
    <w:rsid w:val="00003E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8547FF"/>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613F"/>
    <w:pPr>
      <w:spacing w:after="120"/>
      <w:ind w:left="567"/>
    </w:pPr>
    <w:rPr>
      <w:rFonts w:ascii="Arial" w:hAnsi="Arial"/>
    </w:rPr>
  </w:style>
  <w:style w:type="paragraph" w:styleId="TOC3">
    <w:name w:val="toc 3"/>
    <w:next w:val="Normal"/>
    <w:uiPriority w:val="39"/>
    <w:rsid w:val="003275C3"/>
    <w:pPr>
      <w:spacing w:after="120"/>
      <w:ind w:left="1134"/>
      <w:contextualSpacing/>
    </w:pPr>
    <w:rPr>
      <w:rFonts w:ascii="Arial" w:hAnsi="Arial"/>
      <w:i/>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275C3"/>
    <w:pPr>
      <w:tabs>
        <w:tab w:val="right" w:leader="dot" w:pos="9639"/>
      </w:tabs>
      <w:spacing w:after="120"/>
      <w:ind w:left="1701"/>
      <w:contextualSpacing/>
    </w:pPr>
    <w:rPr>
      <w:rFonts w:ascii="Arial" w:hAnsi="Arial"/>
      <w:lang w:val="fr-FR"/>
    </w:rPr>
  </w:style>
  <w:style w:type="paragraph" w:styleId="TOC1">
    <w:name w:val="toc 1"/>
    <w:next w:val="Normal"/>
    <w:autoRedefine/>
    <w:uiPriority w:val="39"/>
    <w:rsid w:val="009E04C4"/>
    <w:pPr>
      <w:tabs>
        <w:tab w:val="left" w:pos="567"/>
        <w:tab w:val="right" w:leader="dot" w:pos="9629"/>
      </w:tabs>
      <w:spacing w:after="120"/>
    </w:pPr>
    <w:rPr>
      <w:rFonts w:ascii="Arial" w:hAnsi="Arial"/>
      <w:caps/>
    </w:rPr>
  </w:style>
  <w:style w:type="paragraph" w:styleId="TOC5">
    <w:name w:val="toc 5"/>
    <w:next w:val="Normal"/>
    <w:autoRedefine/>
    <w:uiPriority w:val="39"/>
    <w:rsid w:val="003275C3"/>
    <w:pPr>
      <w:tabs>
        <w:tab w:val="right" w:leader="dot" w:pos="9639"/>
      </w:tabs>
      <w:spacing w:after="120"/>
      <w:ind w:left="567"/>
      <w:contextualSpacing/>
    </w:pPr>
    <w:rPr>
      <w:rFonts w:ascii="Arial" w:hAnsi="Arial"/>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048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604822"/>
    <w:pPr>
      <w:spacing w:before="108"/>
    </w:pPr>
    <w:rPr>
      <w:rFonts w:ascii="Times New Roman" w:hAnsi="Times New Roman"/>
      <w:sz w:val="24"/>
    </w:rPr>
  </w:style>
  <w:style w:type="paragraph" w:customStyle="1" w:styleId="Inf4Heading4">
    <w:name w:val="Inf_4_Heading_4"/>
    <w:basedOn w:val="Heading4"/>
    <w:next w:val="Normal"/>
    <w:rsid w:val="00604822"/>
    <w:pPr>
      <w:spacing w:before="120"/>
    </w:pPr>
    <w:rPr>
      <w:rFonts w:ascii="Times New Roman" w:hAnsi="Times New Roman"/>
      <w:b/>
      <w:bCs/>
      <w:sz w:val="22"/>
      <w:u w:val="none"/>
      <w:lang w:val="en-US"/>
    </w:rPr>
  </w:style>
  <w:style w:type="paragraph" w:customStyle="1" w:styleId="Inf4Heading6">
    <w:name w:val="Inf_4_Heading_6"/>
    <w:basedOn w:val="Normal"/>
    <w:rsid w:val="0060482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604822"/>
    <w:pPr>
      <w:keepNext w:val="0"/>
      <w:spacing w:before="240"/>
      <w:jc w:val="center"/>
    </w:pPr>
    <w:rPr>
      <w:rFonts w:cs="Arial"/>
      <w:b w:val="0"/>
      <w:bCs/>
      <w:i/>
    </w:rPr>
  </w:style>
  <w:style w:type="character" w:customStyle="1" w:styleId="Heading3Char">
    <w:name w:val="Heading 3 Char"/>
    <w:basedOn w:val="DefaultParagraphFont"/>
    <w:link w:val="Heading3"/>
    <w:rsid w:val="00462B44"/>
    <w:rPr>
      <w:rFonts w:ascii="Arial" w:hAnsi="Arial"/>
      <w:b/>
      <w:lang w:val="fr-FR"/>
    </w:rPr>
  </w:style>
  <w:style w:type="paragraph" w:customStyle="1" w:styleId="StyleDocoriginalNotBold">
    <w:name w:val="Style Doc_original + Not Bold"/>
    <w:basedOn w:val="Docoriginal"/>
    <w:link w:val="StyleDocoriginalNotBoldChar"/>
    <w:autoRedefine/>
    <w:rsid w:val="00604822"/>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04822"/>
    <w:rPr>
      <w:rFonts w:ascii="Arial" w:hAnsi="Arial"/>
      <w:b/>
      <w:bCs/>
      <w:spacing w:val="10"/>
      <w:sz w:val="18"/>
      <w:lang w:val="fr-FR" w:eastAsia="en-US" w:bidi="ar-SA"/>
    </w:rPr>
  </w:style>
  <w:style w:type="paragraph" w:customStyle="1" w:styleId="StyleDocnumber">
    <w:name w:val="Style Doc_number"/>
    <w:basedOn w:val="Docoriginal"/>
    <w:rsid w:val="006048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04822"/>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0482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0482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0482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04822"/>
    <w:rPr>
      <w:rFonts w:ascii="Arial" w:hAnsi="Arial"/>
      <w:b/>
      <w:bCs/>
      <w:spacing w:val="10"/>
      <w:lang w:val="en-US" w:eastAsia="en-US" w:bidi="ar-SA"/>
    </w:rPr>
  </w:style>
  <w:style w:type="character" w:customStyle="1" w:styleId="StyleDoclangBold">
    <w:name w:val="Style Doc_lang + Bold"/>
    <w:basedOn w:val="Doclang"/>
    <w:rsid w:val="00604822"/>
    <w:rPr>
      <w:rFonts w:ascii="Arial" w:hAnsi="Arial"/>
      <w:b/>
      <w:bCs/>
      <w:sz w:val="20"/>
      <w:lang w:val="en-US"/>
    </w:rPr>
  </w:style>
  <w:style w:type="paragraph" w:styleId="ListParagraph">
    <w:name w:val="List Paragraph"/>
    <w:basedOn w:val="Normal"/>
    <w:uiPriority w:val="34"/>
    <w:qFormat/>
    <w:rsid w:val="00604822"/>
    <w:pPr>
      <w:ind w:left="720"/>
      <w:contextualSpacing/>
    </w:pPr>
  </w:style>
  <w:style w:type="paragraph" w:customStyle="1" w:styleId="ZchnZchn1">
    <w:name w:val="Zchn Zchn1"/>
    <w:basedOn w:val="Normal"/>
    <w:rsid w:val="00604822"/>
    <w:pPr>
      <w:spacing w:after="160" w:line="240" w:lineRule="exact"/>
      <w:jc w:val="left"/>
    </w:pPr>
    <w:rPr>
      <w:rFonts w:ascii="Verdana" w:eastAsia="PMingLiU" w:hAnsi="Verdana"/>
    </w:rPr>
  </w:style>
  <w:style w:type="paragraph" w:styleId="Subtitle">
    <w:name w:val="Subtitle"/>
    <w:basedOn w:val="Normal"/>
    <w:link w:val="SubtitleChar"/>
    <w:qFormat/>
    <w:rsid w:val="0060482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604822"/>
    <w:rPr>
      <w:b/>
      <w:caps/>
      <w:color w:val="0000FF"/>
      <w:sz w:val="28"/>
    </w:rPr>
  </w:style>
  <w:style w:type="paragraph" w:customStyle="1" w:styleId="Endofdocument">
    <w:name w:val="End of document"/>
    <w:basedOn w:val="Normal"/>
    <w:rsid w:val="00604822"/>
    <w:pPr>
      <w:ind w:left="4536"/>
      <w:jc w:val="center"/>
    </w:pPr>
    <w:rPr>
      <w:rFonts w:ascii="Times New Roman" w:hAnsi="Times New Roman"/>
      <w:sz w:val="24"/>
    </w:rPr>
  </w:style>
  <w:style w:type="character" w:customStyle="1" w:styleId="underline">
    <w:name w:val="underline"/>
    <w:basedOn w:val="DefaultParagraphFont"/>
    <w:rsid w:val="00604822"/>
    <w:rPr>
      <w:u w:val="single"/>
    </w:rPr>
  </w:style>
  <w:style w:type="paragraph" w:customStyle="1" w:styleId="BodyTextKeep">
    <w:name w:val="Body Text Keep"/>
    <w:basedOn w:val="BodyText"/>
    <w:rsid w:val="00604822"/>
    <w:pPr>
      <w:keepNext/>
      <w:spacing w:after="160"/>
      <w:jc w:val="left"/>
    </w:pPr>
    <w:rPr>
      <w:rFonts w:ascii="Times New Roman" w:hAnsi="Times New Roman"/>
    </w:rPr>
  </w:style>
  <w:style w:type="character" w:styleId="Emphasis">
    <w:name w:val="Emphasis"/>
    <w:basedOn w:val="DefaultParagraphFont"/>
    <w:qFormat/>
    <w:rsid w:val="00604822"/>
    <w:rPr>
      <w:i/>
      <w:iCs/>
    </w:rPr>
  </w:style>
  <w:style w:type="character" w:customStyle="1" w:styleId="HeaderChar">
    <w:name w:val="Header Char"/>
    <w:basedOn w:val="DefaultParagraphFont"/>
    <w:link w:val="Header"/>
    <w:uiPriority w:val="99"/>
    <w:rsid w:val="00604822"/>
    <w:rPr>
      <w:rFonts w:ascii="Arial" w:hAnsi="Arial"/>
      <w:lang w:val="fr-FR"/>
    </w:rPr>
  </w:style>
  <w:style w:type="character" w:styleId="CommentReference">
    <w:name w:val="annotation reference"/>
    <w:basedOn w:val="DefaultParagraphFont"/>
    <w:rsid w:val="00604822"/>
    <w:rPr>
      <w:sz w:val="16"/>
      <w:szCs w:val="16"/>
    </w:rPr>
  </w:style>
  <w:style w:type="paragraph" w:styleId="CommentText">
    <w:name w:val="annotation text"/>
    <w:basedOn w:val="Normal"/>
    <w:link w:val="CommentTextChar"/>
    <w:rsid w:val="00604822"/>
  </w:style>
  <w:style w:type="character" w:customStyle="1" w:styleId="CommentTextChar">
    <w:name w:val="Comment Text Char"/>
    <w:basedOn w:val="DefaultParagraphFont"/>
    <w:link w:val="CommentText"/>
    <w:rsid w:val="00604822"/>
    <w:rPr>
      <w:rFonts w:ascii="Arial" w:hAnsi="Arial"/>
    </w:rPr>
  </w:style>
  <w:style w:type="paragraph" w:styleId="CommentSubject">
    <w:name w:val="annotation subject"/>
    <w:basedOn w:val="CommentText"/>
    <w:next w:val="CommentText"/>
    <w:link w:val="CommentSubjectChar"/>
    <w:rsid w:val="00604822"/>
    <w:rPr>
      <w:b/>
      <w:bCs/>
    </w:rPr>
  </w:style>
  <w:style w:type="character" w:customStyle="1" w:styleId="CommentSubjectChar">
    <w:name w:val="Comment Subject Char"/>
    <w:basedOn w:val="CommentTextChar"/>
    <w:link w:val="CommentSubject"/>
    <w:rsid w:val="00604822"/>
    <w:rPr>
      <w:rFonts w:ascii="Arial" w:hAnsi="Arial"/>
      <w:b/>
      <w:bCs/>
    </w:rPr>
  </w:style>
  <w:style w:type="paragraph" w:styleId="NormalWeb">
    <w:name w:val="Normal (Web)"/>
    <w:basedOn w:val="Normal"/>
    <w:uiPriority w:val="99"/>
    <w:unhideWhenUsed/>
    <w:rsid w:val="00604822"/>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604822"/>
    <w:pPr>
      <w:keepLines/>
      <w:spacing w:before="480" w:line="276" w:lineRule="auto"/>
      <w:jc w:val="left"/>
      <w:outlineLvl w:val="9"/>
    </w:pPr>
    <w:rPr>
      <w:rFonts w:asciiTheme="majorHAnsi" w:eastAsiaTheme="majorEastAsia" w:hAnsiTheme="majorHAnsi" w:cstheme="majorBidi"/>
      <w:b w:val="0"/>
      <w:bCs/>
      <w:caps w:val="0"/>
      <w:color w:val="365F91" w:themeColor="accent1" w:themeShade="BF"/>
      <w:sz w:val="28"/>
      <w:szCs w:val="28"/>
      <w:lang w:eastAsia="ja-JP"/>
    </w:rPr>
  </w:style>
  <w:style w:type="paragraph" w:customStyle="1" w:styleId="figures">
    <w:name w:val="figures"/>
    <w:basedOn w:val="Normal"/>
    <w:next w:val="Normal"/>
    <w:qFormat/>
    <w:rsid w:val="00604822"/>
    <w:pPr>
      <w:keepNext/>
      <w:spacing w:after="60"/>
      <w:jc w:val="center"/>
    </w:pPr>
    <w:rPr>
      <w:rFonts w:eastAsia="MS Mincho"/>
      <w:i/>
      <w:sz w:val="18"/>
      <w:lang w:eastAsia="ja-JP"/>
    </w:rPr>
  </w:style>
  <w:style w:type="character" w:customStyle="1" w:styleId="Heading6Char">
    <w:name w:val="Heading 6 Char"/>
    <w:basedOn w:val="DefaultParagraphFont"/>
    <w:link w:val="Heading6"/>
    <w:rsid w:val="00003E2C"/>
    <w:rPr>
      <w:rFonts w:asciiTheme="majorHAnsi" w:eastAsiaTheme="majorEastAsia" w:hAnsiTheme="majorHAnsi" w:cstheme="majorBidi"/>
      <w:i/>
      <w:iCs/>
      <w:color w:val="243F60" w:themeColor="accent1" w:themeShade="7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6.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orldseedpartnership.org/"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header" Target="header3.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emf"/><Relationship Id="rId32" Type="http://schemas.openxmlformats.org/officeDocument/2006/relationships/header" Target="header2.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docs/pubdocs/fr/upov_pub_3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8355-B7EC-4D8A-BC57-7667F0B7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36</Pages>
  <Words>13511</Words>
  <Characters>76753</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90084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keywords>JLO/sc</cp:keywords>
  <cp:lastModifiedBy>SANCHEZ-VIZCAINO GOMEZ Rosa Maria</cp:lastModifiedBy>
  <cp:revision>48</cp:revision>
  <cp:lastPrinted>2017-08-21T12:15:00Z</cp:lastPrinted>
  <dcterms:created xsi:type="dcterms:W3CDTF">2017-08-07T13:45:00Z</dcterms:created>
  <dcterms:modified xsi:type="dcterms:W3CDTF">2017-08-21T12:23:00Z</dcterms:modified>
</cp:coreProperties>
</file>