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8725ED" w:rsidRPr="008725ED" w:rsidTr="00D43219">
        <w:tc>
          <w:tcPr>
            <w:tcW w:w="6522" w:type="dxa"/>
          </w:tcPr>
          <w:p w:rsidR="00D74F87" w:rsidRPr="008725ED" w:rsidRDefault="00D74F87" w:rsidP="00D43219">
            <w:bookmarkStart w:id="0" w:name="TitleOfDoc"/>
            <w:bookmarkEnd w:id="0"/>
            <w:r w:rsidRPr="008725ED">
              <w:rPr>
                <w:noProof/>
              </w:rPr>
              <w:drawing>
                <wp:inline distT="0" distB="0" distL="0" distR="0" wp14:anchorId="578AED9E" wp14:editId="07CAA11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74F87" w:rsidRPr="008725ED" w:rsidRDefault="00D74F87" w:rsidP="00D43219">
            <w:pPr>
              <w:pStyle w:val="Lettrine"/>
            </w:pPr>
            <w:r w:rsidRPr="008725ED">
              <w:t>F</w:t>
            </w:r>
          </w:p>
        </w:tc>
      </w:tr>
      <w:tr w:rsidR="00D74F87" w:rsidRPr="008725ED" w:rsidTr="00D43219">
        <w:trPr>
          <w:trHeight w:val="219"/>
        </w:trPr>
        <w:tc>
          <w:tcPr>
            <w:tcW w:w="6522" w:type="dxa"/>
          </w:tcPr>
          <w:p w:rsidR="00D74F87" w:rsidRPr="008725ED" w:rsidRDefault="00D74F87" w:rsidP="00D43219">
            <w:pPr>
              <w:pStyle w:val="upove"/>
            </w:pPr>
            <w:r w:rsidRPr="008725ED">
              <w:t>Union internationale pour la protection des obtentions végétales</w:t>
            </w:r>
          </w:p>
        </w:tc>
        <w:tc>
          <w:tcPr>
            <w:tcW w:w="3117" w:type="dxa"/>
          </w:tcPr>
          <w:p w:rsidR="00D74F87" w:rsidRPr="008725ED" w:rsidRDefault="00D74F87" w:rsidP="00D43219"/>
        </w:tc>
      </w:tr>
    </w:tbl>
    <w:p w:rsidR="00D74F87" w:rsidRPr="008725ED" w:rsidRDefault="00D74F87" w:rsidP="00D74F87"/>
    <w:p w:rsidR="00D74F87" w:rsidRPr="008725ED" w:rsidRDefault="00D74F87" w:rsidP="00D74F87"/>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725ED" w:rsidRPr="008725ED" w:rsidTr="00D43219">
        <w:tc>
          <w:tcPr>
            <w:tcW w:w="6512" w:type="dxa"/>
          </w:tcPr>
          <w:p w:rsidR="00D74F87" w:rsidRPr="008725ED" w:rsidRDefault="00D74F87" w:rsidP="00D43219">
            <w:pPr>
              <w:pStyle w:val="Sessiontc"/>
              <w:spacing w:line="240" w:lineRule="auto"/>
            </w:pPr>
            <w:r w:rsidRPr="008725ED">
              <w:t>Conseil</w:t>
            </w:r>
          </w:p>
          <w:p w:rsidR="00D74F87" w:rsidRPr="008725ED" w:rsidRDefault="00D74F87" w:rsidP="00D43219">
            <w:pPr>
              <w:pStyle w:val="Sessiontcplacedate"/>
              <w:rPr>
                <w:sz w:val="22"/>
              </w:rPr>
            </w:pPr>
            <w:r w:rsidRPr="008725ED">
              <w:t>Cinquante</w:t>
            </w:r>
            <w:r w:rsidR="00EF1779" w:rsidRPr="008725ED">
              <w:t> et unième session</w:t>
            </w:r>
            <w:r w:rsidRPr="008725ED">
              <w:t xml:space="preserve"> ordinaire</w:t>
            </w:r>
            <w:r w:rsidRPr="008725ED">
              <w:br/>
              <w:t>Genève, 2</w:t>
            </w:r>
            <w:r w:rsidR="00EF1779" w:rsidRPr="008725ED">
              <w:t>6 octobre 20</w:t>
            </w:r>
            <w:r w:rsidRPr="008725ED">
              <w:t>17</w:t>
            </w:r>
          </w:p>
        </w:tc>
        <w:tc>
          <w:tcPr>
            <w:tcW w:w="3127" w:type="dxa"/>
          </w:tcPr>
          <w:p w:rsidR="00D74F87" w:rsidRPr="008725ED" w:rsidRDefault="00D74F87" w:rsidP="00D43219">
            <w:pPr>
              <w:pStyle w:val="Doccode"/>
            </w:pPr>
            <w:r w:rsidRPr="008725ED">
              <w:t>C/51/10</w:t>
            </w:r>
          </w:p>
          <w:p w:rsidR="00D74F87" w:rsidRPr="008725ED" w:rsidRDefault="00D74F87" w:rsidP="00D43219">
            <w:pPr>
              <w:pStyle w:val="Docoriginal"/>
            </w:pPr>
            <w:r w:rsidRPr="008725ED">
              <w:t>Original</w:t>
            </w:r>
            <w:r w:rsidR="00EF1779" w:rsidRPr="008725ED">
              <w:t> :</w:t>
            </w:r>
            <w:r w:rsidRPr="008725ED">
              <w:rPr>
                <w:b w:val="0"/>
                <w:spacing w:val="0"/>
              </w:rPr>
              <w:t xml:space="preserve"> anglais</w:t>
            </w:r>
          </w:p>
          <w:p w:rsidR="00D74F87" w:rsidRPr="008725ED" w:rsidRDefault="00D74F87" w:rsidP="00382CC4">
            <w:pPr>
              <w:pStyle w:val="Docoriginal"/>
            </w:pPr>
            <w:r w:rsidRPr="008725ED">
              <w:t>Date</w:t>
            </w:r>
            <w:r w:rsidR="00EF1779" w:rsidRPr="008725ED">
              <w:t> :</w:t>
            </w:r>
            <w:r w:rsidRPr="008725ED">
              <w:rPr>
                <w:b w:val="0"/>
                <w:spacing w:val="0"/>
              </w:rPr>
              <w:t xml:space="preserve"> </w:t>
            </w:r>
            <w:r w:rsidR="00382CC4">
              <w:rPr>
                <w:b w:val="0"/>
                <w:spacing w:val="0"/>
              </w:rPr>
              <w:t>26 septembre</w:t>
            </w:r>
            <w:r w:rsidR="00EF1779" w:rsidRPr="008725ED">
              <w:rPr>
                <w:b w:val="0"/>
                <w:spacing w:val="0"/>
              </w:rPr>
              <w:t> 20</w:t>
            </w:r>
            <w:r w:rsidRPr="008725ED">
              <w:rPr>
                <w:b w:val="0"/>
                <w:spacing w:val="0"/>
              </w:rPr>
              <w:t>17</w:t>
            </w:r>
          </w:p>
        </w:tc>
      </w:tr>
    </w:tbl>
    <w:p w:rsidR="008C3126" w:rsidRPr="008725ED" w:rsidRDefault="000B09F1" w:rsidP="000B09F1">
      <w:pPr>
        <w:pStyle w:val="Titleofdoc0"/>
        <w:rPr>
          <w:lang w:val="fr-FR"/>
        </w:rPr>
      </w:pPr>
      <w:r w:rsidRPr="008725ED">
        <w:rPr>
          <w:lang w:val="fr-FR"/>
        </w:rPr>
        <w:t>Rapport sur l</w:t>
      </w:r>
      <w:r w:rsidR="00EF1779" w:rsidRPr="008725ED">
        <w:rPr>
          <w:lang w:val="fr-FR"/>
        </w:rPr>
        <w:t>’</w:t>
      </w:r>
      <w:r w:rsidRPr="008725ED">
        <w:rPr>
          <w:lang w:val="fr-FR"/>
        </w:rPr>
        <w:t>état d</w:t>
      </w:r>
      <w:r w:rsidR="00EF1779" w:rsidRPr="008725ED">
        <w:rPr>
          <w:lang w:val="fr-FR"/>
        </w:rPr>
        <w:t>’</w:t>
      </w:r>
      <w:r w:rsidRPr="008725ED">
        <w:rPr>
          <w:lang w:val="fr-FR"/>
        </w:rPr>
        <w:t>avancement des travaux du Comité technique, des groupes de travail techniques et du Groupe de travail sur les techniques biochimiques et moléculaires, notamment les profils d</w:t>
      </w:r>
      <w:r w:rsidR="00EF1779" w:rsidRPr="008725ED">
        <w:rPr>
          <w:lang w:val="fr-FR"/>
        </w:rPr>
        <w:t>’</w:t>
      </w:r>
      <w:r w:rsidRPr="008725ED">
        <w:rPr>
          <w:lang w:val="fr-FR"/>
        </w:rPr>
        <w:t>ADN</w:t>
      </w:r>
    </w:p>
    <w:p w:rsidR="008C3126" w:rsidRPr="008725ED" w:rsidRDefault="000B09F1" w:rsidP="000B09F1">
      <w:pPr>
        <w:pStyle w:val="preparedby1"/>
        <w:jc w:val="left"/>
        <w:rPr>
          <w:lang w:val="fr-FR"/>
        </w:rPr>
      </w:pPr>
      <w:bookmarkStart w:id="1" w:name="Prepared"/>
      <w:bookmarkEnd w:id="1"/>
      <w:r w:rsidRPr="008725ED">
        <w:rPr>
          <w:lang w:val="fr-FR"/>
        </w:rPr>
        <w:t>Document établi par le Bureau de l</w:t>
      </w:r>
      <w:r w:rsidR="00EF1779" w:rsidRPr="008725ED">
        <w:rPr>
          <w:lang w:val="fr-FR"/>
        </w:rPr>
        <w:t>’</w:t>
      </w:r>
      <w:r w:rsidRPr="008725ED">
        <w:rPr>
          <w:lang w:val="fr-FR"/>
        </w:rPr>
        <w:t>Union</w:t>
      </w:r>
    </w:p>
    <w:p w:rsidR="008C3126" w:rsidRPr="00382CC4" w:rsidRDefault="000B09F1" w:rsidP="000B09F1">
      <w:pPr>
        <w:pStyle w:val="Disclaimer"/>
        <w:rPr>
          <w:lang w:val="fr-FR"/>
        </w:rPr>
      </w:pPr>
      <w:r w:rsidRPr="00382CC4">
        <w:rPr>
          <w:lang w:val="fr-FR"/>
        </w:rPr>
        <w:t>Avertissement</w:t>
      </w:r>
      <w:r w:rsidR="00EF1779" w:rsidRPr="00382CC4">
        <w:rPr>
          <w:lang w:val="fr-FR"/>
        </w:rPr>
        <w:t> :</w:t>
      </w:r>
      <w:r w:rsidRPr="00382CC4">
        <w:rPr>
          <w:lang w:val="fr-FR"/>
        </w:rPr>
        <w:t xml:space="preserve"> le présent document ne représente pas les principes ou les orientations de l</w:t>
      </w:r>
      <w:r w:rsidR="00EF1779" w:rsidRPr="00382CC4">
        <w:rPr>
          <w:lang w:val="fr-FR"/>
        </w:rPr>
        <w:t>’</w:t>
      </w:r>
      <w:r w:rsidRPr="00382CC4">
        <w:rPr>
          <w:lang w:val="fr-FR"/>
        </w:rPr>
        <w:t>UPOV</w:t>
      </w:r>
    </w:p>
    <w:p w:rsidR="008C3126" w:rsidRPr="008725ED" w:rsidRDefault="008725ED" w:rsidP="00B84D67">
      <w:pPr>
        <w:pStyle w:val="Heading1"/>
        <w:rPr>
          <w:lang w:val="fr-FR"/>
        </w:rPr>
      </w:pPr>
      <w:bookmarkStart w:id="2" w:name="_Toc494207940"/>
      <w:r>
        <w:rPr>
          <w:lang w:val="fr-FR"/>
        </w:rPr>
        <w:t>R</w:t>
      </w:r>
      <w:r w:rsidR="00B84D67" w:rsidRPr="008725ED">
        <w:rPr>
          <w:lang w:val="fr-FR"/>
        </w:rPr>
        <w:t>ésumé</w:t>
      </w:r>
      <w:bookmarkEnd w:id="2"/>
    </w:p>
    <w:p w:rsidR="008C3126" w:rsidRPr="008725ED" w:rsidRDefault="008C3126" w:rsidP="00367578">
      <w:pPr>
        <w:rPr>
          <w:lang w:val="fr-FR"/>
        </w:rPr>
      </w:pPr>
    </w:p>
    <w:p w:rsidR="008C3126" w:rsidRPr="008725ED" w:rsidRDefault="00367578" w:rsidP="00B84D67">
      <w:pPr>
        <w:rPr>
          <w:szCs w:val="24"/>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r>
      <w:r w:rsidR="00B84D67" w:rsidRPr="008725ED">
        <w:rPr>
          <w:lang w:val="fr-FR"/>
        </w:rPr>
        <w:t>Le présent document vise à rendre compte de l</w:t>
      </w:r>
      <w:r w:rsidR="00EF1779" w:rsidRPr="008725ED">
        <w:rPr>
          <w:lang w:val="fr-FR"/>
        </w:rPr>
        <w:t>’</w:t>
      </w:r>
      <w:r w:rsidR="00B84D67" w:rsidRPr="008725ED">
        <w:rPr>
          <w:lang w:val="fr-FR"/>
        </w:rPr>
        <w:t>état d</w:t>
      </w:r>
      <w:r w:rsidR="00EF1779" w:rsidRPr="008725ED">
        <w:rPr>
          <w:lang w:val="fr-FR"/>
        </w:rPr>
        <w:t>’</w:t>
      </w:r>
      <w:r w:rsidR="00B84D67" w:rsidRPr="008725ED">
        <w:rPr>
          <w:lang w:val="fr-FR"/>
        </w:rPr>
        <w:t xml:space="preserve">avancement des travaux du Comité technique (TC) et de ses groupes de travail techniques, </w:t>
      </w:r>
      <w:r w:rsidR="00EF1779" w:rsidRPr="008725ED">
        <w:rPr>
          <w:lang w:val="fr-FR"/>
        </w:rPr>
        <w:t>y compris</w:t>
      </w:r>
      <w:r w:rsidR="00B84D67" w:rsidRPr="008725ED">
        <w:rPr>
          <w:lang w:val="fr-FR"/>
        </w:rPr>
        <w:t xml:space="preserve"> le Groupe de travail sur les techniques biochimiques et moléculaires, notamment les profils d</w:t>
      </w:r>
      <w:r w:rsidR="00EF1779" w:rsidRPr="008725ED">
        <w:rPr>
          <w:lang w:val="fr-FR"/>
        </w:rPr>
        <w:t>’</w:t>
      </w:r>
      <w:r w:rsidR="00B84D67" w:rsidRPr="008725ED">
        <w:rPr>
          <w:lang w:val="fr-FR"/>
        </w:rPr>
        <w:t>ADN (BMT).</w:t>
      </w:r>
    </w:p>
    <w:p w:rsidR="008C3126" w:rsidRPr="008725ED" w:rsidRDefault="008C3126" w:rsidP="00367578">
      <w:pPr>
        <w:rPr>
          <w:szCs w:val="24"/>
          <w:lang w:val="fr-FR"/>
        </w:rPr>
      </w:pPr>
    </w:p>
    <w:p w:rsidR="008C3126" w:rsidRPr="008725ED" w:rsidRDefault="00367578" w:rsidP="00B84D67">
      <w:pPr>
        <w:rPr>
          <w:szCs w:val="24"/>
          <w:lang w:val="fr-FR"/>
        </w:rPr>
      </w:pPr>
      <w:r w:rsidRPr="008725ED">
        <w:rPr>
          <w:szCs w:val="24"/>
          <w:lang w:val="fr-FR"/>
        </w:rPr>
        <w:fldChar w:fldCharType="begin"/>
      </w:r>
      <w:r w:rsidRPr="008725ED">
        <w:rPr>
          <w:szCs w:val="24"/>
          <w:lang w:val="fr-FR"/>
        </w:rPr>
        <w:instrText xml:space="preserve"> AUTONUM  </w:instrText>
      </w:r>
      <w:r w:rsidRPr="008725ED">
        <w:rPr>
          <w:szCs w:val="24"/>
          <w:lang w:val="fr-FR"/>
        </w:rPr>
        <w:fldChar w:fldCharType="end"/>
      </w:r>
      <w:r w:rsidRPr="008725ED">
        <w:rPr>
          <w:szCs w:val="24"/>
          <w:lang w:val="fr-FR"/>
        </w:rPr>
        <w:tab/>
      </w:r>
      <w:r w:rsidR="00B84D67" w:rsidRPr="008725ED">
        <w:rPr>
          <w:szCs w:val="24"/>
          <w:lang w:val="fr-FR"/>
        </w:rPr>
        <w:t>Le Conseil sera invité</w:t>
      </w:r>
    </w:p>
    <w:p w:rsidR="008C3126" w:rsidRPr="008725ED" w:rsidRDefault="008C3126" w:rsidP="00367578">
      <w:pPr>
        <w:rPr>
          <w:szCs w:val="24"/>
          <w:lang w:val="fr-FR"/>
        </w:rPr>
      </w:pPr>
    </w:p>
    <w:p w:rsidR="008C3126" w:rsidRPr="008725ED" w:rsidRDefault="00367578" w:rsidP="00B84D67">
      <w:pPr>
        <w:rPr>
          <w:szCs w:val="24"/>
          <w:lang w:val="fr-FR"/>
        </w:rPr>
      </w:pPr>
      <w:r w:rsidRPr="008725ED">
        <w:rPr>
          <w:szCs w:val="24"/>
          <w:lang w:val="fr-FR"/>
        </w:rPr>
        <w:tab/>
      </w:r>
      <w:r w:rsidR="00B84D67" w:rsidRPr="008725ED">
        <w:rPr>
          <w:szCs w:val="24"/>
          <w:lang w:val="fr-FR"/>
        </w:rPr>
        <w:t>a)</w:t>
      </w:r>
      <w:r w:rsidR="00B84D67" w:rsidRPr="008725ED">
        <w:rPr>
          <w:szCs w:val="24"/>
          <w:lang w:val="fr-FR"/>
        </w:rPr>
        <w:tab/>
        <w:t>à prendre note des travaux du</w:t>
      </w:r>
      <w:r w:rsidR="00EF1779" w:rsidRPr="008725ED">
        <w:rPr>
          <w:szCs w:val="24"/>
          <w:lang w:val="fr-FR"/>
        </w:rPr>
        <w:t> TC</w:t>
      </w:r>
      <w:r w:rsidR="00B84D67" w:rsidRPr="008725ED">
        <w:rPr>
          <w:szCs w:val="24"/>
          <w:lang w:val="fr-FR"/>
        </w:rPr>
        <w:t>, ainsi que de ceux des groupes de travail techniques et</w:t>
      </w:r>
      <w:r w:rsidR="00EF1779" w:rsidRPr="008725ED">
        <w:rPr>
          <w:szCs w:val="24"/>
          <w:lang w:val="fr-FR"/>
        </w:rPr>
        <w:t xml:space="preserve"> du BMT</w:t>
      </w:r>
      <w:r w:rsidR="00B84D67" w:rsidRPr="008725ED">
        <w:rPr>
          <w:szCs w:val="24"/>
          <w:lang w:val="fr-FR"/>
        </w:rPr>
        <w:t xml:space="preserve"> dont il a été rendu compte au</w:t>
      </w:r>
      <w:r w:rsidR="00EF1779" w:rsidRPr="008725ED">
        <w:rPr>
          <w:szCs w:val="24"/>
          <w:lang w:val="fr-FR"/>
        </w:rPr>
        <w:t> TC</w:t>
      </w:r>
      <w:r w:rsidR="00B84D67" w:rsidRPr="008725ED">
        <w:rPr>
          <w:szCs w:val="24"/>
          <w:lang w:val="fr-FR"/>
        </w:rPr>
        <w:t>, comme indiqué dans le présent document;  et</w:t>
      </w:r>
    </w:p>
    <w:p w:rsidR="008C3126" w:rsidRPr="008725ED" w:rsidRDefault="008C3126" w:rsidP="00367578">
      <w:pPr>
        <w:rPr>
          <w:szCs w:val="24"/>
          <w:lang w:val="fr-FR"/>
        </w:rPr>
      </w:pPr>
    </w:p>
    <w:p w:rsidR="008C3126" w:rsidRPr="008725ED" w:rsidRDefault="00367578" w:rsidP="00B84D67">
      <w:pPr>
        <w:rPr>
          <w:szCs w:val="24"/>
          <w:lang w:val="fr-FR"/>
        </w:rPr>
      </w:pPr>
      <w:r w:rsidRPr="008725ED">
        <w:rPr>
          <w:szCs w:val="24"/>
          <w:lang w:val="fr-FR"/>
        </w:rPr>
        <w:tab/>
      </w:r>
      <w:r w:rsidR="00B84D67" w:rsidRPr="008725ED">
        <w:rPr>
          <w:szCs w:val="24"/>
          <w:lang w:val="fr-FR"/>
        </w:rPr>
        <w:t>b)</w:t>
      </w:r>
      <w:r w:rsidR="00B84D67" w:rsidRPr="008725ED">
        <w:rPr>
          <w:szCs w:val="24"/>
          <w:lang w:val="fr-FR"/>
        </w:rPr>
        <w:tab/>
        <w:t>à approuver les travaux du</w:t>
      </w:r>
      <w:r w:rsidR="00EF1779" w:rsidRPr="008725ED">
        <w:rPr>
          <w:szCs w:val="24"/>
          <w:lang w:val="fr-FR"/>
        </w:rPr>
        <w:t> TC</w:t>
      </w:r>
      <w:r w:rsidR="00B84D67" w:rsidRPr="008725ED">
        <w:rPr>
          <w:szCs w:val="24"/>
          <w:lang w:val="fr-FR"/>
        </w:rPr>
        <w:t xml:space="preserve"> et les programmes de travail des groupes de travail techniques et</w:t>
      </w:r>
      <w:r w:rsidR="00EF1779" w:rsidRPr="008725ED">
        <w:rPr>
          <w:szCs w:val="24"/>
          <w:lang w:val="fr-FR"/>
        </w:rPr>
        <w:t xml:space="preserve"> du BMT</w:t>
      </w:r>
      <w:r w:rsidR="00B84D67" w:rsidRPr="008725ED">
        <w:rPr>
          <w:szCs w:val="24"/>
          <w:lang w:val="fr-FR"/>
        </w:rPr>
        <w:t xml:space="preserve"> qui ont été présentés au</w:t>
      </w:r>
      <w:r w:rsidR="00EF1779" w:rsidRPr="008725ED">
        <w:rPr>
          <w:szCs w:val="24"/>
          <w:lang w:val="fr-FR"/>
        </w:rPr>
        <w:t> TC</w:t>
      </w:r>
      <w:r w:rsidR="00B84D67" w:rsidRPr="008725ED">
        <w:rPr>
          <w:szCs w:val="24"/>
          <w:lang w:val="fr-FR"/>
        </w:rPr>
        <w:t>, comme indiqué dans le présent document.</w:t>
      </w:r>
    </w:p>
    <w:p w:rsidR="008C3126" w:rsidRPr="008725ED" w:rsidRDefault="008C3126" w:rsidP="00367578">
      <w:pPr>
        <w:rPr>
          <w:szCs w:val="24"/>
          <w:lang w:val="fr-FR"/>
        </w:rPr>
      </w:pPr>
    </w:p>
    <w:p w:rsidR="008C3126" w:rsidRPr="008725ED" w:rsidRDefault="00367578" w:rsidP="00B84D6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r>
      <w:r w:rsidR="00B84D67" w:rsidRPr="008725ED">
        <w:rPr>
          <w:lang w:val="fr-FR"/>
        </w:rPr>
        <w:t>Les abréviations ci</w:t>
      </w:r>
      <w:r w:rsidR="00EF1779" w:rsidRPr="008725ED">
        <w:rPr>
          <w:lang w:val="fr-FR"/>
        </w:rPr>
        <w:t>-</w:t>
      </w:r>
      <w:r w:rsidR="00B84D67" w:rsidRPr="008725ED">
        <w:rPr>
          <w:lang w:val="fr-FR"/>
        </w:rPr>
        <w:t>après sont utilisées dans le présent document</w:t>
      </w:r>
      <w:r w:rsidR="00EF1779" w:rsidRPr="008725ED">
        <w:rPr>
          <w:lang w:val="fr-FR"/>
        </w:rPr>
        <w:t> :</w:t>
      </w:r>
    </w:p>
    <w:p w:rsidR="008C3126" w:rsidRPr="008725ED" w:rsidRDefault="008C3126" w:rsidP="00367578">
      <w:pPr>
        <w:rPr>
          <w:lang w:val="fr-FR"/>
        </w:rPr>
      </w:pPr>
    </w:p>
    <w:p w:rsidR="00EF1779" w:rsidRPr="008725ED" w:rsidRDefault="00367578" w:rsidP="00B84D67">
      <w:pPr>
        <w:tabs>
          <w:tab w:val="left" w:pos="567"/>
        </w:tabs>
        <w:ind w:left="2552" w:right="-1" w:hanging="2552"/>
        <w:jc w:val="left"/>
        <w:rPr>
          <w:lang w:val="fr-FR"/>
        </w:rPr>
      </w:pPr>
      <w:r w:rsidRPr="008725ED">
        <w:rPr>
          <w:lang w:val="fr-FR"/>
        </w:rPr>
        <w:tab/>
      </w:r>
      <w:r w:rsidR="00B84D67" w:rsidRPr="008725ED">
        <w:rPr>
          <w:lang w:val="fr-FR"/>
        </w:rPr>
        <w:t>CAJ</w:t>
      </w:r>
      <w:r w:rsidR="00EF1779" w:rsidRPr="008725ED">
        <w:rPr>
          <w:lang w:val="fr-FR"/>
        </w:rPr>
        <w:t> :</w:t>
      </w:r>
      <w:r w:rsidR="00B84D67" w:rsidRPr="008725ED">
        <w:rPr>
          <w:lang w:val="fr-FR"/>
        </w:rPr>
        <w:t xml:space="preserve"> </w:t>
      </w:r>
      <w:r w:rsidR="00B84D67" w:rsidRPr="008725ED">
        <w:rPr>
          <w:lang w:val="fr-FR"/>
        </w:rPr>
        <w:tab/>
        <w:t>Comité administratif et juridique</w:t>
      </w:r>
    </w:p>
    <w:p w:rsidR="008C3126" w:rsidRPr="008725ED" w:rsidRDefault="00367578" w:rsidP="00B84D67">
      <w:pPr>
        <w:tabs>
          <w:tab w:val="left" w:pos="567"/>
        </w:tabs>
        <w:ind w:left="2552" w:right="-1" w:hanging="2552"/>
        <w:jc w:val="left"/>
        <w:rPr>
          <w:lang w:val="fr-FR"/>
        </w:rPr>
      </w:pPr>
      <w:r w:rsidRPr="008725ED">
        <w:rPr>
          <w:lang w:val="fr-FR"/>
        </w:rPr>
        <w:tab/>
      </w:r>
      <w:r w:rsidR="00B84D67" w:rsidRPr="008725ED">
        <w:rPr>
          <w:lang w:val="fr-FR"/>
        </w:rPr>
        <w:t>TC</w:t>
      </w:r>
      <w:r w:rsidR="00EF1779" w:rsidRPr="008725ED">
        <w:rPr>
          <w:lang w:val="fr-FR"/>
        </w:rPr>
        <w:t> :</w:t>
      </w:r>
      <w:r w:rsidR="00B84D67" w:rsidRPr="008725ED">
        <w:rPr>
          <w:lang w:val="fr-FR"/>
        </w:rPr>
        <w:t xml:space="preserve"> </w:t>
      </w:r>
      <w:r w:rsidR="00B84D67" w:rsidRPr="008725ED">
        <w:rPr>
          <w:lang w:val="fr-FR"/>
        </w:rPr>
        <w:tab/>
        <w:t>Comité technique</w:t>
      </w:r>
    </w:p>
    <w:p w:rsidR="008C3126" w:rsidRPr="008725ED" w:rsidRDefault="00367578" w:rsidP="00B84D67">
      <w:pPr>
        <w:tabs>
          <w:tab w:val="left" w:pos="567"/>
        </w:tabs>
        <w:ind w:left="2552" w:right="-1" w:hanging="2552"/>
        <w:jc w:val="left"/>
        <w:rPr>
          <w:lang w:val="fr-FR"/>
        </w:rPr>
      </w:pPr>
      <w:r w:rsidRPr="008725ED">
        <w:rPr>
          <w:lang w:val="fr-FR"/>
        </w:rPr>
        <w:tab/>
      </w:r>
      <w:r w:rsidR="00B84D67" w:rsidRPr="008725ED">
        <w:rPr>
          <w:lang w:val="fr-FR"/>
        </w:rPr>
        <w:t>TC</w:t>
      </w:r>
      <w:r w:rsidR="00EF1779" w:rsidRPr="008725ED">
        <w:rPr>
          <w:lang w:val="fr-FR"/>
        </w:rPr>
        <w:t>-</w:t>
      </w:r>
      <w:r w:rsidR="00B84D67" w:rsidRPr="008725ED">
        <w:rPr>
          <w:lang w:val="fr-FR"/>
        </w:rPr>
        <w:t>EDC</w:t>
      </w:r>
      <w:r w:rsidR="00EF1779" w:rsidRPr="008725ED">
        <w:rPr>
          <w:lang w:val="fr-FR"/>
        </w:rPr>
        <w:t> :</w:t>
      </w:r>
      <w:r w:rsidR="00B84D67" w:rsidRPr="008725ED">
        <w:rPr>
          <w:lang w:val="fr-FR"/>
        </w:rPr>
        <w:t xml:space="preserve"> </w:t>
      </w:r>
      <w:r w:rsidR="00B84D67" w:rsidRPr="008725ED">
        <w:rPr>
          <w:lang w:val="fr-FR"/>
        </w:rPr>
        <w:tab/>
        <w:t>Comité de rédaction élargi</w:t>
      </w:r>
    </w:p>
    <w:p w:rsidR="008C3126" w:rsidRPr="008725ED" w:rsidRDefault="00367578" w:rsidP="00B84D67">
      <w:pPr>
        <w:tabs>
          <w:tab w:val="left" w:pos="567"/>
        </w:tabs>
        <w:ind w:left="2552" w:right="-1" w:hanging="2552"/>
        <w:jc w:val="left"/>
        <w:rPr>
          <w:lang w:val="fr-FR"/>
        </w:rPr>
      </w:pPr>
      <w:r w:rsidRPr="008725ED">
        <w:rPr>
          <w:lang w:val="fr-FR"/>
        </w:rPr>
        <w:tab/>
      </w:r>
      <w:r w:rsidR="00B84D67" w:rsidRPr="008725ED">
        <w:rPr>
          <w:lang w:val="fr-FR"/>
        </w:rPr>
        <w:t>TWP</w:t>
      </w:r>
      <w:r w:rsidR="00EF1779" w:rsidRPr="008725ED">
        <w:rPr>
          <w:lang w:val="fr-FR"/>
        </w:rPr>
        <w:t> :</w:t>
      </w:r>
      <w:r w:rsidR="00B84D67" w:rsidRPr="008725ED">
        <w:rPr>
          <w:lang w:val="fr-FR"/>
        </w:rPr>
        <w:t xml:space="preserve"> </w:t>
      </w:r>
      <w:r w:rsidR="00B84D67" w:rsidRPr="008725ED">
        <w:rPr>
          <w:lang w:val="fr-FR"/>
        </w:rPr>
        <w:tab/>
        <w:t>Groupe de travail technique</w:t>
      </w:r>
    </w:p>
    <w:p w:rsidR="008C3126" w:rsidRPr="008725ED" w:rsidRDefault="00367578" w:rsidP="00B84D67">
      <w:pPr>
        <w:tabs>
          <w:tab w:val="left" w:pos="567"/>
        </w:tabs>
        <w:ind w:left="2552" w:right="-1" w:hanging="2552"/>
        <w:jc w:val="left"/>
        <w:rPr>
          <w:lang w:val="fr-FR"/>
        </w:rPr>
      </w:pPr>
      <w:r w:rsidRPr="008725ED">
        <w:rPr>
          <w:lang w:val="fr-FR"/>
        </w:rPr>
        <w:tab/>
      </w:r>
      <w:r w:rsidR="00B84D67" w:rsidRPr="008725ED">
        <w:rPr>
          <w:lang w:val="fr-FR"/>
        </w:rPr>
        <w:t>TWA</w:t>
      </w:r>
      <w:r w:rsidR="00EF1779" w:rsidRPr="008725ED">
        <w:rPr>
          <w:lang w:val="fr-FR"/>
        </w:rPr>
        <w:t> :</w:t>
      </w:r>
      <w:r w:rsidR="00B84D67" w:rsidRPr="008725ED">
        <w:rPr>
          <w:lang w:val="fr-FR"/>
        </w:rPr>
        <w:t xml:space="preserve"> </w:t>
      </w:r>
      <w:r w:rsidR="00B84D67" w:rsidRPr="008725ED">
        <w:rPr>
          <w:lang w:val="fr-FR"/>
        </w:rPr>
        <w:tab/>
        <w:t>Groupe de travail technique sur les plantes agricoles</w:t>
      </w:r>
    </w:p>
    <w:p w:rsidR="008C3126" w:rsidRPr="008725ED" w:rsidRDefault="00367578" w:rsidP="00B84D67">
      <w:pPr>
        <w:tabs>
          <w:tab w:val="left" w:pos="567"/>
        </w:tabs>
        <w:ind w:left="2552" w:right="-1" w:hanging="2552"/>
        <w:jc w:val="left"/>
        <w:rPr>
          <w:lang w:val="fr-FR"/>
        </w:rPr>
      </w:pPr>
      <w:r w:rsidRPr="008725ED">
        <w:rPr>
          <w:lang w:val="fr-FR"/>
        </w:rPr>
        <w:tab/>
      </w:r>
      <w:r w:rsidR="00B84D67" w:rsidRPr="008725ED">
        <w:rPr>
          <w:lang w:val="fr-FR"/>
        </w:rPr>
        <w:t>TWC</w:t>
      </w:r>
      <w:r w:rsidR="00EF1779" w:rsidRPr="008725ED">
        <w:rPr>
          <w:lang w:val="fr-FR"/>
        </w:rPr>
        <w:t> :</w:t>
      </w:r>
      <w:r w:rsidR="00B84D67" w:rsidRPr="008725ED">
        <w:rPr>
          <w:lang w:val="fr-FR"/>
        </w:rPr>
        <w:t xml:space="preserve"> </w:t>
      </w:r>
      <w:r w:rsidR="00B84D67" w:rsidRPr="008725ED">
        <w:rPr>
          <w:lang w:val="fr-FR"/>
        </w:rPr>
        <w:tab/>
        <w:t>Groupe de travail technique sur les systèmes d</w:t>
      </w:r>
      <w:r w:rsidR="00EF1779" w:rsidRPr="008725ED">
        <w:rPr>
          <w:lang w:val="fr-FR"/>
        </w:rPr>
        <w:t>’</w:t>
      </w:r>
      <w:r w:rsidR="00B84D67" w:rsidRPr="008725ED">
        <w:rPr>
          <w:lang w:val="fr-FR"/>
        </w:rPr>
        <w:t>automatisation et les programmes d</w:t>
      </w:r>
      <w:r w:rsidR="00EF1779" w:rsidRPr="008725ED">
        <w:rPr>
          <w:lang w:val="fr-FR"/>
        </w:rPr>
        <w:t>’</w:t>
      </w:r>
      <w:r w:rsidR="00B84D67" w:rsidRPr="008725ED">
        <w:rPr>
          <w:lang w:val="fr-FR"/>
        </w:rPr>
        <w:t>ordinateur</w:t>
      </w:r>
    </w:p>
    <w:p w:rsidR="008C3126" w:rsidRPr="008725ED" w:rsidRDefault="00367578" w:rsidP="00B84D67">
      <w:pPr>
        <w:tabs>
          <w:tab w:val="left" w:pos="567"/>
        </w:tabs>
        <w:ind w:left="2552" w:right="-1" w:hanging="2552"/>
        <w:jc w:val="left"/>
        <w:rPr>
          <w:lang w:val="fr-FR"/>
        </w:rPr>
      </w:pPr>
      <w:r w:rsidRPr="008725ED">
        <w:rPr>
          <w:lang w:val="fr-FR"/>
        </w:rPr>
        <w:tab/>
      </w:r>
      <w:r w:rsidR="00B84D67" w:rsidRPr="008725ED">
        <w:rPr>
          <w:lang w:val="fr-FR"/>
        </w:rPr>
        <w:t>TWF</w:t>
      </w:r>
      <w:r w:rsidR="00EF1779" w:rsidRPr="008725ED">
        <w:rPr>
          <w:lang w:val="fr-FR"/>
        </w:rPr>
        <w:t> :</w:t>
      </w:r>
      <w:r w:rsidR="00B84D67" w:rsidRPr="008725ED">
        <w:rPr>
          <w:lang w:val="fr-FR"/>
        </w:rPr>
        <w:t xml:space="preserve"> </w:t>
      </w:r>
      <w:r w:rsidR="00B84D67" w:rsidRPr="008725ED">
        <w:rPr>
          <w:lang w:val="fr-FR"/>
        </w:rPr>
        <w:tab/>
        <w:t>Groupe de travail technique sur les plantes fruitières</w:t>
      </w:r>
    </w:p>
    <w:p w:rsidR="008C3126" w:rsidRPr="008725ED" w:rsidRDefault="00367578" w:rsidP="00B84D67">
      <w:pPr>
        <w:tabs>
          <w:tab w:val="left" w:pos="567"/>
        </w:tabs>
        <w:ind w:left="2552" w:right="-1" w:hanging="2552"/>
        <w:jc w:val="left"/>
        <w:rPr>
          <w:lang w:val="fr-FR"/>
        </w:rPr>
      </w:pPr>
      <w:r w:rsidRPr="008725ED">
        <w:rPr>
          <w:lang w:val="fr-FR"/>
        </w:rPr>
        <w:tab/>
      </w:r>
      <w:r w:rsidR="00B84D67" w:rsidRPr="008725ED">
        <w:rPr>
          <w:lang w:val="fr-FR"/>
        </w:rPr>
        <w:t>TWO</w:t>
      </w:r>
      <w:r w:rsidR="00EF1779" w:rsidRPr="008725ED">
        <w:rPr>
          <w:lang w:val="fr-FR"/>
        </w:rPr>
        <w:t> :</w:t>
      </w:r>
      <w:r w:rsidR="00B84D67" w:rsidRPr="008725ED">
        <w:rPr>
          <w:lang w:val="fr-FR"/>
        </w:rPr>
        <w:t xml:space="preserve"> </w:t>
      </w:r>
      <w:r w:rsidR="00B84D67" w:rsidRPr="008725ED">
        <w:rPr>
          <w:lang w:val="fr-FR"/>
        </w:rPr>
        <w:tab/>
        <w:t>Groupe de travail technique sur les plantes ornementales et les arbres forestiers</w:t>
      </w:r>
    </w:p>
    <w:p w:rsidR="008C3126" w:rsidRPr="008725ED" w:rsidRDefault="00367578" w:rsidP="00B84D67">
      <w:pPr>
        <w:tabs>
          <w:tab w:val="left" w:pos="567"/>
        </w:tabs>
        <w:ind w:left="2552" w:right="-1" w:hanging="2552"/>
        <w:jc w:val="left"/>
        <w:rPr>
          <w:lang w:val="fr-FR"/>
        </w:rPr>
      </w:pPr>
      <w:r w:rsidRPr="008725ED">
        <w:rPr>
          <w:lang w:val="fr-FR"/>
        </w:rPr>
        <w:tab/>
      </w:r>
      <w:r w:rsidR="00B84D67" w:rsidRPr="008725ED">
        <w:rPr>
          <w:lang w:val="fr-FR"/>
        </w:rPr>
        <w:t>TWV</w:t>
      </w:r>
      <w:r w:rsidR="00EF1779" w:rsidRPr="008725ED">
        <w:rPr>
          <w:lang w:val="fr-FR"/>
        </w:rPr>
        <w:t> :</w:t>
      </w:r>
      <w:r w:rsidR="00B84D67" w:rsidRPr="008725ED">
        <w:rPr>
          <w:lang w:val="fr-FR"/>
        </w:rPr>
        <w:t xml:space="preserve"> </w:t>
      </w:r>
      <w:r w:rsidR="00B84D67" w:rsidRPr="008725ED">
        <w:rPr>
          <w:lang w:val="fr-FR"/>
        </w:rPr>
        <w:tab/>
        <w:t>Groupe de travail technique sur les plantes potagères</w:t>
      </w:r>
    </w:p>
    <w:p w:rsidR="008C3126" w:rsidRPr="008725ED" w:rsidRDefault="00367578" w:rsidP="00B84D67">
      <w:pPr>
        <w:tabs>
          <w:tab w:val="left" w:pos="567"/>
        </w:tabs>
        <w:ind w:left="2552" w:right="-1" w:hanging="2552"/>
        <w:jc w:val="left"/>
        <w:rPr>
          <w:lang w:val="fr-FR"/>
        </w:rPr>
      </w:pPr>
      <w:r w:rsidRPr="008725ED">
        <w:rPr>
          <w:lang w:val="fr-FR"/>
        </w:rPr>
        <w:tab/>
      </w:r>
      <w:r w:rsidR="00B84D67" w:rsidRPr="008725ED">
        <w:rPr>
          <w:lang w:val="fr-FR"/>
        </w:rPr>
        <w:t>BMT</w:t>
      </w:r>
      <w:r w:rsidR="00EF1779" w:rsidRPr="008725ED">
        <w:rPr>
          <w:lang w:val="fr-FR"/>
        </w:rPr>
        <w:t> :</w:t>
      </w:r>
      <w:r w:rsidR="00B84D67" w:rsidRPr="008725ED">
        <w:rPr>
          <w:lang w:val="fr-FR"/>
        </w:rPr>
        <w:t xml:space="preserve"> </w:t>
      </w:r>
      <w:r w:rsidR="00B84D67" w:rsidRPr="008725ED">
        <w:rPr>
          <w:lang w:val="fr-FR"/>
        </w:rPr>
        <w:tab/>
        <w:t>Groupe de travail sur les techniques biochimiques et moléculaires, notamment les profils d</w:t>
      </w:r>
      <w:r w:rsidR="00EF1779" w:rsidRPr="008725ED">
        <w:rPr>
          <w:lang w:val="fr-FR"/>
        </w:rPr>
        <w:t>’</w:t>
      </w:r>
      <w:r w:rsidR="00B84D67" w:rsidRPr="008725ED">
        <w:rPr>
          <w:lang w:val="fr-FR"/>
        </w:rPr>
        <w:t>ADN</w:t>
      </w:r>
    </w:p>
    <w:p w:rsidR="00EF1779" w:rsidRPr="008725ED" w:rsidRDefault="00367578" w:rsidP="00B84D67">
      <w:pPr>
        <w:tabs>
          <w:tab w:val="left" w:pos="567"/>
        </w:tabs>
        <w:ind w:left="2552" w:right="-1" w:hanging="2552"/>
        <w:jc w:val="left"/>
        <w:rPr>
          <w:rFonts w:cs="Arial"/>
          <w:lang w:val="fr-FR"/>
        </w:rPr>
      </w:pPr>
      <w:r w:rsidRPr="008725ED">
        <w:rPr>
          <w:rFonts w:cs="Arial"/>
          <w:lang w:val="fr-FR"/>
        </w:rPr>
        <w:tab/>
      </w:r>
      <w:r w:rsidR="00B84D67" w:rsidRPr="008725ED">
        <w:rPr>
          <w:rFonts w:cs="Arial"/>
          <w:lang w:val="fr-FR"/>
        </w:rPr>
        <w:t>DHS</w:t>
      </w:r>
      <w:r w:rsidR="00EF1779" w:rsidRPr="008725ED">
        <w:rPr>
          <w:rFonts w:cs="Arial"/>
          <w:lang w:val="fr-FR"/>
        </w:rPr>
        <w:t> :</w:t>
      </w:r>
      <w:r w:rsidR="00B0700F" w:rsidRPr="008725ED">
        <w:rPr>
          <w:rFonts w:cs="Arial"/>
          <w:lang w:val="fr-FR"/>
        </w:rPr>
        <w:t xml:space="preserve"> </w:t>
      </w:r>
      <w:r w:rsidR="00B84D67" w:rsidRPr="008725ED">
        <w:rPr>
          <w:lang w:val="fr-FR"/>
        </w:rPr>
        <w:tab/>
      </w:r>
      <w:r w:rsidR="00B84D67" w:rsidRPr="008725ED">
        <w:rPr>
          <w:rFonts w:cs="Arial"/>
          <w:lang w:val="fr-FR"/>
        </w:rPr>
        <w:t>Distinction, homogénéité et stabilité</w:t>
      </w:r>
    </w:p>
    <w:p w:rsidR="008C3126" w:rsidRPr="008725ED" w:rsidRDefault="00367578" w:rsidP="00B84D67">
      <w:pPr>
        <w:tabs>
          <w:tab w:val="left" w:pos="567"/>
        </w:tabs>
        <w:ind w:left="2552" w:right="-1" w:hanging="2552"/>
        <w:jc w:val="left"/>
        <w:rPr>
          <w:rFonts w:cs="Arial"/>
          <w:lang w:val="fr-FR"/>
        </w:rPr>
      </w:pPr>
      <w:r w:rsidRPr="008725ED">
        <w:rPr>
          <w:rFonts w:cs="Arial"/>
          <w:lang w:val="fr-FR"/>
        </w:rPr>
        <w:tab/>
      </w:r>
      <w:r w:rsidR="00B84D67" w:rsidRPr="008725ED">
        <w:rPr>
          <w:rFonts w:cs="Arial"/>
          <w:lang w:val="fr-FR"/>
        </w:rPr>
        <w:t>Bureau</w:t>
      </w:r>
      <w:r w:rsidR="00EF1779" w:rsidRPr="008725ED">
        <w:rPr>
          <w:rFonts w:cs="Arial"/>
          <w:lang w:val="fr-FR"/>
        </w:rPr>
        <w:t> :</w:t>
      </w:r>
      <w:r w:rsidR="00B0700F" w:rsidRPr="008725ED">
        <w:rPr>
          <w:rFonts w:cs="Arial"/>
          <w:lang w:val="fr-FR"/>
        </w:rPr>
        <w:t xml:space="preserve"> </w:t>
      </w:r>
      <w:r w:rsidR="00B84D67" w:rsidRPr="008725ED">
        <w:rPr>
          <w:lang w:val="fr-FR"/>
        </w:rPr>
        <w:tab/>
      </w:r>
      <w:r w:rsidR="00B84D67" w:rsidRPr="008725ED">
        <w:rPr>
          <w:rFonts w:cs="Arial"/>
          <w:lang w:val="fr-FR"/>
        </w:rPr>
        <w:t>Bureau de l</w:t>
      </w:r>
      <w:r w:rsidR="00EF1779" w:rsidRPr="008725ED">
        <w:rPr>
          <w:rFonts w:cs="Arial"/>
          <w:lang w:val="fr-FR"/>
        </w:rPr>
        <w:t>’</w:t>
      </w:r>
      <w:r w:rsidR="00B84D67" w:rsidRPr="008725ED">
        <w:rPr>
          <w:rFonts w:cs="Arial"/>
          <w:lang w:val="fr-FR"/>
        </w:rPr>
        <w:t>Union</w:t>
      </w:r>
    </w:p>
    <w:p w:rsidR="008C3126" w:rsidRPr="008725ED" w:rsidRDefault="008C3126" w:rsidP="00367578">
      <w:pPr>
        <w:spacing w:line="360" w:lineRule="auto"/>
        <w:jc w:val="center"/>
        <w:rPr>
          <w:rFonts w:cs="Arial"/>
          <w:lang w:val="fr-FR"/>
        </w:rPr>
      </w:pPr>
    </w:p>
    <w:p w:rsidR="008C3126" w:rsidRPr="008725ED" w:rsidRDefault="002871F4">
      <w:pPr>
        <w:jc w:val="left"/>
        <w:rPr>
          <w:lang w:val="fr-FR"/>
        </w:rPr>
      </w:pPr>
      <w:r w:rsidRPr="008725ED">
        <w:rPr>
          <w:lang w:val="fr-FR"/>
        </w:rPr>
        <w:br w:type="page"/>
      </w:r>
    </w:p>
    <w:p w:rsidR="008C3126" w:rsidRPr="008725ED" w:rsidRDefault="00B84D67" w:rsidP="00B84D67">
      <w:pPr>
        <w:rPr>
          <w:u w:val="single"/>
          <w:lang w:val="fr-FR"/>
        </w:rPr>
      </w:pPr>
      <w:r w:rsidRPr="008725ED">
        <w:rPr>
          <w:u w:val="single"/>
          <w:lang w:val="fr-FR"/>
        </w:rPr>
        <w:lastRenderedPageBreak/>
        <w:t>TABLE DES MATIÈRES</w:t>
      </w:r>
    </w:p>
    <w:p w:rsidR="008C3126" w:rsidRPr="008725ED" w:rsidRDefault="008C3126" w:rsidP="00367578">
      <w:pPr>
        <w:rPr>
          <w:highlight w:val="cyan"/>
          <w:lang w:val="fr-FR"/>
        </w:rPr>
      </w:pPr>
    </w:p>
    <w:p w:rsidR="00534E20" w:rsidRDefault="00367578">
      <w:pPr>
        <w:pStyle w:val="TOC1"/>
        <w:rPr>
          <w:rFonts w:asciiTheme="minorHAnsi" w:eastAsiaTheme="minorEastAsia" w:hAnsiTheme="minorHAnsi" w:cstheme="minorBidi"/>
          <w:caps w:val="0"/>
          <w:sz w:val="22"/>
          <w:szCs w:val="22"/>
          <w:lang w:val="en-US"/>
        </w:rPr>
      </w:pPr>
      <w:r w:rsidRPr="008725ED">
        <w:rPr>
          <w:snapToGrid w:val="0"/>
          <w:highlight w:val="cyan"/>
        </w:rPr>
        <w:fldChar w:fldCharType="begin"/>
      </w:r>
      <w:r w:rsidRPr="008725ED">
        <w:rPr>
          <w:snapToGrid w:val="0"/>
          <w:highlight w:val="cyan"/>
        </w:rPr>
        <w:instrText xml:space="preserve"> TOC \o "1-3" \h \z \u </w:instrText>
      </w:r>
      <w:r w:rsidRPr="008725ED">
        <w:rPr>
          <w:snapToGrid w:val="0"/>
          <w:highlight w:val="cyan"/>
        </w:rPr>
        <w:fldChar w:fldCharType="separate"/>
      </w:r>
      <w:hyperlink w:anchor="_Toc494207940" w:history="1">
        <w:r w:rsidR="00534E20" w:rsidRPr="00022782">
          <w:rPr>
            <w:rStyle w:val="Hyperlink"/>
          </w:rPr>
          <w:t>Résumé</w:t>
        </w:r>
        <w:r w:rsidR="00534E20">
          <w:rPr>
            <w:webHidden/>
          </w:rPr>
          <w:tab/>
        </w:r>
        <w:r w:rsidR="00534E20">
          <w:rPr>
            <w:webHidden/>
          </w:rPr>
          <w:fldChar w:fldCharType="begin"/>
        </w:r>
        <w:r w:rsidR="00534E20">
          <w:rPr>
            <w:webHidden/>
          </w:rPr>
          <w:instrText xml:space="preserve"> PAGEREF _Toc494207940 \h </w:instrText>
        </w:r>
        <w:r w:rsidR="00534E20">
          <w:rPr>
            <w:webHidden/>
          </w:rPr>
        </w:r>
        <w:r w:rsidR="00534E20">
          <w:rPr>
            <w:webHidden/>
          </w:rPr>
          <w:fldChar w:fldCharType="separate"/>
        </w:r>
        <w:r w:rsidR="00534E20">
          <w:rPr>
            <w:webHidden/>
          </w:rPr>
          <w:t>1</w:t>
        </w:r>
        <w:r w:rsidR="00534E20">
          <w:rPr>
            <w:webHidden/>
          </w:rPr>
          <w:fldChar w:fldCharType="end"/>
        </w:r>
      </w:hyperlink>
    </w:p>
    <w:p w:rsidR="00534E20" w:rsidRDefault="00534E20">
      <w:pPr>
        <w:pStyle w:val="TOC1"/>
        <w:rPr>
          <w:rFonts w:asciiTheme="minorHAnsi" w:eastAsiaTheme="minorEastAsia" w:hAnsiTheme="minorHAnsi" w:cstheme="minorBidi"/>
          <w:caps w:val="0"/>
          <w:sz w:val="22"/>
          <w:szCs w:val="22"/>
          <w:lang w:val="en-US"/>
        </w:rPr>
      </w:pPr>
      <w:hyperlink w:anchor="_Toc494207941" w:history="1">
        <w:r w:rsidRPr="00022782">
          <w:rPr>
            <w:rStyle w:val="Hyperlink"/>
          </w:rPr>
          <w:t>Rapport sur l’état d’avancement des travaux du Comité technique</w:t>
        </w:r>
        <w:r>
          <w:rPr>
            <w:webHidden/>
          </w:rPr>
          <w:tab/>
        </w:r>
        <w:r>
          <w:rPr>
            <w:webHidden/>
          </w:rPr>
          <w:fldChar w:fldCharType="begin"/>
        </w:r>
        <w:r>
          <w:rPr>
            <w:webHidden/>
          </w:rPr>
          <w:instrText xml:space="preserve"> PAGEREF _Toc494207941 \h </w:instrText>
        </w:r>
        <w:r>
          <w:rPr>
            <w:webHidden/>
          </w:rPr>
        </w:r>
        <w:r>
          <w:rPr>
            <w:webHidden/>
          </w:rPr>
          <w:fldChar w:fldCharType="separate"/>
        </w:r>
        <w:r>
          <w:rPr>
            <w:webHidden/>
          </w:rPr>
          <w:t>3</w:t>
        </w:r>
        <w:r>
          <w:rPr>
            <w:webHidden/>
          </w:rPr>
          <w:fldChar w:fldCharType="end"/>
        </w:r>
      </w:hyperlink>
    </w:p>
    <w:p w:rsidR="00534E20" w:rsidRDefault="00534E20">
      <w:pPr>
        <w:pStyle w:val="TOC2"/>
        <w:rPr>
          <w:rFonts w:asciiTheme="minorHAnsi" w:eastAsiaTheme="minorEastAsia" w:hAnsiTheme="minorHAnsi" w:cstheme="minorBidi"/>
          <w:sz w:val="22"/>
          <w:szCs w:val="22"/>
          <w:lang w:val="en-US"/>
        </w:rPr>
      </w:pPr>
      <w:hyperlink w:anchor="_Toc494207942" w:history="1">
        <w:r w:rsidRPr="00022782">
          <w:rPr>
            <w:rStyle w:val="Hyperlink"/>
          </w:rPr>
          <w:t>Rapport sur les faits nouveaux survenus au sein de l’UPOV, y compris certaines questions examinées lors des dernières sessions du Comité administratif et juridique, du Comité consultatif et du Conseil (rapport verbal du Secrétaire général adjoint)</w:t>
        </w:r>
        <w:r>
          <w:rPr>
            <w:webHidden/>
          </w:rPr>
          <w:tab/>
        </w:r>
        <w:r>
          <w:rPr>
            <w:webHidden/>
          </w:rPr>
          <w:fldChar w:fldCharType="begin"/>
        </w:r>
        <w:r>
          <w:rPr>
            <w:webHidden/>
          </w:rPr>
          <w:instrText xml:space="preserve"> PAGEREF _Toc494207942 \h </w:instrText>
        </w:r>
        <w:r>
          <w:rPr>
            <w:webHidden/>
          </w:rPr>
        </w:r>
        <w:r>
          <w:rPr>
            <w:webHidden/>
          </w:rPr>
          <w:fldChar w:fldCharType="separate"/>
        </w:r>
        <w:r>
          <w:rPr>
            <w:webHidden/>
          </w:rPr>
          <w:t>3</w:t>
        </w:r>
        <w:r>
          <w:rPr>
            <w:webHidden/>
          </w:rPr>
          <w:fldChar w:fldCharType="end"/>
        </w:r>
      </w:hyperlink>
    </w:p>
    <w:p w:rsidR="00534E20" w:rsidRDefault="00534E20">
      <w:pPr>
        <w:pStyle w:val="TOC2"/>
        <w:rPr>
          <w:rFonts w:asciiTheme="minorHAnsi" w:eastAsiaTheme="minorEastAsia" w:hAnsiTheme="minorHAnsi" w:cstheme="minorBidi"/>
          <w:sz w:val="22"/>
          <w:szCs w:val="22"/>
          <w:lang w:val="en-US"/>
        </w:rPr>
      </w:pPr>
      <w:hyperlink w:anchor="_Toc494207943" w:history="1">
        <w:r w:rsidRPr="00022782">
          <w:rPr>
            <w:rStyle w:val="Hyperlink"/>
            <w:snapToGrid w:val="0"/>
          </w:rPr>
          <w:t>Organisation des sessions de l’UPOV</w:t>
        </w:r>
        <w:r>
          <w:rPr>
            <w:webHidden/>
          </w:rPr>
          <w:tab/>
        </w:r>
        <w:r>
          <w:rPr>
            <w:webHidden/>
          </w:rPr>
          <w:fldChar w:fldCharType="begin"/>
        </w:r>
        <w:r>
          <w:rPr>
            <w:webHidden/>
          </w:rPr>
          <w:instrText xml:space="preserve"> PAGEREF _Toc494207943 \h </w:instrText>
        </w:r>
        <w:r>
          <w:rPr>
            <w:webHidden/>
          </w:rPr>
        </w:r>
        <w:r>
          <w:rPr>
            <w:webHidden/>
          </w:rPr>
          <w:fldChar w:fldCharType="separate"/>
        </w:r>
        <w:r>
          <w:rPr>
            <w:webHidden/>
          </w:rPr>
          <w:t>3</w:t>
        </w:r>
        <w:r>
          <w:rPr>
            <w:webHidden/>
          </w:rPr>
          <w:fldChar w:fldCharType="end"/>
        </w:r>
      </w:hyperlink>
    </w:p>
    <w:p w:rsidR="00534E20" w:rsidRDefault="00534E20">
      <w:pPr>
        <w:pStyle w:val="TOC2"/>
        <w:rPr>
          <w:rFonts w:asciiTheme="minorHAnsi" w:eastAsiaTheme="minorEastAsia" w:hAnsiTheme="minorHAnsi" w:cstheme="minorBidi"/>
          <w:sz w:val="22"/>
          <w:szCs w:val="22"/>
          <w:lang w:val="en-US"/>
        </w:rPr>
      </w:pPr>
      <w:hyperlink w:anchor="_Toc494207944" w:history="1">
        <w:r w:rsidRPr="00022782">
          <w:rPr>
            <w:rStyle w:val="Hyperlink"/>
          </w:rPr>
          <w:t>Questions découlant des travaux des groupes de travail techniques</w:t>
        </w:r>
        <w:r>
          <w:rPr>
            <w:webHidden/>
          </w:rPr>
          <w:tab/>
        </w:r>
        <w:r>
          <w:rPr>
            <w:webHidden/>
          </w:rPr>
          <w:fldChar w:fldCharType="begin"/>
        </w:r>
        <w:r>
          <w:rPr>
            <w:webHidden/>
          </w:rPr>
          <w:instrText xml:space="preserve"> PAGEREF _Toc494207944 \h </w:instrText>
        </w:r>
        <w:r>
          <w:rPr>
            <w:webHidden/>
          </w:rPr>
        </w:r>
        <w:r>
          <w:rPr>
            <w:webHidden/>
          </w:rPr>
          <w:fldChar w:fldCharType="separate"/>
        </w:r>
        <w:r>
          <w:rPr>
            <w:webHidden/>
          </w:rPr>
          <w:t>4</w:t>
        </w:r>
        <w:r>
          <w:rPr>
            <w:webHidden/>
          </w:rPr>
          <w:fldChar w:fldCharType="end"/>
        </w:r>
      </w:hyperlink>
    </w:p>
    <w:p w:rsidR="00534E20" w:rsidRDefault="00534E20">
      <w:pPr>
        <w:pStyle w:val="TOC2"/>
        <w:rPr>
          <w:rFonts w:asciiTheme="minorHAnsi" w:eastAsiaTheme="minorEastAsia" w:hAnsiTheme="minorHAnsi" w:cstheme="minorBidi"/>
          <w:sz w:val="22"/>
          <w:szCs w:val="22"/>
          <w:lang w:val="en-US"/>
        </w:rPr>
      </w:pPr>
      <w:hyperlink w:anchor="_Toc494207945" w:history="1">
        <w:r w:rsidRPr="00022782">
          <w:rPr>
            <w:rStyle w:val="Hyperlink"/>
          </w:rPr>
          <w:t>Documents TGP</w:t>
        </w:r>
        <w:r>
          <w:rPr>
            <w:webHidden/>
          </w:rPr>
          <w:tab/>
        </w:r>
        <w:r>
          <w:rPr>
            <w:webHidden/>
          </w:rPr>
          <w:fldChar w:fldCharType="begin"/>
        </w:r>
        <w:r>
          <w:rPr>
            <w:webHidden/>
          </w:rPr>
          <w:instrText xml:space="preserve"> PAGEREF _Toc494207945 \h </w:instrText>
        </w:r>
        <w:r>
          <w:rPr>
            <w:webHidden/>
          </w:rPr>
        </w:r>
        <w:r>
          <w:rPr>
            <w:webHidden/>
          </w:rPr>
          <w:fldChar w:fldCharType="separate"/>
        </w:r>
        <w:r>
          <w:rPr>
            <w:webHidden/>
          </w:rPr>
          <w:t>4</w:t>
        </w:r>
        <w:r>
          <w:rPr>
            <w:webHidden/>
          </w:rPr>
          <w:fldChar w:fldCharType="end"/>
        </w:r>
      </w:hyperlink>
    </w:p>
    <w:p w:rsidR="00534E20" w:rsidRDefault="00534E20">
      <w:pPr>
        <w:pStyle w:val="TOC3"/>
        <w:rPr>
          <w:rFonts w:asciiTheme="minorHAnsi" w:eastAsiaTheme="minorEastAsia" w:hAnsiTheme="minorHAnsi" w:cstheme="minorBidi"/>
          <w:i w:val="0"/>
          <w:snapToGrid/>
          <w:sz w:val="22"/>
          <w:szCs w:val="22"/>
          <w:lang w:val="en-US"/>
        </w:rPr>
      </w:pPr>
      <w:hyperlink w:anchor="_Toc494207946" w:history="1">
        <w:r w:rsidRPr="00022782">
          <w:rPr>
            <w:rStyle w:val="Hyperlink"/>
          </w:rPr>
          <w:t>Futures révisions des documents TGP</w:t>
        </w:r>
        <w:r>
          <w:rPr>
            <w:webHidden/>
          </w:rPr>
          <w:tab/>
        </w:r>
        <w:r>
          <w:rPr>
            <w:webHidden/>
          </w:rPr>
          <w:fldChar w:fldCharType="begin"/>
        </w:r>
        <w:r>
          <w:rPr>
            <w:webHidden/>
          </w:rPr>
          <w:instrText xml:space="preserve"> PAGEREF _Toc494207946 \h </w:instrText>
        </w:r>
        <w:r>
          <w:rPr>
            <w:webHidden/>
          </w:rPr>
        </w:r>
        <w:r>
          <w:rPr>
            <w:webHidden/>
          </w:rPr>
          <w:fldChar w:fldCharType="separate"/>
        </w:r>
        <w:r>
          <w:rPr>
            <w:webHidden/>
          </w:rPr>
          <w:t>4</w:t>
        </w:r>
        <w:r>
          <w:rPr>
            <w:webHidden/>
          </w:rPr>
          <w:fldChar w:fldCharType="end"/>
        </w:r>
      </w:hyperlink>
    </w:p>
    <w:p w:rsidR="00534E20" w:rsidRDefault="00534E20">
      <w:pPr>
        <w:pStyle w:val="TOC3"/>
        <w:rPr>
          <w:rFonts w:asciiTheme="minorHAnsi" w:eastAsiaTheme="minorEastAsia" w:hAnsiTheme="minorHAnsi" w:cstheme="minorBidi"/>
          <w:i w:val="0"/>
          <w:snapToGrid/>
          <w:sz w:val="22"/>
          <w:szCs w:val="22"/>
          <w:lang w:val="en-US"/>
        </w:rPr>
      </w:pPr>
      <w:hyperlink w:anchor="_Toc494207947" w:history="1">
        <w:r w:rsidRPr="00022782">
          <w:rPr>
            <w:rStyle w:val="Hyperlink"/>
          </w:rPr>
          <w:t>Nouvelles propositions de futures révisions de documents TGP</w:t>
        </w:r>
        <w:r>
          <w:rPr>
            <w:webHidden/>
          </w:rPr>
          <w:tab/>
        </w:r>
        <w:r>
          <w:rPr>
            <w:webHidden/>
          </w:rPr>
          <w:fldChar w:fldCharType="begin"/>
        </w:r>
        <w:r>
          <w:rPr>
            <w:webHidden/>
          </w:rPr>
          <w:instrText xml:space="preserve"> PAGEREF _Toc494207947 \h </w:instrText>
        </w:r>
        <w:r>
          <w:rPr>
            <w:webHidden/>
          </w:rPr>
        </w:r>
        <w:r>
          <w:rPr>
            <w:webHidden/>
          </w:rPr>
          <w:fldChar w:fldCharType="separate"/>
        </w:r>
        <w:r>
          <w:rPr>
            <w:webHidden/>
          </w:rPr>
          <w:t>7</w:t>
        </w:r>
        <w:r>
          <w:rPr>
            <w:webHidden/>
          </w:rPr>
          <w:fldChar w:fldCharType="end"/>
        </w:r>
      </w:hyperlink>
    </w:p>
    <w:p w:rsidR="00534E20" w:rsidRDefault="00534E20">
      <w:pPr>
        <w:pStyle w:val="TOC3"/>
        <w:rPr>
          <w:rFonts w:asciiTheme="minorHAnsi" w:eastAsiaTheme="minorEastAsia" w:hAnsiTheme="minorHAnsi" w:cstheme="minorBidi"/>
          <w:i w:val="0"/>
          <w:snapToGrid/>
          <w:sz w:val="22"/>
          <w:szCs w:val="22"/>
          <w:lang w:val="en-US"/>
        </w:rPr>
      </w:pPr>
      <w:hyperlink w:anchor="_Toc494207948" w:history="1">
        <w:r w:rsidRPr="00022782">
          <w:rPr>
            <w:rStyle w:val="Hyperlink"/>
          </w:rPr>
          <w:t>Programme d’élaboration des documents TGP</w:t>
        </w:r>
        <w:r>
          <w:rPr>
            <w:webHidden/>
          </w:rPr>
          <w:tab/>
        </w:r>
        <w:r>
          <w:rPr>
            <w:webHidden/>
          </w:rPr>
          <w:fldChar w:fldCharType="begin"/>
        </w:r>
        <w:r>
          <w:rPr>
            <w:webHidden/>
          </w:rPr>
          <w:instrText xml:space="preserve"> PAGEREF _Toc494207948 \h </w:instrText>
        </w:r>
        <w:r>
          <w:rPr>
            <w:webHidden/>
          </w:rPr>
        </w:r>
        <w:r>
          <w:rPr>
            <w:webHidden/>
          </w:rPr>
          <w:fldChar w:fldCharType="separate"/>
        </w:r>
        <w:r>
          <w:rPr>
            <w:webHidden/>
          </w:rPr>
          <w:t>9</w:t>
        </w:r>
        <w:r>
          <w:rPr>
            <w:webHidden/>
          </w:rPr>
          <w:fldChar w:fldCharType="end"/>
        </w:r>
      </w:hyperlink>
    </w:p>
    <w:p w:rsidR="00534E20" w:rsidRDefault="00534E20">
      <w:pPr>
        <w:pStyle w:val="TOC2"/>
        <w:rPr>
          <w:rFonts w:asciiTheme="minorHAnsi" w:eastAsiaTheme="minorEastAsia" w:hAnsiTheme="minorHAnsi" w:cstheme="minorBidi"/>
          <w:sz w:val="22"/>
          <w:szCs w:val="22"/>
          <w:lang w:val="en-US"/>
        </w:rPr>
      </w:pPr>
      <w:hyperlink w:anchor="_Toc494207949" w:history="1">
        <w:r w:rsidRPr="00022782">
          <w:rPr>
            <w:rStyle w:val="Hyperlink"/>
          </w:rPr>
          <w:t>Coopération en matière d’examen</w:t>
        </w:r>
        <w:r>
          <w:rPr>
            <w:webHidden/>
          </w:rPr>
          <w:tab/>
        </w:r>
        <w:r>
          <w:rPr>
            <w:webHidden/>
          </w:rPr>
          <w:fldChar w:fldCharType="begin"/>
        </w:r>
        <w:r>
          <w:rPr>
            <w:webHidden/>
          </w:rPr>
          <w:instrText xml:space="preserve"> PAGEREF _Toc494207949 \h </w:instrText>
        </w:r>
        <w:r>
          <w:rPr>
            <w:webHidden/>
          </w:rPr>
        </w:r>
        <w:r>
          <w:rPr>
            <w:webHidden/>
          </w:rPr>
          <w:fldChar w:fldCharType="separate"/>
        </w:r>
        <w:r>
          <w:rPr>
            <w:webHidden/>
          </w:rPr>
          <w:t>9</w:t>
        </w:r>
        <w:r>
          <w:rPr>
            <w:webHidden/>
          </w:rPr>
          <w:fldChar w:fldCharType="end"/>
        </w:r>
      </w:hyperlink>
    </w:p>
    <w:p w:rsidR="00534E20" w:rsidRDefault="00534E20">
      <w:pPr>
        <w:pStyle w:val="TOC2"/>
        <w:rPr>
          <w:rFonts w:asciiTheme="minorHAnsi" w:eastAsiaTheme="minorEastAsia" w:hAnsiTheme="minorHAnsi" w:cstheme="minorBidi"/>
          <w:sz w:val="22"/>
          <w:szCs w:val="22"/>
          <w:lang w:val="en-US"/>
        </w:rPr>
      </w:pPr>
      <w:hyperlink w:anchor="_Toc494207950" w:history="1">
        <w:r w:rsidRPr="00022782">
          <w:rPr>
            <w:rStyle w:val="Hyperlink"/>
          </w:rPr>
          <w:t>Informations et bases de données</w:t>
        </w:r>
        <w:r>
          <w:rPr>
            <w:webHidden/>
          </w:rPr>
          <w:tab/>
        </w:r>
        <w:r>
          <w:rPr>
            <w:webHidden/>
          </w:rPr>
          <w:fldChar w:fldCharType="begin"/>
        </w:r>
        <w:r>
          <w:rPr>
            <w:webHidden/>
          </w:rPr>
          <w:instrText xml:space="preserve"> PAGEREF _Toc494207950 \h </w:instrText>
        </w:r>
        <w:r>
          <w:rPr>
            <w:webHidden/>
          </w:rPr>
        </w:r>
        <w:r>
          <w:rPr>
            <w:webHidden/>
          </w:rPr>
          <w:fldChar w:fldCharType="separate"/>
        </w:r>
        <w:r>
          <w:rPr>
            <w:webHidden/>
          </w:rPr>
          <w:t>10</w:t>
        </w:r>
        <w:r>
          <w:rPr>
            <w:webHidden/>
          </w:rPr>
          <w:fldChar w:fldCharType="end"/>
        </w:r>
      </w:hyperlink>
    </w:p>
    <w:p w:rsidR="00534E20" w:rsidRDefault="00534E20">
      <w:pPr>
        <w:pStyle w:val="TOC3"/>
        <w:rPr>
          <w:rFonts w:asciiTheme="minorHAnsi" w:eastAsiaTheme="minorEastAsia" w:hAnsiTheme="minorHAnsi" w:cstheme="minorBidi"/>
          <w:i w:val="0"/>
          <w:snapToGrid/>
          <w:sz w:val="22"/>
          <w:szCs w:val="22"/>
          <w:lang w:val="en-US"/>
        </w:rPr>
      </w:pPr>
      <w:hyperlink w:anchor="_Toc494207951" w:history="1">
        <w:r w:rsidRPr="00022782">
          <w:rPr>
            <w:rStyle w:val="Hyperlink"/>
          </w:rPr>
          <w:t>Bases de données d’information de l’UPOV</w:t>
        </w:r>
        <w:r>
          <w:rPr>
            <w:webHidden/>
          </w:rPr>
          <w:tab/>
        </w:r>
        <w:r>
          <w:rPr>
            <w:webHidden/>
          </w:rPr>
          <w:fldChar w:fldCharType="begin"/>
        </w:r>
        <w:r>
          <w:rPr>
            <w:webHidden/>
          </w:rPr>
          <w:instrText xml:space="preserve"> PAGEREF _Toc494207951 \h </w:instrText>
        </w:r>
        <w:r>
          <w:rPr>
            <w:webHidden/>
          </w:rPr>
        </w:r>
        <w:r>
          <w:rPr>
            <w:webHidden/>
          </w:rPr>
          <w:fldChar w:fldCharType="separate"/>
        </w:r>
        <w:r>
          <w:rPr>
            <w:webHidden/>
          </w:rPr>
          <w:t>10</w:t>
        </w:r>
        <w:r>
          <w:rPr>
            <w:webHidden/>
          </w:rPr>
          <w:fldChar w:fldCharType="end"/>
        </w:r>
      </w:hyperlink>
    </w:p>
    <w:p w:rsidR="00534E20" w:rsidRDefault="00534E20">
      <w:pPr>
        <w:pStyle w:val="TOC3"/>
        <w:rPr>
          <w:rFonts w:asciiTheme="minorHAnsi" w:eastAsiaTheme="minorEastAsia" w:hAnsiTheme="minorHAnsi" w:cstheme="minorBidi"/>
          <w:i w:val="0"/>
          <w:snapToGrid/>
          <w:sz w:val="22"/>
          <w:szCs w:val="22"/>
          <w:lang w:val="en-US"/>
        </w:rPr>
      </w:pPr>
      <w:hyperlink w:anchor="_Toc494207952" w:history="1">
        <w:r w:rsidRPr="00022782">
          <w:rPr>
            <w:rStyle w:val="Hyperlink"/>
          </w:rPr>
          <w:t>Formulaire de demande électronique</w:t>
        </w:r>
        <w:r>
          <w:rPr>
            <w:webHidden/>
          </w:rPr>
          <w:tab/>
        </w:r>
        <w:r>
          <w:rPr>
            <w:webHidden/>
          </w:rPr>
          <w:fldChar w:fldCharType="begin"/>
        </w:r>
        <w:r>
          <w:rPr>
            <w:webHidden/>
          </w:rPr>
          <w:instrText xml:space="preserve"> PAGEREF _Toc494207952 \h </w:instrText>
        </w:r>
        <w:r>
          <w:rPr>
            <w:webHidden/>
          </w:rPr>
        </w:r>
        <w:r>
          <w:rPr>
            <w:webHidden/>
          </w:rPr>
          <w:fldChar w:fldCharType="separate"/>
        </w:r>
        <w:r>
          <w:rPr>
            <w:webHidden/>
          </w:rPr>
          <w:t>11</w:t>
        </w:r>
        <w:r>
          <w:rPr>
            <w:webHidden/>
          </w:rPr>
          <w:fldChar w:fldCharType="end"/>
        </w:r>
      </w:hyperlink>
    </w:p>
    <w:p w:rsidR="00534E20" w:rsidRDefault="00534E20">
      <w:pPr>
        <w:pStyle w:val="TOC3"/>
        <w:rPr>
          <w:rFonts w:asciiTheme="minorHAnsi" w:eastAsiaTheme="minorEastAsia" w:hAnsiTheme="minorHAnsi" w:cstheme="minorBidi"/>
          <w:i w:val="0"/>
          <w:snapToGrid/>
          <w:sz w:val="22"/>
          <w:szCs w:val="22"/>
          <w:lang w:val="en-US"/>
        </w:rPr>
      </w:pPr>
      <w:hyperlink w:anchor="_Toc494207953" w:history="1">
        <w:r w:rsidRPr="00022782">
          <w:rPr>
            <w:rStyle w:val="Hyperlink"/>
          </w:rPr>
          <w:t>Échange et utilisation de logiciels et d’équipements</w:t>
        </w:r>
        <w:r>
          <w:rPr>
            <w:webHidden/>
          </w:rPr>
          <w:tab/>
        </w:r>
        <w:r>
          <w:rPr>
            <w:webHidden/>
          </w:rPr>
          <w:fldChar w:fldCharType="begin"/>
        </w:r>
        <w:r>
          <w:rPr>
            <w:webHidden/>
          </w:rPr>
          <w:instrText xml:space="preserve"> PAGEREF _Toc494207953 \h </w:instrText>
        </w:r>
        <w:r>
          <w:rPr>
            <w:webHidden/>
          </w:rPr>
        </w:r>
        <w:r>
          <w:rPr>
            <w:webHidden/>
          </w:rPr>
          <w:fldChar w:fldCharType="separate"/>
        </w:r>
        <w:r>
          <w:rPr>
            <w:webHidden/>
          </w:rPr>
          <w:t>11</w:t>
        </w:r>
        <w:r>
          <w:rPr>
            <w:webHidden/>
          </w:rPr>
          <w:fldChar w:fldCharType="end"/>
        </w:r>
      </w:hyperlink>
    </w:p>
    <w:p w:rsidR="00534E20" w:rsidRDefault="00534E20">
      <w:pPr>
        <w:pStyle w:val="TOC3"/>
        <w:rPr>
          <w:rFonts w:asciiTheme="minorHAnsi" w:eastAsiaTheme="minorEastAsia" w:hAnsiTheme="minorHAnsi" w:cstheme="minorBidi"/>
          <w:i w:val="0"/>
          <w:snapToGrid/>
          <w:sz w:val="22"/>
          <w:szCs w:val="22"/>
          <w:lang w:val="en-US"/>
        </w:rPr>
      </w:pPr>
      <w:hyperlink w:anchor="_Toc494207954" w:history="1">
        <w:r w:rsidRPr="00022782">
          <w:rPr>
            <w:rStyle w:val="Hyperlink"/>
          </w:rPr>
          <w:t>Bases de données sur les descriptions variétales</w:t>
        </w:r>
        <w:r>
          <w:rPr>
            <w:webHidden/>
          </w:rPr>
          <w:tab/>
        </w:r>
        <w:r>
          <w:rPr>
            <w:webHidden/>
          </w:rPr>
          <w:fldChar w:fldCharType="begin"/>
        </w:r>
        <w:r>
          <w:rPr>
            <w:webHidden/>
          </w:rPr>
          <w:instrText xml:space="preserve"> PAGEREF _Toc494207954 \h </w:instrText>
        </w:r>
        <w:r>
          <w:rPr>
            <w:webHidden/>
          </w:rPr>
        </w:r>
        <w:r>
          <w:rPr>
            <w:webHidden/>
          </w:rPr>
          <w:fldChar w:fldCharType="separate"/>
        </w:r>
        <w:r>
          <w:rPr>
            <w:webHidden/>
          </w:rPr>
          <w:t>12</w:t>
        </w:r>
        <w:r>
          <w:rPr>
            <w:webHidden/>
          </w:rPr>
          <w:fldChar w:fldCharType="end"/>
        </w:r>
      </w:hyperlink>
    </w:p>
    <w:p w:rsidR="00534E20" w:rsidRDefault="00534E20">
      <w:pPr>
        <w:pStyle w:val="TOC2"/>
        <w:rPr>
          <w:rFonts w:asciiTheme="minorHAnsi" w:eastAsiaTheme="minorEastAsia" w:hAnsiTheme="minorHAnsi" w:cstheme="minorBidi"/>
          <w:sz w:val="22"/>
          <w:szCs w:val="22"/>
          <w:lang w:val="en-US"/>
        </w:rPr>
      </w:pPr>
      <w:hyperlink w:anchor="_Toc494207955" w:history="1">
        <w:r w:rsidRPr="00022782">
          <w:rPr>
            <w:rStyle w:val="Hyperlink"/>
          </w:rPr>
          <w:t>Nombre de cycles de végétation</w:t>
        </w:r>
        <w:r>
          <w:rPr>
            <w:webHidden/>
          </w:rPr>
          <w:tab/>
        </w:r>
        <w:r>
          <w:rPr>
            <w:webHidden/>
          </w:rPr>
          <w:fldChar w:fldCharType="begin"/>
        </w:r>
        <w:r>
          <w:rPr>
            <w:webHidden/>
          </w:rPr>
          <w:instrText xml:space="preserve"> PAGEREF _Toc494207955 \h </w:instrText>
        </w:r>
        <w:r>
          <w:rPr>
            <w:webHidden/>
          </w:rPr>
        </w:r>
        <w:r>
          <w:rPr>
            <w:webHidden/>
          </w:rPr>
          <w:fldChar w:fldCharType="separate"/>
        </w:r>
        <w:r>
          <w:rPr>
            <w:webHidden/>
          </w:rPr>
          <w:t>12</w:t>
        </w:r>
        <w:r>
          <w:rPr>
            <w:webHidden/>
          </w:rPr>
          <w:fldChar w:fldCharType="end"/>
        </w:r>
      </w:hyperlink>
    </w:p>
    <w:p w:rsidR="00534E20" w:rsidRDefault="00534E20">
      <w:pPr>
        <w:pStyle w:val="TOC2"/>
        <w:rPr>
          <w:rFonts w:asciiTheme="minorHAnsi" w:eastAsiaTheme="minorEastAsia" w:hAnsiTheme="minorHAnsi" w:cstheme="minorBidi"/>
          <w:sz w:val="22"/>
          <w:szCs w:val="22"/>
          <w:lang w:val="en-US"/>
        </w:rPr>
      </w:pPr>
      <w:hyperlink w:anchor="_Toc494207956" w:history="1">
        <w:r w:rsidRPr="00022782">
          <w:rPr>
            <w:rStyle w:val="Hyperlink"/>
          </w:rPr>
          <w:t>Questions concernant les descriptions variétales</w:t>
        </w:r>
        <w:r>
          <w:rPr>
            <w:webHidden/>
          </w:rPr>
          <w:tab/>
        </w:r>
        <w:r>
          <w:rPr>
            <w:webHidden/>
          </w:rPr>
          <w:fldChar w:fldCharType="begin"/>
        </w:r>
        <w:r>
          <w:rPr>
            <w:webHidden/>
          </w:rPr>
          <w:instrText xml:space="preserve"> PAGEREF _Toc494207956 \h </w:instrText>
        </w:r>
        <w:r>
          <w:rPr>
            <w:webHidden/>
          </w:rPr>
        </w:r>
        <w:r>
          <w:rPr>
            <w:webHidden/>
          </w:rPr>
          <w:fldChar w:fldCharType="separate"/>
        </w:r>
        <w:r>
          <w:rPr>
            <w:webHidden/>
          </w:rPr>
          <w:t>13</w:t>
        </w:r>
        <w:r>
          <w:rPr>
            <w:webHidden/>
          </w:rPr>
          <w:fldChar w:fldCharType="end"/>
        </w:r>
      </w:hyperlink>
    </w:p>
    <w:p w:rsidR="00534E20" w:rsidRDefault="00534E20">
      <w:pPr>
        <w:pStyle w:val="TOC2"/>
        <w:rPr>
          <w:rFonts w:asciiTheme="minorHAnsi" w:eastAsiaTheme="minorEastAsia" w:hAnsiTheme="minorHAnsi" w:cstheme="minorBidi"/>
          <w:sz w:val="22"/>
          <w:szCs w:val="22"/>
          <w:lang w:val="en-US"/>
        </w:rPr>
      </w:pPr>
      <w:hyperlink w:anchor="_Toc494207957" w:history="1">
        <w:r w:rsidRPr="00022782">
          <w:rPr>
            <w:rStyle w:val="Hyperlink"/>
          </w:rPr>
          <w:t>Élaboration de seuils calculés aux fins d’exclusion des variétés notoirement connues du second cycle de végétation lorsque l’on applique la méthode COYD</w:t>
        </w:r>
        <w:r>
          <w:rPr>
            <w:webHidden/>
          </w:rPr>
          <w:tab/>
        </w:r>
        <w:r>
          <w:rPr>
            <w:webHidden/>
          </w:rPr>
          <w:fldChar w:fldCharType="begin"/>
        </w:r>
        <w:r>
          <w:rPr>
            <w:webHidden/>
          </w:rPr>
          <w:instrText xml:space="preserve"> PAGEREF _Toc494207957 \h </w:instrText>
        </w:r>
        <w:r>
          <w:rPr>
            <w:webHidden/>
          </w:rPr>
        </w:r>
        <w:r>
          <w:rPr>
            <w:webHidden/>
          </w:rPr>
          <w:fldChar w:fldCharType="separate"/>
        </w:r>
        <w:r>
          <w:rPr>
            <w:webHidden/>
          </w:rPr>
          <w:t>13</w:t>
        </w:r>
        <w:r>
          <w:rPr>
            <w:webHidden/>
          </w:rPr>
          <w:fldChar w:fldCharType="end"/>
        </w:r>
      </w:hyperlink>
    </w:p>
    <w:p w:rsidR="00534E20" w:rsidRDefault="00534E20">
      <w:pPr>
        <w:pStyle w:val="TOC2"/>
        <w:rPr>
          <w:rFonts w:asciiTheme="minorHAnsi" w:eastAsiaTheme="minorEastAsia" w:hAnsiTheme="minorHAnsi" w:cstheme="minorBidi"/>
          <w:sz w:val="22"/>
          <w:szCs w:val="22"/>
          <w:lang w:val="en-US"/>
        </w:rPr>
      </w:pPr>
      <w:hyperlink w:anchor="_Toc494207958" w:history="1">
        <w:r w:rsidRPr="00022782">
          <w:rPr>
            <w:rStyle w:val="Hyperlink"/>
            <w:snapToGrid w:val="0"/>
          </w:rPr>
          <w:t>Méthodes statistiques applicables aux caractères observés visuellement</w:t>
        </w:r>
        <w:r>
          <w:rPr>
            <w:webHidden/>
          </w:rPr>
          <w:tab/>
        </w:r>
        <w:r>
          <w:rPr>
            <w:webHidden/>
          </w:rPr>
          <w:fldChar w:fldCharType="begin"/>
        </w:r>
        <w:r>
          <w:rPr>
            <w:webHidden/>
          </w:rPr>
          <w:instrText xml:space="preserve"> PAGEREF _Toc494207958 \h </w:instrText>
        </w:r>
        <w:r>
          <w:rPr>
            <w:webHidden/>
          </w:rPr>
        </w:r>
        <w:r>
          <w:rPr>
            <w:webHidden/>
          </w:rPr>
          <w:fldChar w:fldCharType="separate"/>
        </w:r>
        <w:r>
          <w:rPr>
            <w:webHidden/>
          </w:rPr>
          <w:t>13</w:t>
        </w:r>
        <w:r>
          <w:rPr>
            <w:webHidden/>
          </w:rPr>
          <w:fldChar w:fldCharType="end"/>
        </w:r>
      </w:hyperlink>
    </w:p>
    <w:p w:rsidR="00534E20" w:rsidRDefault="00534E20">
      <w:pPr>
        <w:pStyle w:val="TOC2"/>
        <w:rPr>
          <w:rFonts w:asciiTheme="minorHAnsi" w:eastAsiaTheme="minorEastAsia" w:hAnsiTheme="minorHAnsi" w:cstheme="minorBidi"/>
          <w:sz w:val="22"/>
          <w:szCs w:val="22"/>
          <w:lang w:val="en-US"/>
        </w:rPr>
      </w:pPr>
      <w:hyperlink w:anchor="_Toc494207959" w:history="1">
        <w:r w:rsidRPr="00022782">
          <w:rPr>
            <w:rStyle w:val="Hyperlink"/>
            <w:snapToGrid w:val="0"/>
          </w:rPr>
          <w:t>Techniques moléculaires</w:t>
        </w:r>
        <w:r>
          <w:rPr>
            <w:webHidden/>
          </w:rPr>
          <w:tab/>
        </w:r>
        <w:r>
          <w:rPr>
            <w:webHidden/>
          </w:rPr>
          <w:fldChar w:fldCharType="begin"/>
        </w:r>
        <w:r>
          <w:rPr>
            <w:webHidden/>
          </w:rPr>
          <w:instrText xml:space="preserve"> PAGEREF _Toc494207959 \h </w:instrText>
        </w:r>
        <w:r>
          <w:rPr>
            <w:webHidden/>
          </w:rPr>
        </w:r>
        <w:r>
          <w:rPr>
            <w:webHidden/>
          </w:rPr>
          <w:fldChar w:fldCharType="separate"/>
        </w:r>
        <w:r>
          <w:rPr>
            <w:webHidden/>
          </w:rPr>
          <w:t>14</w:t>
        </w:r>
        <w:r>
          <w:rPr>
            <w:webHidden/>
          </w:rPr>
          <w:fldChar w:fldCharType="end"/>
        </w:r>
      </w:hyperlink>
    </w:p>
    <w:p w:rsidR="00534E20" w:rsidRDefault="00534E20">
      <w:pPr>
        <w:pStyle w:val="TOC2"/>
        <w:rPr>
          <w:rFonts w:asciiTheme="minorHAnsi" w:eastAsiaTheme="minorEastAsia" w:hAnsiTheme="minorHAnsi" w:cstheme="minorBidi"/>
          <w:sz w:val="22"/>
          <w:szCs w:val="22"/>
          <w:lang w:val="en-US"/>
        </w:rPr>
      </w:pPr>
      <w:hyperlink w:anchor="_Toc494207960" w:history="1">
        <w:r w:rsidRPr="00022782">
          <w:rPr>
            <w:rStyle w:val="Hyperlink"/>
          </w:rPr>
          <w:t>Séance de débat</w:t>
        </w:r>
        <w:r>
          <w:rPr>
            <w:webHidden/>
          </w:rPr>
          <w:tab/>
        </w:r>
        <w:r>
          <w:rPr>
            <w:webHidden/>
          </w:rPr>
          <w:fldChar w:fldCharType="begin"/>
        </w:r>
        <w:r>
          <w:rPr>
            <w:webHidden/>
          </w:rPr>
          <w:instrText xml:space="preserve"> PAGEREF _Toc494207960 \h </w:instrText>
        </w:r>
        <w:r>
          <w:rPr>
            <w:webHidden/>
          </w:rPr>
        </w:r>
        <w:r>
          <w:rPr>
            <w:webHidden/>
          </w:rPr>
          <w:fldChar w:fldCharType="separate"/>
        </w:r>
        <w:r>
          <w:rPr>
            <w:webHidden/>
          </w:rPr>
          <w:t>15</w:t>
        </w:r>
        <w:r>
          <w:rPr>
            <w:webHidden/>
          </w:rPr>
          <w:fldChar w:fldCharType="end"/>
        </w:r>
      </w:hyperlink>
    </w:p>
    <w:p w:rsidR="00534E20" w:rsidRDefault="00534E20">
      <w:pPr>
        <w:pStyle w:val="TOC3"/>
        <w:tabs>
          <w:tab w:val="left" w:pos="765"/>
        </w:tabs>
        <w:rPr>
          <w:rFonts w:asciiTheme="minorHAnsi" w:eastAsiaTheme="minorEastAsia" w:hAnsiTheme="minorHAnsi" w:cstheme="minorBidi"/>
          <w:i w:val="0"/>
          <w:snapToGrid/>
          <w:sz w:val="22"/>
          <w:szCs w:val="22"/>
          <w:lang w:val="en-US"/>
        </w:rPr>
      </w:pPr>
      <w:hyperlink w:anchor="_Toc494207961" w:history="1">
        <w:r w:rsidRPr="00022782">
          <w:rPr>
            <w:rStyle w:val="Hyperlink"/>
          </w:rPr>
          <w:t>a)</w:t>
        </w:r>
        <w:r>
          <w:rPr>
            <w:rFonts w:asciiTheme="minorHAnsi" w:eastAsiaTheme="minorEastAsia" w:hAnsiTheme="minorHAnsi" w:cstheme="minorBidi"/>
            <w:i w:val="0"/>
            <w:snapToGrid/>
            <w:sz w:val="22"/>
            <w:szCs w:val="22"/>
            <w:lang w:val="en-US"/>
          </w:rPr>
          <w:tab/>
        </w:r>
        <w:r w:rsidRPr="00022782">
          <w:rPr>
            <w:rStyle w:val="Hyperlink"/>
          </w:rPr>
          <w:t>Utilisation de caractéristiques de résistance aux maladies et aux insectes dans l’examen DHS</w:t>
        </w:r>
        <w:r>
          <w:rPr>
            <w:webHidden/>
          </w:rPr>
          <w:tab/>
        </w:r>
        <w:r>
          <w:rPr>
            <w:webHidden/>
          </w:rPr>
          <w:fldChar w:fldCharType="begin"/>
        </w:r>
        <w:r>
          <w:rPr>
            <w:webHidden/>
          </w:rPr>
          <w:instrText xml:space="preserve"> PAGEREF _Toc494207961 \h </w:instrText>
        </w:r>
        <w:r>
          <w:rPr>
            <w:webHidden/>
          </w:rPr>
        </w:r>
        <w:r>
          <w:rPr>
            <w:webHidden/>
          </w:rPr>
          <w:fldChar w:fldCharType="separate"/>
        </w:r>
        <w:r>
          <w:rPr>
            <w:webHidden/>
          </w:rPr>
          <w:t>15</w:t>
        </w:r>
        <w:r>
          <w:rPr>
            <w:webHidden/>
          </w:rPr>
          <w:fldChar w:fldCharType="end"/>
        </w:r>
      </w:hyperlink>
    </w:p>
    <w:p w:rsidR="00534E20" w:rsidRDefault="00534E20">
      <w:pPr>
        <w:pStyle w:val="TOC3"/>
        <w:tabs>
          <w:tab w:val="left" w:pos="765"/>
        </w:tabs>
        <w:rPr>
          <w:rFonts w:asciiTheme="minorHAnsi" w:eastAsiaTheme="minorEastAsia" w:hAnsiTheme="minorHAnsi" w:cstheme="minorBidi"/>
          <w:i w:val="0"/>
          <w:snapToGrid/>
          <w:sz w:val="22"/>
          <w:szCs w:val="22"/>
          <w:lang w:val="en-US"/>
        </w:rPr>
      </w:pPr>
      <w:hyperlink w:anchor="_Toc494207962" w:history="1">
        <w:r w:rsidRPr="00022782">
          <w:rPr>
            <w:rStyle w:val="Hyperlink"/>
          </w:rPr>
          <w:t>b)</w:t>
        </w:r>
        <w:r>
          <w:rPr>
            <w:rFonts w:asciiTheme="minorHAnsi" w:eastAsiaTheme="minorEastAsia" w:hAnsiTheme="minorHAnsi" w:cstheme="minorBidi"/>
            <w:i w:val="0"/>
            <w:snapToGrid/>
            <w:sz w:val="22"/>
            <w:szCs w:val="22"/>
            <w:lang w:val="en-US"/>
          </w:rPr>
          <w:tab/>
        </w:r>
        <w:r w:rsidRPr="00022782">
          <w:rPr>
            <w:rStyle w:val="Hyperlink"/>
          </w:rPr>
          <w:t>Gestion des collections de variétés</w:t>
        </w:r>
        <w:r>
          <w:rPr>
            <w:webHidden/>
          </w:rPr>
          <w:tab/>
        </w:r>
        <w:r>
          <w:rPr>
            <w:webHidden/>
          </w:rPr>
          <w:fldChar w:fldCharType="begin"/>
        </w:r>
        <w:r>
          <w:rPr>
            <w:webHidden/>
          </w:rPr>
          <w:instrText xml:space="preserve"> PAGEREF _Toc494207962 \h </w:instrText>
        </w:r>
        <w:r>
          <w:rPr>
            <w:webHidden/>
          </w:rPr>
        </w:r>
        <w:r>
          <w:rPr>
            <w:webHidden/>
          </w:rPr>
          <w:fldChar w:fldCharType="separate"/>
        </w:r>
        <w:r>
          <w:rPr>
            <w:webHidden/>
          </w:rPr>
          <w:t>15</w:t>
        </w:r>
        <w:r>
          <w:rPr>
            <w:webHidden/>
          </w:rPr>
          <w:fldChar w:fldCharType="end"/>
        </w:r>
      </w:hyperlink>
    </w:p>
    <w:p w:rsidR="00534E20" w:rsidRDefault="00534E20">
      <w:pPr>
        <w:pStyle w:val="TOC3"/>
        <w:tabs>
          <w:tab w:val="left" w:pos="765"/>
        </w:tabs>
        <w:rPr>
          <w:rFonts w:asciiTheme="minorHAnsi" w:eastAsiaTheme="minorEastAsia" w:hAnsiTheme="minorHAnsi" w:cstheme="minorBidi"/>
          <w:i w:val="0"/>
          <w:snapToGrid/>
          <w:sz w:val="22"/>
          <w:szCs w:val="22"/>
          <w:lang w:val="en-US"/>
        </w:rPr>
      </w:pPr>
      <w:hyperlink w:anchor="_Toc494207963" w:history="1">
        <w:r w:rsidRPr="00022782">
          <w:rPr>
            <w:rStyle w:val="Hyperlink"/>
          </w:rPr>
          <w:t>c)</w:t>
        </w:r>
        <w:r>
          <w:rPr>
            <w:rFonts w:asciiTheme="minorHAnsi" w:eastAsiaTheme="minorEastAsia" w:hAnsiTheme="minorHAnsi" w:cstheme="minorBidi"/>
            <w:i w:val="0"/>
            <w:snapToGrid/>
            <w:sz w:val="22"/>
            <w:szCs w:val="22"/>
            <w:lang w:val="en-US"/>
          </w:rPr>
          <w:tab/>
        </w:r>
        <w:r w:rsidRPr="00022782">
          <w:rPr>
            <w:rStyle w:val="Hyperlink"/>
          </w:rPr>
          <w:t>Écart minimal entre les variétés</w:t>
        </w:r>
        <w:r>
          <w:rPr>
            <w:webHidden/>
          </w:rPr>
          <w:tab/>
        </w:r>
        <w:r>
          <w:rPr>
            <w:webHidden/>
          </w:rPr>
          <w:fldChar w:fldCharType="begin"/>
        </w:r>
        <w:r>
          <w:rPr>
            <w:webHidden/>
          </w:rPr>
          <w:instrText xml:space="preserve"> PAGEREF _Toc494207963 \h </w:instrText>
        </w:r>
        <w:r>
          <w:rPr>
            <w:webHidden/>
          </w:rPr>
        </w:r>
        <w:r>
          <w:rPr>
            <w:webHidden/>
          </w:rPr>
          <w:fldChar w:fldCharType="separate"/>
        </w:r>
        <w:r>
          <w:rPr>
            <w:webHidden/>
          </w:rPr>
          <w:t>15</w:t>
        </w:r>
        <w:r>
          <w:rPr>
            <w:webHidden/>
          </w:rPr>
          <w:fldChar w:fldCharType="end"/>
        </w:r>
      </w:hyperlink>
    </w:p>
    <w:p w:rsidR="00534E20" w:rsidRDefault="00534E20">
      <w:pPr>
        <w:pStyle w:val="TOC3"/>
        <w:tabs>
          <w:tab w:val="left" w:pos="765"/>
        </w:tabs>
        <w:rPr>
          <w:rFonts w:asciiTheme="minorHAnsi" w:eastAsiaTheme="minorEastAsia" w:hAnsiTheme="minorHAnsi" w:cstheme="minorBidi"/>
          <w:i w:val="0"/>
          <w:snapToGrid/>
          <w:sz w:val="22"/>
          <w:szCs w:val="22"/>
          <w:lang w:val="en-US"/>
        </w:rPr>
      </w:pPr>
      <w:hyperlink w:anchor="_Toc494207964" w:history="1">
        <w:r w:rsidRPr="00022782">
          <w:rPr>
            <w:rStyle w:val="Hyperlink"/>
          </w:rPr>
          <w:t>d)</w:t>
        </w:r>
        <w:r>
          <w:rPr>
            <w:rFonts w:asciiTheme="minorHAnsi" w:eastAsiaTheme="minorEastAsia" w:hAnsiTheme="minorHAnsi" w:cstheme="minorBidi"/>
            <w:i w:val="0"/>
            <w:snapToGrid/>
            <w:sz w:val="22"/>
            <w:szCs w:val="22"/>
            <w:lang w:val="en-US"/>
          </w:rPr>
          <w:tab/>
        </w:r>
        <w:r w:rsidRPr="00022782">
          <w:rPr>
            <w:rStyle w:val="Hyperlink"/>
          </w:rPr>
          <w:t>Renforcement de la participation de nouveaux membres de l’Union au travail du TC et des groupes de travail techniques</w:t>
        </w:r>
        <w:r>
          <w:rPr>
            <w:webHidden/>
          </w:rPr>
          <w:tab/>
        </w:r>
        <w:r>
          <w:rPr>
            <w:webHidden/>
          </w:rPr>
          <w:fldChar w:fldCharType="begin"/>
        </w:r>
        <w:r>
          <w:rPr>
            <w:webHidden/>
          </w:rPr>
          <w:instrText xml:space="preserve"> PAGEREF _Toc494207964 \h </w:instrText>
        </w:r>
        <w:r>
          <w:rPr>
            <w:webHidden/>
          </w:rPr>
        </w:r>
        <w:r>
          <w:rPr>
            <w:webHidden/>
          </w:rPr>
          <w:fldChar w:fldCharType="separate"/>
        </w:r>
        <w:r>
          <w:rPr>
            <w:webHidden/>
          </w:rPr>
          <w:t>15</w:t>
        </w:r>
        <w:r>
          <w:rPr>
            <w:webHidden/>
          </w:rPr>
          <w:fldChar w:fldCharType="end"/>
        </w:r>
      </w:hyperlink>
    </w:p>
    <w:p w:rsidR="00534E20" w:rsidRDefault="00534E20">
      <w:pPr>
        <w:pStyle w:val="TOC2"/>
        <w:rPr>
          <w:rFonts w:asciiTheme="minorHAnsi" w:eastAsiaTheme="minorEastAsia" w:hAnsiTheme="minorHAnsi" w:cstheme="minorBidi"/>
          <w:sz w:val="22"/>
          <w:szCs w:val="22"/>
          <w:lang w:val="en-US"/>
        </w:rPr>
      </w:pPr>
      <w:hyperlink w:anchor="_Toc494207965" w:history="1">
        <w:r w:rsidRPr="00022782">
          <w:rPr>
            <w:rStyle w:val="Hyperlink"/>
            <w:snapToGrid w:val="0"/>
          </w:rPr>
          <w:t>Dénominations variétales</w:t>
        </w:r>
        <w:r>
          <w:rPr>
            <w:webHidden/>
          </w:rPr>
          <w:tab/>
        </w:r>
        <w:r>
          <w:rPr>
            <w:webHidden/>
          </w:rPr>
          <w:fldChar w:fldCharType="begin"/>
        </w:r>
        <w:r>
          <w:rPr>
            <w:webHidden/>
          </w:rPr>
          <w:instrText xml:space="preserve"> PAGEREF _Toc494207965 \h </w:instrText>
        </w:r>
        <w:r>
          <w:rPr>
            <w:webHidden/>
          </w:rPr>
        </w:r>
        <w:r>
          <w:rPr>
            <w:webHidden/>
          </w:rPr>
          <w:fldChar w:fldCharType="separate"/>
        </w:r>
        <w:r>
          <w:rPr>
            <w:webHidden/>
          </w:rPr>
          <w:t>16</w:t>
        </w:r>
        <w:r>
          <w:rPr>
            <w:webHidden/>
          </w:rPr>
          <w:fldChar w:fldCharType="end"/>
        </w:r>
      </w:hyperlink>
    </w:p>
    <w:p w:rsidR="00534E20" w:rsidRDefault="00534E20">
      <w:pPr>
        <w:pStyle w:val="TOC2"/>
        <w:rPr>
          <w:rFonts w:asciiTheme="minorHAnsi" w:eastAsiaTheme="minorEastAsia" w:hAnsiTheme="minorHAnsi" w:cstheme="minorBidi"/>
          <w:sz w:val="22"/>
          <w:szCs w:val="22"/>
          <w:lang w:val="en-US"/>
        </w:rPr>
      </w:pPr>
      <w:hyperlink w:anchor="_Toc494207966" w:history="1">
        <w:r w:rsidRPr="00022782">
          <w:rPr>
            <w:rStyle w:val="Hyperlink"/>
            <w:snapToGrid w:val="0"/>
          </w:rPr>
          <w:t>Ateliers préparatoires</w:t>
        </w:r>
        <w:r>
          <w:rPr>
            <w:webHidden/>
          </w:rPr>
          <w:tab/>
        </w:r>
        <w:r>
          <w:rPr>
            <w:webHidden/>
          </w:rPr>
          <w:fldChar w:fldCharType="begin"/>
        </w:r>
        <w:r>
          <w:rPr>
            <w:webHidden/>
          </w:rPr>
          <w:instrText xml:space="preserve"> PAGEREF _Toc494207966 \h </w:instrText>
        </w:r>
        <w:r>
          <w:rPr>
            <w:webHidden/>
          </w:rPr>
        </w:r>
        <w:r>
          <w:rPr>
            <w:webHidden/>
          </w:rPr>
          <w:fldChar w:fldCharType="separate"/>
        </w:r>
        <w:r>
          <w:rPr>
            <w:webHidden/>
          </w:rPr>
          <w:t>16</w:t>
        </w:r>
        <w:r>
          <w:rPr>
            <w:webHidden/>
          </w:rPr>
          <w:fldChar w:fldCharType="end"/>
        </w:r>
      </w:hyperlink>
    </w:p>
    <w:p w:rsidR="00534E20" w:rsidRDefault="00534E20">
      <w:pPr>
        <w:pStyle w:val="TOC2"/>
        <w:rPr>
          <w:rFonts w:asciiTheme="minorHAnsi" w:eastAsiaTheme="minorEastAsia" w:hAnsiTheme="minorHAnsi" w:cstheme="minorBidi"/>
          <w:sz w:val="22"/>
          <w:szCs w:val="22"/>
          <w:lang w:val="en-US"/>
        </w:rPr>
      </w:pPr>
      <w:hyperlink w:anchor="_Toc494207967" w:history="1">
        <w:r w:rsidRPr="00022782">
          <w:rPr>
            <w:rStyle w:val="Hyperlink"/>
          </w:rPr>
          <w:t>Modèle de principes directeurs d’examen fondé sur le Web</w:t>
        </w:r>
        <w:r>
          <w:rPr>
            <w:webHidden/>
          </w:rPr>
          <w:tab/>
        </w:r>
        <w:r>
          <w:rPr>
            <w:webHidden/>
          </w:rPr>
          <w:fldChar w:fldCharType="begin"/>
        </w:r>
        <w:r>
          <w:rPr>
            <w:webHidden/>
          </w:rPr>
          <w:instrText xml:space="preserve"> PAGEREF _Toc494207967 \h </w:instrText>
        </w:r>
        <w:r>
          <w:rPr>
            <w:webHidden/>
          </w:rPr>
        </w:r>
        <w:r>
          <w:rPr>
            <w:webHidden/>
          </w:rPr>
          <w:fldChar w:fldCharType="separate"/>
        </w:r>
        <w:r>
          <w:rPr>
            <w:webHidden/>
          </w:rPr>
          <w:t>17</w:t>
        </w:r>
        <w:r>
          <w:rPr>
            <w:webHidden/>
          </w:rPr>
          <w:fldChar w:fldCharType="end"/>
        </w:r>
      </w:hyperlink>
    </w:p>
    <w:p w:rsidR="00534E20" w:rsidRDefault="00534E20">
      <w:pPr>
        <w:pStyle w:val="TOC2"/>
        <w:rPr>
          <w:rFonts w:asciiTheme="minorHAnsi" w:eastAsiaTheme="minorEastAsia" w:hAnsiTheme="minorHAnsi" w:cstheme="minorBidi"/>
          <w:sz w:val="22"/>
          <w:szCs w:val="22"/>
          <w:lang w:val="en-US"/>
        </w:rPr>
      </w:pPr>
      <w:hyperlink w:anchor="_Toc494207968" w:history="1">
        <w:r w:rsidRPr="00022782">
          <w:rPr>
            <w:rStyle w:val="Hyperlink"/>
            <w:snapToGrid w:val="0"/>
          </w:rPr>
          <w:t>Liste des genres et espèces pour lesquels les services ont une expérience pratique en matière d’examen de la distinction, de l’homogénéité et de la stabilité</w:t>
        </w:r>
        <w:r>
          <w:rPr>
            <w:webHidden/>
          </w:rPr>
          <w:tab/>
        </w:r>
        <w:r>
          <w:rPr>
            <w:webHidden/>
          </w:rPr>
          <w:fldChar w:fldCharType="begin"/>
        </w:r>
        <w:r>
          <w:rPr>
            <w:webHidden/>
          </w:rPr>
          <w:instrText xml:space="preserve"> PAGEREF _Toc494207968 \h </w:instrText>
        </w:r>
        <w:r>
          <w:rPr>
            <w:webHidden/>
          </w:rPr>
        </w:r>
        <w:r>
          <w:rPr>
            <w:webHidden/>
          </w:rPr>
          <w:fldChar w:fldCharType="separate"/>
        </w:r>
        <w:r>
          <w:rPr>
            <w:webHidden/>
          </w:rPr>
          <w:t>17</w:t>
        </w:r>
        <w:r>
          <w:rPr>
            <w:webHidden/>
          </w:rPr>
          <w:fldChar w:fldCharType="end"/>
        </w:r>
      </w:hyperlink>
    </w:p>
    <w:p w:rsidR="00534E20" w:rsidRDefault="00534E20">
      <w:pPr>
        <w:pStyle w:val="TOC2"/>
        <w:rPr>
          <w:rFonts w:asciiTheme="minorHAnsi" w:eastAsiaTheme="minorEastAsia" w:hAnsiTheme="minorHAnsi" w:cstheme="minorBidi"/>
          <w:sz w:val="22"/>
          <w:szCs w:val="22"/>
          <w:lang w:val="en-US"/>
        </w:rPr>
      </w:pPr>
      <w:hyperlink w:anchor="_Toc494207969" w:history="1">
        <w:r w:rsidRPr="00022782">
          <w:rPr>
            <w:rStyle w:val="Hyperlink"/>
            <w:snapToGrid w:val="0"/>
          </w:rPr>
          <w:t>Principes directeurs d’examen</w:t>
        </w:r>
        <w:r>
          <w:rPr>
            <w:webHidden/>
          </w:rPr>
          <w:tab/>
        </w:r>
        <w:r>
          <w:rPr>
            <w:webHidden/>
          </w:rPr>
          <w:fldChar w:fldCharType="begin"/>
        </w:r>
        <w:r>
          <w:rPr>
            <w:webHidden/>
          </w:rPr>
          <w:instrText xml:space="preserve"> PAGEREF _Toc494207969 \h </w:instrText>
        </w:r>
        <w:r>
          <w:rPr>
            <w:webHidden/>
          </w:rPr>
        </w:r>
        <w:r>
          <w:rPr>
            <w:webHidden/>
          </w:rPr>
          <w:fldChar w:fldCharType="separate"/>
        </w:r>
        <w:r>
          <w:rPr>
            <w:webHidden/>
          </w:rPr>
          <w:t>18</w:t>
        </w:r>
        <w:r>
          <w:rPr>
            <w:webHidden/>
          </w:rPr>
          <w:fldChar w:fldCharType="end"/>
        </w:r>
      </w:hyperlink>
    </w:p>
    <w:p w:rsidR="00534E20" w:rsidRDefault="00534E20">
      <w:pPr>
        <w:pStyle w:val="TOC3"/>
        <w:rPr>
          <w:rFonts w:asciiTheme="minorHAnsi" w:eastAsiaTheme="minorEastAsia" w:hAnsiTheme="minorHAnsi" w:cstheme="minorBidi"/>
          <w:i w:val="0"/>
          <w:snapToGrid/>
          <w:sz w:val="22"/>
          <w:szCs w:val="22"/>
          <w:lang w:val="en-US"/>
        </w:rPr>
      </w:pPr>
      <w:hyperlink w:anchor="_Toc494207970" w:history="1">
        <w:r w:rsidRPr="00022782">
          <w:rPr>
            <w:rStyle w:val="Hyperlink"/>
          </w:rPr>
          <w:t>Corrections de principes directeurs d’examen</w:t>
        </w:r>
        <w:r>
          <w:rPr>
            <w:webHidden/>
          </w:rPr>
          <w:tab/>
        </w:r>
        <w:r>
          <w:rPr>
            <w:webHidden/>
          </w:rPr>
          <w:fldChar w:fldCharType="begin"/>
        </w:r>
        <w:r>
          <w:rPr>
            <w:webHidden/>
          </w:rPr>
          <w:instrText xml:space="preserve"> PAGEREF _Toc494207970 \h </w:instrText>
        </w:r>
        <w:r>
          <w:rPr>
            <w:webHidden/>
          </w:rPr>
        </w:r>
        <w:r>
          <w:rPr>
            <w:webHidden/>
          </w:rPr>
          <w:fldChar w:fldCharType="separate"/>
        </w:r>
        <w:r>
          <w:rPr>
            <w:webHidden/>
          </w:rPr>
          <w:t>19</w:t>
        </w:r>
        <w:r>
          <w:rPr>
            <w:webHidden/>
          </w:rPr>
          <w:fldChar w:fldCharType="end"/>
        </w:r>
      </w:hyperlink>
    </w:p>
    <w:p w:rsidR="00534E20" w:rsidRDefault="00534E20">
      <w:pPr>
        <w:pStyle w:val="TOC3"/>
        <w:rPr>
          <w:rFonts w:asciiTheme="minorHAnsi" w:eastAsiaTheme="minorEastAsia" w:hAnsiTheme="minorHAnsi" w:cstheme="minorBidi"/>
          <w:i w:val="0"/>
          <w:snapToGrid/>
          <w:sz w:val="22"/>
          <w:szCs w:val="22"/>
          <w:lang w:val="en-US"/>
        </w:rPr>
      </w:pPr>
      <w:hyperlink w:anchor="_Toc494207971" w:history="1">
        <w:r w:rsidRPr="00022782">
          <w:rPr>
            <w:rStyle w:val="Hyperlink"/>
          </w:rPr>
          <w:t>Projets de principes directeurs d’examen examinés par les groupes de travail techniques en 2016</w:t>
        </w:r>
        <w:r>
          <w:rPr>
            <w:webHidden/>
          </w:rPr>
          <w:tab/>
        </w:r>
        <w:r>
          <w:rPr>
            <w:webHidden/>
          </w:rPr>
          <w:fldChar w:fldCharType="begin"/>
        </w:r>
        <w:r>
          <w:rPr>
            <w:webHidden/>
          </w:rPr>
          <w:instrText xml:space="preserve"> PAGEREF _Toc494207971 \h </w:instrText>
        </w:r>
        <w:r>
          <w:rPr>
            <w:webHidden/>
          </w:rPr>
        </w:r>
        <w:r>
          <w:rPr>
            <w:webHidden/>
          </w:rPr>
          <w:fldChar w:fldCharType="separate"/>
        </w:r>
        <w:r>
          <w:rPr>
            <w:webHidden/>
          </w:rPr>
          <w:t>19</w:t>
        </w:r>
        <w:r>
          <w:rPr>
            <w:webHidden/>
          </w:rPr>
          <w:fldChar w:fldCharType="end"/>
        </w:r>
      </w:hyperlink>
    </w:p>
    <w:p w:rsidR="00534E20" w:rsidRDefault="00534E20">
      <w:pPr>
        <w:pStyle w:val="TOC3"/>
        <w:rPr>
          <w:rFonts w:asciiTheme="minorHAnsi" w:eastAsiaTheme="minorEastAsia" w:hAnsiTheme="minorHAnsi" w:cstheme="minorBidi"/>
          <w:i w:val="0"/>
          <w:snapToGrid/>
          <w:sz w:val="22"/>
          <w:szCs w:val="22"/>
          <w:lang w:val="en-US"/>
        </w:rPr>
      </w:pPr>
      <w:hyperlink w:anchor="_Toc494207972" w:history="1">
        <w:r w:rsidRPr="00022782">
          <w:rPr>
            <w:rStyle w:val="Hyperlink"/>
          </w:rPr>
          <w:t>Projets de principes directeurs d’examen à examiner par les TWP en 2017</w:t>
        </w:r>
        <w:r>
          <w:rPr>
            <w:webHidden/>
          </w:rPr>
          <w:tab/>
        </w:r>
        <w:r>
          <w:rPr>
            <w:webHidden/>
          </w:rPr>
          <w:fldChar w:fldCharType="begin"/>
        </w:r>
        <w:r>
          <w:rPr>
            <w:webHidden/>
          </w:rPr>
          <w:instrText xml:space="preserve"> PAGEREF _Toc494207972 \h </w:instrText>
        </w:r>
        <w:r>
          <w:rPr>
            <w:webHidden/>
          </w:rPr>
        </w:r>
        <w:r>
          <w:rPr>
            <w:webHidden/>
          </w:rPr>
          <w:fldChar w:fldCharType="separate"/>
        </w:r>
        <w:r>
          <w:rPr>
            <w:webHidden/>
          </w:rPr>
          <w:t>19</w:t>
        </w:r>
        <w:r>
          <w:rPr>
            <w:webHidden/>
          </w:rPr>
          <w:fldChar w:fldCharType="end"/>
        </w:r>
      </w:hyperlink>
    </w:p>
    <w:p w:rsidR="00534E20" w:rsidRDefault="00534E20">
      <w:pPr>
        <w:pStyle w:val="TOC3"/>
        <w:rPr>
          <w:rFonts w:asciiTheme="minorHAnsi" w:eastAsiaTheme="minorEastAsia" w:hAnsiTheme="minorHAnsi" w:cstheme="minorBidi"/>
          <w:i w:val="0"/>
          <w:snapToGrid/>
          <w:sz w:val="22"/>
          <w:szCs w:val="22"/>
          <w:lang w:val="en-US"/>
        </w:rPr>
      </w:pPr>
      <w:hyperlink w:anchor="_Toc494207973" w:history="1">
        <w:r w:rsidRPr="00022782">
          <w:rPr>
            <w:rStyle w:val="Hyperlink"/>
          </w:rPr>
          <w:t>Statut des principes directeurs d’examen existants ou des projets de principes directeurs d’examen</w:t>
        </w:r>
        <w:r>
          <w:rPr>
            <w:webHidden/>
          </w:rPr>
          <w:tab/>
        </w:r>
        <w:r>
          <w:rPr>
            <w:webHidden/>
          </w:rPr>
          <w:fldChar w:fldCharType="begin"/>
        </w:r>
        <w:r>
          <w:rPr>
            <w:webHidden/>
          </w:rPr>
          <w:instrText xml:space="preserve"> PAGEREF _Toc494207973 \h </w:instrText>
        </w:r>
        <w:r>
          <w:rPr>
            <w:webHidden/>
          </w:rPr>
        </w:r>
        <w:r>
          <w:rPr>
            <w:webHidden/>
          </w:rPr>
          <w:fldChar w:fldCharType="separate"/>
        </w:r>
        <w:r>
          <w:rPr>
            <w:webHidden/>
          </w:rPr>
          <w:t>19</w:t>
        </w:r>
        <w:r>
          <w:rPr>
            <w:webHidden/>
          </w:rPr>
          <w:fldChar w:fldCharType="end"/>
        </w:r>
      </w:hyperlink>
    </w:p>
    <w:p w:rsidR="00534E20" w:rsidRDefault="00534E20">
      <w:pPr>
        <w:pStyle w:val="TOC3"/>
        <w:rPr>
          <w:rFonts w:asciiTheme="minorHAnsi" w:eastAsiaTheme="minorEastAsia" w:hAnsiTheme="minorHAnsi" w:cstheme="minorBidi"/>
          <w:i w:val="0"/>
          <w:snapToGrid/>
          <w:sz w:val="22"/>
          <w:szCs w:val="22"/>
          <w:lang w:val="en-US"/>
        </w:rPr>
      </w:pPr>
      <w:hyperlink w:anchor="_Toc494207974" w:history="1">
        <w:r w:rsidRPr="00022782">
          <w:rPr>
            <w:rStyle w:val="Hyperlink"/>
          </w:rPr>
          <w:t>Versions remplacées des principes directeurs d’examen</w:t>
        </w:r>
        <w:r>
          <w:rPr>
            <w:webHidden/>
          </w:rPr>
          <w:tab/>
        </w:r>
        <w:r>
          <w:rPr>
            <w:webHidden/>
          </w:rPr>
          <w:fldChar w:fldCharType="begin"/>
        </w:r>
        <w:r>
          <w:rPr>
            <w:webHidden/>
          </w:rPr>
          <w:instrText xml:space="preserve"> PAGEREF _Toc494207974 \h </w:instrText>
        </w:r>
        <w:r>
          <w:rPr>
            <w:webHidden/>
          </w:rPr>
        </w:r>
        <w:r>
          <w:rPr>
            <w:webHidden/>
          </w:rPr>
          <w:fldChar w:fldCharType="separate"/>
        </w:r>
        <w:r>
          <w:rPr>
            <w:webHidden/>
          </w:rPr>
          <w:t>20</w:t>
        </w:r>
        <w:r>
          <w:rPr>
            <w:webHidden/>
          </w:rPr>
          <w:fldChar w:fldCharType="end"/>
        </w:r>
      </w:hyperlink>
    </w:p>
    <w:p w:rsidR="00534E20" w:rsidRDefault="00534E20">
      <w:pPr>
        <w:pStyle w:val="TOC3"/>
        <w:rPr>
          <w:rFonts w:asciiTheme="minorHAnsi" w:eastAsiaTheme="minorEastAsia" w:hAnsiTheme="minorHAnsi" w:cstheme="minorBidi"/>
          <w:i w:val="0"/>
          <w:snapToGrid/>
          <w:sz w:val="22"/>
          <w:szCs w:val="22"/>
          <w:lang w:val="en-US"/>
        </w:rPr>
      </w:pPr>
      <w:hyperlink w:anchor="_Toc494207975" w:history="1">
        <w:r w:rsidRPr="00022782">
          <w:rPr>
            <w:rStyle w:val="Hyperlink"/>
          </w:rPr>
          <w:t>Date de publication des principes directeurs d’examen sur le site Web de l’UPOV</w:t>
        </w:r>
        <w:r>
          <w:rPr>
            <w:webHidden/>
          </w:rPr>
          <w:tab/>
        </w:r>
        <w:r>
          <w:rPr>
            <w:webHidden/>
          </w:rPr>
          <w:fldChar w:fldCharType="begin"/>
        </w:r>
        <w:r>
          <w:rPr>
            <w:webHidden/>
          </w:rPr>
          <w:instrText xml:space="preserve"> PAGEREF _Toc494207975 \h </w:instrText>
        </w:r>
        <w:r>
          <w:rPr>
            <w:webHidden/>
          </w:rPr>
        </w:r>
        <w:r>
          <w:rPr>
            <w:webHidden/>
          </w:rPr>
          <w:fldChar w:fldCharType="separate"/>
        </w:r>
        <w:r>
          <w:rPr>
            <w:webHidden/>
          </w:rPr>
          <w:t>20</w:t>
        </w:r>
        <w:r>
          <w:rPr>
            <w:webHidden/>
          </w:rPr>
          <w:fldChar w:fldCharType="end"/>
        </w:r>
      </w:hyperlink>
    </w:p>
    <w:p w:rsidR="00534E20" w:rsidRDefault="00534E20">
      <w:pPr>
        <w:pStyle w:val="TOC3"/>
        <w:rPr>
          <w:rFonts w:asciiTheme="minorHAnsi" w:eastAsiaTheme="minorEastAsia" w:hAnsiTheme="minorHAnsi" w:cstheme="minorBidi"/>
          <w:i w:val="0"/>
          <w:snapToGrid/>
          <w:sz w:val="22"/>
          <w:szCs w:val="22"/>
          <w:lang w:val="en-US"/>
        </w:rPr>
      </w:pPr>
      <w:hyperlink w:anchor="_Toc494207976" w:history="1">
        <w:r w:rsidRPr="00022782">
          <w:rPr>
            <w:rStyle w:val="Hyperlink"/>
          </w:rPr>
          <w:t>Caractères supplémentaires</w:t>
        </w:r>
        <w:r>
          <w:rPr>
            <w:webHidden/>
          </w:rPr>
          <w:tab/>
        </w:r>
        <w:r>
          <w:rPr>
            <w:webHidden/>
          </w:rPr>
          <w:fldChar w:fldCharType="begin"/>
        </w:r>
        <w:r>
          <w:rPr>
            <w:webHidden/>
          </w:rPr>
          <w:instrText xml:space="preserve"> PAGEREF _Toc494207976 \h </w:instrText>
        </w:r>
        <w:r>
          <w:rPr>
            <w:webHidden/>
          </w:rPr>
        </w:r>
        <w:r>
          <w:rPr>
            <w:webHidden/>
          </w:rPr>
          <w:fldChar w:fldCharType="separate"/>
        </w:r>
        <w:r>
          <w:rPr>
            <w:webHidden/>
          </w:rPr>
          <w:t>20</w:t>
        </w:r>
        <w:r>
          <w:rPr>
            <w:webHidden/>
          </w:rPr>
          <w:fldChar w:fldCharType="end"/>
        </w:r>
      </w:hyperlink>
    </w:p>
    <w:p w:rsidR="00534E20" w:rsidRDefault="00534E20">
      <w:pPr>
        <w:pStyle w:val="TOC3"/>
        <w:rPr>
          <w:rFonts w:asciiTheme="minorHAnsi" w:eastAsiaTheme="minorEastAsia" w:hAnsiTheme="minorHAnsi" w:cstheme="minorBidi"/>
          <w:i w:val="0"/>
          <w:snapToGrid/>
          <w:sz w:val="22"/>
          <w:szCs w:val="22"/>
          <w:lang w:val="en-US"/>
        </w:rPr>
      </w:pPr>
      <w:hyperlink w:anchor="_Toc494207977" w:history="1">
        <w:r w:rsidRPr="00022782">
          <w:rPr>
            <w:rStyle w:val="Hyperlink"/>
          </w:rPr>
          <w:t>Procédure de traitement des informations supplémentaires requises par le TC-EDC</w:t>
        </w:r>
        <w:r>
          <w:rPr>
            <w:webHidden/>
          </w:rPr>
          <w:tab/>
        </w:r>
        <w:r>
          <w:rPr>
            <w:webHidden/>
          </w:rPr>
          <w:fldChar w:fldCharType="begin"/>
        </w:r>
        <w:r>
          <w:rPr>
            <w:webHidden/>
          </w:rPr>
          <w:instrText xml:space="preserve"> PAGEREF _Toc494207977 \h </w:instrText>
        </w:r>
        <w:r>
          <w:rPr>
            <w:webHidden/>
          </w:rPr>
        </w:r>
        <w:r>
          <w:rPr>
            <w:webHidden/>
          </w:rPr>
          <w:fldChar w:fldCharType="separate"/>
        </w:r>
        <w:r>
          <w:rPr>
            <w:webHidden/>
          </w:rPr>
          <w:t>20</w:t>
        </w:r>
        <w:r>
          <w:rPr>
            <w:webHidden/>
          </w:rPr>
          <w:fldChar w:fldCharType="end"/>
        </w:r>
      </w:hyperlink>
    </w:p>
    <w:p w:rsidR="00534E20" w:rsidRDefault="00534E20">
      <w:pPr>
        <w:pStyle w:val="TOC3"/>
        <w:rPr>
          <w:rFonts w:asciiTheme="minorHAnsi" w:eastAsiaTheme="minorEastAsia" w:hAnsiTheme="minorHAnsi" w:cstheme="minorBidi"/>
          <w:i w:val="0"/>
          <w:snapToGrid/>
          <w:sz w:val="22"/>
          <w:szCs w:val="22"/>
          <w:lang w:val="en-US"/>
        </w:rPr>
      </w:pPr>
      <w:hyperlink w:anchor="_Toc494207978" w:history="1">
        <w:r w:rsidRPr="00022782">
          <w:rPr>
            <w:rStyle w:val="Hyperlink"/>
          </w:rPr>
          <w:t>Révision du document TGP/14 : illustrations des caractères liés à la forme et au ratio</w:t>
        </w:r>
        <w:r>
          <w:rPr>
            <w:webHidden/>
          </w:rPr>
          <w:tab/>
        </w:r>
        <w:r>
          <w:rPr>
            <w:webHidden/>
          </w:rPr>
          <w:fldChar w:fldCharType="begin"/>
        </w:r>
        <w:r>
          <w:rPr>
            <w:webHidden/>
          </w:rPr>
          <w:instrText xml:space="preserve"> PAGEREF _Toc494207978 \h </w:instrText>
        </w:r>
        <w:r>
          <w:rPr>
            <w:webHidden/>
          </w:rPr>
        </w:r>
        <w:r>
          <w:rPr>
            <w:webHidden/>
          </w:rPr>
          <w:fldChar w:fldCharType="separate"/>
        </w:r>
        <w:r>
          <w:rPr>
            <w:webHidden/>
          </w:rPr>
          <w:t>20</w:t>
        </w:r>
        <w:r>
          <w:rPr>
            <w:webHidden/>
          </w:rPr>
          <w:fldChar w:fldCharType="end"/>
        </w:r>
      </w:hyperlink>
    </w:p>
    <w:p w:rsidR="00534E20" w:rsidRDefault="00534E20">
      <w:pPr>
        <w:pStyle w:val="TOC3"/>
        <w:rPr>
          <w:rFonts w:asciiTheme="minorHAnsi" w:eastAsiaTheme="minorEastAsia" w:hAnsiTheme="minorHAnsi" w:cstheme="minorBidi"/>
          <w:i w:val="0"/>
          <w:snapToGrid/>
          <w:sz w:val="22"/>
          <w:szCs w:val="22"/>
          <w:lang w:val="en-US"/>
        </w:rPr>
      </w:pPr>
      <w:hyperlink w:anchor="_Toc494207979" w:history="1">
        <w:r w:rsidRPr="00022782">
          <w:rPr>
            <w:rStyle w:val="Hyperlink"/>
          </w:rPr>
          <w:t>Programme d’élaboration de nouveaux principes directeurs d’examen et de révision des principes directeurs d’examen en 2018</w:t>
        </w:r>
        <w:r>
          <w:rPr>
            <w:webHidden/>
          </w:rPr>
          <w:tab/>
        </w:r>
        <w:r>
          <w:rPr>
            <w:webHidden/>
          </w:rPr>
          <w:fldChar w:fldCharType="begin"/>
        </w:r>
        <w:r>
          <w:rPr>
            <w:webHidden/>
          </w:rPr>
          <w:instrText xml:space="preserve"> PAGEREF _Toc494207979 \h </w:instrText>
        </w:r>
        <w:r>
          <w:rPr>
            <w:webHidden/>
          </w:rPr>
        </w:r>
        <w:r>
          <w:rPr>
            <w:webHidden/>
          </w:rPr>
          <w:fldChar w:fldCharType="separate"/>
        </w:r>
        <w:r>
          <w:rPr>
            <w:webHidden/>
          </w:rPr>
          <w:t>20</w:t>
        </w:r>
        <w:r>
          <w:rPr>
            <w:webHidden/>
          </w:rPr>
          <w:fldChar w:fldCharType="end"/>
        </w:r>
      </w:hyperlink>
    </w:p>
    <w:p w:rsidR="00534E20" w:rsidRDefault="00534E20">
      <w:pPr>
        <w:pStyle w:val="TOC2"/>
        <w:rPr>
          <w:rFonts w:asciiTheme="minorHAnsi" w:eastAsiaTheme="minorEastAsia" w:hAnsiTheme="minorHAnsi" w:cstheme="minorBidi"/>
          <w:sz w:val="22"/>
          <w:szCs w:val="22"/>
          <w:lang w:val="en-US"/>
        </w:rPr>
      </w:pPr>
      <w:hyperlink w:anchor="_Toc494207980" w:history="1">
        <w:r w:rsidRPr="00022782">
          <w:rPr>
            <w:rStyle w:val="Hyperlink"/>
          </w:rPr>
          <w:t>Présidents</w:t>
        </w:r>
        <w:r>
          <w:rPr>
            <w:webHidden/>
          </w:rPr>
          <w:tab/>
        </w:r>
        <w:r>
          <w:rPr>
            <w:webHidden/>
          </w:rPr>
          <w:fldChar w:fldCharType="begin"/>
        </w:r>
        <w:r>
          <w:rPr>
            <w:webHidden/>
          </w:rPr>
          <w:instrText xml:space="preserve"> PAGEREF _Toc494207980 \h </w:instrText>
        </w:r>
        <w:r>
          <w:rPr>
            <w:webHidden/>
          </w:rPr>
        </w:r>
        <w:r>
          <w:rPr>
            <w:webHidden/>
          </w:rPr>
          <w:fldChar w:fldCharType="separate"/>
        </w:r>
        <w:r>
          <w:rPr>
            <w:webHidden/>
          </w:rPr>
          <w:t>20</w:t>
        </w:r>
        <w:r>
          <w:rPr>
            <w:webHidden/>
          </w:rPr>
          <w:fldChar w:fldCharType="end"/>
        </w:r>
      </w:hyperlink>
    </w:p>
    <w:p w:rsidR="00534E20" w:rsidRDefault="00534E20">
      <w:pPr>
        <w:pStyle w:val="TOC2"/>
        <w:rPr>
          <w:rFonts w:asciiTheme="minorHAnsi" w:eastAsiaTheme="minorEastAsia" w:hAnsiTheme="minorHAnsi" w:cstheme="minorBidi"/>
          <w:sz w:val="22"/>
          <w:szCs w:val="22"/>
          <w:lang w:val="en-US"/>
        </w:rPr>
      </w:pPr>
      <w:hyperlink w:anchor="_Toc494207981" w:history="1">
        <w:r w:rsidRPr="00022782">
          <w:rPr>
            <w:rStyle w:val="Hyperlink"/>
          </w:rPr>
          <w:t>Programme de la cinquante-quatrième session</w:t>
        </w:r>
        <w:r>
          <w:rPr>
            <w:webHidden/>
          </w:rPr>
          <w:tab/>
        </w:r>
        <w:r>
          <w:rPr>
            <w:webHidden/>
          </w:rPr>
          <w:fldChar w:fldCharType="begin"/>
        </w:r>
        <w:r>
          <w:rPr>
            <w:webHidden/>
          </w:rPr>
          <w:instrText xml:space="preserve"> PAGEREF _Toc494207981 \h </w:instrText>
        </w:r>
        <w:r>
          <w:rPr>
            <w:webHidden/>
          </w:rPr>
        </w:r>
        <w:r>
          <w:rPr>
            <w:webHidden/>
          </w:rPr>
          <w:fldChar w:fldCharType="separate"/>
        </w:r>
        <w:r>
          <w:rPr>
            <w:webHidden/>
          </w:rPr>
          <w:t>21</w:t>
        </w:r>
        <w:r>
          <w:rPr>
            <w:webHidden/>
          </w:rPr>
          <w:fldChar w:fldCharType="end"/>
        </w:r>
      </w:hyperlink>
    </w:p>
    <w:p w:rsidR="00534E20" w:rsidRDefault="00534E20">
      <w:pPr>
        <w:pStyle w:val="TOC1"/>
        <w:rPr>
          <w:rFonts w:asciiTheme="minorHAnsi" w:eastAsiaTheme="minorEastAsia" w:hAnsiTheme="minorHAnsi" w:cstheme="minorBidi"/>
          <w:caps w:val="0"/>
          <w:sz w:val="22"/>
          <w:szCs w:val="22"/>
          <w:lang w:val="en-US"/>
        </w:rPr>
      </w:pPr>
      <w:hyperlink w:anchor="_Toc494207982" w:history="1">
        <w:r w:rsidRPr="00022782">
          <w:rPr>
            <w:rStyle w:val="Hyperlink"/>
          </w:rPr>
          <w:t>RAPPORT SUR L’ÉTAT D’AVANCEMENT DES TRAVAUX DES GROUPES DE TRAVAIL TECHNIQUES ET DU GROUPE DE TRAVAIL SUR LES TECHNIQUES BIOCHIMIQUES ET MOLÉCULAIRES, NOTAMMENT LES PROFILS D’ADN EN 2016</w:t>
        </w:r>
        <w:r>
          <w:rPr>
            <w:webHidden/>
          </w:rPr>
          <w:tab/>
        </w:r>
        <w:r>
          <w:rPr>
            <w:webHidden/>
          </w:rPr>
          <w:fldChar w:fldCharType="begin"/>
        </w:r>
        <w:r>
          <w:rPr>
            <w:webHidden/>
          </w:rPr>
          <w:instrText xml:space="preserve"> PAGEREF _Toc494207982 \h </w:instrText>
        </w:r>
        <w:r>
          <w:rPr>
            <w:webHidden/>
          </w:rPr>
        </w:r>
        <w:r>
          <w:rPr>
            <w:webHidden/>
          </w:rPr>
          <w:fldChar w:fldCharType="separate"/>
        </w:r>
        <w:r>
          <w:rPr>
            <w:webHidden/>
          </w:rPr>
          <w:t>21</w:t>
        </w:r>
        <w:r>
          <w:rPr>
            <w:webHidden/>
          </w:rPr>
          <w:fldChar w:fldCharType="end"/>
        </w:r>
      </w:hyperlink>
    </w:p>
    <w:p w:rsidR="00534E20" w:rsidRDefault="00534E20">
      <w:pPr>
        <w:pStyle w:val="TOC3"/>
        <w:rPr>
          <w:rFonts w:asciiTheme="minorHAnsi" w:eastAsiaTheme="minorEastAsia" w:hAnsiTheme="minorHAnsi" w:cstheme="minorBidi"/>
          <w:i w:val="0"/>
          <w:snapToGrid/>
          <w:sz w:val="22"/>
          <w:szCs w:val="22"/>
          <w:lang w:val="en-US"/>
        </w:rPr>
      </w:pPr>
      <w:hyperlink w:anchor="_Toc494207983" w:history="1">
        <w:r w:rsidRPr="00022782">
          <w:rPr>
            <w:rStyle w:val="Hyperlink"/>
          </w:rPr>
          <w:t>Groupe de travail technique sur les plantes agricoles</w:t>
        </w:r>
        <w:r>
          <w:rPr>
            <w:webHidden/>
          </w:rPr>
          <w:tab/>
        </w:r>
        <w:r>
          <w:rPr>
            <w:webHidden/>
          </w:rPr>
          <w:fldChar w:fldCharType="begin"/>
        </w:r>
        <w:r>
          <w:rPr>
            <w:webHidden/>
          </w:rPr>
          <w:instrText xml:space="preserve"> PAGEREF _Toc494207983 \h </w:instrText>
        </w:r>
        <w:r>
          <w:rPr>
            <w:webHidden/>
          </w:rPr>
        </w:r>
        <w:r>
          <w:rPr>
            <w:webHidden/>
          </w:rPr>
          <w:fldChar w:fldCharType="separate"/>
        </w:r>
        <w:r>
          <w:rPr>
            <w:webHidden/>
          </w:rPr>
          <w:t>21</w:t>
        </w:r>
        <w:r>
          <w:rPr>
            <w:webHidden/>
          </w:rPr>
          <w:fldChar w:fldCharType="end"/>
        </w:r>
      </w:hyperlink>
    </w:p>
    <w:p w:rsidR="00534E20" w:rsidRDefault="00534E20">
      <w:pPr>
        <w:pStyle w:val="TOC3"/>
        <w:rPr>
          <w:rFonts w:asciiTheme="minorHAnsi" w:eastAsiaTheme="minorEastAsia" w:hAnsiTheme="minorHAnsi" w:cstheme="minorBidi"/>
          <w:i w:val="0"/>
          <w:snapToGrid/>
          <w:sz w:val="22"/>
          <w:szCs w:val="22"/>
          <w:lang w:val="en-US"/>
        </w:rPr>
      </w:pPr>
      <w:hyperlink w:anchor="_Toc494207984" w:history="1">
        <w:r w:rsidRPr="00022782">
          <w:rPr>
            <w:rStyle w:val="Hyperlink"/>
          </w:rPr>
          <w:t>Groupe de travail technique sur les systèmes d’automatisation et les programmes d’ordinateur</w:t>
        </w:r>
        <w:r>
          <w:rPr>
            <w:webHidden/>
          </w:rPr>
          <w:tab/>
        </w:r>
        <w:r>
          <w:rPr>
            <w:webHidden/>
          </w:rPr>
          <w:fldChar w:fldCharType="begin"/>
        </w:r>
        <w:r>
          <w:rPr>
            <w:webHidden/>
          </w:rPr>
          <w:instrText xml:space="preserve"> PAGEREF _Toc494207984 \h </w:instrText>
        </w:r>
        <w:r>
          <w:rPr>
            <w:webHidden/>
          </w:rPr>
        </w:r>
        <w:r>
          <w:rPr>
            <w:webHidden/>
          </w:rPr>
          <w:fldChar w:fldCharType="separate"/>
        </w:r>
        <w:r>
          <w:rPr>
            <w:webHidden/>
          </w:rPr>
          <w:t>24</w:t>
        </w:r>
        <w:r>
          <w:rPr>
            <w:webHidden/>
          </w:rPr>
          <w:fldChar w:fldCharType="end"/>
        </w:r>
      </w:hyperlink>
    </w:p>
    <w:p w:rsidR="00534E20" w:rsidRDefault="00534E20">
      <w:pPr>
        <w:pStyle w:val="TOC3"/>
        <w:rPr>
          <w:rFonts w:asciiTheme="minorHAnsi" w:eastAsiaTheme="minorEastAsia" w:hAnsiTheme="minorHAnsi" w:cstheme="minorBidi"/>
          <w:i w:val="0"/>
          <w:snapToGrid/>
          <w:sz w:val="22"/>
          <w:szCs w:val="22"/>
          <w:lang w:val="en-US"/>
        </w:rPr>
      </w:pPr>
      <w:hyperlink w:anchor="_Toc494207985" w:history="1">
        <w:r w:rsidRPr="00022782">
          <w:rPr>
            <w:rStyle w:val="Hyperlink"/>
          </w:rPr>
          <w:t>Groupe de travail technique sur les plantes fruitières</w:t>
        </w:r>
        <w:r>
          <w:rPr>
            <w:webHidden/>
          </w:rPr>
          <w:tab/>
        </w:r>
        <w:r>
          <w:rPr>
            <w:webHidden/>
          </w:rPr>
          <w:fldChar w:fldCharType="begin"/>
        </w:r>
        <w:r>
          <w:rPr>
            <w:webHidden/>
          </w:rPr>
          <w:instrText xml:space="preserve"> PAGEREF _Toc494207985 \h </w:instrText>
        </w:r>
        <w:r>
          <w:rPr>
            <w:webHidden/>
          </w:rPr>
        </w:r>
        <w:r>
          <w:rPr>
            <w:webHidden/>
          </w:rPr>
          <w:fldChar w:fldCharType="separate"/>
        </w:r>
        <w:r>
          <w:rPr>
            <w:webHidden/>
          </w:rPr>
          <w:t>28</w:t>
        </w:r>
        <w:r>
          <w:rPr>
            <w:webHidden/>
          </w:rPr>
          <w:fldChar w:fldCharType="end"/>
        </w:r>
      </w:hyperlink>
    </w:p>
    <w:p w:rsidR="00534E20" w:rsidRDefault="00534E20">
      <w:pPr>
        <w:pStyle w:val="TOC3"/>
        <w:rPr>
          <w:rFonts w:asciiTheme="minorHAnsi" w:eastAsiaTheme="minorEastAsia" w:hAnsiTheme="minorHAnsi" w:cstheme="minorBidi"/>
          <w:i w:val="0"/>
          <w:snapToGrid/>
          <w:sz w:val="22"/>
          <w:szCs w:val="22"/>
          <w:lang w:val="en-US"/>
        </w:rPr>
      </w:pPr>
      <w:hyperlink w:anchor="_Toc494207986" w:history="1">
        <w:r w:rsidRPr="00022782">
          <w:rPr>
            <w:rStyle w:val="Hyperlink"/>
          </w:rPr>
          <w:t>Groupe de travail technique sur les plantes ornementales et les arbres forestiers</w:t>
        </w:r>
        <w:r>
          <w:rPr>
            <w:webHidden/>
          </w:rPr>
          <w:tab/>
        </w:r>
        <w:r>
          <w:rPr>
            <w:webHidden/>
          </w:rPr>
          <w:fldChar w:fldCharType="begin"/>
        </w:r>
        <w:r>
          <w:rPr>
            <w:webHidden/>
          </w:rPr>
          <w:instrText xml:space="preserve"> PAGEREF _Toc494207986 \h </w:instrText>
        </w:r>
        <w:r>
          <w:rPr>
            <w:webHidden/>
          </w:rPr>
        </w:r>
        <w:r>
          <w:rPr>
            <w:webHidden/>
          </w:rPr>
          <w:fldChar w:fldCharType="separate"/>
        </w:r>
        <w:r>
          <w:rPr>
            <w:webHidden/>
          </w:rPr>
          <w:t>30</w:t>
        </w:r>
        <w:r>
          <w:rPr>
            <w:webHidden/>
          </w:rPr>
          <w:fldChar w:fldCharType="end"/>
        </w:r>
      </w:hyperlink>
    </w:p>
    <w:p w:rsidR="00534E20" w:rsidRDefault="00534E20">
      <w:pPr>
        <w:pStyle w:val="TOC3"/>
        <w:rPr>
          <w:rFonts w:asciiTheme="minorHAnsi" w:eastAsiaTheme="minorEastAsia" w:hAnsiTheme="minorHAnsi" w:cstheme="minorBidi"/>
          <w:i w:val="0"/>
          <w:snapToGrid/>
          <w:sz w:val="22"/>
          <w:szCs w:val="22"/>
          <w:lang w:val="en-US"/>
        </w:rPr>
      </w:pPr>
      <w:hyperlink w:anchor="_Toc494207987" w:history="1">
        <w:r w:rsidRPr="00022782">
          <w:rPr>
            <w:rStyle w:val="Hyperlink"/>
          </w:rPr>
          <w:t>Groupe de travail technique sur les plantes potagères</w:t>
        </w:r>
        <w:r>
          <w:rPr>
            <w:webHidden/>
          </w:rPr>
          <w:tab/>
        </w:r>
        <w:r>
          <w:rPr>
            <w:webHidden/>
          </w:rPr>
          <w:fldChar w:fldCharType="begin"/>
        </w:r>
        <w:r>
          <w:rPr>
            <w:webHidden/>
          </w:rPr>
          <w:instrText xml:space="preserve"> PAGEREF _Toc494207987 \h </w:instrText>
        </w:r>
        <w:r>
          <w:rPr>
            <w:webHidden/>
          </w:rPr>
        </w:r>
        <w:r>
          <w:rPr>
            <w:webHidden/>
          </w:rPr>
          <w:fldChar w:fldCharType="separate"/>
        </w:r>
        <w:r>
          <w:rPr>
            <w:webHidden/>
          </w:rPr>
          <w:t>33</w:t>
        </w:r>
        <w:r>
          <w:rPr>
            <w:webHidden/>
          </w:rPr>
          <w:fldChar w:fldCharType="end"/>
        </w:r>
      </w:hyperlink>
    </w:p>
    <w:p w:rsidR="00534E20" w:rsidRDefault="00534E20">
      <w:pPr>
        <w:pStyle w:val="TOC3"/>
        <w:rPr>
          <w:rFonts w:asciiTheme="minorHAnsi" w:eastAsiaTheme="minorEastAsia" w:hAnsiTheme="minorHAnsi" w:cstheme="minorBidi"/>
          <w:i w:val="0"/>
          <w:snapToGrid/>
          <w:sz w:val="22"/>
          <w:szCs w:val="22"/>
          <w:lang w:val="en-US"/>
        </w:rPr>
      </w:pPr>
      <w:hyperlink w:anchor="_Toc494207988" w:history="1">
        <w:r w:rsidRPr="00022782">
          <w:rPr>
            <w:rStyle w:val="Hyperlink"/>
          </w:rPr>
          <w:t>Groupe de travail sur les techniques biochimiques et moléculaires, notamment les profils d’ADN</w:t>
        </w:r>
        <w:r>
          <w:rPr>
            <w:webHidden/>
          </w:rPr>
          <w:tab/>
        </w:r>
        <w:r>
          <w:rPr>
            <w:webHidden/>
          </w:rPr>
          <w:fldChar w:fldCharType="begin"/>
        </w:r>
        <w:r>
          <w:rPr>
            <w:webHidden/>
          </w:rPr>
          <w:instrText xml:space="preserve"> PAGEREF _Toc494207988 \h </w:instrText>
        </w:r>
        <w:r>
          <w:rPr>
            <w:webHidden/>
          </w:rPr>
        </w:r>
        <w:r>
          <w:rPr>
            <w:webHidden/>
          </w:rPr>
          <w:fldChar w:fldCharType="separate"/>
        </w:r>
        <w:r>
          <w:rPr>
            <w:webHidden/>
          </w:rPr>
          <w:t>35</w:t>
        </w:r>
        <w:r>
          <w:rPr>
            <w:webHidden/>
          </w:rPr>
          <w:fldChar w:fldCharType="end"/>
        </w:r>
      </w:hyperlink>
    </w:p>
    <w:p w:rsidR="008C3126" w:rsidRPr="008725ED" w:rsidRDefault="00367578" w:rsidP="00E642BE">
      <w:pPr>
        <w:rPr>
          <w:lang w:val="fr-FR"/>
        </w:rPr>
      </w:pPr>
      <w:r w:rsidRPr="008725ED">
        <w:rPr>
          <w:snapToGrid w:val="0"/>
          <w:highlight w:val="cyan"/>
          <w:lang w:val="fr-FR"/>
        </w:rPr>
        <w:fldChar w:fldCharType="end"/>
      </w:r>
      <w:r w:rsidR="00B84D67" w:rsidRPr="00D95F3A">
        <w:rPr>
          <w:snapToGrid w:val="0"/>
          <w:sz w:val="18"/>
          <w:lang w:val="fr-FR"/>
        </w:rPr>
        <w:t>ANNEXE</w:t>
      </w:r>
      <w:r w:rsidR="00EF1779" w:rsidRPr="00D95F3A">
        <w:rPr>
          <w:snapToGrid w:val="0"/>
          <w:sz w:val="18"/>
          <w:lang w:val="fr-FR"/>
        </w:rPr>
        <w:t> :</w:t>
      </w:r>
      <w:r w:rsidR="00B84D67" w:rsidRPr="00D95F3A">
        <w:rPr>
          <w:snapToGrid w:val="0"/>
          <w:sz w:val="18"/>
          <w:lang w:val="fr-FR"/>
        </w:rPr>
        <w:t xml:space="preserve"> </w:t>
      </w:r>
      <w:r w:rsidR="00B84D67" w:rsidRPr="00D95F3A">
        <w:rPr>
          <w:snapToGrid w:val="0"/>
          <w:sz w:val="18"/>
          <w:lang w:val="fr-FR"/>
        </w:rPr>
        <w:tab/>
        <w:t>Programme d</w:t>
      </w:r>
      <w:r w:rsidR="00EF1779" w:rsidRPr="00D95F3A">
        <w:rPr>
          <w:snapToGrid w:val="0"/>
          <w:sz w:val="18"/>
          <w:lang w:val="fr-FR"/>
        </w:rPr>
        <w:t>’</w:t>
      </w:r>
      <w:r w:rsidR="00B84D67" w:rsidRPr="00D95F3A">
        <w:rPr>
          <w:snapToGrid w:val="0"/>
          <w:sz w:val="18"/>
          <w:lang w:val="fr-FR"/>
        </w:rPr>
        <w:t>élaboration des documents TGP</w:t>
      </w:r>
    </w:p>
    <w:p w:rsidR="008C3126" w:rsidRPr="008725ED" w:rsidRDefault="00B84D67" w:rsidP="00B84D67">
      <w:pPr>
        <w:pStyle w:val="Heading1"/>
        <w:rPr>
          <w:lang w:val="fr-FR"/>
        </w:rPr>
      </w:pPr>
      <w:bookmarkStart w:id="3" w:name="_Toc494207941"/>
      <w:r w:rsidRPr="008725ED">
        <w:rPr>
          <w:lang w:val="fr-FR"/>
        </w:rPr>
        <w:t>Rapport sur l</w:t>
      </w:r>
      <w:r w:rsidR="00EF1779" w:rsidRPr="008725ED">
        <w:rPr>
          <w:lang w:val="fr-FR"/>
        </w:rPr>
        <w:t>’</w:t>
      </w:r>
      <w:r w:rsidRPr="008725ED">
        <w:rPr>
          <w:lang w:val="fr-FR"/>
        </w:rPr>
        <w:t>état d</w:t>
      </w:r>
      <w:r w:rsidR="00EF1779" w:rsidRPr="008725ED">
        <w:rPr>
          <w:lang w:val="fr-FR"/>
        </w:rPr>
        <w:t>’</w:t>
      </w:r>
      <w:r w:rsidRPr="008725ED">
        <w:rPr>
          <w:lang w:val="fr-FR"/>
        </w:rPr>
        <w:t>avancement des travaux du Comité technique</w:t>
      </w:r>
      <w:bookmarkEnd w:id="3"/>
    </w:p>
    <w:p w:rsidR="008C3126" w:rsidRPr="008725ED" w:rsidRDefault="008C3126" w:rsidP="00367578">
      <w:pPr>
        <w:keepNext/>
        <w:rPr>
          <w:snapToGrid w:val="0"/>
          <w:u w:val="single"/>
          <w:lang w:val="fr-FR"/>
        </w:rPr>
      </w:pPr>
    </w:p>
    <w:p w:rsidR="008C3126" w:rsidRPr="008725ED" w:rsidRDefault="00367578" w:rsidP="00D87DB7">
      <w:pPr>
        <w:keepNext/>
        <w:rPr>
          <w:lang w:val="fr-FR"/>
        </w:rPr>
      </w:pPr>
      <w:r w:rsidRPr="008725ED">
        <w:rPr>
          <w:lang w:val="fr-FR"/>
        </w:rPr>
        <w:fldChar w:fldCharType="begin"/>
      </w:r>
      <w:r w:rsidRPr="008725ED">
        <w:rPr>
          <w:lang w:val="fr-FR"/>
        </w:rPr>
        <w:instrText xml:space="preserve"> AUTONUM  \* Arabic </w:instrText>
      </w:r>
      <w:r w:rsidRPr="008725ED">
        <w:rPr>
          <w:lang w:val="fr-FR"/>
        </w:rPr>
        <w:fldChar w:fldCharType="end"/>
      </w:r>
      <w:r w:rsidRPr="008725ED">
        <w:rPr>
          <w:lang w:val="fr-FR"/>
        </w:rPr>
        <w:tab/>
      </w:r>
      <w:r w:rsidR="00D87DB7" w:rsidRPr="008725ED">
        <w:rPr>
          <w:lang w:val="fr-FR"/>
        </w:rPr>
        <w:t>Le Comité technique (TC) a tenu sa cinquante</w:t>
      </w:r>
      <w:r w:rsidR="00EF1779" w:rsidRPr="008725ED">
        <w:rPr>
          <w:lang w:val="fr-FR"/>
        </w:rPr>
        <w:t>-</w:t>
      </w:r>
      <w:r w:rsidR="00D87DB7" w:rsidRPr="008725ED">
        <w:rPr>
          <w:lang w:val="fr-FR"/>
        </w:rPr>
        <w:t>trois</w:t>
      </w:r>
      <w:r w:rsidR="00EF1779" w:rsidRPr="008725ED">
        <w:rPr>
          <w:lang w:val="fr-FR"/>
        </w:rPr>
        <w:t>ième session</w:t>
      </w:r>
      <w:r w:rsidR="00D87DB7" w:rsidRPr="008725ED">
        <w:rPr>
          <w:lang w:val="fr-FR"/>
        </w:rPr>
        <w:t xml:space="preserve"> à Genève du 3 au </w:t>
      </w:r>
      <w:r w:rsidR="00EF1779" w:rsidRPr="008725ED">
        <w:rPr>
          <w:lang w:val="fr-FR"/>
        </w:rPr>
        <w:t>5 mars 20</w:t>
      </w:r>
      <w:r w:rsidR="00D87DB7" w:rsidRPr="008725ED">
        <w:rPr>
          <w:lang w:val="fr-FR"/>
        </w:rPr>
        <w:t>17;  cette session était présidée par M. Kees van Ettekoven (Pays</w:t>
      </w:r>
      <w:r w:rsidR="00EF1779" w:rsidRPr="008725ED">
        <w:rPr>
          <w:lang w:val="fr-FR"/>
        </w:rPr>
        <w:t>-</w:t>
      </w:r>
      <w:r w:rsidR="00D87DB7" w:rsidRPr="008725ED">
        <w:rPr>
          <w:lang w:val="fr-FR"/>
        </w:rPr>
        <w:t>Bas), pr</w:t>
      </w:r>
      <w:r w:rsidR="00EA420B" w:rsidRPr="008725ED">
        <w:rPr>
          <w:lang w:val="fr-FR"/>
        </w:rPr>
        <w:t>é</w:t>
      </w:r>
      <w:r w:rsidR="00D87DB7" w:rsidRPr="008725ED">
        <w:rPr>
          <w:lang w:val="fr-FR"/>
        </w:rPr>
        <w:t>sident du</w:t>
      </w:r>
      <w:r w:rsidR="00EF1779" w:rsidRPr="008725ED">
        <w:rPr>
          <w:lang w:val="fr-FR"/>
        </w:rPr>
        <w:t> TC</w:t>
      </w:r>
      <w:r w:rsidR="00D87DB7" w:rsidRPr="008725ED">
        <w:rPr>
          <w:lang w:val="fr-FR"/>
        </w:rPr>
        <w:t xml:space="preserve">.  Le compte rendu de cette session figure dans le </w:t>
      </w:r>
      <w:r w:rsidR="00EF1779" w:rsidRPr="008725ED">
        <w:rPr>
          <w:lang w:val="fr-FR"/>
        </w:rPr>
        <w:t>document TC</w:t>
      </w:r>
      <w:r w:rsidR="00D87DB7" w:rsidRPr="008725ED">
        <w:rPr>
          <w:lang w:val="fr-FR"/>
        </w:rPr>
        <w:t>/53/31 “Compte rendu”.</w:t>
      </w:r>
    </w:p>
    <w:p w:rsidR="008C3126" w:rsidRPr="008725ED" w:rsidRDefault="008C3126" w:rsidP="00367578">
      <w:pPr>
        <w:rPr>
          <w:snapToGrid w:val="0"/>
          <w:lang w:val="fr-FR"/>
        </w:rPr>
      </w:pPr>
    </w:p>
    <w:p w:rsidR="008C3126" w:rsidRPr="008725ED" w:rsidRDefault="00367578" w:rsidP="00D87DB7">
      <w:pPr>
        <w:rPr>
          <w:snapToGrid w:val="0"/>
          <w:lang w:val="fr-FR"/>
        </w:rPr>
      </w:pPr>
      <w:r w:rsidRPr="008725ED">
        <w:rPr>
          <w:snapToGrid w:val="0"/>
          <w:lang w:val="fr-FR"/>
        </w:rPr>
        <w:fldChar w:fldCharType="begin"/>
      </w:r>
      <w:r w:rsidRPr="008725ED">
        <w:rPr>
          <w:snapToGrid w:val="0"/>
          <w:lang w:val="fr-FR"/>
        </w:rPr>
        <w:instrText xml:space="preserve"> AUTONUM  </w:instrText>
      </w:r>
      <w:r w:rsidRPr="008725ED">
        <w:rPr>
          <w:snapToGrid w:val="0"/>
          <w:lang w:val="fr-FR"/>
        </w:rPr>
        <w:fldChar w:fldCharType="end"/>
      </w:r>
      <w:r w:rsidRPr="008725ED">
        <w:rPr>
          <w:snapToGrid w:val="0"/>
          <w:lang w:val="fr-FR"/>
        </w:rPr>
        <w:tab/>
      </w:r>
      <w:r w:rsidR="00D87DB7" w:rsidRPr="008725ED">
        <w:rPr>
          <w:snapToGrid w:val="0"/>
          <w:lang w:val="fr-FR"/>
        </w:rPr>
        <w:t>La session a réuni 100</w:t>
      </w:r>
      <w:r w:rsidR="0064330D" w:rsidRPr="008725ED">
        <w:rPr>
          <w:snapToGrid w:val="0"/>
          <w:lang w:val="fr-FR"/>
        </w:rPr>
        <w:t> </w:t>
      </w:r>
      <w:r w:rsidR="00D87DB7" w:rsidRPr="008725ED">
        <w:rPr>
          <w:snapToGrid w:val="0"/>
          <w:lang w:val="fr-FR"/>
        </w:rPr>
        <w:t>participants représentant 41</w:t>
      </w:r>
      <w:r w:rsidR="0064330D" w:rsidRPr="008725ED">
        <w:rPr>
          <w:snapToGrid w:val="0"/>
          <w:lang w:val="fr-FR"/>
        </w:rPr>
        <w:t> </w:t>
      </w:r>
      <w:r w:rsidR="00D87DB7" w:rsidRPr="008725ED">
        <w:rPr>
          <w:snapToGrid w:val="0"/>
          <w:lang w:val="fr-FR"/>
        </w:rPr>
        <w:t>membres de l</w:t>
      </w:r>
      <w:r w:rsidR="00EF1779" w:rsidRPr="008725ED">
        <w:rPr>
          <w:snapToGrid w:val="0"/>
          <w:lang w:val="fr-FR"/>
        </w:rPr>
        <w:t>’</w:t>
      </w:r>
      <w:r w:rsidR="00D87DB7" w:rsidRPr="008725ED">
        <w:rPr>
          <w:snapToGrid w:val="0"/>
          <w:lang w:val="fr-FR"/>
        </w:rPr>
        <w:t>Union, trois</w:t>
      </w:r>
      <w:r w:rsidR="00B0700F" w:rsidRPr="008725ED">
        <w:rPr>
          <w:snapToGrid w:val="0"/>
          <w:lang w:val="fr-FR"/>
        </w:rPr>
        <w:t> </w:t>
      </w:r>
      <w:r w:rsidR="00D87DB7" w:rsidRPr="008725ED">
        <w:rPr>
          <w:snapToGrid w:val="0"/>
          <w:lang w:val="fr-FR"/>
        </w:rPr>
        <w:t>États ayant le statut d</w:t>
      </w:r>
      <w:r w:rsidR="00EF1779" w:rsidRPr="008725ED">
        <w:rPr>
          <w:snapToGrid w:val="0"/>
          <w:lang w:val="fr-FR"/>
        </w:rPr>
        <w:t>’</w:t>
      </w:r>
      <w:r w:rsidR="00D87DB7" w:rsidRPr="008725ED">
        <w:rPr>
          <w:snapToGrid w:val="0"/>
          <w:lang w:val="fr-FR"/>
        </w:rPr>
        <w:t xml:space="preserve">observateur et </w:t>
      </w:r>
      <w:r w:rsidR="00D87DB7" w:rsidRPr="008725ED">
        <w:rPr>
          <w:lang w:val="fr-FR"/>
        </w:rPr>
        <w:t>sept</w:t>
      </w:r>
      <w:r w:rsidR="00B0700F" w:rsidRPr="008725ED">
        <w:rPr>
          <w:snapToGrid w:val="0"/>
          <w:lang w:val="fr-FR"/>
        </w:rPr>
        <w:t> </w:t>
      </w:r>
      <w:r w:rsidR="00D87DB7" w:rsidRPr="008725ED">
        <w:rPr>
          <w:snapToGrid w:val="0"/>
          <w:lang w:val="fr-FR"/>
        </w:rPr>
        <w:t>organisations ayant le statut d</w:t>
      </w:r>
      <w:r w:rsidR="00EF1779" w:rsidRPr="008725ED">
        <w:rPr>
          <w:snapToGrid w:val="0"/>
          <w:lang w:val="fr-FR"/>
        </w:rPr>
        <w:t>’</w:t>
      </w:r>
      <w:r w:rsidR="00D87DB7" w:rsidRPr="008725ED">
        <w:rPr>
          <w:snapToGrid w:val="0"/>
          <w:lang w:val="fr-FR"/>
        </w:rPr>
        <w:t>observateur.</w:t>
      </w:r>
    </w:p>
    <w:p w:rsidR="008C3126" w:rsidRPr="008725ED" w:rsidRDefault="008C3126" w:rsidP="00367578">
      <w:pPr>
        <w:rPr>
          <w:lang w:val="fr-FR"/>
        </w:rPr>
      </w:pPr>
    </w:p>
    <w:p w:rsidR="008C3126" w:rsidRPr="008725ED" w:rsidRDefault="008C3126" w:rsidP="00367578">
      <w:pPr>
        <w:rPr>
          <w:lang w:val="fr-FR"/>
        </w:rPr>
      </w:pPr>
    </w:p>
    <w:p w:rsidR="008C3126" w:rsidRPr="008725ED" w:rsidRDefault="00D87DB7" w:rsidP="00D87DB7">
      <w:pPr>
        <w:pStyle w:val="Heading2"/>
        <w:rPr>
          <w:lang w:val="fr-FR"/>
        </w:rPr>
      </w:pPr>
      <w:bookmarkStart w:id="4" w:name="_Toc494207942"/>
      <w:r w:rsidRPr="008725ED">
        <w:rPr>
          <w:lang w:val="fr-FR"/>
        </w:rPr>
        <w:t>Rapport sur les faits nouveaux survenus au sein de l</w:t>
      </w:r>
      <w:r w:rsidR="00EF1779" w:rsidRPr="008725ED">
        <w:rPr>
          <w:lang w:val="fr-FR"/>
        </w:rPr>
        <w:t>’</w:t>
      </w:r>
      <w:r w:rsidRPr="008725ED">
        <w:rPr>
          <w:lang w:val="fr-FR"/>
        </w:rPr>
        <w:t xml:space="preserve">UPOV, </w:t>
      </w:r>
      <w:r w:rsidR="00EF1779" w:rsidRPr="008725ED">
        <w:rPr>
          <w:lang w:val="fr-FR"/>
        </w:rPr>
        <w:t>y compris</w:t>
      </w:r>
      <w:r w:rsidRPr="008725ED">
        <w:rPr>
          <w:lang w:val="fr-FR"/>
        </w:rPr>
        <w:t xml:space="preserve"> certaines questions examinées lors des dernières sessions du Comité administratif et juridique, du Comité consultatif et du Conseil (rapport verbal du Secrétaire général adjoint)</w:t>
      </w:r>
      <w:bookmarkEnd w:id="4"/>
    </w:p>
    <w:p w:rsidR="008C3126" w:rsidRPr="008725ED" w:rsidRDefault="008C3126" w:rsidP="00D87DB7">
      <w:pPr>
        <w:rPr>
          <w:lang w:val="fr-FR"/>
        </w:rPr>
      </w:pPr>
    </w:p>
    <w:p w:rsidR="008C3126" w:rsidRPr="008725ED" w:rsidRDefault="00D87DB7" w:rsidP="00D87DB7">
      <w:pPr>
        <w:keepNext/>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EA420B" w:rsidRPr="008725ED">
        <w:rPr>
          <w:lang w:val="fr-FR"/>
        </w:rPr>
        <w:t>a examiné</w:t>
      </w:r>
      <w:r w:rsidRPr="008725ED">
        <w:rPr>
          <w:lang w:val="fr-FR"/>
        </w:rPr>
        <w:t xml:space="preserve"> le </w:t>
      </w:r>
      <w:r w:rsidR="00EF1779" w:rsidRPr="008725ED">
        <w:rPr>
          <w:lang w:val="fr-FR"/>
        </w:rPr>
        <w:t>document TC</w:t>
      </w:r>
      <w:r w:rsidRPr="008725ED">
        <w:rPr>
          <w:lang w:val="fr-FR"/>
        </w:rPr>
        <w:t xml:space="preserve">/53/10 et </w:t>
      </w:r>
      <w:r w:rsidR="00EA420B" w:rsidRPr="008725ED">
        <w:rPr>
          <w:lang w:val="fr-FR"/>
        </w:rPr>
        <w:t>a suivi</w:t>
      </w:r>
      <w:r w:rsidRPr="008725ED">
        <w:rPr>
          <w:lang w:val="fr-FR"/>
        </w:rPr>
        <w:t xml:space="preserve"> un exposé présenté par le secrétaire général adjoint, dont une copie sera fournie dans un additif au </w:t>
      </w:r>
      <w:r w:rsidR="00EF1779" w:rsidRPr="008725ED">
        <w:rPr>
          <w:lang w:val="fr-FR"/>
        </w:rPr>
        <w:t>document TC</w:t>
      </w:r>
      <w:r w:rsidRPr="008725ED">
        <w:rPr>
          <w:lang w:val="fr-FR"/>
        </w:rPr>
        <w:t>/53/10 (en anglais seulement).</w:t>
      </w:r>
    </w:p>
    <w:p w:rsidR="008C3126" w:rsidRPr="008725ED" w:rsidRDefault="008C3126" w:rsidP="00D87DB7">
      <w:pPr>
        <w:rPr>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EA420B" w:rsidRPr="008725ED">
        <w:rPr>
          <w:lang w:val="fr-FR"/>
        </w:rPr>
        <w:t>a pris</w:t>
      </w:r>
      <w:r w:rsidRPr="008725ED">
        <w:rPr>
          <w:lang w:val="fr-FR"/>
        </w:rPr>
        <w:t xml:space="preserve"> note des faits nouveaux intervenus au sein de l</w:t>
      </w:r>
      <w:r w:rsidR="00EF1779" w:rsidRPr="008725ED">
        <w:rPr>
          <w:lang w:val="fr-FR"/>
        </w:rPr>
        <w:t>’</w:t>
      </w:r>
      <w:r w:rsidRPr="008725ED">
        <w:rPr>
          <w:lang w:val="fr-FR"/>
        </w:rPr>
        <w:t>UPOV depuis sa cinquante</w:t>
      </w:r>
      <w:r w:rsidR="00EF1779" w:rsidRPr="008725ED">
        <w:rPr>
          <w:lang w:val="fr-FR"/>
        </w:rPr>
        <w:t>-</w:t>
      </w:r>
      <w:r w:rsidRPr="008725ED">
        <w:rPr>
          <w:lang w:val="fr-FR"/>
        </w:rPr>
        <w:t>deux</w:t>
      </w:r>
      <w:r w:rsidR="00EF1779" w:rsidRPr="008725ED">
        <w:rPr>
          <w:lang w:val="fr-FR"/>
        </w:rPr>
        <w:t>ième session</w:t>
      </w:r>
      <w:r w:rsidRPr="008725ED">
        <w:rPr>
          <w:lang w:val="fr-FR"/>
        </w:rPr>
        <w:t xml:space="preserve"> qui ne rel</w:t>
      </w:r>
      <w:r w:rsidR="00EA420B" w:rsidRPr="008725ED">
        <w:rPr>
          <w:lang w:val="fr-FR"/>
        </w:rPr>
        <w:t>evaie</w:t>
      </w:r>
      <w:r w:rsidRPr="008725ED">
        <w:rPr>
          <w:lang w:val="fr-FR"/>
        </w:rPr>
        <w:t>nt pas de points précis de l</w:t>
      </w:r>
      <w:r w:rsidR="00EF1779" w:rsidRPr="008725ED">
        <w:rPr>
          <w:lang w:val="fr-FR"/>
        </w:rPr>
        <w:t>’</w:t>
      </w:r>
      <w:r w:rsidRPr="008725ED">
        <w:rPr>
          <w:lang w:val="fr-FR"/>
        </w:rPr>
        <w:t>ordre du jour de la cinquante</w:t>
      </w:r>
      <w:r w:rsidR="00EF1779" w:rsidRPr="008725ED">
        <w:rPr>
          <w:lang w:val="fr-FR"/>
        </w:rPr>
        <w:t>-</w:t>
      </w:r>
      <w:r w:rsidRPr="008725ED">
        <w:rPr>
          <w:lang w:val="fr-FR"/>
        </w:rPr>
        <w:t>trois</w:t>
      </w:r>
      <w:r w:rsidR="00EF1779" w:rsidRPr="008725ED">
        <w:rPr>
          <w:lang w:val="fr-FR"/>
        </w:rPr>
        <w:t>ième session</w:t>
      </w:r>
      <w:r w:rsidRPr="008725ED">
        <w:rPr>
          <w:lang w:val="fr-FR"/>
        </w:rPr>
        <w:t xml:space="preserve">, </w:t>
      </w:r>
      <w:r w:rsidR="00EF1779" w:rsidRPr="008725ED">
        <w:rPr>
          <w:lang w:val="fr-FR"/>
        </w:rPr>
        <w:t>y compris</w:t>
      </w:r>
      <w:r w:rsidRPr="008725ED">
        <w:rPr>
          <w:lang w:val="fr-FR"/>
        </w:rPr>
        <w:t xml:space="preserve"> certaines questions examinées lors des dernières sessions du Comité administratif et juridique (CAJ), du Comité consultatif et du Conseil, dont il </w:t>
      </w:r>
      <w:r w:rsidR="00EA420B" w:rsidRPr="008725ED">
        <w:rPr>
          <w:lang w:val="fr-FR"/>
        </w:rPr>
        <w:t>était</w:t>
      </w:r>
      <w:r w:rsidRPr="008725ED">
        <w:rPr>
          <w:lang w:val="fr-FR"/>
        </w:rPr>
        <w:t xml:space="preserve"> fait rapport aux paragraphes 4 à 47 du </w:t>
      </w:r>
      <w:r w:rsidR="00EF1779" w:rsidRPr="008725ED">
        <w:rPr>
          <w:lang w:val="fr-FR"/>
        </w:rPr>
        <w:t>document TC</w:t>
      </w:r>
      <w:r w:rsidRPr="008725ED">
        <w:rPr>
          <w:lang w:val="fr-FR"/>
        </w:rPr>
        <w:t>/53/10.</w:t>
      </w:r>
    </w:p>
    <w:p w:rsidR="008C3126" w:rsidRPr="008725ED" w:rsidRDefault="008C3126" w:rsidP="00D87DB7">
      <w:pPr>
        <w:rPr>
          <w:lang w:val="fr-FR"/>
        </w:rPr>
      </w:pPr>
    </w:p>
    <w:p w:rsidR="008C3126" w:rsidRPr="008725ED" w:rsidRDefault="008C3126" w:rsidP="00D87DB7">
      <w:pPr>
        <w:rPr>
          <w:lang w:val="fr-FR"/>
        </w:rPr>
      </w:pPr>
    </w:p>
    <w:p w:rsidR="008C3126" w:rsidRPr="008725ED" w:rsidRDefault="00D87DB7" w:rsidP="00D87DB7">
      <w:pPr>
        <w:pStyle w:val="Heading2"/>
        <w:rPr>
          <w:snapToGrid w:val="0"/>
          <w:lang w:val="fr-FR"/>
        </w:rPr>
      </w:pPr>
      <w:bookmarkStart w:id="5" w:name="_Toc494207943"/>
      <w:r w:rsidRPr="008725ED">
        <w:rPr>
          <w:snapToGrid w:val="0"/>
          <w:lang w:val="fr-FR"/>
        </w:rPr>
        <w:t>Organisation des sessions de l</w:t>
      </w:r>
      <w:r w:rsidR="00EF1779" w:rsidRPr="008725ED">
        <w:rPr>
          <w:snapToGrid w:val="0"/>
          <w:lang w:val="fr-FR"/>
        </w:rPr>
        <w:t>’</w:t>
      </w:r>
      <w:r w:rsidRPr="008725ED">
        <w:rPr>
          <w:snapToGrid w:val="0"/>
          <w:lang w:val="fr-FR"/>
        </w:rPr>
        <w:t>UPOV</w:t>
      </w:r>
      <w:bookmarkEnd w:id="5"/>
    </w:p>
    <w:p w:rsidR="008C3126" w:rsidRPr="008725ED" w:rsidRDefault="008C3126" w:rsidP="00D87DB7">
      <w:pPr>
        <w:ind w:left="567" w:hanging="567"/>
        <w:rPr>
          <w:rFonts w:cs="Arial"/>
          <w:snapToGrid w:val="0"/>
          <w:lang w:val="fr-FR"/>
        </w:rPr>
      </w:pPr>
    </w:p>
    <w:p w:rsidR="008C3126" w:rsidRPr="008725ED" w:rsidRDefault="00D87DB7" w:rsidP="00D87DB7">
      <w:pPr>
        <w:ind w:left="567" w:hanging="567"/>
        <w:rPr>
          <w:rFonts w:cs="Arial"/>
          <w:snapToGrid w:val="0"/>
          <w:lang w:val="fr-FR"/>
        </w:rPr>
      </w:pPr>
      <w:r w:rsidRPr="008725ED">
        <w:rPr>
          <w:rFonts w:cs="Arial"/>
          <w:snapToGrid w:val="0"/>
          <w:lang w:val="fr-FR"/>
        </w:rPr>
        <w:fldChar w:fldCharType="begin"/>
      </w:r>
      <w:r w:rsidRPr="008725ED">
        <w:rPr>
          <w:rFonts w:cs="Arial"/>
          <w:snapToGrid w:val="0"/>
          <w:lang w:val="fr-FR"/>
        </w:rPr>
        <w:instrText xml:space="preserve"> AUTONUM  </w:instrText>
      </w:r>
      <w:r w:rsidRPr="008725ED">
        <w:rPr>
          <w:rFonts w:cs="Arial"/>
          <w:snapToGrid w:val="0"/>
          <w:lang w:val="fr-FR"/>
        </w:rPr>
        <w:fldChar w:fldCharType="end"/>
      </w:r>
      <w:r w:rsidRPr="008725ED">
        <w:rPr>
          <w:rFonts w:cs="Arial"/>
          <w:snapToGrid w:val="0"/>
          <w:lang w:val="fr-FR"/>
        </w:rPr>
        <w:tab/>
      </w:r>
      <w:r w:rsidRPr="008725ED">
        <w:rPr>
          <w:lang w:val="fr-FR"/>
        </w:rPr>
        <w:t>Le</w:t>
      </w:r>
      <w:r w:rsidR="00EF1779" w:rsidRPr="008725ED">
        <w:rPr>
          <w:lang w:val="fr-FR"/>
        </w:rPr>
        <w:t> TC</w:t>
      </w:r>
      <w:r w:rsidRPr="008725ED">
        <w:rPr>
          <w:lang w:val="fr-FR"/>
        </w:rPr>
        <w:t xml:space="preserve"> </w:t>
      </w:r>
      <w:r w:rsidR="00EA420B" w:rsidRPr="008725ED">
        <w:rPr>
          <w:lang w:val="fr-FR"/>
        </w:rPr>
        <w:t>a examiné</w:t>
      </w:r>
      <w:r w:rsidRPr="008725ED">
        <w:rPr>
          <w:lang w:val="fr-FR"/>
        </w:rPr>
        <w:t xml:space="preserve"> le </w:t>
      </w:r>
      <w:r w:rsidR="00EF1779" w:rsidRPr="008725ED">
        <w:rPr>
          <w:lang w:val="fr-FR"/>
        </w:rPr>
        <w:t>document TC</w:t>
      </w:r>
      <w:r w:rsidRPr="008725ED">
        <w:rPr>
          <w:lang w:val="fr-FR"/>
        </w:rPr>
        <w:t>/53/14.</w:t>
      </w:r>
    </w:p>
    <w:p w:rsidR="008C3126" w:rsidRPr="008725ED" w:rsidRDefault="008C3126" w:rsidP="00D87DB7">
      <w:pPr>
        <w:ind w:left="567" w:hanging="567"/>
        <w:rPr>
          <w:rFonts w:cs="Arial"/>
          <w:snapToGrid w:val="0"/>
          <w:lang w:val="fr-FR"/>
        </w:rPr>
      </w:pPr>
    </w:p>
    <w:p w:rsidR="008C3126" w:rsidRPr="008725ED" w:rsidRDefault="00D87DB7" w:rsidP="00D87DB7">
      <w:pPr>
        <w:keepNext/>
        <w:rPr>
          <w:rFonts w:cs="Arial"/>
          <w:snapToGrid w:val="0"/>
          <w:lang w:val="fr-FR"/>
        </w:rPr>
      </w:pPr>
      <w:r w:rsidRPr="008725ED">
        <w:rPr>
          <w:rFonts w:cs="Arial"/>
          <w:snapToGrid w:val="0"/>
          <w:lang w:val="fr-FR"/>
        </w:rPr>
        <w:fldChar w:fldCharType="begin"/>
      </w:r>
      <w:r w:rsidRPr="008725ED">
        <w:rPr>
          <w:rFonts w:cs="Arial"/>
          <w:snapToGrid w:val="0"/>
          <w:lang w:val="fr-FR"/>
        </w:rPr>
        <w:instrText xml:space="preserve"> AUTONUM  </w:instrText>
      </w:r>
      <w:r w:rsidRPr="008725ED">
        <w:rPr>
          <w:rFonts w:cs="Arial"/>
          <w:snapToGrid w:val="0"/>
          <w:lang w:val="fr-FR"/>
        </w:rPr>
        <w:fldChar w:fldCharType="end"/>
      </w:r>
      <w:r w:rsidRPr="008725ED">
        <w:rPr>
          <w:rFonts w:cs="Arial"/>
          <w:snapToGrid w:val="0"/>
          <w:lang w:val="fr-FR"/>
        </w:rPr>
        <w:tab/>
      </w:r>
      <w:r w:rsidRPr="008725ED">
        <w:rPr>
          <w:lang w:val="fr-FR"/>
        </w:rPr>
        <w:t>Le</w:t>
      </w:r>
      <w:r w:rsidR="00EF1779" w:rsidRPr="008725ED">
        <w:rPr>
          <w:lang w:val="fr-FR"/>
        </w:rPr>
        <w:t> TC</w:t>
      </w:r>
      <w:r w:rsidRPr="008725ED">
        <w:rPr>
          <w:rFonts w:cs="Arial"/>
          <w:snapToGrid w:val="0"/>
          <w:lang w:val="fr-FR"/>
        </w:rPr>
        <w:t xml:space="preserve"> </w:t>
      </w:r>
      <w:r w:rsidR="00EA420B" w:rsidRPr="008725ED">
        <w:rPr>
          <w:rFonts w:cs="Arial"/>
          <w:snapToGrid w:val="0"/>
          <w:lang w:val="fr-FR"/>
        </w:rPr>
        <w:t xml:space="preserve">est convenu </w:t>
      </w:r>
      <w:r w:rsidRPr="008725ED">
        <w:rPr>
          <w:rFonts w:cs="Arial"/>
          <w:snapToGrid w:val="0"/>
          <w:lang w:val="fr-FR"/>
        </w:rPr>
        <w:t xml:space="preserve">que ses sessions </w:t>
      </w:r>
      <w:r w:rsidR="00EA420B" w:rsidRPr="008725ED">
        <w:rPr>
          <w:rFonts w:cs="Arial"/>
          <w:snapToGrid w:val="0"/>
          <w:lang w:val="fr-FR"/>
        </w:rPr>
        <w:t xml:space="preserve">pouvaient </w:t>
      </w:r>
      <w:r w:rsidRPr="008725ED">
        <w:rPr>
          <w:rFonts w:cs="Arial"/>
          <w:snapToGrid w:val="0"/>
          <w:lang w:val="fr-FR"/>
        </w:rPr>
        <w:t>être organisées à une date appropriée durant la période allant de la fin octobre au début décembre.</w:t>
      </w:r>
    </w:p>
    <w:p w:rsidR="008C3126" w:rsidRPr="008725ED" w:rsidRDefault="008C3126" w:rsidP="00D87DB7">
      <w:pPr>
        <w:rPr>
          <w:rFonts w:cs="Arial"/>
          <w:snapToGrid w:val="0"/>
          <w:lang w:val="fr-FR"/>
        </w:rPr>
      </w:pPr>
    </w:p>
    <w:p w:rsidR="008C3126" w:rsidRPr="008725ED" w:rsidRDefault="00D87DB7" w:rsidP="00D87DB7">
      <w:pPr>
        <w:rPr>
          <w:rFonts w:cs="Arial"/>
          <w:snapToGrid w:val="0"/>
          <w:lang w:val="fr-FR"/>
        </w:rPr>
      </w:pPr>
      <w:r w:rsidRPr="008725ED">
        <w:rPr>
          <w:rFonts w:cs="Arial"/>
          <w:snapToGrid w:val="0"/>
          <w:lang w:val="fr-FR"/>
        </w:rPr>
        <w:fldChar w:fldCharType="begin"/>
      </w:r>
      <w:r w:rsidRPr="008725ED">
        <w:rPr>
          <w:rFonts w:cs="Arial"/>
          <w:snapToGrid w:val="0"/>
          <w:lang w:val="fr-FR"/>
        </w:rPr>
        <w:instrText xml:space="preserve"> AUTONUM  </w:instrText>
      </w:r>
      <w:r w:rsidRPr="008725ED">
        <w:rPr>
          <w:rFonts w:cs="Arial"/>
          <w:snapToGrid w:val="0"/>
          <w:lang w:val="fr-FR"/>
        </w:rPr>
        <w:fldChar w:fldCharType="end"/>
      </w:r>
      <w:r w:rsidRPr="008725ED">
        <w:rPr>
          <w:rFonts w:cs="Arial"/>
          <w:snapToGrid w:val="0"/>
          <w:lang w:val="fr-FR"/>
        </w:rPr>
        <w:tab/>
      </w:r>
      <w:r w:rsidRPr="008725ED">
        <w:rPr>
          <w:lang w:val="fr-FR"/>
        </w:rPr>
        <w:t>Le</w:t>
      </w:r>
      <w:r w:rsidR="00EF1779" w:rsidRPr="008725ED">
        <w:rPr>
          <w:lang w:val="fr-FR"/>
        </w:rPr>
        <w:t> TC</w:t>
      </w:r>
      <w:r w:rsidRPr="008725ED">
        <w:rPr>
          <w:rFonts w:cs="Arial"/>
          <w:snapToGrid w:val="0"/>
          <w:lang w:val="fr-FR"/>
        </w:rPr>
        <w:t xml:space="preserve"> </w:t>
      </w:r>
      <w:r w:rsidR="00EA420B" w:rsidRPr="008725ED">
        <w:rPr>
          <w:rFonts w:cs="Arial"/>
          <w:snapToGrid w:val="0"/>
          <w:lang w:val="fr-FR"/>
        </w:rPr>
        <w:t>est convenu</w:t>
      </w:r>
      <w:r w:rsidRPr="008725ED">
        <w:rPr>
          <w:rFonts w:cs="Arial"/>
          <w:snapToGrid w:val="0"/>
          <w:lang w:val="fr-FR"/>
        </w:rPr>
        <w:t xml:space="preserve"> de proposer que les </w:t>
      </w:r>
      <w:r w:rsidRPr="008725ED">
        <w:rPr>
          <w:lang w:val="fr-FR"/>
        </w:rPr>
        <w:t>principes directeurs d</w:t>
      </w:r>
      <w:r w:rsidR="00EF1779" w:rsidRPr="008725ED">
        <w:rPr>
          <w:lang w:val="fr-FR"/>
        </w:rPr>
        <w:t>’</w:t>
      </w:r>
      <w:r w:rsidRPr="008725ED">
        <w:rPr>
          <w:lang w:val="fr-FR"/>
        </w:rPr>
        <w:t>examen n</w:t>
      </w:r>
      <w:r w:rsidR="00EF1779" w:rsidRPr="008725ED">
        <w:rPr>
          <w:lang w:val="fr-FR"/>
        </w:rPr>
        <w:t>’</w:t>
      </w:r>
      <w:r w:rsidRPr="008725ED">
        <w:rPr>
          <w:lang w:val="fr-FR"/>
        </w:rPr>
        <w:t>ayant pas pu être élaborés dans les délais impartis pour adoption par le Comité technique lors de sa session puissent être adoptés par correspondance sur la base des recommandations du</w:t>
      </w:r>
      <w:r w:rsidR="00EF1779" w:rsidRPr="008725ED">
        <w:rPr>
          <w:lang w:val="fr-FR"/>
        </w:rPr>
        <w:t> TC-</w:t>
      </w:r>
      <w:r w:rsidR="00D43219" w:rsidRPr="008725ED">
        <w:rPr>
          <w:lang w:val="fr-FR"/>
        </w:rPr>
        <w:t>EDC.  Le</w:t>
      </w:r>
      <w:r w:rsidR="00EF1779" w:rsidRPr="008725ED">
        <w:rPr>
          <w:lang w:val="fr-FR"/>
        </w:rPr>
        <w:t> TC</w:t>
      </w:r>
      <w:r w:rsidRPr="008725ED">
        <w:rPr>
          <w:rFonts w:cs="Arial"/>
          <w:snapToGrid w:val="0"/>
          <w:lang w:val="fr-FR"/>
        </w:rPr>
        <w:t xml:space="preserve"> </w:t>
      </w:r>
      <w:r w:rsidR="00EA420B" w:rsidRPr="008725ED">
        <w:rPr>
          <w:rFonts w:cs="Arial"/>
          <w:snapToGrid w:val="0"/>
          <w:lang w:val="fr-FR"/>
        </w:rPr>
        <w:t xml:space="preserve">est convenu </w:t>
      </w:r>
      <w:r w:rsidRPr="008725ED">
        <w:rPr>
          <w:rFonts w:cs="Arial"/>
          <w:snapToGrid w:val="0"/>
          <w:lang w:val="fr-FR"/>
        </w:rPr>
        <w:t>que le</w:t>
      </w:r>
      <w:r w:rsidR="00EF1779" w:rsidRPr="008725ED">
        <w:rPr>
          <w:lang w:val="fr-FR"/>
        </w:rPr>
        <w:t> TC-EDC</w:t>
      </w:r>
      <w:r w:rsidRPr="008725ED">
        <w:rPr>
          <w:rFonts w:cs="Arial"/>
          <w:snapToGrid w:val="0"/>
          <w:lang w:val="fr-FR"/>
        </w:rPr>
        <w:t xml:space="preserve"> </w:t>
      </w:r>
      <w:r w:rsidR="00EA420B" w:rsidRPr="008725ED">
        <w:rPr>
          <w:rFonts w:cs="Arial"/>
          <w:snapToGrid w:val="0"/>
          <w:lang w:val="fr-FR"/>
        </w:rPr>
        <w:t xml:space="preserve">devait </w:t>
      </w:r>
      <w:r w:rsidRPr="008725ED">
        <w:rPr>
          <w:rFonts w:cs="Arial"/>
          <w:snapToGrid w:val="0"/>
          <w:lang w:val="fr-FR"/>
        </w:rPr>
        <w:t>se réunir deux fois par année, une fois en mars/avril et une fois conjointement avec les sessions du</w:t>
      </w:r>
      <w:r w:rsidR="00EF1779" w:rsidRPr="008725ED">
        <w:rPr>
          <w:rFonts w:cs="Arial"/>
          <w:snapToGrid w:val="0"/>
          <w:lang w:val="fr-FR"/>
        </w:rPr>
        <w:t> TC</w:t>
      </w:r>
      <w:r w:rsidRPr="008725ED">
        <w:rPr>
          <w:rFonts w:cs="Arial"/>
          <w:snapToGrid w:val="0"/>
          <w:lang w:val="fr-FR"/>
        </w:rPr>
        <w:t xml:space="preserve"> plus tard dans l</w:t>
      </w:r>
      <w:r w:rsidR="00EF1779" w:rsidRPr="008725ED">
        <w:rPr>
          <w:rFonts w:cs="Arial"/>
          <w:snapToGrid w:val="0"/>
          <w:lang w:val="fr-FR"/>
        </w:rPr>
        <w:t>’</w:t>
      </w:r>
      <w:r w:rsidRPr="008725ED">
        <w:rPr>
          <w:rFonts w:cs="Arial"/>
          <w:snapToGrid w:val="0"/>
          <w:lang w:val="fr-FR"/>
        </w:rPr>
        <w:t>année.</w:t>
      </w:r>
    </w:p>
    <w:p w:rsidR="008C3126" w:rsidRPr="008725ED" w:rsidRDefault="008C3126" w:rsidP="00D87DB7">
      <w:pPr>
        <w:rPr>
          <w:rFonts w:cs="Arial"/>
          <w:snapToGrid w:val="0"/>
          <w:lang w:val="fr-FR"/>
        </w:rPr>
      </w:pPr>
    </w:p>
    <w:p w:rsidR="008C3126" w:rsidRPr="008725ED" w:rsidRDefault="00D87DB7" w:rsidP="00D87DB7">
      <w:pPr>
        <w:rPr>
          <w:rFonts w:cs="Arial"/>
          <w:snapToGrid w:val="0"/>
          <w:lang w:val="fr-FR"/>
        </w:rPr>
      </w:pPr>
      <w:r w:rsidRPr="008725ED">
        <w:rPr>
          <w:rFonts w:cs="Arial"/>
          <w:snapToGrid w:val="0"/>
          <w:lang w:val="fr-FR"/>
        </w:rPr>
        <w:fldChar w:fldCharType="begin"/>
      </w:r>
      <w:r w:rsidRPr="008725ED">
        <w:rPr>
          <w:rFonts w:cs="Arial"/>
          <w:snapToGrid w:val="0"/>
          <w:lang w:val="fr-FR"/>
        </w:rPr>
        <w:instrText xml:space="preserve"> AUTONUM  </w:instrText>
      </w:r>
      <w:r w:rsidRPr="008725ED">
        <w:rPr>
          <w:rFonts w:cs="Arial"/>
          <w:snapToGrid w:val="0"/>
          <w:lang w:val="fr-FR"/>
        </w:rPr>
        <w:fldChar w:fldCharType="end"/>
      </w:r>
      <w:r w:rsidRPr="008725ED">
        <w:rPr>
          <w:rFonts w:cs="Arial"/>
          <w:snapToGrid w:val="0"/>
          <w:lang w:val="fr-FR"/>
        </w:rPr>
        <w:tab/>
      </w:r>
      <w:r w:rsidRPr="008725ED">
        <w:rPr>
          <w:lang w:val="fr-FR"/>
        </w:rPr>
        <w:t>Le</w:t>
      </w:r>
      <w:r w:rsidR="00EF1779" w:rsidRPr="008725ED">
        <w:rPr>
          <w:lang w:val="fr-FR"/>
        </w:rPr>
        <w:t> TC</w:t>
      </w:r>
      <w:r w:rsidRPr="008725ED">
        <w:rPr>
          <w:rFonts w:cs="Arial"/>
          <w:snapToGrid w:val="0"/>
          <w:lang w:val="fr-FR"/>
        </w:rPr>
        <w:t xml:space="preserve"> </w:t>
      </w:r>
      <w:r w:rsidR="00EA420B" w:rsidRPr="008725ED">
        <w:rPr>
          <w:rFonts w:cs="Arial"/>
          <w:snapToGrid w:val="0"/>
          <w:lang w:val="fr-FR"/>
        </w:rPr>
        <w:t>est convenu</w:t>
      </w:r>
      <w:r w:rsidRPr="008725ED">
        <w:rPr>
          <w:rFonts w:cs="Arial"/>
          <w:snapToGrid w:val="0"/>
          <w:lang w:val="fr-FR"/>
        </w:rPr>
        <w:t xml:space="preserve"> d</w:t>
      </w:r>
      <w:r w:rsidR="00EF1779" w:rsidRPr="008725ED">
        <w:rPr>
          <w:rFonts w:cs="Arial"/>
          <w:snapToGrid w:val="0"/>
          <w:lang w:val="fr-FR"/>
        </w:rPr>
        <w:t>’</w:t>
      </w:r>
      <w:r w:rsidRPr="008725ED">
        <w:rPr>
          <w:rFonts w:cs="Arial"/>
          <w:snapToGrid w:val="0"/>
          <w:lang w:val="fr-FR"/>
        </w:rPr>
        <w:t>utiliser les mesures de précaution ci</w:t>
      </w:r>
      <w:r w:rsidR="00EF1779" w:rsidRPr="008725ED">
        <w:rPr>
          <w:rFonts w:cs="Arial"/>
          <w:snapToGrid w:val="0"/>
          <w:lang w:val="fr-FR"/>
        </w:rPr>
        <w:t>-</w:t>
      </w:r>
      <w:r w:rsidRPr="008725ED">
        <w:rPr>
          <w:rFonts w:cs="Arial"/>
          <w:snapToGrid w:val="0"/>
          <w:lang w:val="fr-FR"/>
        </w:rPr>
        <w:t>après pour 2018, sous réserve que le Conseil décide que le</w:t>
      </w:r>
      <w:r w:rsidR="00EF1779" w:rsidRPr="008725ED">
        <w:rPr>
          <w:rFonts w:cs="Arial"/>
          <w:snapToGrid w:val="0"/>
          <w:lang w:val="fr-FR"/>
        </w:rPr>
        <w:t> TC</w:t>
      </w:r>
      <w:r w:rsidRPr="008725ED">
        <w:rPr>
          <w:rFonts w:cs="Arial"/>
          <w:snapToGrid w:val="0"/>
          <w:lang w:val="fr-FR"/>
        </w:rPr>
        <w:t xml:space="preserve"> </w:t>
      </w:r>
      <w:r w:rsidR="0000589A" w:rsidRPr="008725ED">
        <w:rPr>
          <w:rFonts w:cs="Arial"/>
          <w:snapToGrid w:val="0"/>
          <w:lang w:val="fr-FR"/>
        </w:rPr>
        <w:t>doive</w:t>
      </w:r>
      <w:r w:rsidRPr="008725ED">
        <w:rPr>
          <w:rFonts w:cs="Arial"/>
          <w:snapToGrid w:val="0"/>
          <w:lang w:val="fr-FR"/>
        </w:rPr>
        <w:t xml:space="preserve"> tenir sa </w:t>
      </w:r>
      <w:r w:rsidRPr="008725ED">
        <w:rPr>
          <w:lang w:val="fr-FR"/>
        </w:rPr>
        <w:t>cinquante</w:t>
      </w:r>
      <w:r w:rsidR="00EF1779" w:rsidRPr="008725ED">
        <w:rPr>
          <w:lang w:val="fr-FR"/>
        </w:rPr>
        <w:t>-</w:t>
      </w:r>
      <w:r w:rsidRPr="008725ED">
        <w:rPr>
          <w:lang w:val="fr-FR"/>
        </w:rPr>
        <w:t>quatr</w:t>
      </w:r>
      <w:r w:rsidR="00EF1779" w:rsidRPr="008725ED">
        <w:rPr>
          <w:lang w:val="fr-FR"/>
        </w:rPr>
        <w:t>ième session</w:t>
      </w:r>
      <w:r w:rsidRPr="008725ED">
        <w:rPr>
          <w:rFonts w:cs="Arial"/>
          <w:snapToGrid w:val="0"/>
          <w:lang w:val="fr-FR"/>
        </w:rPr>
        <w:t xml:space="preserve"> à la fin de 2018</w:t>
      </w:r>
      <w:r w:rsidR="00EF1779" w:rsidRPr="008725ED">
        <w:rPr>
          <w:rFonts w:cs="Arial"/>
          <w:snapToGrid w:val="0"/>
          <w:lang w:val="fr-FR"/>
        </w:rPr>
        <w:t> :</w:t>
      </w:r>
    </w:p>
    <w:p w:rsidR="008C3126" w:rsidRPr="008725ED" w:rsidRDefault="008C3126" w:rsidP="00D87DB7">
      <w:pPr>
        <w:rPr>
          <w:rFonts w:cs="Arial"/>
          <w:iCs/>
          <w:snapToGrid w:val="0"/>
          <w:lang w:val="fr-FR"/>
        </w:rPr>
      </w:pPr>
    </w:p>
    <w:p w:rsidR="008C3126" w:rsidRPr="008725ED" w:rsidRDefault="00D87DB7" w:rsidP="00D87DB7">
      <w:pPr>
        <w:numPr>
          <w:ilvl w:val="0"/>
          <w:numId w:val="39"/>
        </w:numPr>
        <w:tabs>
          <w:tab w:val="left" w:pos="1701"/>
        </w:tabs>
        <w:ind w:left="1134" w:hanging="567"/>
        <w:rPr>
          <w:rFonts w:cs="Arial"/>
          <w:iCs/>
          <w:snapToGrid w:val="0"/>
          <w:lang w:val="fr-FR"/>
        </w:rPr>
      </w:pPr>
      <w:r w:rsidRPr="008725ED">
        <w:rPr>
          <w:rFonts w:cs="Arial"/>
          <w:iCs/>
          <w:snapToGrid w:val="0"/>
          <w:lang w:val="fr-FR"/>
        </w:rPr>
        <w:t>Pour des principes directeurs d</w:t>
      </w:r>
      <w:r w:rsidR="00EF1779" w:rsidRPr="008725ED">
        <w:rPr>
          <w:rFonts w:cs="Arial"/>
          <w:iCs/>
          <w:snapToGrid w:val="0"/>
          <w:lang w:val="fr-FR"/>
        </w:rPr>
        <w:t>’</w:t>
      </w:r>
      <w:r w:rsidRPr="008725ED">
        <w:rPr>
          <w:rFonts w:cs="Arial"/>
          <w:iCs/>
          <w:snapToGrid w:val="0"/>
          <w:lang w:val="fr-FR"/>
        </w:rPr>
        <w:t>examen soumis pour adoption en 2018, convenir d</w:t>
      </w:r>
      <w:r w:rsidR="00EF1779" w:rsidRPr="008725ED">
        <w:rPr>
          <w:rFonts w:cs="Arial"/>
          <w:iCs/>
          <w:snapToGrid w:val="0"/>
          <w:lang w:val="fr-FR"/>
        </w:rPr>
        <w:t>’</w:t>
      </w:r>
      <w:r w:rsidRPr="008725ED">
        <w:rPr>
          <w:rFonts w:cs="Arial"/>
          <w:iCs/>
          <w:snapToGrid w:val="0"/>
          <w:lang w:val="fr-FR"/>
        </w:rPr>
        <w:t>une procédure pour adoption par correspondance comme suit</w:t>
      </w:r>
      <w:r w:rsidR="00EF1779" w:rsidRPr="008725ED">
        <w:rPr>
          <w:rFonts w:cs="Arial"/>
          <w:iCs/>
          <w:snapToGrid w:val="0"/>
          <w:lang w:val="fr-FR"/>
        </w:rPr>
        <w:t> :</w:t>
      </w:r>
    </w:p>
    <w:p w:rsidR="008C3126" w:rsidRPr="008725ED" w:rsidRDefault="008C3126" w:rsidP="00D87DB7">
      <w:pPr>
        <w:tabs>
          <w:tab w:val="left" w:pos="1701"/>
        </w:tabs>
        <w:ind w:left="1134" w:hanging="567"/>
        <w:rPr>
          <w:rFonts w:cs="Arial"/>
          <w:iCs/>
          <w:snapToGrid w:val="0"/>
          <w:lang w:val="fr-FR"/>
        </w:rPr>
      </w:pPr>
    </w:p>
    <w:p w:rsidR="008C3126" w:rsidRPr="008725ED" w:rsidRDefault="00D87DB7" w:rsidP="00D87DB7">
      <w:pPr>
        <w:numPr>
          <w:ilvl w:val="1"/>
          <w:numId w:val="39"/>
        </w:numPr>
        <w:tabs>
          <w:tab w:val="left" w:pos="1701"/>
        </w:tabs>
        <w:ind w:left="1701" w:hanging="567"/>
        <w:rPr>
          <w:rFonts w:cs="Arial"/>
          <w:iCs/>
          <w:snapToGrid w:val="0"/>
          <w:lang w:val="fr-FR"/>
        </w:rPr>
      </w:pPr>
      <w:r w:rsidRPr="008725ED">
        <w:rPr>
          <w:rFonts w:cs="Arial"/>
          <w:iCs/>
          <w:snapToGrid w:val="0"/>
          <w:lang w:val="fr-FR"/>
        </w:rPr>
        <w:t>un projet de principes directeurs d</w:t>
      </w:r>
      <w:r w:rsidR="00EF1779" w:rsidRPr="008725ED">
        <w:rPr>
          <w:rFonts w:cs="Arial"/>
          <w:iCs/>
          <w:snapToGrid w:val="0"/>
          <w:lang w:val="fr-FR"/>
        </w:rPr>
        <w:t>’</w:t>
      </w:r>
      <w:r w:rsidRPr="008725ED">
        <w:rPr>
          <w:rFonts w:cs="Arial"/>
          <w:iCs/>
          <w:snapToGrid w:val="0"/>
          <w:lang w:val="fr-FR"/>
        </w:rPr>
        <w:t>examen serait élaboré tel que convenu par les TWP et diffusé avec les recommandations du</w:t>
      </w:r>
      <w:r w:rsidR="00EF1779" w:rsidRPr="008725ED">
        <w:rPr>
          <w:rFonts w:cs="Arial"/>
          <w:iCs/>
          <w:snapToGrid w:val="0"/>
          <w:lang w:val="fr-FR"/>
        </w:rPr>
        <w:t> TC-EDC</w:t>
      </w:r>
      <w:r w:rsidRPr="008725ED">
        <w:rPr>
          <w:rFonts w:cs="Arial"/>
          <w:iCs/>
          <w:snapToGrid w:val="0"/>
          <w:lang w:val="fr-FR"/>
        </w:rPr>
        <w:t>;</w:t>
      </w:r>
    </w:p>
    <w:p w:rsidR="008C3126" w:rsidRPr="008725ED" w:rsidRDefault="00D87DB7" w:rsidP="00D87DB7">
      <w:pPr>
        <w:numPr>
          <w:ilvl w:val="1"/>
          <w:numId w:val="39"/>
        </w:numPr>
        <w:tabs>
          <w:tab w:val="left" w:pos="1701"/>
        </w:tabs>
        <w:ind w:left="1701" w:hanging="567"/>
        <w:rPr>
          <w:rFonts w:cs="Arial"/>
          <w:iCs/>
          <w:snapToGrid w:val="0"/>
          <w:lang w:val="fr-FR"/>
        </w:rPr>
      </w:pPr>
      <w:r w:rsidRPr="008725ED">
        <w:rPr>
          <w:rFonts w:cs="Arial"/>
          <w:iCs/>
          <w:snapToGrid w:val="0"/>
          <w:lang w:val="fr-FR"/>
        </w:rPr>
        <w:t>en l</w:t>
      </w:r>
      <w:r w:rsidR="00EF1779" w:rsidRPr="008725ED">
        <w:rPr>
          <w:rFonts w:cs="Arial"/>
          <w:iCs/>
          <w:snapToGrid w:val="0"/>
          <w:lang w:val="fr-FR"/>
        </w:rPr>
        <w:t>’</w:t>
      </w:r>
      <w:r w:rsidRPr="008725ED">
        <w:rPr>
          <w:rFonts w:cs="Arial"/>
          <w:iCs/>
          <w:snapToGrid w:val="0"/>
          <w:lang w:val="fr-FR"/>
        </w:rPr>
        <w:t>absence d</w:t>
      </w:r>
      <w:r w:rsidR="00EF1779" w:rsidRPr="008725ED">
        <w:rPr>
          <w:rFonts w:cs="Arial"/>
          <w:iCs/>
          <w:snapToGrid w:val="0"/>
          <w:lang w:val="fr-FR"/>
        </w:rPr>
        <w:t>’</w:t>
      </w:r>
      <w:r w:rsidRPr="008725ED">
        <w:rPr>
          <w:rFonts w:cs="Arial"/>
          <w:iCs/>
          <w:snapToGrid w:val="0"/>
          <w:lang w:val="fr-FR"/>
        </w:rPr>
        <w:t>objections les</w:t>
      </w:r>
      <w:r w:rsidRPr="008725ED">
        <w:rPr>
          <w:lang w:val="fr-FR"/>
        </w:rPr>
        <w:t xml:space="preserve"> principes directeurs d</w:t>
      </w:r>
      <w:r w:rsidR="00EF1779" w:rsidRPr="008725ED">
        <w:rPr>
          <w:lang w:val="fr-FR"/>
        </w:rPr>
        <w:t>’</w:t>
      </w:r>
      <w:r w:rsidRPr="008725ED">
        <w:rPr>
          <w:lang w:val="fr-FR"/>
        </w:rPr>
        <w:t>examen</w:t>
      </w:r>
      <w:r w:rsidRPr="008725ED">
        <w:rPr>
          <w:rFonts w:cs="Arial"/>
          <w:iCs/>
          <w:snapToGrid w:val="0"/>
          <w:lang w:val="fr-FR"/>
        </w:rPr>
        <w:t xml:space="preserve"> seraient adoptés;</w:t>
      </w:r>
    </w:p>
    <w:p w:rsidR="008C3126" w:rsidRPr="008725ED" w:rsidRDefault="00D87DB7" w:rsidP="00D87DB7">
      <w:pPr>
        <w:numPr>
          <w:ilvl w:val="1"/>
          <w:numId w:val="39"/>
        </w:numPr>
        <w:tabs>
          <w:tab w:val="left" w:pos="1701"/>
        </w:tabs>
        <w:ind w:left="1701" w:hanging="567"/>
        <w:rPr>
          <w:rFonts w:cs="Arial"/>
          <w:iCs/>
          <w:snapToGrid w:val="0"/>
          <w:lang w:val="fr-FR"/>
        </w:rPr>
      </w:pPr>
      <w:r w:rsidRPr="008725ED">
        <w:rPr>
          <w:rFonts w:cs="Arial"/>
          <w:iCs/>
          <w:snapToGrid w:val="0"/>
          <w:lang w:val="fr-FR"/>
        </w:rPr>
        <w:t>en présence d</w:t>
      </w:r>
      <w:r w:rsidR="00EF1779" w:rsidRPr="008725ED">
        <w:rPr>
          <w:rFonts w:cs="Arial"/>
          <w:iCs/>
          <w:snapToGrid w:val="0"/>
          <w:lang w:val="fr-FR"/>
        </w:rPr>
        <w:t>’</w:t>
      </w:r>
      <w:r w:rsidRPr="008725ED">
        <w:rPr>
          <w:rFonts w:cs="Arial"/>
          <w:iCs/>
          <w:snapToGrid w:val="0"/>
          <w:lang w:val="fr-FR"/>
        </w:rPr>
        <w:t>objections, les objections seraient communiquées au TWP concerné pour examen à sa session de 2018, et les principes directeurs d</w:t>
      </w:r>
      <w:r w:rsidR="00EF1779" w:rsidRPr="008725ED">
        <w:rPr>
          <w:rFonts w:cs="Arial"/>
          <w:iCs/>
          <w:snapToGrid w:val="0"/>
          <w:lang w:val="fr-FR"/>
        </w:rPr>
        <w:t>’</w:t>
      </w:r>
      <w:r w:rsidRPr="008725ED">
        <w:rPr>
          <w:rFonts w:cs="Arial"/>
          <w:iCs/>
          <w:snapToGrid w:val="0"/>
          <w:lang w:val="fr-FR"/>
        </w:rPr>
        <w:t>examen seraient examinés pour adoption par le</w:t>
      </w:r>
      <w:r w:rsidR="00EF1779" w:rsidRPr="008725ED">
        <w:rPr>
          <w:rFonts w:cs="Arial"/>
          <w:iCs/>
          <w:snapToGrid w:val="0"/>
          <w:lang w:val="fr-FR"/>
        </w:rPr>
        <w:t> TC</w:t>
      </w:r>
      <w:r w:rsidRPr="008725ED">
        <w:rPr>
          <w:rFonts w:cs="Arial"/>
          <w:iCs/>
          <w:snapToGrid w:val="0"/>
          <w:lang w:val="fr-FR"/>
        </w:rPr>
        <w:t xml:space="preserve"> à sa cinquante</w:t>
      </w:r>
      <w:r w:rsidR="00EF1779" w:rsidRPr="008725ED">
        <w:rPr>
          <w:rFonts w:cs="Arial"/>
          <w:iCs/>
          <w:snapToGrid w:val="0"/>
          <w:lang w:val="fr-FR"/>
        </w:rPr>
        <w:t>-</w:t>
      </w:r>
      <w:r w:rsidRPr="008725ED">
        <w:rPr>
          <w:rFonts w:cs="Arial"/>
          <w:iCs/>
          <w:snapToGrid w:val="0"/>
          <w:lang w:val="fr-FR"/>
        </w:rPr>
        <w:t>quatr</w:t>
      </w:r>
      <w:r w:rsidR="00EF1779" w:rsidRPr="008725ED">
        <w:rPr>
          <w:rFonts w:cs="Arial"/>
          <w:iCs/>
          <w:snapToGrid w:val="0"/>
          <w:lang w:val="fr-FR"/>
        </w:rPr>
        <w:t>ième session</w:t>
      </w:r>
      <w:r w:rsidRPr="008725ED">
        <w:rPr>
          <w:rFonts w:cs="Arial"/>
          <w:iCs/>
          <w:snapToGrid w:val="0"/>
          <w:lang w:val="fr-FR"/>
        </w:rPr>
        <w:t>, en 2018;</w:t>
      </w:r>
    </w:p>
    <w:p w:rsidR="008C3126" w:rsidRPr="008725ED" w:rsidRDefault="00D87DB7" w:rsidP="00D87DB7">
      <w:pPr>
        <w:numPr>
          <w:ilvl w:val="1"/>
          <w:numId w:val="39"/>
        </w:numPr>
        <w:tabs>
          <w:tab w:val="left" w:pos="1701"/>
        </w:tabs>
        <w:ind w:left="1701" w:hanging="567"/>
        <w:rPr>
          <w:rFonts w:cs="Arial"/>
          <w:iCs/>
          <w:snapToGrid w:val="0"/>
          <w:lang w:val="fr-FR"/>
        </w:rPr>
      </w:pPr>
      <w:r w:rsidRPr="008725ED">
        <w:rPr>
          <w:rFonts w:cs="Arial"/>
          <w:iCs/>
          <w:snapToGrid w:val="0"/>
          <w:lang w:val="fr-FR"/>
        </w:rPr>
        <w:t>le</w:t>
      </w:r>
      <w:r w:rsidR="00EF1779" w:rsidRPr="008725ED">
        <w:rPr>
          <w:rFonts w:cs="Arial"/>
          <w:iCs/>
          <w:snapToGrid w:val="0"/>
          <w:lang w:val="fr-FR"/>
        </w:rPr>
        <w:t> TC-EDC</w:t>
      </w:r>
      <w:r w:rsidRPr="008725ED">
        <w:rPr>
          <w:rFonts w:cs="Arial"/>
          <w:iCs/>
          <w:snapToGrid w:val="0"/>
          <w:lang w:val="fr-FR"/>
        </w:rPr>
        <w:t xml:space="preserve"> se réunira les 26 et 27 mars 2018, et conjointement au</w:t>
      </w:r>
      <w:r w:rsidR="00EF1779" w:rsidRPr="008725ED">
        <w:rPr>
          <w:rFonts w:cs="Arial"/>
          <w:iCs/>
          <w:snapToGrid w:val="0"/>
          <w:lang w:val="fr-FR"/>
        </w:rPr>
        <w:t> TC</w:t>
      </w:r>
      <w:r w:rsidRPr="008725ED">
        <w:rPr>
          <w:rFonts w:cs="Arial"/>
          <w:iCs/>
          <w:snapToGrid w:val="0"/>
          <w:lang w:val="fr-FR"/>
        </w:rPr>
        <w:t xml:space="preserve"> à sa cinquante</w:t>
      </w:r>
      <w:r w:rsidR="00EF1779" w:rsidRPr="008725ED">
        <w:rPr>
          <w:rFonts w:cs="Arial"/>
          <w:iCs/>
          <w:snapToGrid w:val="0"/>
          <w:lang w:val="fr-FR"/>
        </w:rPr>
        <w:t>-</w:t>
      </w:r>
      <w:r w:rsidRPr="008725ED">
        <w:rPr>
          <w:rFonts w:cs="Arial"/>
          <w:iCs/>
          <w:snapToGrid w:val="0"/>
          <w:lang w:val="fr-FR"/>
        </w:rPr>
        <w:t>quatr</w:t>
      </w:r>
      <w:r w:rsidR="00EF1779" w:rsidRPr="008725ED">
        <w:rPr>
          <w:rFonts w:cs="Arial"/>
          <w:iCs/>
          <w:snapToGrid w:val="0"/>
          <w:lang w:val="fr-FR"/>
        </w:rPr>
        <w:t>ième session</w:t>
      </w:r>
      <w:r w:rsidRPr="008725ED">
        <w:rPr>
          <w:rFonts w:cs="Arial"/>
          <w:iCs/>
          <w:snapToGrid w:val="0"/>
          <w:lang w:val="fr-FR"/>
        </w:rPr>
        <w:t>, en 2018, si nécessaire.</w:t>
      </w:r>
    </w:p>
    <w:p w:rsidR="008C3126" w:rsidRPr="008725ED" w:rsidRDefault="008C3126" w:rsidP="00D87DB7">
      <w:pPr>
        <w:tabs>
          <w:tab w:val="left" w:pos="1701"/>
        </w:tabs>
        <w:ind w:left="1134" w:hanging="567"/>
        <w:rPr>
          <w:rFonts w:cs="Arial"/>
          <w:iCs/>
          <w:snapToGrid w:val="0"/>
          <w:lang w:val="fr-FR"/>
        </w:rPr>
      </w:pPr>
    </w:p>
    <w:p w:rsidR="008C3126" w:rsidRPr="008725ED" w:rsidRDefault="00D87DB7" w:rsidP="00D87DB7">
      <w:pPr>
        <w:numPr>
          <w:ilvl w:val="0"/>
          <w:numId w:val="39"/>
        </w:numPr>
        <w:tabs>
          <w:tab w:val="left" w:pos="1701"/>
        </w:tabs>
        <w:ind w:left="1134" w:hanging="567"/>
        <w:rPr>
          <w:rFonts w:cs="Arial"/>
          <w:iCs/>
          <w:snapToGrid w:val="0"/>
          <w:lang w:val="fr-FR"/>
        </w:rPr>
      </w:pPr>
      <w:r w:rsidRPr="008725ED">
        <w:rPr>
          <w:rFonts w:cs="Arial"/>
          <w:iCs/>
          <w:snapToGrid w:val="0"/>
          <w:lang w:val="fr-FR"/>
        </w:rPr>
        <w:t>Pour les documents TGP, inviter le</w:t>
      </w:r>
      <w:r w:rsidR="00EF1779" w:rsidRPr="008725ED">
        <w:rPr>
          <w:rFonts w:cs="Arial"/>
          <w:iCs/>
          <w:snapToGrid w:val="0"/>
          <w:lang w:val="fr-FR"/>
        </w:rPr>
        <w:t> TC-EDC</w:t>
      </w:r>
      <w:r w:rsidRPr="008725ED">
        <w:rPr>
          <w:rFonts w:cs="Arial"/>
          <w:iCs/>
          <w:snapToGrid w:val="0"/>
          <w:lang w:val="fr-FR"/>
        </w:rPr>
        <w:t xml:space="preserve"> à synthétiser les observations faites par les TWP à leurs sessions de 2017 et, en l</w:t>
      </w:r>
      <w:r w:rsidR="00EF1779" w:rsidRPr="008725ED">
        <w:rPr>
          <w:rFonts w:cs="Arial"/>
          <w:iCs/>
          <w:snapToGrid w:val="0"/>
          <w:lang w:val="fr-FR"/>
        </w:rPr>
        <w:t>’</w:t>
      </w:r>
      <w:r w:rsidRPr="008725ED">
        <w:rPr>
          <w:rFonts w:cs="Arial"/>
          <w:iCs/>
          <w:snapToGrid w:val="0"/>
          <w:lang w:val="fr-FR"/>
        </w:rPr>
        <w:t>absence de consensus entre les TWP, élaborer des propositions pour un examen ultérieur par les TWP à leurs sessions de 2018.</w:t>
      </w:r>
    </w:p>
    <w:p w:rsidR="008C3126" w:rsidRPr="008725ED" w:rsidRDefault="008C3126" w:rsidP="00D87DB7">
      <w:pPr>
        <w:tabs>
          <w:tab w:val="left" w:pos="1701"/>
        </w:tabs>
        <w:ind w:left="1134" w:hanging="567"/>
        <w:rPr>
          <w:rFonts w:cs="Arial"/>
          <w:iCs/>
          <w:snapToGrid w:val="0"/>
          <w:lang w:val="fr-FR"/>
        </w:rPr>
      </w:pPr>
    </w:p>
    <w:p w:rsidR="008C3126" w:rsidRPr="008725ED" w:rsidRDefault="00D87DB7" w:rsidP="00D87DB7">
      <w:pPr>
        <w:numPr>
          <w:ilvl w:val="0"/>
          <w:numId w:val="39"/>
        </w:numPr>
        <w:tabs>
          <w:tab w:val="left" w:pos="1701"/>
        </w:tabs>
        <w:ind w:left="1134" w:hanging="567"/>
        <w:rPr>
          <w:rFonts w:cs="Arial"/>
          <w:iCs/>
          <w:snapToGrid w:val="0"/>
          <w:lang w:val="fr-FR"/>
        </w:rPr>
      </w:pPr>
      <w:r w:rsidRPr="008725ED">
        <w:rPr>
          <w:rFonts w:cs="Arial"/>
          <w:iCs/>
          <w:snapToGrid w:val="0"/>
          <w:lang w:val="fr-FR"/>
        </w:rPr>
        <w:t>Les autres questions seront examinées à la cinquante</w:t>
      </w:r>
      <w:r w:rsidR="00EF1779" w:rsidRPr="008725ED">
        <w:rPr>
          <w:rFonts w:cs="Arial"/>
          <w:iCs/>
          <w:snapToGrid w:val="0"/>
          <w:lang w:val="fr-FR"/>
        </w:rPr>
        <w:t>-</w:t>
      </w:r>
      <w:r w:rsidRPr="008725ED">
        <w:rPr>
          <w:rFonts w:cs="Arial"/>
          <w:iCs/>
          <w:snapToGrid w:val="0"/>
          <w:lang w:val="fr-FR"/>
        </w:rPr>
        <w:t>quatr</w:t>
      </w:r>
      <w:r w:rsidR="00EF1779" w:rsidRPr="008725ED">
        <w:rPr>
          <w:rFonts w:cs="Arial"/>
          <w:iCs/>
          <w:snapToGrid w:val="0"/>
          <w:lang w:val="fr-FR"/>
        </w:rPr>
        <w:t>ième session</w:t>
      </w:r>
      <w:r w:rsidRPr="008725ED">
        <w:rPr>
          <w:rFonts w:cs="Arial"/>
          <w:iCs/>
          <w:snapToGrid w:val="0"/>
          <w:lang w:val="fr-FR"/>
        </w:rPr>
        <w:t xml:space="preserve"> du</w:t>
      </w:r>
      <w:r w:rsidR="00EF1779" w:rsidRPr="008725ED">
        <w:rPr>
          <w:rFonts w:cs="Arial"/>
          <w:iCs/>
          <w:snapToGrid w:val="0"/>
          <w:lang w:val="fr-FR"/>
        </w:rPr>
        <w:t> TC</w:t>
      </w:r>
      <w:r w:rsidRPr="008725ED">
        <w:rPr>
          <w:rFonts w:cs="Arial"/>
          <w:iCs/>
          <w:snapToGrid w:val="0"/>
          <w:lang w:val="fr-FR"/>
        </w:rPr>
        <w:t xml:space="preserve"> en 2018, selon la procédure normale.</w:t>
      </w:r>
    </w:p>
    <w:p w:rsidR="008C3126" w:rsidRPr="008725ED" w:rsidRDefault="00EA420B" w:rsidP="00EA420B">
      <w:pPr>
        <w:tabs>
          <w:tab w:val="left" w:pos="1701"/>
        </w:tabs>
        <w:ind w:left="1134" w:hanging="567"/>
        <w:rPr>
          <w:rFonts w:cs="Arial"/>
          <w:snapToGrid w:val="0"/>
          <w:lang w:val="fr-FR"/>
        </w:rPr>
      </w:pPr>
      <w:r w:rsidRPr="008725ED">
        <w:rPr>
          <w:rFonts w:cs="Arial"/>
          <w:snapToGrid w:val="0"/>
          <w:lang w:val="fr-FR"/>
        </w:rPr>
        <w:tab/>
      </w:r>
      <w:r w:rsidRPr="008725ED">
        <w:rPr>
          <w:rFonts w:cs="Arial"/>
          <w:snapToGrid w:val="0"/>
          <w:lang w:val="fr-FR"/>
        </w:rPr>
        <w:tab/>
      </w:r>
    </w:p>
    <w:p w:rsidR="008C3126" w:rsidRPr="008725ED" w:rsidRDefault="00D87DB7" w:rsidP="00D87DB7">
      <w:pPr>
        <w:keepNext/>
        <w:rPr>
          <w:u w:val="single"/>
          <w:lang w:val="fr-FR"/>
        </w:rPr>
      </w:pPr>
      <w:r w:rsidRPr="008725ED">
        <w:rPr>
          <w:rFonts w:cs="Arial"/>
          <w:snapToGrid w:val="0"/>
          <w:lang w:val="fr-FR"/>
        </w:rPr>
        <w:fldChar w:fldCharType="begin"/>
      </w:r>
      <w:r w:rsidRPr="008725ED">
        <w:rPr>
          <w:rFonts w:cs="Arial"/>
          <w:snapToGrid w:val="0"/>
          <w:lang w:val="fr-FR"/>
        </w:rPr>
        <w:instrText xml:space="preserve"> AUTONUM  </w:instrText>
      </w:r>
      <w:r w:rsidRPr="008725ED">
        <w:rPr>
          <w:rFonts w:cs="Arial"/>
          <w:snapToGrid w:val="0"/>
          <w:lang w:val="fr-FR"/>
        </w:rPr>
        <w:fldChar w:fldCharType="end"/>
      </w:r>
      <w:r w:rsidRPr="008725ED">
        <w:rPr>
          <w:rFonts w:cs="Arial"/>
          <w:snapToGrid w:val="0"/>
          <w:lang w:val="fr-FR"/>
        </w:rPr>
        <w:tab/>
        <w:t>Le</w:t>
      </w:r>
      <w:r w:rsidR="00EF1779" w:rsidRPr="008725ED">
        <w:rPr>
          <w:rFonts w:cs="Arial"/>
          <w:snapToGrid w:val="0"/>
          <w:lang w:val="fr-FR"/>
        </w:rPr>
        <w:t> TC</w:t>
      </w:r>
      <w:r w:rsidRPr="008725ED">
        <w:rPr>
          <w:rFonts w:cs="Arial"/>
          <w:snapToGrid w:val="0"/>
          <w:lang w:val="fr-FR"/>
        </w:rPr>
        <w:t xml:space="preserve"> </w:t>
      </w:r>
      <w:r w:rsidR="00EA420B" w:rsidRPr="008725ED">
        <w:rPr>
          <w:rFonts w:cs="Arial"/>
          <w:snapToGrid w:val="0"/>
          <w:lang w:val="fr-FR"/>
        </w:rPr>
        <w:t>est convenu</w:t>
      </w:r>
      <w:r w:rsidRPr="008725ED">
        <w:rPr>
          <w:rFonts w:cs="Arial"/>
          <w:snapToGrid w:val="0"/>
          <w:lang w:val="fr-FR"/>
        </w:rPr>
        <w:t xml:space="preserve"> que la programmation de réunions</w:t>
      </w:r>
      <w:r w:rsidRPr="008725ED">
        <w:rPr>
          <w:lang w:val="fr-FR"/>
        </w:rPr>
        <w:t xml:space="preserve"> </w:t>
      </w:r>
      <w:r w:rsidRPr="008725ED">
        <w:rPr>
          <w:rFonts w:cs="Arial"/>
          <w:snapToGrid w:val="0"/>
          <w:lang w:val="fr-FR"/>
        </w:rPr>
        <w:t>de groupes de travail ad hoc en</w:t>
      </w:r>
      <w:r w:rsidRPr="008725ED">
        <w:rPr>
          <w:lang w:val="fr-FR"/>
        </w:rPr>
        <w:t xml:space="preserve"> </w:t>
      </w:r>
      <w:r w:rsidR="00EA420B" w:rsidRPr="008725ED">
        <w:rPr>
          <w:rFonts w:cs="Arial"/>
          <w:snapToGrid w:val="0"/>
          <w:lang w:val="fr-FR"/>
        </w:rPr>
        <w:t>mars/avril pouv</w:t>
      </w:r>
      <w:r w:rsidRPr="008725ED">
        <w:rPr>
          <w:rFonts w:cs="Arial"/>
          <w:snapToGrid w:val="0"/>
          <w:lang w:val="fr-FR"/>
        </w:rPr>
        <w:t>ait aller à l</w:t>
      </w:r>
      <w:r w:rsidR="00EF1779" w:rsidRPr="008725ED">
        <w:rPr>
          <w:rFonts w:cs="Arial"/>
          <w:snapToGrid w:val="0"/>
          <w:lang w:val="fr-FR"/>
        </w:rPr>
        <w:t>’</w:t>
      </w:r>
      <w:r w:rsidRPr="008725ED">
        <w:rPr>
          <w:rFonts w:cs="Arial"/>
          <w:snapToGrid w:val="0"/>
          <w:lang w:val="fr-FR"/>
        </w:rPr>
        <w:t>encontre de l</w:t>
      </w:r>
      <w:r w:rsidR="00EF1779" w:rsidRPr="008725ED">
        <w:rPr>
          <w:rFonts w:cs="Arial"/>
          <w:snapToGrid w:val="0"/>
          <w:lang w:val="fr-FR"/>
        </w:rPr>
        <w:t>’</w:t>
      </w:r>
      <w:r w:rsidRPr="008725ED">
        <w:rPr>
          <w:rFonts w:cs="Arial"/>
          <w:snapToGrid w:val="0"/>
          <w:lang w:val="fr-FR"/>
        </w:rPr>
        <w:t>objectif visant à passer à une série de sessio</w:t>
      </w:r>
      <w:r w:rsidR="0000589A" w:rsidRPr="008725ED">
        <w:rPr>
          <w:rFonts w:cs="Arial"/>
          <w:snapToGrid w:val="0"/>
          <w:lang w:val="fr-FR"/>
        </w:rPr>
        <w:t>ns unique parce qu</w:t>
      </w:r>
      <w:r w:rsidR="00EF1779" w:rsidRPr="008725ED">
        <w:rPr>
          <w:rFonts w:cs="Arial"/>
          <w:snapToGrid w:val="0"/>
          <w:lang w:val="fr-FR"/>
        </w:rPr>
        <w:t>’</w:t>
      </w:r>
      <w:r w:rsidR="0000589A" w:rsidRPr="008725ED">
        <w:rPr>
          <w:rFonts w:cs="Arial"/>
          <w:snapToGrid w:val="0"/>
          <w:lang w:val="fr-FR"/>
        </w:rPr>
        <w:t>elle impliqu</w:t>
      </w:r>
      <w:r w:rsidRPr="008725ED">
        <w:rPr>
          <w:rFonts w:cs="Arial"/>
          <w:snapToGrid w:val="0"/>
          <w:lang w:val="fr-FR"/>
        </w:rPr>
        <w:t>ait, pour les experts, de voyager à Genè</w:t>
      </w:r>
      <w:r w:rsidR="00D43219" w:rsidRPr="008725ED">
        <w:rPr>
          <w:rFonts w:cs="Arial"/>
          <w:snapToGrid w:val="0"/>
          <w:lang w:val="fr-FR"/>
        </w:rPr>
        <w:t>ve.  To</w:t>
      </w:r>
      <w:r w:rsidRPr="008725ED">
        <w:rPr>
          <w:rFonts w:cs="Arial"/>
          <w:snapToGrid w:val="0"/>
          <w:lang w:val="fr-FR"/>
        </w:rPr>
        <w:t>utefois, il </w:t>
      </w:r>
      <w:r w:rsidR="00EA420B" w:rsidRPr="008725ED">
        <w:rPr>
          <w:rFonts w:cs="Arial"/>
          <w:snapToGrid w:val="0"/>
          <w:lang w:val="fr-FR"/>
        </w:rPr>
        <w:t>est convenu</w:t>
      </w:r>
      <w:r w:rsidRPr="008725ED">
        <w:rPr>
          <w:rFonts w:cs="Arial"/>
          <w:snapToGrid w:val="0"/>
          <w:lang w:val="fr-FR"/>
        </w:rPr>
        <w:t xml:space="preserve"> que si la participation électronique </w:t>
      </w:r>
      <w:r w:rsidR="00EA420B" w:rsidRPr="008725ED">
        <w:rPr>
          <w:rFonts w:cs="Arial"/>
          <w:snapToGrid w:val="0"/>
          <w:lang w:val="fr-FR"/>
        </w:rPr>
        <w:t>était</w:t>
      </w:r>
      <w:r w:rsidRPr="008725ED">
        <w:rPr>
          <w:rFonts w:cs="Arial"/>
          <w:snapToGrid w:val="0"/>
          <w:lang w:val="fr-FR"/>
        </w:rPr>
        <w:t xml:space="preserve"> possible, comme c</w:t>
      </w:r>
      <w:r w:rsidR="00EF1779" w:rsidRPr="008725ED">
        <w:rPr>
          <w:rFonts w:cs="Arial"/>
          <w:snapToGrid w:val="0"/>
          <w:lang w:val="fr-FR"/>
        </w:rPr>
        <w:t>’</w:t>
      </w:r>
      <w:r w:rsidR="00EA420B" w:rsidRPr="008725ED">
        <w:rPr>
          <w:rFonts w:cs="Arial"/>
          <w:snapToGrid w:val="0"/>
          <w:lang w:val="fr-FR"/>
        </w:rPr>
        <w:t>était</w:t>
      </w:r>
      <w:r w:rsidRPr="008725ED">
        <w:rPr>
          <w:rFonts w:cs="Arial"/>
          <w:snapToGrid w:val="0"/>
          <w:lang w:val="fr-FR"/>
        </w:rPr>
        <w:t xml:space="preserve"> le cas pour les réunions consacrées à l</w:t>
      </w:r>
      <w:r w:rsidR="00EF1779" w:rsidRPr="008725ED">
        <w:rPr>
          <w:rFonts w:cs="Arial"/>
          <w:snapToGrid w:val="0"/>
          <w:lang w:val="fr-FR"/>
        </w:rPr>
        <w:t>’</w:t>
      </w:r>
      <w:r w:rsidRPr="008725ED">
        <w:rPr>
          <w:rFonts w:cs="Arial"/>
          <w:snapToGrid w:val="0"/>
          <w:lang w:val="fr-FR"/>
        </w:rPr>
        <w:t>élaboration d</w:t>
      </w:r>
      <w:r w:rsidR="00EF1779" w:rsidRPr="008725ED">
        <w:rPr>
          <w:rFonts w:cs="Arial"/>
          <w:snapToGrid w:val="0"/>
          <w:lang w:val="fr-FR"/>
        </w:rPr>
        <w:t>’</w:t>
      </w:r>
      <w:r w:rsidRPr="008725ED">
        <w:rPr>
          <w:rFonts w:cs="Arial"/>
          <w:snapToGrid w:val="0"/>
          <w:lang w:val="fr-FR"/>
        </w:rPr>
        <w:t>un formulaire de demande électronique, la tenue des réunions en</w:t>
      </w:r>
      <w:r w:rsidRPr="008725ED">
        <w:rPr>
          <w:lang w:val="fr-FR"/>
        </w:rPr>
        <w:t xml:space="preserve"> </w:t>
      </w:r>
      <w:r w:rsidR="00EA420B" w:rsidRPr="008725ED">
        <w:rPr>
          <w:rFonts w:cs="Arial"/>
          <w:snapToGrid w:val="0"/>
          <w:lang w:val="fr-FR"/>
        </w:rPr>
        <w:t>mars/avril pouv</w:t>
      </w:r>
      <w:r w:rsidRPr="008725ED">
        <w:rPr>
          <w:rFonts w:cs="Arial"/>
          <w:snapToGrid w:val="0"/>
          <w:lang w:val="fr-FR"/>
        </w:rPr>
        <w:t>ait se révéler efficace.</w:t>
      </w:r>
    </w:p>
    <w:p w:rsidR="008C3126" w:rsidRPr="008725ED" w:rsidRDefault="008C3126" w:rsidP="00382CC4">
      <w:pPr>
        <w:rPr>
          <w:lang w:val="fr-FR"/>
        </w:rPr>
      </w:pPr>
    </w:p>
    <w:p w:rsidR="008C3126" w:rsidRPr="008725ED" w:rsidRDefault="008C3126" w:rsidP="00382CC4">
      <w:pPr>
        <w:rPr>
          <w:lang w:val="fr-FR"/>
        </w:rPr>
      </w:pPr>
    </w:p>
    <w:p w:rsidR="008C3126" w:rsidRPr="008725ED" w:rsidRDefault="00D87DB7" w:rsidP="00382CC4">
      <w:pPr>
        <w:pStyle w:val="Heading2"/>
        <w:rPr>
          <w:lang w:val="fr-FR"/>
        </w:rPr>
      </w:pPr>
      <w:bookmarkStart w:id="6" w:name="_Toc494207944"/>
      <w:r w:rsidRPr="008725ED">
        <w:rPr>
          <w:lang w:val="fr-FR"/>
        </w:rPr>
        <w:t>Questions découlant des travaux des groupes de travail techniques</w:t>
      </w:r>
      <w:bookmarkEnd w:id="6"/>
    </w:p>
    <w:p w:rsidR="008C3126" w:rsidRPr="008725ED" w:rsidRDefault="008C3126" w:rsidP="00382CC4">
      <w:pPr>
        <w:keepNext/>
        <w:tabs>
          <w:tab w:val="left" w:pos="1169"/>
        </w:tabs>
        <w:ind w:left="567" w:hanging="567"/>
        <w:rPr>
          <w:rFonts w:cs="Arial"/>
          <w:lang w:val="fr-FR"/>
        </w:rPr>
      </w:pPr>
    </w:p>
    <w:p w:rsidR="008C3126" w:rsidRPr="008725ED" w:rsidRDefault="00D87DB7" w:rsidP="00D87DB7">
      <w:pPr>
        <w:ind w:left="567" w:hanging="567"/>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r>
      <w:r w:rsidR="004D25CF" w:rsidRPr="008725ED">
        <w:rPr>
          <w:lang w:val="fr-FR"/>
        </w:rPr>
        <w:t>Le</w:t>
      </w:r>
      <w:r w:rsidR="00EF1779" w:rsidRPr="008725ED">
        <w:rPr>
          <w:lang w:val="fr-FR"/>
        </w:rPr>
        <w:t> TC</w:t>
      </w:r>
      <w:r w:rsidR="004D25CF" w:rsidRPr="008725ED">
        <w:rPr>
          <w:lang w:val="fr-FR"/>
        </w:rPr>
        <w:t xml:space="preserve"> a examiné</w:t>
      </w:r>
      <w:r w:rsidRPr="008725ED">
        <w:rPr>
          <w:lang w:val="fr-FR"/>
        </w:rPr>
        <w:t xml:space="preserve"> le </w:t>
      </w:r>
      <w:r w:rsidR="00EF1779" w:rsidRPr="008725ED">
        <w:rPr>
          <w:lang w:val="fr-FR"/>
        </w:rPr>
        <w:t>document TC</w:t>
      </w:r>
      <w:r w:rsidRPr="008725ED">
        <w:rPr>
          <w:rFonts w:cs="Arial"/>
          <w:lang w:val="fr-FR"/>
        </w:rPr>
        <w:t>/53/3.</w:t>
      </w:r>
    </w:p>
    <w:p w:rsidR="008C3126" w:rsidRPr="008725ED" w:rsidRDefault="008C3126" w:rsidP="00D87DB7">
      <w:pPr>
        <w:tabs>
          <w:tab w:val="left" w:pos="2771"/>
        </w:tabs>
        <w:ind w:left="567" w:hanging="567"/>
        <w:rPr>
          <w:rFonts w:cs="Arial"/>
          <w:lang w:val="fr-FR"/>
        </w:rPr>
      </w:pPr>
    </w:p>
    <w:p w:rsidR="008C3126" w:rsidRPr="008725ED" w:rsidRDefault="00D87DB7" w:rsidP="00D87DB7">
      <w:pPr>
        <w:tabs>
          <w:tab w:val="left" w:pos="567"/>
          <w:tab w:val="left" w:pos="2771"/>
        </w:tabs>
        <w:rPr>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Le</w:t>
      </w:r>
      <w:r w:rsidR="00EF1779" w:rsidRPr="008725ED">
        <w:rPr>
          <w:rFonts w:cs="Arial"/>
          <w:lang w:val="fr-FR"/>
        </w:rPr>
        <w:t> TC</w:t>
      </w:r>
      <w:r w:rsidRPr="008725ED">
        <w:rPr>
          <w:rFonts w:cs="Arial"/>
          <w:lang w:val="fr-FR"/>
        </w:rPr>
        <w:t xml:space="preserve"> </w:t>
      </w:r>
      <w:r w:rsidR="004D25CF" w:rsidRPr="008725ED">
        <w:rPr>
          <w:rFonts w:cs="Arial"/>
          <w:lang w:val="fr-FR"/>
        </w:rPr>
        <w:t xml:space="preserve">a pris </w:t>
      </w:r>
      <w:r w:rsidRPr="008725ED">
        <w:rPr>
          <w:rFonts w:cs="Arial"/>
          <w:lang w:val="fr-FR"/>
        </w:rPr>
        <w:t xml:space="preserve">note du rapport du TWF selon lequel les services de protection des obtentions végétales </w:t>
      </w:r>
      <w:r w:rsidR="004D25CF" w:rsidRPr="008725ED">
        <w:rPr>
          <w:rFonts w:cs="Arial"/>
          <w:lang w:val="fr-FR"/>
        </w:rPr>
        <w:t>avaient</w:t>
      </w:r>
      <w:r w:rsidRPr="008725ED">
        <w:rPr>
          <w:rFonts w:cs="Arial"/>
          <w:lang w:val="fr-FR"/>
        </w:rPr>
        <w:t xml:space="preserve"> parfois des difficultés à se procurer du matériel végétal auprès </w:t>
      </w:r>
      <w:r w:rsidRPr="008725ED">
        <w:rPr>
          <w:lang w:val="fr-FR"/>
        </w:rPr>
        <w:t>des obtenteurs, particulièrement lorsqu</w:t>
      </w:r>
      <w:r w:rsidR="00EF1779" w:rsidRPr="008725ED">
        <w:rPr>
          <w:lang w:val="fr-FR"/>
        </w:rPr>
        <w:t>’</w:t>
      </w:r>
      <w:r w:rsidRPr="008725ED">
        <w:rPr>
          <w:lang w:val="fr-FR"/>
        </w:rPr>
        <w:t>une variété n</w:t>
      </w:r>
      <w:r w:rsidR="00EF1779" w:rsidRPr="008725ED">
        <w:rPr>
          <w:lang w:val="fr-FR"/>
        </w:rPr>
        <w:t>’</w:t>
      </w:r>
      <w:r w:rsidR="004D25CF" w:rsidRPr="008725ED">
        <w:rPr>
          <w:lang w:val="fr-FR"/>
        </w:rPr>
        <w:t xml:space="preserve">était </w:t>
      </w:r>
      <w:r w:rsidRPr="008725ED">
        <w:rPr>
          <w:lang w:val="fr-FR"/>
        </w:rPr>
        <w:t>plus commercialis</w:t>
      </w:r>
      <w:r w:rsidR="00D43219" w:rsidRPr="008725ED">
        <w:rPr>
          <w:lang w:val="fr-FR"/>
        </w:rPr>
        <w:t>ée.  Le</w:t>
      </w:r>
      <w:r w:rsidR="00EF1779" w:rsidRPr="008725ED">
        <w:rPr>
          <w:lang w:val="fr-FR"/>
        </w:rPr>
        <w:t> TC</w:t>
      </w:r>
      <w:r w:rsidRPr="008725ED">
        <w:rPr>
          <w:lang w:val="fr-FR"/>
        </w:rPr>
        <w:t xml:space="preserve"> </w:t>
      </w:r>
      <w:r w:rsidR="004D25CF" w:rsidRPr="008725ED">
        <w:rPr>
          <w:lang w:val="fr-FR"/>
        </w:rPr>
        <w:t>a indiqué</w:t>
      </w:r>
      <w:r w:rsidRPr="008725ED">
        <w:rPr>
          <w:lang w:val="fr-FR"/>
        </w:rPr>
        <w:t xml:space="preserve"> que, dans certains </w:t>
      </w:r>
      <w:r w:rsidR="004D25CF" w:rsidRPr="008725ED">
        <w:rPr>
          <w:lang w:val="fr-FR"/>
        </w:rPr>
        <w:t>cas, l</w:t>
      </w:r>
      <w:r w:rsidR="00EF1779" w:rsidRPr="008725ED">
        <w:rPr>
          <w:lang w:val="fr-FR"/>
        </w:rPr>
        <w:t>’</w:t>
      </w:r>
      <w:r w:rsidR="004D25CF" w:rsidRPr="008725ED">
        <w:rPr>
          <w:lang w:val="fr-FR"/>
        </w:rPr>
        <w:t>Union européenne rappelait</w:t>
      </w:r>
      <w:r w:rsidRPr="008725ED">
        <w:rPr>
          <w:lang w:val="fr-FR"/>
        </w:rPr>
        <w:t xml:space="preserve"> aux obtenteurs la nécessité de conserver leurs variétés afin d</w:t>
      </w:r>
      <w:r w:rsidR="00EF1779" w:rsidRPr="008725ED">
        <w:rPr>
          <w:lang w:val="fr-FR"/>
        </w:rPr>
        <w:t>’</w:t>
      </w:r>
      <w:r w:rsidRPr="008725ED">
        <w:rPr>
          <w:lang w:val="fr-FR"/>
        </w:rPr>
        <w:t>éviter toute possibilité de déchéance du droit d</w:t>
      </w:r>
      <w:r w:rsidR="00EF1779" w:rsidRPr="008725ED">
        <w:rPr>
          <w:lang w:val="fr-FR"/>
        </w:rPr>
        <w:t>’</w:t>
      </w:r>
      <w:r w:rsidRPr="008725ED">
        <w:rPr>
          <w:lang w:val="fr-FR"/>
        </w:rPr>
        <w:t>obtente</w:t>
      </w:r>
      <w:r w:rsidR="00D43219" w:rsidRPr="008725ED">
        <w:rPr>
          <w:lang w:val="fr-FR"/>
        </w:rPr>
        <w:t>ur.  Le</w:t>
      </w:r>
      <w:r w:rsidR="00EF1779" w:rsidRPr="008725ED">
        <w:rPr>
          <w:lang w:val="fr-FR"/>
        </w:rPr>
        <w:t> TC</w:t>
      </w:r>
      <w:r w:rsidRPr="008725ED">
        <w:rPr>
          <w:lang w:val="fr-FR"/>
        </w:rPr>
        <w:t xml:space="preserve"> </w:t>
      </w:r>
      <w:r w:rsidR="004D25CF" w:rsidRPr="008725ED">
        <w:rPr>
          <w:lang w:val="fr-FR"/>
        </w:rPr>
        <w:t>a indiqué</w:t>
      </w:r>
      <w:r w:rsidRPr="008725ED">
        <w:rPr>
          <w:lang w:val="fr-FR"/>
        </w:rPr>
        <w:t xml:space="preserve"> également que l</w:t>
      </w:r>
      <w:r w:rsidR="00EF1779" w:rsidRPr="008725ED">
        <w:rPr>
          <w:lang w:val="fr-FR"/>
        </w:rPr>
        <w:t>’</w:t>
      </w:r>
      <w:r w:rsidRPr="008725ED">
        <w:rPr>
          <w:snapToGrid w:val="0"/>
          <w:lang w:val="fr-FR"/>
        </w:rPr>
        <w:t>Australie a</w:t>
      </w:r>
      <w:r w:rsidR="004D25CF" w:rsidRPr="008725ED">
        <w:rPr>
          <w:snapToGrid w:val="0"/>
          <w:lang w:val="fr-FR"/>
        </w:rPr>
        <w:t>vait</w:t>
      </w:r>
      <w:r w:rsidRPr="008725ED">
        <w:rPr>
          <w:snapToGrid w:val="0"/>
          <w:lang w:val="fr-FR"/>
        </w:rPr>
        <w:t xml:space="preserve"> </w:t>
      </w:r>
      <w:r w:rsidRPr="008725ED">
        <w:rPr>
          <w:lang w:val="fr-FR"/>
        </w:rPr>
        <w:t>rappelé aux obtenteurs l</w:t>
      </w:r>
      <w:r w:rsidR="00EF1779" w:rsidRPr="008725ED">
        <w:rPr>
          <w:lang w:val="fr-FR"/>
        </w:rPr>
        <w:t>’</w:t>
      </w:r>
      <w:r w:rsidRPr="008725ED">
        <w:rPr>
          <w:lang w:val="fr-FR"/>
        </w:rPr>
        <w:t xml:space="preserve">importance de fournir </w:t>
      </w:r>
      <w:r w:rsidRPr="008725ED">
        <w:rPr>
          <w:rFonts w:cs="Arial"/>
          <w:lang w:val="fr-FR"/>
        </w:rPr>
        <w:t xml:space="preserve">du matériel </w:t>
      </w:r>
      <w:r w:rsidRPr="008725ED">
        <w:rPr>
          <w:lang w:val="fr-FR"/>
        </w:rPr>
        <w:t>de leurs variétés pour conserver un système de protection effica</w:t>
      </w:r>
      <w:r w:rsidR="00D43219" w:rsidRPr="008725ED">
        <w:rPr>
          <w:lang w:val="fr-FR"/>
        </w:rPr>
        <w:t>ce.  Le</w:t>
      </w:r>
      <w:r w:rsidR="00EF1779" w:rsidRPr="008725ED">
        <w:rPr>
          <w:lang w:val="fr-FR"/>
        </w:rPr>
        <w:t> TC</w:t>
      </w:r>
      <w:r w:rsidRPr="008725ED">
        <w:rPr>
          <w:lang w:val="fr-FR"/>
        </w:rPr>
        <w:t xml:space="preserve"> </w:t>
      </w:r>
      <w:r w:rsidR="004D25CF" w:rsidRPr="008725ED">
        <w:rPr>
          <w:lang w:val="fr-FR"/>
        </w:rPr>
        <w:t>a rappelé</w:t>
      </w:r>
      <w:r w:rsidRPr="008725ED">
        <w:rPr>
          <w:lang w:val="fr-FR"/>
        </w:rPr>
        <w:t xml:space="preserve"> que les banques de gènes </w:t>
      </w:r>
      <w:r w:rsidR="004D25CF" w:rsidRPr="008725ED">
        <w:rPr>
          <w:lang w:val="fr-FR"/>
        </w:rPr>
        <w:t>pouvaient</w:t>
      </w:r>
      <w:r w:rsidRPr="008725ED">
        <w:rPr>
          <w:lang w:val="fr-FR"/>
        </w:rPr>
        <w:t xml:space="preserve"> être une source importante de </w:t>
      </w:r>
      <w:r w:rsidRPr="008725ED">
        <w:rPr>
          <w:rFonts w:cs="Arial"/>
          <w:lang w:val="fr-FR"/>
        </w:rPr>
        <w:t xml:space="preserve">matériel végétal </w:t>
      </w:r>
      <w:r w:rsidRPr="008725ED">
        <w:rPr>
          <w:lang w:val="fr-FR"/>
        </w:rPr>
        <w:t>pour les variétés reproduites par voie sexuée.</w:t>
      </w:r>
    </w:p>
    <w:p w:rsidR="008C3126" w:rsidRPr="008725ED" w:rsidRDefault="008C3126" w:rsidP="00D87DB7">
      <w:pPr>
        <w:tabs>
          <w:tab w:val="left" w:pos="567"/>
          <w:tab w:val="left" w:pos="2771"/>
        </w:tabs>
        <w:rPr>
          <w:lang w:val="fr-FR"/>
        </w:rPr>
      </w:pPr>
    </w:p>
    <w:p w:rsidR="008C3126" w:rsidRPr="008725ED" w:rsidRDefault="00D87DB7" w:rsidP="00D87DB7">
      <w:pPr>
        <w:tabs>
          <w:tab w:val="left" w:pos="567"/>
          <w:tab w:val="left" w:pos="2771"/>
        </w:tabs>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4D25CF" w:rsidRPr="008725ED">
        <w:rPr>
          <w:lang w:val="fr-FR"/>
        </w:rPr>
        <w:t>est convenu</w:t>
      </w:r>
      <w:r w:rsidRPr="008725ED">
        <w:rPr>
          <w:lang w:val="fr-FR"/>
        </w:rPr>
        <w:t xml:space="preserve"> de demander au Bureau de l</w:t>
      </w:r>
      <w:r w:rsidR="00EF1779" w:rsidRPr="008725ED">
        <w:rPr>
          <w:lang w:val="fr-FR"/>
        </w:rPr>
        <w:t>’</w:t>
      </w:r>
      <w:r w:rsidRPr="008725ED">
        <w:rPr>
          <w:lang w:val="fr-FR"/>
        </w:rPr>
        <w:t>Union de publier à l</w:t>
      </w:r>
      <w:r w:rsidR="00EF1779" w:rsidRPr="008725ED">
        <w:rPr>
          <w:lang w:val="fr-FR"/>
        </w:rPr>
        <w:t>’</w:t>
      </w:r>
      <w:r w:rsidRPr="008725ED">
        <w:rPr>
          <w:lang w:val="fr-FR"/>
        </w:rPr>
        <w:t>intention des membres de l</w:t>
      </w:r>
      <w:r w:rsidR="00EF1779" w:rsidRPr="008725ED">
        <w:rPr>
          <w:lang w:val="fr-FR"/>
        </w:rPr>
        <w:t>’</w:t>
      </w:r>
      <w:r w:rsidRPr="008725ED">
        <w:rPr>
          <w:lang w:val="fr-FR"/>
        </w:rPr>
        <w:t>Union un questionnaire sur les méthodes utilisées pour se procurer du matériel végétal auprès des obtenteurs, notamment lorsqu</w:t>
      </w:r>
      <w:r w:rsidR="00EF1779" w:rsidRPr="008725ED">
        <w:rPr>
          <w:lang w:val="fr-FR"/>
        </w:rPr>
        <w:t>’</w:t>
      </w:r>
      <w:r w:rsidRPr="008725ED">
        <w:rPr>
          <w:lang w:val="fr-FR"/>
        </w:rPr>
        <w:t>une variété n</w:t>
      </w:r>
      <w:r w:rsidR="00EF1779" w:rsidRPr="008725ED">
        <w:rPr>
          <w:lang w:val="fr-FR"/>
        </w:rPr>
        <w:t>’</w:t>
      </w:r>
      <w:r w:rsidR="004D25CF" w:rsidRPr="008725ED">
        <w:rPr>
          <w:lang w:val="fr-FR"/>
        </w:rPr>
        <w:t xml:space="preserve">était </w:t>
      </w:r>
      <w:r w:rsidRPr="008725ED">
        <w:rPr>
          <w:lang w:val="fr-FR"/>
        </w:rPr>
        <w:t>plus commercialis</w:t>
      </w:r>
      <w:r w:rsidR="00D43219" w:rsidRPr="008725ED">
        <w:rPr>
          <w:lang w:val="fr-FR"/>
        </w:rPr>
        <w:t>ée.  Le</w:t>
      </w:r>
      <w:r w:rsidRPr="008725ED">
        <w:rPr>
          <w:lang w:val="fr-FR"/>
        </w:rPr>
        <w:t xml:space="preserve"> questionnaire cherchera</w:t>
      </w:r>
      <w:r w:rsidR="004D25CF" w:rsidRPr="008725ED">
        <w:rPr>
          <w:lang w:val="fr-FR"/>
        </w:rPr>
        <w:t>it</w:t>
      </w:r>
      <w:r w:rsidRPr="008725ED">
        <w:rPr>
          <w:lang w:val="fr-FR"/>
        </w:rPr>
        <w:t xml:space="preserve"> également à obtenir des informations sur les méthodes utilisées par les membres de l</w:t>
      </w:r>
      <w:r w:rsidR="00EF1779" w:rsidRPr="008725ED">
        <w:rPr>
          <w:lang w:val="fr-FR"/>
        </w:rPr>
        <w:t>’</w:t>
      </w:r>
      <w:r w:rsidRPr="008725ED">
        <w:rPr>
          <w:lang w:val="fr-FR"/>
        </w:rPr>
        <w:t>Union pour prendre des décisions sur les variétés dont l</w:t>
      </w:r>
      <w:r w:rsidR="00EF1779" w:rsidRPr="008725ED">
        <w:rPr>
          <w:lang w:val="fr-FR"/>
        </w:rPr>
        <w:t>’</w:t>
      </w:r>
      <w:r w:rsidRPr="008725ED">
        <w:rPr>
          <w:lang w:val="fr-FR"/>
        </w:rPr>
        <w:t xml:space="preserve">existence </w:t>
      </w:r>
      <w:r w:rsidR="004D25CF" w:rsidRPr="008725ED">
        <w:rPr>
          <w:lang w:val="fr-FR"/>
        </w:rPr>
        <w:t>était</w:t>
      </w:r>
      <w:r w:rsidRPr="008725ED">
        <w:rPr>
          <w:lang w:val="fr-FR"/>
        </w:rPr>
        <w:t xml:space="preserve"> notoirement conn</w:t>
      </w:r>
      <w:r w:rsidR="00D43219" w:rsidRPr="008725ED">
        <w:rPr>
          <w:lang w:val="fr-FR"/>
        </w:rPr>
        <w:t>ue.  Le</w:t>
      </w:r>
      <w:r w:rsidR="00EF1779" w:rsidRPr="008725ED">
        <w:rPr>
          <w:lang w:val="fr-FR"/>
        </w:rPr>
        <w:t> TC</w:t>
      </w:r>
      <w:r w:rsidRPr="008725ED">
        <w:rPr>
          <w:lang w:val="fr-FR"/>
        </w:rPr>
        <w:t xml:space="preserve"> </w:t>
      </w:r>
      <w:r w:rsidR="004D25CF" w:rsidRPr="008725ED">
        <w:rPr>
          <w:lang w:val="fr-FR"/>
        </w:rPr>
        <w:t>est convenu</w:t>
      </w:r>
      <w:r w:rsidRPr="008725ED">
        <w:rPr>
          <w:lang w:val="fr-FR"/>
        </w:rPr>
        <w:t xml:space="preserve"> que les résultats de l</w:t>
      </w:r>
      <w:r w:rsidR="00EF1779" w:rsidRPr="008725ED">
        <w:rPr>
          <w:lang w:val="fr-FR"/>
        </w:rPr>
        <w:t>’</w:t>
      </w:r>
      <w:r w:rsidRPr="008725ED">
        <w:rPr>
          <w:lang w:val="fr-FR"/>
        </w:rPr>
        <w:t xml:space="preserve">étude </w:t>
      </w:r>
      <w:r w:rsidR="004D25CF" w:rsidRPr="008725ED">
        <w:rPr>
          <w:lang w:val="fr-FR"/>
        </w:rPr>
        <w:t>devaient</w:t>
      </w:r>
      <w:r w:rsidRPr="008725ED">
        <w:rPr>
          <w:lang w:val="fr-FR"/>
        </w:rPr>
        <w:t xml:space="preserve"> être présentés aux groupes de travail techniques et au</w:t>
      </w:r>
      <w:r w:rsidR="00EF1779" w:rsidRPr="008725ED">
        <w:rPr>
          <w:lang w:val="fr-FR"/>
        </w:rPr>
        <w:t> TC</w:t>
      </w:r>
      <w:r w:rsidRPr="008725ED">
        <w:rPr>
          <w:lang w:val="fr-FR"/>
        </w:rPr>
        <w:t xml:space="preserve"> à leurs sessions de 2018.</w:t>
      </w:r>
    </w:p>
    <w:p w:rsidR="008C3126" w:rsidRPr="008725ED" w:rsidRDefault="008C3126" w:rsidP="00D87DB7">
      <w:pPr>
        <w:tabs>
          <w:tab w:val="left" w:pos="2771"/>
        </w:tabs>
        <w:ind w:left="567" w:hanging="567"/>
        <w:rPr>
          <w:rFonts w:cs="Arial"/>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4D25CF" w:rsidRPr="008725ED">
        <w:rPr>
          <w:lang w:val="fr-FR"/>
        </w:rPr>
        <w:t>a pris</w:t>
      </w:r>
      <w:r w:rsidRPr="008725ED">
        <w:rPr>
          <w:lang w:val="fr-FR"/>
        </w:rPr>
        <w:t xml:space="preserve"> note des faits nouveaux survenus au sein des groupes de travail techniques (TWP) concernant les questions suivantes figurant dans le </w:t>
      </w:r>
      <w:r w:rsidR="00EF1779" w:rsidRPr="008725ED">
        <w:rPr>
          <w:lang w:val="fr-FR"/>
        </w:rPr>
        <w:t>document TC</w:t>
      </w:r>
      <w:r w:rsidRPr="008725ED">
        <w:rPr>
          <w:lang w:val="fr-FR"/>
        </w:rPr>
        <w:t>/53/3</w:t>
      </w:r>
      <w:r w:rsidR="00EF1779" w:rsidRPr="008725ED">
        <w:rPr>
          <w:lang w:val="fr-FR"/>
        </w:rPr>
        <w:t> :</w:t>
      </w:r>
    </w:p>
    <w:p w:rsidR="008C3126" w:rsidRPr="008725ED" w:rsidRDefault="008C3126" w:rsidP="00D87DB7">
      <w:pPr>
        <w:rPr>
          <w:lang w:val="fr-FR"/>
        </w:rPr>
      </w:pPr>
    </w:p>
    <w:p w:rsidR="008C3126" w:rsidRPr="008725ED" w:rsidRDefault="00D87DB7" w:rsidP="00F24919">
      <w:pPr>
        <w:pStyle w:val="ListParagraph"/>
        <w:keepNext/>
        <w:numPr>
          <w:ilvl w:val="0"/>
          <w:numId w:val="43"/>
        </w:numPr>
        <w:spacing w:after="120" w:line="240" w:lineRule="auto"/>
        <w:contextualSpacing w:val="0"/>
        <w:rPr>
          <w:rFonts w:ascii="Arial" w:hAnsi="Arial" w:cs="Arial"/>
          <w:sz w:val="20"/>
          <w:szCs w:val="20"/>
          <w:lang w:val="fr-FR"/>
        </w:rPr>
      </w:pPr>
      <w:r w:rsidRPr="008725ED">
        <w:rPr>
          <w:rFonts w:ascii="Arial" w:hAnsi="Arial" w:cs="Arial"/>
          <w:sz w:val="20"/>
          <w:szCs w:val="20"/>
          <w:lang w:val="fr-FR"/>
        </w:rPr>
        <w:t>réduction de la variation due à différents observateurs;</w:t>
      </w:r>
    </w:p>
    <w:p w:rsidR="008C3126" w:rsidRPr="008725ED" w:rsidRDefault="00D87DB7" w:rsidP="00F24919">
      <w:pPr>
        <w:pStyle w:val="ListParagraph"/>
        <w:numPr>
          <w:ilvl w:val="0"/>
          <w:numId w:val="43"/>
        </w:numPr>
        <w:spacing w:after="120" w:line="240" w:lineRule="auto"/>
        <w:contextualSpacing w:val="0"/>
        <w:rPr>
          <w:rFonts w:ascii="Arial" w:hAnsi="Arial" w:cs="Arial"/>
          <w:sz w:val="20"/>
          <w:szCs w:val="20"/>
          <w:lang w:val="fr-FR"/>
        </w:rPr>
      </w:pPr>
      <w:r w:rsidRPr="008725ED">
        <w:rPr>
          <w:rFonts w:ascii="Arial" w:hAnsi="Arial" w:cs="Arial"/>
          <w:sz w:val="20"/>
          <w:szCs w:val="20"/>
          <w:lang w:val="fr-FR"/>
        </w:rPr>
        <w:t>expériences de nouveaux types et espèces;</w:t>
      </w:r>
    </w:p>
    <w:p w:rsidR="008C3126" w:rsidRPr="008725ED" w:rsidRDefault="00D87DB7" w:rsidP="00F24919">
      <w:pPr>
        <w:pStyle w:val="ListParagraph"/>
        <w:numPr>
          <w:ilvl w:val="0"/>
          <w:numId w:val="43"/>
        </w:numPr>
        <w:spacing w:after="120" w:line="240" w:lineRule="auto"/>
        <w:contextualSpacing w:val="0"/>
        <w:rPr>
          <w:rFonts w:ascii="Arial" w:hAnsi="Arial" w:cs="Arial"/>
          <w:sz w:val="20"/>
          <w:szCs w:val="20"/>
          <w:lang w:val="fr-FR"/>
        </w:rPr>
      </w:pPr>
      <w:r w:rsidRPr="008725ED">
        <w:rPr>
          <w:rFonts w:ascii="Arial" w:hAnsi="Arial" w:cs="Arial"/>
          <w:sz w:val="20"/>
          <w:szCs w:val="20"/>
          <w:lang w:val="fr-FR"/>
        </w:rPr>
        <w:t>données d</w:t>
      </w:r>
      <w:r w:rsidR="00EF1779" w:rsidRPr="008725ED">
        <w:rPr>
          <w:rFonts w:ascii="Arial" w:hAnsi="Arial" w:cs="Arial"/>
          <w:sz w:val="20"/>
          <w:szCs w:val="20"/>
          <w:lang w:val="fr-FR"/>
        </w:rPr>
        <w:t>’</w:t>
      </w:r>
      <w:r w:rsidRPr="008725ED">
        <w:rPr>
          <w:rFonts w:ascii="Arial" w:hAnsi="Arial" w:cs="Arial"/>
          <w:sz w:val="20"/>
          <w:szCs w:val="20"/>
          <w:lang w:val="fr-FR"/>
        </w:rPr>
        <w:t>expérience relatives au code de couleurs et à l</w:t>
      </w:r>
      <w:r w:rsidR="00EF1779" w:rsidRPr="008725ED">
        <w:rPr>
          <w:rFonts w:ascii="Arial" w:hAnsi="Arial" w:cs="Arial"/>
          <w:sz w:val="20"/>
          <w:szCs w:val="20"/>
          <w:lang w:val="fr-FR"/>
        </w:rPr>
        <w:t>’</w:t>
      </w:r>
      <w:r w:rsidRPr="008725ED">
        <w:rPr>
          <w:rFonts w:ascii="Arial" w:hAnsi="Arial" w:cs="Arial"/>
          <w:sz w:val="20"/>
          <w:szCs w:val="20"/>
          <w:lang w:val="fr-FR"/>
        </w:rPr>
        <w:t>éventuel ajout de couleurs à l</w:t>
      </w:r>
      <w:r w:rsidR="00EF1779" w:rsidRPr="008725ED">
        <w:rPr>
          <w:rFonts w:ascii="Arial" w:hAnsi="Arial" w:cs="Arial"/>
          <w:sz w:val="20"/>
          <w:szCs w:val="20"/>
          <w:lang w:val="fr-FR"/>
        </w:rPr>
        <w:t>’</w:t>
      </w:r>
      <w:r w:rsidRPr="008725ED">
        <w:rPr>
          <w:rFonts w:ascii="Arial" w:hAnsi="Arial" w:cs="Arial"/>
          <w:sz w:val="20"/>
          <w:szCs w:val="20"/>
          <w:lang w:val="fr-FR"/>
        </w:rPr>
        <w:t>avenir;</w:t>
      </w:r>
    </w:p>
    <w:p w:rsidR="008C3126" w:rsidRPr="008725ED" w:rsidRDefault="00D87DB7" w:rsidP="00F24919">
      <w:pPr>
        <w:pStyle w:val="ListParagraph"/>
        <w:numPr>
          <w:ilvl w:val="0"/>
          <w:numId w:val="43"/>
        </w:numPr>
        <w:spacing w:after="120" w:line="240" w:lineRule="auto"/>
        <w:contextualSpacing w:val="0"/>
        <w:rPr>
          <w:rFonts w:ascii="Arial" w:hAnsi="Arial" w:cs="Arial"/>
          <w:sz w:val="20"/>
          <w:szCs w:val="20"/>
          <w:lang w:val="fr-FR"/>
        </w:rPr>
      </w:pPr>
      <w:r w:rsidRPr="008725ED">
        <w:rPr>
          <w:rFonts w:ascii="Arial" w:hAnsi="Arial" w:cs="Arial"/>
          <w:sz w:val="20"/>
          <w:szCs w:val="20"/>
          <w:lang w:val="fr-FR"/>
        </w:rPr>
        <w:t>variétés multipliées par voie végétative appartenant à des espèces se reproduisant normalement par voie sexuée;</w:t>
      </w:r>
    </w:p>
    <w:p w:rsidR="008C3126" w:rsidRPr="008725ED" w:rsidRDefault="00D87DB7" w:rsidP="00F24919">
      <w:pPr>
        <w:pStyle w:val="ListParagraph"/>
        <w:numPr>
          <w:ilvl w:val="0"/>
          <w:numId w:val="43"/>
        </w:numPr>
        <w:spacing w:after="120" w:line="240" w:lineRule="auto"/>
        <w:contextualSpacing w:val="0"/>
        <w:rPr>
          <w:rFonts w:ascii="Arial" w:hAnsi="Arial" w:cs="Arial"/>
          <w:sz w:val="20"/>
          <w:szCs w:val="20"/>
          <w:lang w:val="fr-FR"/>
        </w:rPr>
      </w:pPr>
      <w:r w:rsidRPr="008725ED">
        <w:rPr>
          <w:rFonts w:ascii="Arial" w:hAnsi="Arial" w:cs="Arial"/>
          <w:sz w:val="20"/>
          <w:szCs w:val="20"/>
          <w:lang w:val="fr-FR"/>
        </w:rPr>
        <w:t>traitement d</w:t>
      </w:r>
      <w:r w:rsidR="00EF1779" w:rsidRPr="008725ED">
        <w:rPr>
          <w:rFonts w:ascii="Arial" w:hAnsi="Arial" w:cs="Arial"/>
          <w:sz w:val="20"/>
          <w:szCs w:val="20"/>
          <w:lang w:val="fr-FR"/>
        </w:rPr>
        <w:t>’</w:t>
      </w:r>
      <w:r w:rsidRPr="008725ED">
        <w:rPr>
          <w:rFonts w:ascii="Arial" w:hAnsi="Arial" w:cs="Arial"/>
          <w:sz w:val="20"/>
          <w:szCs w:val="20"/>
          <w:lang w:val="fr-FR"/>
        </w:rPr>
        <w:t>amorçage de la germination;</w:t>
      </w:r>
    </w:p>
    <w:p w:rsidR="008C3126" w:rsidRPr="008725ED" w:rsidRDefault="00D87DB7" w:rsidP="00F24919">
      <w:pPr>
        <w:pStyle w:val="ListParagraph"/>
        <w:numPr>
          <w:ilvl w:val="0"/>
          <w:numId w:val="43"/>
        </w:numPr>
        <w:spacing w:after="120" w:line="240" w:lineRule="auto"/>
        <w:contextualSpacing w:val="0"/>
        <w:rPr>
          <w:rFonts w:ascii="Arial" w:hAnsi="Arial" w:cs="Arial"/>
          <w:sz w:val="20"/>
          <w:szCs w:val="20"/>
          <w:lang w:val="fr-FR"/>
        </w:rPr>
      </w:pPr>
      <w:r w:rsidRPr="008725ED">
        <w:rPr>
          <w:rFonts w:ascii="Arial" w:hAnsi="Arial" w:cs="Arial"/>
          <w:sz w:val="20"/>
          <w:szCs w:val="20"/>
          <w:lang w:val="fr-FR"/>
        </w:rPr>
        <w:t>utilisation de caractères de résistance aux maladies et aux insectes dans l</w:t>
      </w:r>
      <w:r w:rsidR="00EF1779" w:rsidRPr="008725ED">
        <w:rPr>
          <w:rFonts w:ascii="Arial" w:hAnsi="Arial" w:cs="Arial"/>
          <w:sz w:val="20"/>
          <w:szCs w:val="20"/>
          <w:lang w:val="fr-FR"/>
        </w:rPr>
        <w:t>’</w:t>
      </w:r>
      <w:r w:rsidRPr="008725ED">
        <w:rPr>
          <w:rFonts w:ascii="Arial" w:hAnsi="Arial" w:cs="Arial"/>
          <w:sz w:val="20"/>
          <w:szCs w:val="20"/>
          <w:lang w:val="fr-FR"/>
        </w:rPr>
        <w:t>examen DHS;</w:t>
      </w:r>
    </w:p>
    <w:p w:rsidR="008C3126" w:rsidRPr="008725ED" w:rsidRDefault="00D87DB7" w:rsidP="00F24919">
      <w:pPr>
        <w:pStyle w:val="ListParagraph"/>
        <w:numPr>
          <w:ilvl w:val="0"/>
          <w:numId w:val="43"/>
        </w:numPr>
        <w:spacing w:after="120" w:line="240" w:lineRule="auto"/>
        <w:contextualSpacing w:val="0"/>
        <w:rPr>
          <w:rFonts w:ascii="Arial" w:hAnsi="Arial" w:cs="Arial"/>
          <w:sz w:val="20"/>
          <w:szCs w:val="20"/>
          <w:lang w:val="fr-FR"/>
        </w:rPr>
      </w:pPr>
      <w:r w:rsidRPr="008725ED">
        <w:rPr>
          <w:rFonts w:ascii="Arial" w:hAnsi="Arial" w:cs="Arial"/>
          <w:sz w:val="20"/>
          <w:szCs w:val="20"/>
          <w:lang w:val="fr-FR"/>
        </w:rPr>
        <w:t>incidence des endophytes sur les caractères DHS pour les graminées;</w:t>
      </w:r>
    </w:p>
    <w:p w:rsidR="008C3126" w:rsidRPr="008725ED" w:rsidRDefault="00D87DB7" w:rsidP="00F24919">
      <w:pPr>
        <w:pStyle w:val="ListParagraph"/>
        <w:numPr>
          <w:ilvl w:val="0"/>
          <w:numId w:val="43"/>
        </w:numPr>
        <w:spacing w:after="120" w:line="240" w:lineRule="auto"/>
        <w:contextualSpacing w:val="0"/>
        <w:rPr>
          <w:rFonts w:ascii="Arial" w:hAnsi="Arial" w:cs="Arial"/>
          <w:sz w:val="20"/>
          <w:szCs w:val="20"/>
          <w:lang w:val="fr-FR"/>
        </w:rPr>
      </w:pPr>
      <w:r w:rsidRPr="008725ED">
        <w:rPr>
          <w:rFonts w:ascii="Arial" w:hAnsi="Arial" w:cs="Arial"/>
          <w:sz w:val="20"/>
          <w:szCs w:val="20"/>
          <w:lang w:val="fr-FR"/>
        </w:rPr>
        <w:t>cahier d</w:t>
      </w:r>
      <w:r w:rsidR="00EF1779" w:rsidRPr="008725ED">
        <w:rPr>
          <w:rFonts w:ascii="Arial" w:hAnsi="Arial" w:cs="Arial"/>
          <w:sz w:val="20"/>
          <w:szCs w:val="20"/>
          <w:lang w:val="fr-FR"/>
        </w:rPr>
        <w:t>’</w:t>
      </w:r>
      <w:r w:rsidRPr="008725ED">
        <w:rPr>
          <w:rFonts w:ascii="Arial" w:hAnsi="Arial" w:cs="Arial"/>
          <w:sz w:val="20"/>
          <w:szCs w:val="20"/>
          <w:lang w:val="fr-FR"/>
        </w:rPr>
        <w:t>étalonnage aux fins d</w:t>
      </w:r>
      <w:r w:rsidR="00EF1779" w:rsidRPr="008725ED">
        <w:rPr>
          <w:rFonts w:ascii="Arial" w:hAnsi="Arial" w:cs="Arial"/>
          <w:sz w:val="20"/>
          <w:szCs w:val="20"/>
          <w:lang w:val="fr-FR"/>
        </w:rPr>
        <w:t>’</w:t>
      </w:r>
      <w:r w:rsidRPr="008725ED">
        <w:rPr>
          <w:rFonts w:ascii="Arial" w:hAnsi="Arial" w:cs="Arial"/>
          <w:sz w:val="20"/>
          <w:szCs w:val="20"/>
          <w:lang w:val="fr-FR"/>
        </w:rPr>
        <w:t>harmonisation de la description variétale du pommier;</w:t>
      </w:r>
    </w:p>
    <w:p w:rsidR="008C3126" w:rsidRPr="008725ED" w:rsidRDefault="00D87DB7" w:rsidP="00F24919">
      <w:pPr>
        <w:pStyle w:val="ListParagraph"/>
        <w:numPr>
          <w:ilvl w:val="0"/>
          <w:numId w:val="43"/>
        </w:numPr>
        <w:spacing w:after="120" w:line="240" w:lineRule="auto"/>
        <w:contextualSpacing w:val="0"/>
        <w:rPr>
          <w:rFonts w:ascii="Arial" w:hAnsi="Arial" w:cs="Arial"/>
          <w:sz w:val="20"/>
          <w:szCs w:val="20"/>
          <w:lang w:val="fr-FR"/>
        </w:rPr>
      </w:pPr>
      <w:r w:rsidRPr="008725ED">
        <w:rPr>
          <w:rFonts w:ascii="Arial" w:hAnsi="Arial" w:cs="Arial"/>
          <w:sz w:val="20"/>
          <w:szCs w:val="20"/>
          <w:lang w:val="fr-FR"/>
        </w:rPr>
        <w:t>examen DHS des variétés mutantes du pommier;</w:t>
      </w:r>
    </w:p>
    <w:p w:rsidR="008C3126" w:rsidRPr="008725ED" w:rsidRDefault="00D87DB7" w:rsidP="00F24919">
      <w:pPr>
        <w:pStyle w:val="ListParagraph"/>
        <w:numPr>
          <w:ilvl w:val="0"/>
          <w:numId w:val="43"/>
        </w:numPr>
        <w:spacing w:after="120" w:line="240" w:lineRule="auto"/>
        <w:contextualSpacing w:val="0"/>
        <w:rPr>
          <w:rFonts w:ascii="Arial" w:hAnsi="Arial" w:cs="Arial"/>
          <w:sz w:val="20"/>
          <w:szCs w:val="20"/>
          <w:lang w:val="fr-FR"/>
        </w:rPr>
      </w:pPr>
      <w:r w:rsidRPr="008725ED">
        <w:rPr>
          <w:rFonts w:ascii="Arial" w:hAnsi="Arial" w:cs="Arial"/>
          <w:sz w:val="20"/>
          <w:szCs w:val="20"/>
          <w:lang w:val="fr-FR"/>
        </w:rPr>
        <w:t>écart minimal entre les variétés;  et</w:t>
      </w:r>
    </w:p>
    <w:p w:rsidR="008C3126" w:rsidRPr="008725ED" w:rsidRDefault="00D87DB7" w:rsidP="00F24919">
      <w:pPr>
        <w:pStyle w:val="ListParagraph"/>
        <w:numPr>
          <w:ilvl w:val="0"/>
          <w:numId w:val="43"/>
        </w:numPr>
        <w:spacing w:after="0" w:line="240" w:lineRule="auto"/>
        <w:contextualSpacing w:val="0"/>
        <w:rPr>
          <w:rFonts w:ascii="Arial" w:hAnsi="Arial" w:cs="Arial"/>
          <w:sz w:val="20"/>
          <w:szCs w:val="20"/>
          <w:lang w:val="fr-FR"/>
        </w:rPr>
      </w:pPr>
      <w:r w:rsidRPr="008725ED">
        <w:rPr>
          <w:rFonts w:ascii="Arial" w:hAnsi="Arial" w:cs="Arial"/>
          <w:sz w:val="20"/>
          <w:szCs w:val="20"/>
          <w:lang w:val="fr-FR"/>
        </w:rPr>
        <w:t>méthode d</w:t>
      </w:r>
      <w:r w:rsidR="00EF1779" w:rsidRPr="008725ED">
        <w:rPr>
          <w:rFonts w:ascii="Arial" w:hAnsi="Arial" w:cs="Arial"/>
          <w:sz w:val="20"/>
          <w:szCs w:val="20"/>
          <w:lang w:val="fr-FR"/>
        </w:rPr>
        <w:t>’</w:t>
      </w:r>
      <w:r w:rsidRPr="008725ED">
        <w:rPr>
          <w:rFonts w:ascii="Arial" w:hAnsi="Arial" w:cs="Arial"/>
          <w:sz w:val="20"/>
          <w:szCs w:val="20"/>
          <w:lang w:val="fr-FR"/>
        </w:rPr>
        <w:t>observation des caractères dérivés.</w:t>
      </w:r>
    </w:p>
    <w:p w:rsidR="008C3126" w:rsidRPr="008725ED" w:rsidRDefault="008C3126" w:rsidP="00D87DB7">
      <w:pPr>
        <w:ind w:left="567" w:hanging="567"/>
        <w:rPr>
          <w:rFonts w:cs="Arial"/>
          <w:lang w:val="fr-FR"/>
        </w:rPr>
      </w:pPr>
    </w:p>
    <w:p w:rsidR="008C3126" w:rsidRPr="008725ED" w:rsidRDefault="008C3126" w:rsidP="00D87DB7">
      <w:pPr>
        <w:ind w:left="567" w:hanging="567"/>
        <w:rPr>
          <w:rFonts w:cs="Arial"/>
          <w:lang w:val="fr-FR"/>
        </w:rPr>
      </w:pPr>
    </w:p>
    <w:p w:rsidR="008C3126" w:rsidRPr="008725ED" w:rsidRDefault="00D87DB7" w:rsidP="00382CC4">
      <w:pPr>
        <w:pStyle w:val="Heading2"/>
        <w:rPr>
          <w:lang w:val="fr-FR"/>
        </w:rPr>
      </w:pPr>
      <w:bookmarkStart w:id="7" w:name="_Toc494207945"/>
      <w:r w:rsidRPr="008725ED">
        <w:rPr>
          <w:lang w:val="fr-FR"/>
        </w:rPr>
        <w:t>Documents TGP</w:t>
      </w:r>
      <w:bookmarkEnd w:id="7"/>
    </w:p>
    <w:p w:rsidR="008C3126" w:rsidRPr="008725ED" w:rsidRDefault="008C3126" w:rsidP="00D87DB7">
      <w:pPr>
        <w:keepNext/>
        <w:rPr>
          <w:snapToGrid w:val="0"/>
          <w:lang w:val="fr-FR"/>
        </w:rPr>
      </w:pPr>
    </w:p>
    <w:p w:rsidR="008C3126" w:rsidRPr="008725ED" w:rsidRDefault="00D87DB7" w:rsidP="00382CC4">
      <w:pPr>
        <w:pStyle w:val="Heading3"/>
        <w:rPr>
          <w:snapToGrid w:val="0"/>
        </w:rPr>
      </w:pPr>
      <w:bookmarkStart w:id="8" w:name="_Toc494207946"/>
      <w:r w:rsidRPr="008725ED">
        <w:rPr>
          <w:snapToGrid w:val="0"/>
        </w:rPr>
        <w:t>Futures révisions des documents TGP</w:t>
      </w:r>
      <w:bookmarkEnd w:id="8"/>
    </w:p>
    <w:p w:rsidR="008C3126" w:rsidRPr="008725ED" w:rsidRDefault="008C3126" w:rsidP="00D87DB7">
      <w:pPr>
        <w:keepNext/>
        <w:ind w:left="567"/>
        <w:rPr>
          <w:snapToGrid w:val="0"/>
          <w:lang w:val="fr-FR"/>
        </w:rPr>
      </w:pPr>
    </w:p>
    <w:p w:rsidR="008C3126" w:rsidRPr="00382CC4" w:rsidRDefault="00D87DB7" w:rsidP="00382CC4">
      <w:pPr>
        <w:pStyle w:val="Heading4"/>
      </w:pPr>
      <w:r w:rsidRPr="00382CC4">
        <w:t>TGP/7</w:t>
      </w:r>
      <w:r w:rsidR="00EF1779" w:rsidRPr="00382CC4">
        <w:t> :</w:t>
      </w:r>
      <w:r w:rsidRPr="00382CC4">
        <w:t xml:space="preserve"> </w:t>
      </w:r>
      <w:r w:rsidRPr="00382CC4">
        <w:tab/>
        <w:t>Élaboration des principes directeurs d</w:t>
      </w:r>
      <w:r w:rsidR="00EF1779" w:rsidRPr="00382CC4">
        <w:t>’</w:t>
      </w:r>
      <w:r w:rsidRPr="00382CC4">
        <w:t>examen</w:t>
      </w:r>
    </w:p>
    <w:p w:rsidR="008C3126" w:rsidRPr="008725ED" w:rsidRDefault="008C3126" w:rsidP="00D87DB7">
      <w:pPr>
        <w:keepNext/>
        <w:rPr>
          <w:i/>
          <w:lang w:val="fr-FR"/>
        </w:rPr>
      </w:pPr>
    </w:p>
    <w:p w:rsidR="008C3126" w:rsidRPr="00382CC4" w:rsidRDefault="00D87DB7" w:rsidP="00382CC4">
      <w:pPr>
        <w:pStyle w:val="Heading5"/>
      </w:pPr>
      <w:r w:rsidRPr="00382CC4">
        <w:rPr>
          <w:i/>
        </w:rPr>
        <w:t>Révision du document TGP/7</w:t>
      </w:r>
      <w:r w:rsidR="00EF1779" w:rsidRPr="00382CC4">
        <w:t> :</w:t>
      </w:r>
      <w:r w:rsidRPr="00382CC4">
        <w:t xml:space="preserve"> Matériel pour les rédacteurs de principes directeurs d</w:t>
      </w:r>
      <w:r w:rsidR="00EF1779" w:rsidRPr="00382CC4">
        <w:t>’</w:t>
      </w:r>
      <w:r w:rsidRPr="00382CC4">
        <w:t>examen</w:t>
      </w:r>
    </w:p>
    <w:p w:rsidR="008C3126" w:rsidRPr="008725ED" w:rsidRDefault="008C3126" w:rsidP="00D87DB7">
      <w:pPr>
        <w:keepNext/>
        <w:rPr>
          <w:lang w:val="fr-FR"/>
        </w:rPr>
      </w:pPr>
    </w:p>
    <w:p w:rsidR="008C3126" w:rsidRPr="008725ED" w:rsidRDefault="00D87DB7" w:rsidP="00D87DB7">
      <w:pPr>
        <w:keepNext/>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523132" w:rsidRPr="008725ED">
        <w:rPr>
          <w:lang w:val="fr-FR"/>
        </w:rPr>
        <w:t>a examiné</w:t>
      </w:r>
      <w:r w:rsidRPr="008725ED">
        <w:rPr>
          <w:lang w:val="fr-FR"/>
        </w:rPr>
        <w:t xml:space="preserve"> le </w:t>
      </w:r>
      <w:r w:rsidR="00EF1779" w:rsidRPr="008725ED">
        <w:rPr>
          <w:lang w:val="fr-FR"/>
        </w:rPr>
        <w:t>document TC</w:t>
      </w:r>
      <w:r w:rsidRPr="008725ED">
        <w:rPr>
          <w:lang w:val="fr-FR"/>
        </w:rPr>
        <w:t>/53/15.</w:t>
      </w:r>
    </w:p>
    <w:p w:rsidR="008C3126" w:rsidRPr="008725ED" w:rsidRDefault="008C3126" w:rsidP="00D87DB7">
      <w:pPr>
        <w:keepNext/>
        <w:rPr>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00523132" w:rsidRPr="008725ED">
        <w:rPr>
          <w:lang w:val="fr-FR"/>
        </w:rPr>
        <w:tab/>
        <w:t>Le</w:t>
      </w:r>
      <w:r w:rsidR="00EF1779" w:rsidRPr="008725ED">
        <w:rPr>
          <w:lang w:val="fr-FR"/>
        </w:rPr>
        <w:t> TC</w:t>
      </w:r>
      <w:r w:rsidR="00523132" w:rsidRPr="008725ED">
        <w:rPr>
          <w:lang w:val="fr-FR"/>
        </w:rPr>
        <w:t xml:space="preserve"> a approuvé</w:t>
      </w:r>
      <w:r w:rsidRPr="008725ED">
        <w:rPr>
          <w:lang w:val="fr-FR"/>
        </w:rPr>
        <w:t xml:space="preserve"> les propositions de révision du document TGP/7 “Élaboration des principes directeurs d</w:t>
      </w:r>
      <w:r w:rsidR="00EF1779" w:rsidRPr="008725ED">
        <w:rPr>
          <w:lang w:val="fr-FR"/>
        </w:rPr>
        <w:t>’</w:t>
      </w:r>
      <w:r w:rsidRPr="008725ED">
        <w:rPr>
          <w:lang w:val="fr-FR"/>
        </w:rPr>
        <w:t>examen” afin de tenir compte de l</w:t>
      </w:r>
      <w:r w:rsidR="00EF1779" w:rsidRPr="008725ED">
        <w:rPr>
          <w:lang w:val="fr-FR"/>
        </w:rPr>
        <w:t>’</w:t>
      </w:r>
      <w:r w:rsidRPr="008725ED">
        <w:rPr>
          <w:lang w:val="fr-FR"/>
        </w:rPr>
        <w:t>introduction du modèle de principes directeurs d</w:t>
      </w:r>
      <w:r w:rsidR="00EF1779" w:rsidRPr="008725ED">
        <w:rPr>
          <w:lang w:val="fr-FR"/>
        </w:rPr>
        <w:t>’</w:t>
      </w:r>
      <w:r w:rsidRPr="008725ED">
        <w:rPr>
          <w:lang w:val="fr-FR"/>
        </w:rPr>
        <w:t xml:space="preserve">examen fondé sur le Web, comme indiqué aux paragraphes 7 à 11 du </w:t>
      </w:r>
      <w:r w:rsidR="00EF1779" w:rsidRPr="008725ED">
        <w:rPr>
          <w:lang w:val="fr-FR"/>
        </w:rPr>
        <w:t>document TC</w:t>
      </w:r>
      <w:r w:rsidRPr="008725ED">
        <w:rPr>
          <w:lang w:val="fr-FR"/>
        </w:rPr>
        <w:t xml:space="preserve">/53/15 et </w:t>
      </w:r>
      <w:r w:rsidR="00523132" w:rsidRPr="008725ED">
        <w:rPr>
          <w:lang w:val="fr-FR"/>
        </w:rPr>
        <w:t>est convenu</w:t>
      </w:r>
      <w:r w:rsidRPr="008725ED">
        <w:rPr>
          <w:lang w:val="fr-FR"/>
        </w:rPr>
        <w:t xml:space="preserve"> qu</w:t>
      </w:r>
      <w:r w:rsidR="00EF1779" w:rsidRPr="008725ED">
        <w:rPr>
          <w:lang w:val="fr-FR"/>
        </w:rPr>
        <w:t>’</w:t>
      </w:r>
      <w:r w:rsidRPr="008725ED">
        <w:rPr>
          <w:lang w:val="fr-FR"/>
        </w:rPr>
        <w:t>une versio</w:t>
      </w:r>
      <w:r w:rsidR="00523132" w:rsidRPr="008725ED">
        <w:rPr>
          <w:lang w:val="fr-FR"/>
        </w:rPr>
        <w:t>n révisée du document TGP/7 devait</w:t>
      </w:r>
      <w:r w:rsidRPr="008725ED">
        <w:rPr>
          <w:lang w:val="fr-FR"/>
        </w:rPr>
        <w:t xml:space="preserve"> être présentée au Conseil pour adoption en 2018 sur cette base, sous réserve de l</w:t>
      </w:r>
      <w:r w:rsidR="00EF1779" w:rsidRPr="008725ED">
        <w:rPr>
          <w:lang w:val="fr-FR"/>
        </w:rPr>
        <w:t>’</w:t>
      </w:r>
      <w:r w:rsidRPr="008725ED">
        <w:rPr>
          <w:lang w:val="fr-FR"/>
        </w:rPr>
        <w:t>approbation par le CAJ.</w:t>
      </w:r>
    </w:p>
    <w:p w:rsidR="008C3126" w:rsidRPr="008725ED" w:rsidRDefault="008C3126" w:rsidP="00D87DB7">
      <w:pPr>
        <w:rPr>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523132" w:rsidRPr="008725ED">
        <w:rPr>
          <w:lang w:val="fr-FR"/>
        </w:rPr>
        <w:t>a indiqué</w:t>
      </w:r>
      <w:r w:rsidRPr="008725ED">
        <w:rPr>
          <w:lang w:val="fr-FR"/>
        </w:rPr>
        <w:t xml:space="preserve"> que l</w:t>
      </w:r>
      <w:r w:rsidR="00EF1779" w:rsidRPr="008725ED">
        <w:rPr>
          <w:lang w:val="fr-FR"/>
        </w:rPr>
        <w:t>’</w:t>
      </w:r>
      <w:r w:rsidRPr="008725ED">
        <w:rPr>
          <w:lang w:val="fr-FR"/>
        </w:rPr>
        <w:t>annexe 4 du document TGP/7</w:t>
      </w:r>
      <w:r w:rsidR="00EF1779" w:rsidRPr="008725ED">
        <w:rPr>
          <w:lang w:val="fr-FR"/>
        </w:rPr>
        <w:t> :</w:t>
      </w:r>
      <w:r w:rsidRPr="008725ED">
        <w:rPr>
          <w:lang w:val="fr-FR"/>
        </w:rPr>
        <w:t xml:space="preserve"> “Liste des caractères approuvés” sera</w:t>
      </w:r>
      <w:r w:rsidR="00523132" w:rsidRPr="008725ED">
        <w:rPr>
          <w:lang w:val="fr-FR"/>
        </w:rPr>
        <w:t>it</w:t>
      </w:r>
      <w:r w:rsidRPr="008725ED">
        <w:rPr>
          <w:lang w:val="fr-FR"/>
        </w:rPr>
        <w:t xml:space="preserve"> remplacée par le modèle de principes directeurs d</w:t>
      </w:r>
      <w:r w:rsidR="00EF1779" w:rsidRPr="008725ED">
        <w:rPr>
          <w:lang w:val="fr-FR"/>
        </w:rPr>
        <w:t>’</w:t>
      </w:r>
      <w:r w:rsidRPr="008725ED">
        <w:rPr>
          <w:lang w:val="fr-FR"/>
        </w:rPr>
        <w:t xml:space="preserve">examen fondé sur le Web et </w:t>
      </w:r>
      <w:r w:rsidR="00523132" w:rsidRPr="008725ED">
        <w:rPr>
          <w:lang w:val="fr-FR"/>
        </w:rPr>
        <w:t>est convenu</w:t>
      </w:r>
      <w:r w:rsidR="0000589A" w:rsidRPr="008725ED">
        <w:rPr>
          <w:lang w:val="fr-FR"/>
        </w:rPr>
        <w:t xml:space="preserve"> qu</w:t>
      </w:r>
      <w:r w:rsidR="00EF1779" w:rsidRPr="008725ED">
        <w:rPr>
          <w:lang w:val="fr-FR"/>
        </w:rPr>
        <w:t>’</w:t>
      </w:r>
      <w:r w:rsidR="0000589A" w:rsidRPr="008725ED">
        <w:rPr>
          <w:lang w:val="fr-FR"/>
        </w:rPr>
        <w:t>aucune modification ne de</w:t>
      </w:r>
      <w:r w:rsidR="00D43219" w:rsidRPr="008725ED">
        <w:rPr>
          <w:lang w:val="fr-FR"/>
        </w:rPr>
        <w:t>va</w:t>
      </w:r>
      <w:r w:rsidR="00523132" w:rsidRPr="008725ED">
        <w:rPr>
          <w:lang w:val="fr-FR"/>
        </w:rPr>
        <w:t>it</w:t>
      </w:r>
      <w:r w:rsidRPr="008725ED">
        <w:rPr>
          <w:lang w:val="fr-FR"/>
        </w:rPr>
        <w:t xml:space="preserve"> être apportée à la base d</w:t>
      </w:r>
      <w:r w:rsidR="00EF1779" w:rsidRPr="008725ED">
        <w:rPr>
          <w:lang w:val="fr-FR"/>
        </w:rPr>
        <w:t>’</w:t>
      </w:r>
      <w:r w:rsidRPr="008725ED">
        <w:rPr>
          <w:lang w:val="fr-FR"/>
        </w:rPr>
        <w:t>inclusion de caractères dans la liste, c</w:t>
      </w:r>
      <w:r w:rsidR="00EF1779" w:rsidRPr="008725ED">
        <w:rPr>
          <w:lang w:val="fr-FR"/>
        </w:rPr>
        <w:t>’</w:t>
      </w:r>
      <w:r w:rsidRPr="008725ED">
        <w:rPr>
          <w:lang w:val="fr-FR"/>
        </w:rPr>
        <w:t>est</w:t>
      </w:r>
      <w:r w:rsidR="00EF1779" w:rsidRPr="008725ED">
        <w:rPr>
          <w:lang w:val="fr-FR"/>
        </w:rPr>
        <w:t>-</w:t>
      </w:r>
      <w:r w:rsidRPr="008725ED">
        <w:rPr>
          <w:lang w:val="fr-FR"/>
        </w:rPr>
        <w:t>à</w:t>
      </w:r>
      <w:r w:rsidR="00EF1779" w:rsidRPr="008725ED">
        <w:rPr>
          <w:lang w:val="fr-FR"/>
        </w:rPr>
        <w:t>-</w:t>
      </w:r>
      <w:r w:rsidRPr="008725ED">
        <w:rPr>
          <w:lang w:val="fr-FR"/>
        </w:rPr>
        <w:t xml:space="preserve">dire que seuls les caractères qui </w:t>
      </w:r>
      <w:r w:rsidR="00523132" w:rsidRPr="008725ED">
        <w:rPr>
          <w:lang w:val="fr-FR"/>
        </w:rPr>
        <w:t>avaient</w:t>
      </w:r>
      <w:r w:rsidRPr="008725ED">
        <w:rPr>
          <w:lang w:val="fr-FR"/>
        </w:rPr>
        <w:t xml:space="preserve"> été inclus dans les principes directeurs d</w:t>
      </w:r>
      <w:r w:rsidR="00EF1779" w:rsidRPr="008725ED">
        <w:rPr>
          <w:lang w:val="fr-FR"/>
        </w:rPr>
        <w:t>’</w:t>
      </w:r>
      <w:r w:rsidRPr="008725ED">
        <w:rPr>
          <w:lang w:val="fr-FR"/>
        </w:rPr>
        <w:t>examen adoptés après l</w:t>
      </w:r>
      <w:r w:rsidR="00EF1779" w:rsidRPr="008725ED">
        <w:rPr>
          <w:lang w:val="fr-FR"/>
        </w:rPr>
        <w:t>’</w:t>
      </w:r>
      <w:r w:rsidRPr="008725ED">
        <w:rPr>
          <w:lang w:val="fr-FR"/>
        </w:rPr>
        <w:t>adoption du document TGP/7 (“caractères approuvés”) pour élaborer de nouveaux pr</w:t>
      </w:r>
      <w:r w:rsidR="00523132" w:rsidRPr="008725ED">
        <w:rPr>
          <w:lang w:val="fr-FR"/>
        </w:rPr>
        <w:t>incipes directeurs d</w:t>
      </w:r>
      <w:r w:rsidR="00EF1779" w:rsidRPr="008725ED">
        <w:rPr>
          <w:lang w:val="fr-FR"/>
        </w:rPr>
        <w:t>’</w:t>
      </w:r>
      <w:r w:rsidR="00523132" w:rsidRPr="008725ED">
        <w:rPr>
          <w:lang w:val="fr-FR"/>
        </w:rPr>
        <w:t>examen seraie</w:t>
      </w:r>
      <w:r w:rsidRPr="008725ED">
        <w:rPr>
          <w:lang w:val="fr-FR"/>
        </w:rPr>
        <w:t>nt consultables.</w:t>
      </w:r>
    </w:p>
    <w:p w:rsidR="008C3126" w:rsidRPr="008725ED" w:rsidRDefault="008C3126" w:rsidP="00D87DB7">
      <w:pPr>
        <w:rPr>
          <w:lang w:val="fr-FR"/>
        </w:rPr>
      </w:pPr>
    </w:p>
    <w:p w:rsidR="008C3126" w:rsidRPr="008725ED" w:rsidRDefault="00D87DB7" w:rsidP="00382CC4">
      <w:pPr>
        <w:pStyle w:val="Heading4"/>
      </w:pPr>
      <w:r w:rsidRPr="008725ED">
        <w:t>TGP/8</w:t>
      </w:r>
      <w:r w:rsidR="00EF1779" w:rsidRPr="008725ED">
        <w:t> :</w:t>
      </w:r>
      <w:r w:rsidRPr="008725ED">
        <w:t xml:space="preserve"> </w:t>
      </w:r>
      <w:r w:rsidRPr="008725ED">
        <w:tab/>
        <w:t>Protocole d</w:t>
      </w:r>
      <w:r w:rsidR="00EF1779" w:rsidRPr="008725ED">
        <w:t>’</w:t>
      </w:r>
      <w:r w:rsidRPr="008725ED">
        <w:t>essai et techniques utilisés dans l</w:t>
      </w:r>
      <w:r w:rsidR="00EF1779" w:rsidRPr="008725ED">
        <w:t>’</w:t>
      </w:r>
      <w:r w:rsidRPr="008725ED">
        <w:t>examen de la distinction, de l</w:t>
      </w:r>
      <w:r w:rsidR="00EF1779" w:rsidRPr="008725ED">
        <w:t>’</w:t>
      </w:r>
      <w:r w:rsidRPr="008725ED">
        <w:t>homogénéité et de la stabilité</w:t>
      </w:r>
    </w:p>
    <w:p w:rsidR="008C3126" w:rsidRPr="008725ED" w:rsidRDefault="008C3126" w:rsidP="00D87DB7">
      <w:pPr>
        <w:keepNext/>
        <w:autoSpaceDE w:val="0"/>
        <w:autoSpaceDN w:val="0"/>
        <w:adjustRightInd w:val="0"/>
        <w:rPr>
          <w:rFonts w:cs="Arial"/>
          <w:iCs/>
          <w:lang w:val="fr-FR"/>
        </w:rPr>
      </w:pPr>
    </w:p>
    <w:p w:rsidR="008C3126" w:rsidRPr="008725ED" w:rsidRDefault="00D87DB7" w:rsidP="00D87DB7">
      <w:pPr>
        <w:keepNext/>
        <w:autoSpaceDE w:val="0"/>
        <w:autoSpaceDN w:val="0"/>
        <w:adjustRightInd w:val="0"/>
        <w:rPr>
          <w:rFonts w:cs="Arial"/>
          <w:iCs/>
          <w:lang w:val="fr-FR"/>
        </w:rPr>
      </w:pPr>
      <w:r w:rsidRPr="008725ED">
        <w:rPr>
          <w:rFonts w:cs="Arial"/>
          <w:iCs/>
          <w:lang w:val="fr-FR"/>
        </w:rPr>
        <w:fldChar w:fldCharType="begin"/>
      </w:r>
      <w:r w:rsidRPr="008725ED">
        <w:rPr>
          <w:rFonts w:cs="Arial"/>
          <w:iCs/>
          <w:lang w:val="fr-FR"/>
        </w:rPr>
        <w:instrText xml:space="preserve"> AUTONUM  </w:instrText>
      </w:r>
      <w:r w:rsidRPr="008725ED">
        <w:rPr>
          <w:rFonts w:cs="Arial"/>
          <w:iCs/>
          <w:lang w:val="fr-FR"/>
        </w:rPr>
        <w:fldChar w:fldCharType="end"/>
      </w:r>
      <w:r w:rsidRPr="008725ED">
        <w:rPr>
          <w:rFonts w:cs="Arial"/>
          <w:iCs/>
          <w:lang w:val="fr-FR"/>
        </w:rPr>
        <w:tab/>
        <w:t>Le</w:t>
      </w:r>
      <w:r w:rsidR="00EF1779" w:rsidRPr="008725ED">
        <w:rPr>
          <w:rFonts w:cs="Arial"/>
          <w:iCs/>
          <w:lang w:val="fr-FR"/>
        </w:rPr>
        <w:t> TC</w:t>
      </w:r>
      <w:r w:rsidRPr="008725ED">
        <w:rPr>
          <w:rFonts w:cs="Arial"/>
          <w:iCs/>
          <w:lang w:val="fr-FR"/>
        </w:rPr>
        <w:t xml:space="preserve"> </w:t>
      </w:r>
      <w:r w:rsidR="00523132" w:rsidRPr="008725ED">
        <w:rPr>
          <w:rFonts w:cs="Arial"/>
          <w:iCs/>
          <w:lang w:val="fr-FR"/>
        </w:rPr>
        <w:t xml:space="preserve">est convenu </w:t>
      </w:r>
      <w:r w:rsidRPr="008725ED">
        <w:rPr>
          <w:rFonts w:cs="Arial"/>
          <w:iCs/>
          <w:lang w:val="fr-FR"/>
        </w:rPr>
        <w:t xml:space="preserve">que le document TGP/8 </w:t>
      </w:r>
      <w:r w:rsidR="00523132" w:rsidRPr="008725ED">
        <w:rPr>
          <w:rFonts w:cs="Arial"/>
          <w:iCs/>
          <w:lang w:val="fr-FR"/>
        </w:rPr>
        <w:t>devait</w:t>
      </w:r>
      <w:r w:rsidRPr="008725ED">
        <w:rPr>
          <w:rFonts w:cs="Arial"/>
          <w:iCs/>
          <w:lang w:val="fr-FR"/>
        </w:rPr>
        <w:t xml:space="preserve"> contenir un</w:t>
      </w:r>
      <w:r w:rsidRPr="008725ED">
        <w:rPr>
          <w:lang w:val="fr-FR"/>
        </w:rPr>
        <w:t xml:space="preserve"> </w:t>
      </w:r>
      <w:r w:rsidRPr="008725ED">
        <w:rPr>
          <w:rFonts w:cs="Arial"/>
          <w:iCs/>
          <w:lang w:val="fr-FR"/>
        </w:rPr>
        <w:t>paragraphe d</w:t>
      </w:r>
      <w:r w:rsidR="00EF1779" w:rsidRPr="008725ED">
        <w:rPr>
          <w:rFonts w:cs="Arial"/>
          <w:iCs/>
          <w:lang w:val="fr-FR"/>
        </w:rPr>
        <w:t>’</w:t>
      </w:r>
      <w:r w:rsidRPr="008725ED">
        <w:rPr>
          <w:rFonts w:cs="Arial"/>
          <w:iCs/>
          <w:lang w:val="fr-FR"/>
        </w:rPr>
        <w:t>introduction décrivant l</w:t>
      </w:r>
      <w:r w:rsidR="00EF1779" w:rsidRPr="008725ED">
        <w:rPr>
          <w:rFonts w:cs="Arial"/>
          <w:iCs/>
          <w:lang w:val="fr-FR"/>
        </w:rPr>
        <w:t>’</w:t>
      </w:r>
      <w:r w:rsidRPr="008725ED">
        <w:rPr>
          <w:rFonts w:cs="Arial"/>
          <w:iCs/>
          <w:lang w:val="fr-FR"/>
        </w:rPr>
        <w:t>objet du document.</w:t>
      </w:r>
    </w:p>
    <w:p w:rsidR="008C3126" w:rsidRPr="008725ED" w:rsidRDefault="008C3126" w:rsidP="00D87DB7">
      <w:pPr>
        <w:keepNext/>
        <w:autoSpaceDE w:val="0"/>
        <w:autoSpaceDN w:val="0"/>
        <w:adjustRightInd w:val="0"/>
        <w:rPr>
          <w:rFonts w:cs="Arial"/>
          <w:iCs/>
          <w:lang w:val="fr-FR"/>
        </w:rPr>
      </w:pPr>
    </w:p>
    <w:p w:rsidR="008C3126" w:rsidRPr="008725ED" w:rsidRDefault="00D87DB7" w:rsidP="00382CC4">
      <w:pPr>
        <w:pStyle w:val="Heading5"/>
      </w:pPr>
      <w:r w:rsidRPr="00382CC4">
        <w:rPr>
          <w:i/>
        </w:rPr>
        <w:t>Révision du document TGP/8</w:t>
      </w:r>
      <w:r w:rsidR="00EF1779" w:rsidRPr="008725ED">
        <w:t> :</w:t>
      </w:r>
      <w:r w:rsidRPr="008725ED">
        <w:t xml:space="preserve"> deuxième partie</w:t>
      </w:r>
      <w:r w:rsidR="00EF1779" w:rsidRPr="008725ED">
        <w:t> :</w:t>
      </w:r>
      <w:r w:rsidRPr="008725ED">
        <w:t xml:space="preserve"> quelques techniques utilisées dans l</w:t>
      </w:r>
      <w:r w:rsidR="00EF1779" w:rsidRPr="008725ED">
        <w:t>’</w:t>
      </w:r>
      <w:r w:rsidRPr="008725ED">
        <w:t>examen DHS, section 9</w:t>
      </w:r>
      <w:r w:rsidR="00EF1779" w:rsidRPr="008725ED">
        <w:t> :</w:t>
      </w:r>
      <w:r w:rsidRPr="008725ED">
        <w:t xml:space="preserve"> analyse globale de l</w:t>
      </w:r>
      <w:r w:rsidR="00EF1779" w:rsidRPr="008725ED">
        <w:t>’</w:t>
      </w:r>
      <w:r w:rsidRPr="008725ED">
        <w:t>homogénéité sur plusieurs années (méthode d</w:t>
      </w:r>
      <w:r w:rsidR="00EF1779" w:rsidRPr="008725ED">
        <w:t>’</w:t>
      </w:r>
      <w:r w:rsidRPr="008725ED">
        <w:t>analyse COYU)</w:t>
      </w:r>
    </w:p>
    <w:p w:rsidR="008C3126" w:rsidRPr="008725ED" w:rsidRDefault="008C3126" w:rsidP="00D87DB7">
      <w:pPr>
        <w:keepNext/>
        <w:rPr>
          <w:lang w:val="fr-FR"/>
        </w:rPr>
      </w:pPr>
    </w:p>
    <w:p w:rsidR="008C3126" w:rsidRPr="008725ED" w:rsidRDefault="00D87DB7" w:rsidP="00D87DB7">
      <w:pPr>
        <w:keepNext/>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523132" w:rsidRPr="008725ED">
        <w:rPr>
          <w:lang w:val="fr-FR"/>
        </w:rPr>
        <w:t>a examiné</w:t>
      </w:r>
      <w:r w:rsidRPr="008725ED">
        <w:rPr>
          <w:lang w:val="fr-FR"/>
        </w:rPr>
        <w:t xml:space="preserve"> le </w:t>
      </w:r>
      <w:r w:rsidR="00EF1779" w:rsidRPr="008725ED">
        <w:rPr>
          <w:lang w:val="fr-FR"/>
        </w:rPr>
        <w:t>document TC</w:t>
      </w:r>
      <w:r w:rsidRPr="008725ED">
        <w:rPr>
          <w:lang w:val="fr-FR"/>
        </w:rPr>
        <w:t>/53/16.</w:t>
      </w:r>
    </w:p>
    <w:p w:rsidR="008C3126" w:rsidRPr="008725ED" w:rsidRDefault="008C3126" w:rsidP="00D87DB7">
      <w:pPr>
        <w:keepNext/>
        <w:tabs>
          <w:tab w:val="left" w:pos="1993"/>
        </w:tabs>
        <w:rPr>
          <w:lang w:val="fr-FR"/>
        </w:rPr>
      </w:pPr>
    </w:p>
    <w:p w:rsidR="008C3126" w:rsidRPr="008725ED" w:rsidRDefault="00D87DB7" w:rsidP="00D87DB7">
      <w:pPr>
        <w:rPr>
          <w:iCs/>
          <w:lang w:val="fr-FR"/>
        </w:rPr>
      </w:pPr>
      <w:r w:rsidRPr="008725ED">
        <w:rPr>
          <w:lang w:val="fr-FR"/>
        </w:rPr>
        <w:fldChar w:fldCharType="begin"/>
      </w:r>
      <w:r w:rsidRPr="008725ED">
        <w:rPr>
          <w:lang w:val="fr-FR"/>
        </w:rPr>
        <w:instrText xml:space="preserve"> AUTONUM  </w:instrText>
      </w:r>
      <w:r w:rsidRPr="008725ED">
        <w:rPr>
          <w:lang w:val="fr-FR"/>
        </w:rPr>
        <w:fldChar w:fldCharType="end"/>
      </w:r>
      <w:r w:rsidR="00523132" w:rsidRPr="008725ED">
        <w:rPr>
          <w:lang w:val="fr-FR"/>
        </w:rPr>
        <w:tab/>
        <w:t>Le</w:t>
      </w:r>
      <w:r w:rsidR="00EF1779" w:rsidRPr="008725ED">
        <w:rPr>
          <w:lang w:val="fr-FR"/>
        </w:rPr>
        <w:t> TC</w:t>
      </w:r>
      <w:r w:rsidR="00523132" w:rsidRPr="008725ED">
        <w:rPr>
          <w:lang w:val="fr-FR"/>
        </w:rPr>
        <w:t xml:space="preserve"> a noté</w:t>
      </w:r>
      <w:r w:rsidRPr="008725ED">
        <w:rPr>
          <w:lang w:val="fr-FR"/>
        </w:rPr>
        <w:t xml:space="preserve"> que</w:t>
      </w:r>
    </w:p>
    <w:p w:rsidR="008C3126" w:rsidRPr="008725ED" w:rsidRDefault="008C3126" w:rsidP="00D87DB7">
      <w:pPr>
        <w:rPr>
          <w:iCs/>
          <w:lang w:val="fr-FR"/>
        </w:rPr>
      </w:pPr>
    </w:p>
    <w:p w:rsidR="008C3126" w:rsidRPr="008725ED" w:rsidRDefault="00D87DB7" w:rsidP="00D87DB7">
      <w:pPr>
        <w:numPr>
          <w:ilvl w:val="0"/>
          <w:numId w:val="17"/>
        </w:numPr>
        <w:spacing w:after="200"/>
        <w:ind w:left="1134" w:hanging="567"/>
        <w:rPr>
          <w:iCs/>
          <w:lang w:val="fr-FR"/>
        </w:rPr>
      </w:pPr>
      <w:r w:rsidRPr="008725ED">
        <w:rPr>
          <w:iCs/>
          <w:lang w:val="fr-FR"/>
        </w:rPr>
        <w:t>le Bureau de l</w:t>
      </w:r>
      <w:r w:rsidR="00EF1779" w:rsidRPr="008725ED">
        <w:rPr>
          <w:iCs/>
          <w:lang w:val="fr-FR"/>
        </w:rPr>
        <w:t>’</w:t>
      </w:r>
      <w:r w:rsidRPr="008725ED">
        <w:rPr>
          <w:iCs/>
          <w:lang w:val="fr-FR"/>
        </w:rPr>
        <w:t>Union avait émis la circulaire E</w:t>
      </w:r>
      <w:r w:rsidR="00EF1779" w:rsidRPr="008725ED">
        <w:rPr>
          <w:iCs/>
          <w:lang w:val="fr-FR"/>
        </w:rPr>
        <w:t>-</w:t>
      </w:r>
      <w:r w:rsidRPr="008725ED">
        <w:rPr>
          <w:iCs/>
          <w:lang w:val="fr-FR"/>
        </w:rPr>
        <w:t>16/098 de l</w:t>
      </w:r>
      <w:r w:rsidR="00EF1779" w:rsidRPr="008725ED">
        <w:rPr>
          <w:iCs/>
          <w:lang w:val="fr-FR"/>
        </w:rPr>
        <w:t>’</w:t>
      </w:r>
      <w:r w:rsidRPr="008725ED">
        <w:rPr>
          <w:iCs/>
          <w:lang w:val="fr-FR"/>
        </w:rPr>
        <w:t>UPOV invitant les experts des membres de l</w:t>
      </w:r>
      <w:r w:rsidR="00EF1779" w:rsidRPr="008725ED">
        <w:rPr>
          <w:iCs/>
          <w:lang w:val="fr-FR"/>
        </w:rPr>
        <w:t>’</w:t>
      </w:r>
      <w:r w:rsidRPr="008725ED">
        <w:rPr>
          <w:iCs/>
          <w:lang w:val="fr-FR"/>
        </w:rPr>
        <w:t>UPOV à fournir au Royaume</w:t>
      </w:r>
      <w:r w:rsidR="00EF1779" w:rsidRPr="008725ED">
        <w:rPr>
          <w:iCs/>
          <w:lang w:val="fr-FR"/>
        </w:rPr>
        <w:t>-</w:t>
      </w:r>
      <w:r w:rsidRPr="008725ED">
        <w:rPr>
          <w:iCs/>
          <w:lang w:val="fr-FR"/>
        </w:rPr>
        <w:t>Uni, d</w:t>
      </w:r>
      <w:r w:rsidR="00EF1779" w:rsidRPr="008725ED">
        <w:rPr>
          <w:iCs/>
          <w:lang w:val="fr-FR"/>
        </w:rPr>
        <w:t>’</w:t>
      </w:r>
      <w:r w:rsidRPr="008725ED">
        <w:rPr>
          <w:iCs/>
          <w:lang w:val="fr-FR"/>
        </w:rPr>
        <w:t>ici le 27 mai 2016, des séries de données comprenant au moins 100 variétés candidates, avec la possibilité de disposer de données relatives à ces 100 variétés sur plusieurs années,</w:t>
      </w:r>
    </w:p>
    <w:p w:rsidR="008C3126" w:rsidRPr="008725ED" w:rsidRDefault="00D87DB7" w:rsidP="00D87DB7">
      <w:pPr>
        <w:numPr>
          <w:ilvl w:val="0"/>
          <w:numId w:val="17"/>
        </w:numPr>
        <w:ind w:left="1134" w:hanging="567"/>
        <w:rPr>
          <w:lang w:val="fr-FR"/>
        </w:rPr>
      </w:pPr>
      <w:r w:rsidRPr="008725ED">
        <w:rPr>
          <w:lang w:val="fr-FR"/>
        </w:rPr>
        <w:t>le TWC avait reçu un rapport d</w:t>
      </w:r>
      <w:r w:rsidR="00EF1779" w:rsidRPr="008725ED">
        <w:rPr>
          <w:lang w:val="fr-FR"/>
        </w:rPr>
        <w:t>’</w:t>
      </w:r>
      <w:r w:rsidRPr="008725ED">
        <w:rPr>
          <w:lang w:val="fr-FR"/>
        </w:rPr>
        <w:t>un expert du Royaume</w:t>
      </w:r>
      <w:r w:rsidR="00EF1779" w:rsidRPr="008725ED">
        <w:rPr>
          <w:lang w:val="fr-FR"/>
        </w:rPr>
        <w:t>-</w:t>
      </w:r>
      <w:r w:rsidRPr="008725ED">
        <w:rPr>
          <w:lang w:val="fr-FR"/>
        </w:rPr>
        <w:t>Uni selon lequel la Slovaquie avait soumis une série de données sur la fétuque rouge et le Danemark était convenu de transmettre une série de données sur le canola de printemps et d</w:t>
      </w:r>
      <w:r w:rsidR="00EF1779" w:rsidRPr="008725ED">
        <w:rPr>
          <w:lang w:val="fr-FR"/>
        </w:rPr>
        <w:t>’</w:t>
      </w:r>
      <w:r w:rsidRPr="008725ED">
        <w:rPr>
          <w:lang w:val="fr-FR"/>
        </w:rPr>
        <w:t>hiver ultérieurement en 2016,</w:t>
      </w:r>
    </w:p>
    <w:p w:rsidR="008C3126" w:rsidRPr="008725ED" w:rsidRDefault="008C3126" w:rsidP="00D87DB7">
      <w:pPr>
        <w:ind w:left="1134" w:hanging="567"/>
        <w:rPr>
          <w:sz w:val="16"/>
          <w:lang w:val="fr-FR"/>
        </w:rPr>
      </w:pPr>
    </w:p>
    <w:p w:rsidR="008C3126" w:rsidRPr="008725ED" w:rsidRDefault="00D87DB7" w:rsidP="00D87DB7">
      <w:pPr>
        <w:numPr>
          <w:ilvl w:val="0"/>
          <w:numId w:val="17"/>
        </w:numPr>
        <w:ind w:left="1134" w:hanging="567"/>
        <w:rPr>
          <w:iCs/>
          <w:lang w:val="fr-FR"/>
        </w:rPr>
      </w:pPr>
      <w:r w:rsidRPr="008725ED">
        <w:rPr>
          <w:iCs/>
          <w:lang w:val="fr-FR"/>
        </w:rPr>
        <w:t>le TWC avait reçu des propositions de la Chine et de la France visant à soumettre respectivement des séries de données sur le maïs et la fétuque,</w:t>
      </w:r>
    </w:p>
    <w:p w:rsidR="008C3126" w:rsidRPr="008725ED" w:rsidRDefault="008C3126" w:rsidP="00D87DB7">
      <w:pPr>
        <w:ind w:left="1134" w:hanging="567"/>
        <w:rPr>
          <w:sz w:val="16"/>
          <w:lang w:val="fr-FR"/>
        </w:rPr>
      </w:pPr>
    </w:p>
    <w:p w:rsidR="008C3126" w:rsidRPr="008725ED" w:rsidRDefault="00D87DB7" w:rsidP="00D87DB7">
      <w:pPr>
        <w:numPr>
          <w:ilvl w:val="0"/>
          <w:numId w:val="17"/>
        </w:numPr>
        <w:ind w:left="1134" w:hanging="567"/>
        <w:rPr>
          <w:lang w:val="fr-FR"/>
        </w:rPr>
      </w:pPr>
      <w:r w:rsidRPr="008725ED">
        <w:rPr>
          <w:lang w:val="fr-FR"/>
        </w:rPr>
        <w:t>le TWC était convenu d</w:t>
      </w:r>
      <w:r w:rsidR="00EF1779" w:rsidRPr="008725ED">
        <w:rPr>
          <w:lang w:val="fr-FR"/>
        </w:rPr>
        <w:t>’</w:t>
      </w:r>
      <w:r w:rsidRPr="008725ED">
        <w:rPr>
          <w:lang w:val="fr-FR"/>
        </w:rPr>
        <w:t>inviter l</w:t>
      </w:r>
      <w:r w:rsidR="00EF1779" w:rsidRPr="008725ED">
        <w:rPr>
          <w:lang w:val="fr-FR"/>
        </w:rPr>
        <w:t>’</w:t>
      </w:r>
      <w:r w:rsidRPr="008725ED">
        <w:rPr>
          <w:lang w:val="fr-FR"/>
        </w:rPr>
        <w:t>expert du Royaume</w:t>
      </w:r>
      <w:r w:rsidR="00EF1779" w:rsidRPr="008725ED">
        <w:rPr>
          <w:lang w:val="fr-FR"/>
        </w:rPr>
        <w:t>-</w:t>
      </w:r>
      <w:r w:rsidRPr="008725ED">
        <w:rPr>
          <w:lang w:val="fr-FR"/>
        </w:rPr>
        <w:t>Uni à faire rapport sur les progrès accomplis au cours de la trente</w:t>
      </w:r>
      <w:r w:rsidR="00EF1779" w:rsidRPr="008725ED">
        <w:rPr>
          <w:lang w:val="fr-FR"/>
        </w:rPr>
        <w:t>-</w:t>
      </w:r>
      <w:r w:rsidRPr="008725ED">
        <w:rPr>
          <w:lang w:val="fr-FR"/>
        </w:rPr>
        <w:t>cinqu</w:t>
      </w:r>
      <w:r w:rsidR="00EF1779" w:rsidRPr="008725ED">
        <w:rPr>
          <w:lang w:val="fr-FR"/>
        </w:rPr>
        <w:t>ième session</w:t>
      </w:r>
      <w:r w:rsidRPr="008725ED">
        <w:rPr>
          <w:lang w:val="fr-FR"/>
        </w:rPr>
        <w:t xml:space="preserve"> du TWC,</w:t>
      </w:r>
    </w:p>
    <w:p w:rsidR="008C3126" w:rsidRPr="008725ED" w:rsidRDefault="008C3126" w:rsidP="00D87DB7">
      <w:pPr>
        <w:ind w:left="1134" w:hanging="567"/>
        <w:rPr>
          <w:sz w:val="16"/>
          <w:lang w:val="fr-FR"/>
        </w:rPr>
      </w:pPr>
    </w:p>
    <w:p w:rsidR="008C3126" w:rsidRPr="008725ED" w:rsidRDefault="00D87DB7" w:rsidP="00D87DB7">
      <w:pPr>
        <w:numPr>
          <w:ilvl w:val="0"/>
          <w:numId w:val="17"/>
        </w:numPr>
        <w:ind w:left="1134" w:hanging="567"/>
        <w:rPr>
          <w:lang w:val="fr-FR"/>
        </w:rPr>
      </w:pPr>
      <w:r w:rsidRPr="008725ED">
        <w:rPr>
          <w:lang w:val="fr-FR"/>
        </w:rPr>
        <w:t>le TWO avait souligné que la méthode de calcul de la COYU n</w:t>
      </w:r>
      <w:r w:rsidR="00EF1779" w:rsidRPr="008725ED">
        <w:rPr>
          <w:lang w:val="fr-FR"/>
        </w:rPr>
        <w:t>’</w:t>
      </w:r>
      <w:r w:rsidRPr="008725ED">
        <w:rPr>
          <w:lang w:val="fr-FR"/>
        </w:rPr>
        <w:t>était pas couramment utilisée pour l</w:t>
      </w:r>
      <w:r w:rsidR="00EF1779" w:rsidRPr="008725ED">
        <w:rPr>
          <w:lang w:val="fr-FR"/>
        </w:rPr>
        <w:t>’</w:t>
      </w:r>
      <w:r w:rsidRPr="008725ED">
        <w:rPr>
          <w:lang w:val="fr-FR"/>
        </w:rPr>
        <w:t>examen DHS des plantes ornementales,</w:t>
      </w:r>
    </w:p>
    <w:p w:rsidR="008C3126" w:rsidRPr="008725ED" w:rsidRDefault="008C3126" w:rsidP="00D87DB7">
      <w:pPr>
        <w:ind w:left="1134" w:hanging="567"/>
        <w:rPr>
          <w:sz w:val="16"/>
          <w:lang w:val="fr-FR"/>
        </w:rPr>
      </w:pPr>
    </w:p>
    <w:p w:rsidR="008C3126" w:rsidRPr="008725ED" w:rsidRDefault="00D87DB7" w:rsidP="00D87DB7">
      <w:pPr>
        <w:numPr>
          <w:ilvl w:val="0"/>
          <w:numId w:val="17"/>
        </w:numPr>
        <w:ind w:left="1134" w:hanging="567"/>
        <w:rPr>
          <w:iCs/>
          <w:lang w:val="fr-FR"/>
        </w:rPr>
      </w:pPr>
      <w:r w:rsidRPr="008725ED">
        <w:rPr>
          <w:iCs/>
          <w:lang w:val="fr-FR"/>
        </w:rPr>
        <w:t>le TWV avait reçu des propositions des experts de la France et du Royaume</w:t>
      </w:r>
      <w:r w:rsidR="00EF1779" w:rsidRPr="008725ED">
        <w:rPr>
          <w:iCs/>
          <w:lang w:val="fr-FR"/>
        </w:rPr>
        <w:t>-</w:t>
      </w:r>
      <w:r w:rsidRPr="008725ED">
        <w:rPr>
          <w:iCs/>
          <w:lang w:val="fr-FR"/>
        </w:rPr>
        <w:t>Uni visant à soumettre respectivement des séries de données sur le pois et le pois fourrager,</w:t>
      </w:r>
    </w:p>
    <w:p w:rsidR="008C3126" w:rsidRPr="008725ED" w:rsidRDefault="008C3126" w:rsidP="00D87DB7">
      <w:pPr>
        <w:ind w:left="1134" w:hanging="567"/>
        <w:rPr>
          <w:sz w:val="16"/>
          <w:lang w:val="fr-FR"/>
        </w:rPr>
      </w:pPr>
    </w:p>
    <w:p w:rsidR="008C3126" w:rsidRPr="008725ED" w:rsidRDefault="00D87DB7" w:rsidP="00D87DB7">
      <w:pPr>
        <w:numPr>
          <w:ilvl w:val="0"/>
          <w:numId w:val="17"/>
        </w:numPr>
        <w:ind w:left="1134" w:hanging="567"/>
        <w:rPr>
          <w:lang w:val="fr-FR"/>
        </w:rPr>
      </w:pPr>
      <w:r w:rsidRPr="008725ED">
        <w:rPr>
          <w:lang w:val="fr-FR"/>
        </w:rPr>
        <w:t>le TWA avait reçu un rapport de l</w:t>
      </w:r>
      <w:r w:rsidR="00EF1779" w:rsidRPr="008725ED">
        <w:rPr>
          <w:lang w:val="fr-FR"/>
        </w:rPr>
        <w:t>’</w:t>
      </w:r>
      <w:r w:rsidRPr="008725ED">
        <w:rPr>
          <w:lang w:val="fr-FR"/>
        </w:rPr>
        <w:t>expert du Danemark selon lequel le logiciel fourni par le Royaume</w:t>
      </w:r>
      <w:r w:rsidR="00EF1779" w:rsidRPr="008725ED">
        <w:rPr>
          <w:lang w:val="fr-FR"/>
        </w:rPr>
        <w:t>-</w:t>
      </w:r>
      <w:r w:rsidRPr="008725ED">
        <w:rPr>
          <w:lang w:val="fr-FR"/>
        </w:rPr>
        <w:t>Uni avait été testé et une série de données sur les variétés de colza serait fournie en vue de l</w:t>
      </w:r>
      <w:r w:rsidR="00EF1779" w:rsidRPr="008725ED">
        <w:rPr>
          <w:lang w:val="fr-FR"/>
        </w:rPr>
        <w:t>’</w:t>
      </w:r>
      <w:r w:rsidRPr="008725ED">
        <w:rPr>
          <w:lang w:val="fr-FR"/>
        </w:rPr>
        <w:t>élaboration de seuils de probabilité pour la nouvelle méthode de calcul de la COYU et</w:t>
      </w:r>
    </w:p>
    <w:p w:rsidR="008C3126" w:rsidRPr="008725ED" w:rsidRDefault="008C3126" w:rsidP="00D87DB7">
      <w:pPr>
        <w:ind w:left="1134" w:hanging="567"/>
        <w:rPr>
          <w:sz w:val="16"/>
          <w:lang w:val="fr-FR"/>
        </w:rPr>
      </w:pPr>
    </w:p>
    <w:p w:rsidR="008C3126" w:rsidRPr="008725ED" w:rsidRDefault="00D87DB7" w:rsidP="00D87DB7">
      <w:pPr>
        <w:numPr>
          <w:ilvl w:val="0"/>
          <w:numId w:val="17"/>
        </w:numPr>
        <w:ind w:left="1134" w:hanging="567"/>
        <w:rPr>
          <w:iCs/>
          <w:lang w:val="fr-FR"/>
        </w:rPr>
      </w:pPr>
      <w:r w:rsidRPr="008725ED">
        <w:rPr>
          <w:iCs/>
          <w:lang w:val="fr-FR"/>
        </w:rPr>
        <w:t>l</w:t>
      </w:r>
      <w:r w:rsidR="00EF1779" w:rsidRPr="008725ED">
        <w:rPr>
          <w:iCs/>
          <w:lang w:val="fr-FR"/>
        </w:rPr>
        <w:t>’</w:t>
      </w:r>
      <w:r w:rsidRPr="008725ED">
        <w:rPr>
          <w:iCs/>
          <w:lang w:val="fr-FR"/>
        </w:rPr>
        <w:t>expert du Royaume</w:t>
      </w:r>
      <w:r w:rsidR="00EF1779" w:rsidRPr="008725ED">
        <w:rPr>
          <w:iCs/>
          <w:lang w:val="fr-FR"/>
        </w:rPr>
        <w:t>-</w:t>
      </w:r>
      <w:r w:rsidRPr="008725ED">
        <w:rPr>
          <w:iCs/>
          <w:lang w:val="fr-FR"/>
        </w:rPr>
        <w:t>Uni n</w:t>
      </w:r>
      <w:r w:rsidR="00EF1779" w:rsidRPr="008725ED">
        <w:rPr>
          <w:iCs/>
          <w:lang w:val="fr-FR"/>
        </w:rPr>
        <w:t>’</w:t>
      </w:r>
      <w:r w:rsidRPr="008725ED">
        <w:rPr>
          <w:iCs/>
          <w:lang w:val="fr-FR"/>
        </w:rPr>
        <w:t>avait pas de nouveaux faits à rapporter au</w:t>
      </w:r>
      <w:r w:rsidR="00EF1779" w:rsidRPr="008725ED">
        <w:rPr>
          <w:iCs/>
          <w:lang w:val="fr-FR"/>
        </w:rPr>
        <w:t> TC</w:t>
      </w:r>
      <w:r w:rsidRPr="008725ED">
        <w:rPr>
          <w:iCs/>
          <w:lang w:val="fr-FR"/>
        </w:rPr>
        <w:t xml:space="preserve"> et qu</w:t>
      </w:r>
      <w:r w:rsidR="00EF1779" w:rsidRPr="008725ED">
        <w:rPr>
          <w:iCs/>
          <w:lang w:val="fr-FR"/>
        </w:rPr>
        <w:t>’</w:t>
      </w:r>
      <w:r w:rsidRPr="008725ED">
        <w:rPr>
          <w:iCs/>
          <w:lang w:val="fr-FR"/>
        </w:rPr>
        <w:t>il rendrait compte des avancées de l</w:t>
      </w:r>
      <w:r w:rsidR="00EF1779" w:rsidRPr="008725ED">
        <w:rPr>
          <w:iCs/>
          <w:lang w:val="fr-FR"/>
        </w:rPr>
        <w:t>’</w:t>
      </w:r>
      <w:r w:rsidRPr="008725ED">
        <w:rPr>
          <w:iCs/>
          <w:lang w:val="fr-FR"/>
        </w:rPr>
        <w:t>élaboration de la nouvelle méthode de calcul de la COYU au TWC lors de sa trente</w:t>
      </w:r>
      <w:r w:rsidR="00EF1779" w:rsidRPr="008725ED">
        <w:rPr>
          <w:iCs/>
          <w:lang w:val="fr-FR"/>
        </w:rPr>
        <w:t>-</w:t>
      </w:r>
      <w:r w:rsidRPr="008725ED">
        <w:rPr>
          <w:iCs/>
          <w:lang w:val="fr-FR"/>
        </w:rPr>
        <w:t>cinqu</w:t>
      </w:r>
      <w:r w:rsidR="00EF1779" w:rsidRPr="008725ED">
        <w:rPr>
          <w:iCs/>
          <w:lang w:val="fr-FR"/>
        </w:rPr>
        <w:t>ième session</w:t>
      </w:r>
      <w:r w:rsidRPr="008725ED">
        <w:rPr>
          <w:iCs/>
          <w:lang w:val="fr-FR"/>
        </w:rPr>
        <w:t>.</w:t>
      </w:r>
    </w:p>
    <w:p w:rsidR="008C3126" w:rsidRPr="008725ED" w:rsidRDefault="008C3126" w:rsidP="00D87DB7">
      <w:pPr>
        <w:rPr>
          <w:lang w:val="fr-FR"/>
        </w:rPr>
      </w:pPr>
    </w:p>
    <w:p w:rsidR="008C3126" w:rsidRPr="008725ED" w:rsidRDefault="00D87DB7" w:rsidP="00382CC4">
      <w:pPr>
        <w:pStyle w:val="Heading5"/>
      </w:pPr>
      <w:r w:rsidRPr="00382CC4">
        <w:rPr>
          <w:i/>
        </w:rPr>
        <w:t>Révision du document TGP/8</w:t>
      </w:r>
      <w:r w:rsidR="00EF1779" w:rsidRPr="008725ED">
        <w:t> :</w:t>
      </w:r>
      <w:r w:rsidRPr="008725ED">
        <w:t xml:space="preserve"> deuxième partie</w:t>
      </w:r>
      <w:r w:rsidR="00EF1779" w:rsidRPr="008725ED">
        <w:t> :</w:t>
      </w:r>
      <w:r w:rsidRPr="008725ED">
        <w:t xml:space="preserve"> Quelques techniques utilisées dans l</w:t>
      </w:r>
      <w:r w:rsidR="00EF1779" w:rsidRPr="008725ED">
        <w:t>’</w:t>
      </w:r>
      <w:r w:rsidRPr="008725ED">
        <w:t>examen DHS, Nouvelle section</w:t>
      </w:r>
      <w:r w:rsidR="00EF1779" w:rsidRPr="008725ED">
        <w:t> :</w:t>
      </w:r>
      <w:r w:rsidRPr="008725ED">
        <w:t xml:space="preserve"> Examen DHS sur des Échantillons globaux</w:t>
      </w:r>
    </w:p>
    <w:p w:rsidR="008C3126" w:rsidRPr="008725ED" w:rsidRDefault="008C3126" w:rsidP="00D87DB7">
      <w:pPr>
        <w:rPr>
          <w:rFonts w:cs="Arial"/>
          <w:i/>
          <w:lang w:val="fr-FR"/>
        </w:rPr>
      </w:pPr>
    </w:p>
    <w:p w:rsidR="008C3126" w:rsidRPr="008725ED" w:rsidRDefault="00D87DB7" w:rsidP="00D87DB7">
      <w:pPr>
        <w:keepNext/>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523132" w:rsidRPr="008725ED">
        <w:rPr>
          <w:lang w:val="fr-FR"/>
        </w:rPr>
        <w:t>a examiné</w:t>
      </w:r>
      <w:r w:rsidRPr="008725ED">
        <w:rPr>
          <w:lang w:val="fr-FR"/>
        </w:rPr>
        <w:t xml:space="preserve"> le </w:t>
      </w:r>
      <w:r w:rsidR="00EF1779" w:rsidRPr="008725ED">
        <w:rPr>
          <w:lang w:val="fr-FR"/>
        </w:rPr>
        <w:t>document TC</w:t>
      </w:r>
      <w:r w:rsidRPr="008725ED">
        <w:rPr>
          <w:lang w:val="fr-FR"/>
        </w:rPr>
        <w:t>/53/17.</w:t>
      </w:r>
    </w:p>
    <w:p w:rsidR="008C3126" w:rsidRPr="008725ED" w:rsidRDefault="008C3126" w:rsidP="00D87DB7">
      <w:pPr>
        <w:keepNext/>
        <w:tabs>
          <w:tab w:val="left" w:pos="1993"/>
        </w:tabs>
        <w:rPr>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523132" w:rsidRPr="008725ED">
        <w:rPr>
          <w:lang w:val="fr-FR"/>
        </w:rPr>
        <w:t xml:space="preserve">a examiné </w:t>
      </w:r>
      <w:r w:rsidRPr="008725ED">
        <w:rPr>
          <w:lang w:val="fr-FR"/>
        </w:rPr>
        <w:t>la proposition de conseils relatifs à l</w:t>
      </w:r>
      <w:r w:rsidR="00EF1779" w:rsidRPr="008725ED">
        <w:rPr>
          <w:lang w:val="fr-FR"/>
        </w:rPr>
        <w:t>’</w:t>
      </w:r>
      <w:r w:rsidRPr="008725ED">
        <w:rPr>
          <w:lang w:val="fr-FR"/>
        </w:rPr>
        <w:t>examen DHS sur des échantillons globaux figurant dans l</w:t>
      </w:r>
      <w:r w:rsidR="00EF1779" w:rsidRPr="008725ED">
        <w:rPr>
          <w:lang w:val="fr-FR"/>
        </w:rPr>
        <w:t>’</w:t>
      </w:r>
      <w:r w:rsidRPr="008725ED">
        <w:rPr>
          <w:lang w:val="fr-FR"/>
        </w:rPr>
        <w:t xml:space="preserve">annexe du </w:t>
      </w:r>
      <w:r w:rsidR="00EF1779" w:rsidRPr="008725ED">
        <w:rPr>
          <w:lang w:val="fr-FR"/>
        </w:rPr>
        <w:t>document TC</w:t>
      </w:r>
      <w:r w:rsidRPr="008725ED">
        <w:rPr>
          <w:lang w:val="fr-FR"/>
        </w:rPr>
        <w:t>/53/17 aux fins de leur inclusion dans une future version révisée du TGP/8.</w:t>
      </w:r>
    </w:p>
    <w:p w:rsidR="008C3126" w:rsidRPr="008725ED" w:rsidRDefault="008C3126" w:rsidP="00D87DB7">
      <w:pPr>
        <w:rPr>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523132" w:rsidRPr="008725ED">
        <w:rPr>
          <w:lang w:val="fr-FR"/>
        </w:rPr>
        <w:t>a rappelé</w:t>
      </w:r>
      <w:r w:rsidRPr="008725ED">
        <w:rPr>
          <w:lang w:val="fr-FR"/>
        </w:rPr>
        <w:t xml:space="preserve"> qu</w:t>
      </w:r>
      <w:r w:rsidR="00EF1779" w:rsidRPr="008725ED">
        <w:rPr>
          <w:lang w:val="fr-FR"/>
        </w:rPr>
        <w:t>’</w:t>
      </w:r>
      <w:r w:rsidRPr="008725ED">
        <w:rPr>
          <w:lang w:val="fr-FR"/>
        </w:rPr>
        <w:t>il a</w:t>
      </w:r>
      <w:r w:rsidR="00523132" w:rsidRPr="008725ED">
        <w:rPr>
          <w:lang w:val="fr-FR"/>
        </w:rPr>
        <w:t>vait</w:t>
      </w:r>
      <w:r w:rsidRPr="008725ED">
        <w:rPr>
          <w:lang w:val="fr-FR"/>
        </w:rPr>
        <w:t xml:space="preserve"> approuvé la liste de critères ci</w:t>
      </w:r>
      <w:r w:rsidR="00EF1779" w:rsidRPr="008725ED">
        <w:rPr>
          <w:lang w:val="fr-FR"/>
        </w:rPr>
        <w:t>-</w:t>
      </w:r>
      <w:r w:rsidRPr="008725ED">
        <w:rPr>
          <w:lang w:val="fr-FR"/>
        </w:rPr>
        <w:t>dessous, qui servira</w:t>
      </w:r>
      <w:r w:rsidR="00523132" w:rsidRPr="008725ED">
        <w:rPr>
          <w:lang w:val="fr-FR"/>
        </w:rPr>
        <w:t>it</w:t>
      </w:r>
      <w:r w:rsidRPr="008725ED">
        <w:rPr>
          <w:lang w:val="fr-FR"/>
        </w:rPr>
        <w:t xml:space="preserve"> de base à l</w:t>
      </w:r>
      <w:r w:rsidR="00EF1779" w:rsidRPr="008725ED">
        <w:rPr>
          <w:lang w:val="fr-FR"/>
        </w:rPr>
        <w:t>’</w:t>
      </w:r>
      <w:r w:rsidRPr="008725ED">
        <w:rPr>
          <w:lang w:val="fr-FR"/>
        </w:rPr>
        <w:t>élaboration des futurs principes directeurs</w:t>
      </w:r>
      <w:r w:rsidR="00EF1779" w:rsidRPr="008725ED">
        <w:rPr>
          <w:lang w:val="fr-FR"/>
        </w:rPr>
        <w:t> :</w:t>
      </w:r>
    </w:p>
    <w:p w:rsidR="008C3126" w:rsidRPr="008725ED" w:rsidRDefault="008C3126" w:rsidP="00D87DB7">
      <w:pPr>
        <w:rPr>
          <w:lang w:val="fr-FR"/>
        </w:rPr>
      </w:pPr>
    </w:p>
    <w:p w:rsidR="008C3126" w:rsidRPr="008725ED" w:rsidRDefault="00D87DB7" w:rsidP="0064330D">
      <w:pPr>
        <w:keepNext/>
        <w:numPr>
          <w:ilvl w:val="0"/>
          <w:numId w:val="11"/>
        </w:numPr>
        <w:ind w:left="1134" w:right="567" w:hanging="567"/>
        <w:rPr>
          <w:sz w:val="18"/>
          <w:lang w:val="fr-FR"/>
        </w:rPr>
      </w:pPr>
      <w:r w:rsidRPr="008725ED">
        <w:rPr>
          <w:iCs/>
          <w:sz w:val="18"/>
          <w:lang w:val="fr-FR"/>
        </w:rPr>
        <w:t>le caractère devrait remplir les conditions relatives à un caractère, énoncées dans l</w:t>
      </w:r>
      <w:r w:rsidR="00EF1779" w:rsidRPr="008725ED">
        <w:rPr>
          <w:iCs/>
          <w:sz w:val="18"/>
          <w:lang w:val="fr-FR"/>
        </w:rPr>
        <w:t>’</w:t>
      </w:r>
      <w:r w:rsidRPr="008725ED">
        <w:rPr>
          <w:iCs/>
          <w:sz w:val="18"/>
          <w:lang w:val="fr-FR"/>
        </w:rPr>
        <w:t>Introduction générale à l</w:t>
      </w:r>
      <w:r w:rsidR="00EF1779" w:rsidRPr="008725ED">
        <w:rPr>
          <w:iCs/>
          <w:sz w:val="18"/>
          <w:lang w:val="fr-FR"/>
        </w:rPr>
        <w:t>’</w:t>
      </w:r>
      <w:r w:rsidRPr="008725ED">
        <w:rPr>
          <w:iCs/>
          <w:sz w:val="18"/>
          <w:lang w:val="fr-FR"/>
        </w:rPr>
        <w:t>examen de la distinction, de l</w:t>
      </w:r>
      <w:r w:rsidR="00EF1779" w:rsidRPr="008725ED">
        <w:rPr>
          <w:iCs/>
          <w:sz w:val="18"/>
          <w:lang w:val="fr-FR"/>
        </w:rPr>
        <w:t>’</w:t>
      </w:r>
      <w:r w:rsidRPr="008725ED">
        <w:rPr>
          <w:iCs/>
          <w:sz w:val="18"/>
          <w:lang w:val="fr-FR"/>
        </w:rPr>
        <w:t>homogénéité et de la stabilité et à l</w:t>
      </w:r>
      <w:r w:rsidR="00EF1779" w:rsidRPr="008725ED">
        <w:rPr>
          <w:iCs/>
          <w:sz w:val="18"/>
          <w:lang w:val="fr-FR"/>
        </w:rPr>
        <w:t>’</w:t>
      </w:r>
      <w:r w:rsidRPr="008725ED">
        <w:rPr>
          <w:iCs/>
          <w:sz w:val="18"/>
          <w:lang w:val="fr-FR"/>
        </w:rPr>
        <w:t>harmonisation des descriptions des obtentions végétales</w:t>
      </w:r>
      <w:r w:rsidR="00EF1779" w:rsidRPr="008725ED">
        <w:rPr>
          <w:iCs/>
          <w:sz w:val="18"/>
          <w:lang w:val="fr-FR"/>
        </w:rPr>
        <w:t>’</w:t>
      </w:r>
      <w:r w:rsidRPr="008725ED">
        <w:rPr>
          <w:iCs/>
          <w:sz w:val="18"/>
          <w:lang w:val="fr-FR"/>
        </w:rPr>
        <w:t xml:space="preserve"> (voir la section 4.2.1 du document TG/1/3</w:t>
      </w:r>
      <w:r w:rsidRPr="008725ED">
        <w:rPr>
          <w:sz w:val="18"/>
          <w:lang w:val="fr-FR"/>
        </w:rPr>
        <w:t>),</w:t>
      </w:r>
    </w:p>
    <w:p w:rsidR="008C3126" w:rsidRPr="008725ED" w:rsidRDefault="008C3126" w:rsidP="00D87DB7">
      <w:pPr>
        <w:ind w:left="1134" w:right="567" w:hanging="567"/>
        <w:rPr>
          <w:sz w:val="18"/>
          <w:lang w:val="fr-FR"/>
        </w:rPr>
      </w:pPr>
    </w:p>
    <w:p w:rsidR="008C3126" w:rsidRPr="008725ED" w:rsidRDefault="00D87DB7" w:rsidP="00D87DB7">
      <w:pPr>
        <w:numPr>
          <w:ilvl w:val="0"/>
          <w:numId w:val="11"/>
        </w:numPr>
        <w:ind w:left="1134" w:right="567" w:hanging="567"/>
        <w:rPr>
          <w:iCs/>
          <w:sz w:val="18"/>
          <w:lang w:val="fr-FR"/>
        </w:rPr>
      </w:pPr>
      <w:r w:rsidRPr="008725ED">
        <w:rPr>
          <w:sz w:val="18"/>
          <w:lang w:val="fr-FR"/>
        </w:rPr>
        <w:t>des informations devraient être disponibles sur le déterminisme génétique du caractère,</w:t>
      </w:r>
    </w:p>
    <w:p w:rsidR="008C3126" w:rsidRPr="008725ED" w:rsidRDefault="008C3126" w:rsidP="00D87DB7">
      <w:pPr>
        <w:ind w:left="1134" w:right="567" w:hanging="567"/>
        <w:rPr>
          <w:iCs/>
          <w:sz w:val="18"/>
          <w:lang w:val="fr-FR"/>
        </w:rPr>
      </w:pPr>
    </w:p>
    <w:p w:rsidR="008C3126" w:rsidRPr="008725ED" w:rsidRDefault="00D87DB7" w:rsidP="00D87DB7">
      <w:pPr>
        <w:numPr>
          <w:ilvl w:val="0"/>
          <w:numId w:val="11"/>
        </w:numPr>
        <w:ind w:left="1134" w:right="567" w:hanging="567"/>
        <w:rPr>
          <w:iCs/>
          <w:sz w:val="18"/>
          <w:lang w:val="fr-FR"/>
        </w:rPr>
      </w:pPr>
      <w:r w:rsidRPr="008725ED">
        <w:rPr>
          <w:iCs/>
          <w:sz w:val="18"/>
          <w:lang w:val="fr-FR"/>
        </w:rPr>
        <w:t>la pertinence du caractère devrait être validée par une évaluation initiale de l</w:t>
      </w:r>
      <w:r w:rsidR="00EF1779" w:rsidRPr="008725ED">
        <w:rPr>
          <w:iCs/>
          <w:sz w:val="18"/>
          <w:lang w:val="fr-FR"/>
        </w:rPr>
        <w:t>’</w:t>
      </w:r>
      <w:r w:rsidRPr="008725ED">
        <w:rPr>
          <w:iCs/>
          <w:sz w:val="18"/>
          <w:lang w:val="fr-FR"/>
        </w:rPr>
        <w:t>homogénéité à partir de plantes isolées,</w:t>
      </w:r>
    </w:p>
    <w:p w:rsidR="008C3126" w:rsidRPr="008725ED" w:rsidRDefault="008C3126" w:rsidP="00D87DB7">
      <w:pPr>
        <w:ind w:left="1134" w:right="567" w:hanging="567"/>
        <w:rPr>
          <w:iCs/>
          <w:sz w:val="18"/>
          <w:lang w:val="fr-FR"/>
        </w:rPr>
      </w:pPr>
    </w:p>
    <w:p w:rsidR="008C3126" w:rsidRPr="008725ED" w:rsidRDefault="00D87DB7" w:rsidP="00D87DB7">
      <w:pPr>
        <w:numPr>
          <w:ilvl w:val="0"/>
          <w:numId w:val="11"/>
        </w:numPr>
        <w:ind w:left="1134" w:right="567" w:hanging="567"/>
        <w:rPr>
          <w:iCs/>
          <w:sz w:val="18"/>
          <w:lang w:val="fr-FR"/>
        </w:rPr>
      </w:pPr>
      <w:r w:rsidRPr="008725ED">
        <w:rPr>
          <w:sz w:val="18"/>
          <w:lang w:val="fr-FR"/>
        </w:rPr>
        <w:t>des informations devraient être fournies sur la variabilité des plantes et leurs différences au cours des cycles de végétation (données extraites de mesures courantes relatives à un caractère sur plusieurs années</w:t>
      </w:r>
      <w:r w:rsidRPr="008725ED">
        <w:rPr>
          <w:iCs/>
          <w:sz w:val="18"/>
          <w:lang w:val="fr-FR"/>
        </w:rPr>
        <w:t>),</w:t>
      </w:r>
    </w:p>
    <w:p w:rsidR="008C3126" w:rsidRPr="008725ED" w:rsidRDefault="008C3126" w:rsidP="00D87DB7">
      <w:pPr>
        <w:ind w:left="1134" w:right="567" w:hanging="567"/>
        <w:rPr>
          <w:iCs/>
          <w:sz w:val="18"/>
          <w:lang w:val="fr-FR"/>
        </w:rPr>
      </w:pPr>
    </w:p>
    <w:p w:rsidR="008C3126" w:rsidRPr="008725ED" w:rsidRDefault="00D87DB7" w:rsidP="00D87DB7">
      <w:pPr>
        <w:numPr>
          <w:ilvl w:val="0"/>
          <w:numId w:val="11"/>
        </w:numPr>
        <w:ind w:left="1134" w:right="567" w:hanging="567"/>
        <w:rPr>
          <w:sz w:val="18"/>
          <w:lang w:val="fr-FR"/>
        </w:rPr>
      </w:pPr>
      <w:r w:rsidRPr="008725ED">
        <w:rPr>
          <w:sz w:val="18"/>
          <w:lang w:val="fr-FR"/>
        </w:rPr>
        <w:t>une description complète de la méthode d</w:t>
      </w:r>
      <w:r w:rsidR="00EF1779" w:rsidRPr="008725ED">
        <w:rPr>
          <w:sz w:val="18"/>
          <w:lang w:val="fr-FR"/>
        </w:rPr>
        <w:t>’</w:t>
      </w:r>
      <w:r w:rsidRPr="008725ED">
        <w:rPr>
          <w:sz w:val="18"/>
          <w:lang w:val="fr-FR"/>
        </w:rPr>
        <w:t>évaluation devrait être fournie,</w:t>
      </w:r>
    </w:p>
    <w:p w:rsidR="008C3126" w:rsidRPr="008725ED" w:rsidRDefault="008C3126" w:rsidP="00D87DB7">
      <w:pPr>
        <w:ind w:left="1134" w:right="567" w:hanging="567"/>
        <w:rPr>
          <w:sz w:val="18"/>
          <w:lang w:val="fr-FR"/>
        </w:rPr>
      </w:pPr>
    </w:p>
    <w:p w:rsidR="008C3126" w:rsidRPr="008725ED" w:rsidRDefault="00D87DB7" w:rsidP="00D87DB7">
      <w:pPr>
        <w:numPr>
          <w:ilvl w:val="0"/>
          <w:numId w:val="11"/>
        </w:numPr>
        <w:ind w:left="1134" w:right="567" w:hanging="567"/>
        <w:rPr>
          <w:sz w:val="18"/>
          <w:lang w:val="fr-FR"/>
        </w:rPr>
      </w:pPr>
      <w:r w:rsidRPr="008725ED">
        <w:rPr>
          <w:sz w:val="18"/>
          <w:lang w:val="fr-FR"/>
        </w:rPr>
        <w:t>la détermination des niveaux d</w:t>
      </w:r>
      <w:r w:rsidR="00EF1779" w:rsidRPr="008725ED">
        <w:rPr>
          <w:sz w:val="18"/>
          <w:lang w:val="fr-FR"/>
        </w:rPr>
        <w:t>’</w:t>
      </w:r>
      <w:r w:rsidRPr="008725ED">
        <w:rPr>
          <w:sz w:val="18"/>
          <w:lang w:val="fr-FR"/>
        </w:rPr>
        <w:t>expression devrait être fondée sur la variation existante entre les variétés et tenir compte de l</w:t>
      </w:r>
      <w:r w:rsidR="00EF1779" w:rsidRPr="008725ED">
        <w:rPr>
          <w:sz w:val="18"/>
          <w:lang w:val="fr-FR"/>
        </w:rPr>
        <w:t>’</w:t>
      </w:r>
      <w:r w:rsidRPr="008725ED">
        <w:rPr>
          <w:sz w:val="18"/>
          <w:lang w:val="fr-FR"/>
        </w:rPr>
        <w:t>influence de l</w:t>
      </w:r>
      <w:r w:rsidR="00EF1779" w:rsidRPr="008725ED">
        <w:rPr>
          <w:sz w:val="18"/>
          <w:lang w:val="fr-FR"/>
        </w:rPr>
        <w:t>’</w:t>
      </w:r>
      <w:r w:rsidRPr="008725ED">
        <w:rPr>
          <w:sz w:val="18"/>
          <w:lang w:val="fr-FR"/>
        </w:rPr>
        <w:t>environnement.</w:t>
      </w:r>
    </w:p>
    <w:p w:rsidR="008C3126" w:rsidRPr="008725ED" w:rsidRDefault="008C3126" w:rsidP="00D87DB7">
      <w:pPr>
        <w:ind w:right="567"/>
        <w:rPr>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eastAsia="ja-JP"/>
        </w:rPr>
        <w:t xml:space="preserve"> </w:t>
      </w:r>
      <w:r w:rsidR="00523132" w:rsidRPr="008725ED">
        <w:rPr>
          <w:lang w:val="fr-FR" w:eastAsia="ja-JP"/>
        </w:rPr>
        <w:t xml:space="preserve">a </w:t>
      </w:r>
      <w:r w:rsidRPr="008725ED">
        <w:rPr>
          <w:lang w:val="fr-FR" w:eastAsia="ja-JP"/>
        </w:rPr>
        <w:t>souscrit aux orientations mentionnées ci</w:t>
      </w:r>
      <w:r w:rsidR="00EF1779" w:rsidRPr="008725ED">
        <w:rPr>
          <w:lang w:val="fr-FR" w:eastAsia="ja-JP"/>
        </w:rPr>
        <w:t>-</w:t>
      </w:r>
      <w:r w:rsidRPr="008725ED">
        <w:rPr>
          <w:lang w:val="fr-FR" w:eastAsia="ja-JP"/>
        </w:rPr>
        <w:t>dessus et</w:t>
      </w:r>
      <w:r w:rsidRPr="008725ED">
        <w:rPr>
          <w:lang w:val="fr-FR"/>
        </w:rPr>
        <w:t xml:space="preserve"> </w:t>
      </w:r>
      <w:r w:rsidR="00523132" w:rsidRPr="008725ED">
        <w:rPr>
          <w:lang w:val="fr-FR"/>
        </w:rPr>
        <w:t xml:space="preserve">est convenu </w:t>
      </w:r>
      <w:r w:rsidRPr="008725ED">
        <w:rPr>
          <w:lang w:val="fr-FR"/>
        </w:rPr>
        <w:t>qu</w:t>
      </w:r>
      <w:r w:rsidR="00EF1779" w:rsidRPr="008725ED">
        <w:rPr>
          <w:lang w:val="fr-FR"/>
        </w:rPr>
        <w:t>’</w:t>
      </w:r>
      <w:r w:rsidRPr="008725ED">
        <w:rPr>
          <w:lang w:val="fr-FR"/>
        </w:rPr>
        <w:t>il n</w:t>
      </w:r>
      <w:r w:rsidR="00EF1779" w:rsidRPr="008725ED">
        <w:rPr>
          <w:lang w:val="fr-FR"/>
        </w:rPr>
        <w:t>’</w:t>
      </w:r>
      <w:r w:rsidR="00523132" w:rsidRPr="008725ED">
        <w:rPr>
          <w:lang w:val="fr-FR"/>
        </w:rPr>
        <w:t xml:space="preserve">était </w:t>
      </w:r>
      <w:r w:rsidRPr="008725ED">
        <w:rPr>
          <w:lang w:val="fr-FR"/>
        </w:rPr>
        <w:t>pas possible d</w:t>
      </w:r>
      <w:r w:rsidR="00EF1779" w:rsidRPr="008725ED">
        <w:rPr>
          <w:lang w:val="fr-FR"/>
        </w:rPr>
        <w:t>’</w:t>
      </w:r>
      <w:r w:rsidRPr="008725ED">
        <w:rPr>
          <w:lang w:val="fr-FR"/>
        </w:rPr>
        <w:t>élaborer des orientations supplémentaires à l</w:t>
      </w:r>
      <w:r w:rsidR="00EF1779" w:rsidRPr="008725ED">
        <w:rPr>
          <w:lang w:val="fr-FR"/>
        </w:rPr>
        <w:t>’</w:t>
      </w:r>
      <w:r w:rsidRPr="008725ED">
        <w:rPr>
          <w:lang w:val="fr-FR"/>
        </w:rPr>
        <w:t>heure actuelle.</w:t>
      </w:r>
    </w:p>
    <w:p w:rsidR="008C3126" w:rsidRPr="008725ED" w:rsidRDefault="008C3126" w:rsidP="00D87DB7">
      <w:pPr>
        <w:rPr>
          <w:rFonts w:cs="Arial"/>
          <w:i/>
          <w:lang w:val="fr-FR"/>
        </w:rPr>
      </w:pPr>
    </w:p>
    <w:p w:rsidR="008C3126" w:rsidRPr="008725ED" w:rsidRDefault="00D87DB7" w:rsidP="00382CC4">
      <w:pPr>
        <w:pStyle w:val="Heading5"/>
      </w:pPr>
      <w:r w:rsidRPr="00382CC4">
        <w:rPr>
          <w:i/>
        </w:rPr>
        <w:t>Révision du document TGP/8</w:t>
      </w:r>
      <w:r w:rsidR="00EF1779" w:rsidRPr="008725ED">
        <w:t> :</w:t>
      </w:r>
      <w:r w:rsidRPr="008725ED">
        <w:t xml:space="preserve"> deuxième partie</w:t>
      </w:r>
      <w:r w:rsidR="00EF1779" w:rsidRPr="008725ED">
        <w:t> :</w:t>
      </w:r>
      <w:r w:rsidRPr="008725ED">
        <w:t xml:space="preserve"> Techniques utilisées dans l</w:t>
      </w:r>
      <w:r w:rsidR="00EF1779" w:rsidRPr="008725ED">
        <w:t>’</w:t>
      </w:r>
      <w:r w:rsidRPr="008725ED">
        <w:t>examen DHS, nouvelle section</w:t>
      </w:r>
      <w:r w:rsidR="00EF1779" w:rsidRPr="008725ED">
        <w:t> :</w:t>
      </w:r>
      <w:r w:rsidRPr="008725ED">
        <w:t xml:space="preserve"> Méthodes de traitement des données pour l</w:t>
      </w:r>
      <w:r w:rsidR="00EF1779" w:rsidRPr="008725ED">
        <w:t>’</w:t>
      </w:r>
      <w:r w:rsidRPr="008725ED">
        <w:t>évaluation de la distinction et l</w:t>
      </w:r>
      <w:r w:rsidR="00EF1779" w:rsidRPr="008725ED">
        <w:t>’</w:t>
      </w:r>
      <w:r w:rsidRPr="008725ED">
        <w:t>établissement de descriptions variétales</w:t>
      </w:r>
    </w:p>
    <w:p w:rsidR="008C3126" w:rsidRPr="008725ED" w:rsidRDefault="008C3126" w:rsidP="00D87DB7">
      <w:pPr>
        <w:keepNext/>
        <w:rPr>
          <w:lang w:val="fr-FR"/>
        </w:rPr>
      </w:pPr>
    </w:p>
    <w:p w:rsidR="008C3126" w:rsidRPr="008725ED" w:rsidRDefault="00D87DB7" w:rsidP="00D87DB7">
      <w:pPr>
        <w:keepNext/>
        <w:spacing w:after="240"/>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523132" w:rsidRPr="008725ED">
        <w:rPr>
          <w:lang w:val="fr-FR"/>
        </w:rPr>
        <w:t>a pris</w:t>
      </w:r>
      <w:r w:rsidRPr="008725ED">
        <w:rPr>
          <w:lang w:val="fr-FR"/>
        </w:rPr>
        <w:t xml:space="preserve"> note des faits nouveaux mentionnés dans le </w:t>
      </w:r>
      <w:r w:rsidR="00EF1779" w:rsidRPr="008725ED">
        <w:rPr>
          <w:lang w:val="fr-FR"/>
        </w:rPr>
        <w:t>document TC</w:t>
      </w:r>
      <w:r w:rsidRPr="008725ED">
        <w:rPr>
          <w:lang w:val="fr-FR"/>
        </w:rPr>
        <w:t>/53/18.</w:t>
      </w: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523132" w:rsidRPr="008725ED">
        <w:rPr>
          <w:lang w:val="fr-FR"/>
        </w:rPr>
        <w:t xml:space="preserve">a examiné </w:t>
      </w:r>
      <w:r w:rsidRPr="008725ED">
        <w:rPr>
          <w:lang w:val="fr-FR"/>
        </w:rPr>
        <w:t>l</w:t>
      </w:r>
      <w:r w:rsidR="00EF1779" w:rsidRPr="008725ED">
        <w:rPr>
          <w:lang w:val="fr-FR"/>
        </w:rPr>
        <w:t>’</w:t>
      </w:r>
      <w:r w:rsidRPr="008725ED">
        <w:rPr>
          <w:lang w:val="fr-FR"/>
        </w:rPr>
        <w:t>analyse effectuée par l</w:t>
      </w:r>
      <w:r w:rsidR="00EF1779" w:rsidRPr="008725ED">
        <w:rPr>
          <w:lang w:val="fr-FR"/>
        </w:rPr>
        <w:t>’</w:t>
      </w:r>
      <w:r w:rsidRPr="008725ED">
        <w:rPr>
          <w:lang w:val="fr-FR"/>
        </w:rPr>
        <w:t>expert de la France à l</w:t>
      </w:r>
      <w:r w:rsidR="00EF1779" w:rsidRPr="008725ED">
        <w:rPr>
          <w:lang w:val="fr-FR"/>
        </w:rPr>
        <w:t>’</w:t>
      </w:r>
      <w:r w:rsidRPr="008725ED">
        <w:rPr>
          <w:lang w:val="fr-FR"/>
        </w:rPr>
        <w:t xml:space="preserve">annexe II du </w:t>
      </w:r>
      <w:r w:rsidR="00EF1779" w:rsidRPr="008725ED">
        <w:rPr>
          <w:lang w:val="fr-FR"/>
        </w:rPr>
        <w:t>document TC</w:t>
      </w:r>
      <w:r w:rsidRPr="008725ED">
        <w:rPr>
          <w:lang w:val="fr-FR"/>
        </w:rPr>
        <w:t xml:space="preserve">/53/18 et </w:t>
      </w:r>
      <w:r w:rsidR="00523132" w:rsidRPr="008725ED">
        <w:rPr>
          <w:lang w:val="fr-FR"/>
        </w:rPr>
        <w:t>est convenu</w:t>
      </w:r>
      <w:r w:rsidRPr="008725ED">
        <w:rPr>
          <w:lang w:val="fr-FR"/>
        </w:rPr>
        <w:t xml:space="preserve"> d</w:t>
      </w:r>
      <w:r w:rsidR="00EF1779" w:rsidRPr="008725ED">
        <w:rPr>
          <w:lang w:val="fr-FR"/>
        </w:rPr>
        <w:t>’</w:t>
      </w:r>
      <w:r w:rsidRPr="008725ED">
        <w:rPr>
          <w:lang w:val="fr-FR"/>
        </w:rPr>
        <w:t>inviter les experts de la France à vérifier que les valeurs soulignées du tableau figurant dans paragraphe 6 de l</w:t>
      </w:r>
      <w:r w:rsidR="00EF1779" w:rsidRPr="008725ED">
        <w:rPr>
          <w:lang w:val="fr-FR"/>
        </w:rPr>
        <w:t>’</w:t>
      </w:r>
      <w:r w:rsidRPr="008725ED">
        <w:rPr>
          <w:lang w:val="fr-FR"/>
        </w:rPr>
        <w:t>annexe II ne cont</w:t>
      </w:r>
      <w:r w:rsidR="00523132" w:rsidRPr="008725ED">
        <w:rPr>
          <w:lang w:val="fr-FR"/>
        </w:rPr>
        <w:t xml:space="preserve">enaient </w:t>
      </w:r>
      <w:r w:rsidRPr="008725ED">
        <w:rPr>
          <w:lang w:val="fr-FR"/>
        </w:rPr>
        <w:t>pas d</w:t>
      </w:r>
      <w:r w:rsidR="00EF1779" w:rsidRPr="008725ED">
        <w:rPr>
          <w:lang w:val="fr-FR"/>
        </w:rPr>
        <w:t>’</w:t>
      </w:r>
      <w:r w:rsidRPr="008725ED">
        <w:rPr>
          <w:lang w:val="fr-FR"/>
        </w:rPr>
        <w:t>éventuelles incohérences.</w:t>
      </w:r>
    </w:p>
    <w:p w:rsidR="008C3126" w:rsidRPr="008725ED" w:rsidRDefault="008C3126" w:rsidP="00D87DB7">
      <w:pPr>
        <w:rPr>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est convenu</w:t>
      </w:r>
      <w:r w:rsidRPr="008725ED">
        <w:rPr>
          <w:lang w:val="fr-FR"/>
        </w:rPr>
        <w:t xml:space="preserve"> que les participants de l</w:t>
      </w:r>
      <w:r w:rsidR="00EF1779" w:rsidRPr="008725ED">
        <w:rPr>
          <w:lang w:val="fr-FR"/>
        </w:rPr>
        <w:t>’</w:t>
      </w:r>
      <w:r w:rsidRPr="008725ED">
        <w:rPr>
          <w:lang w:val="fr-FR"/>
        </w:rPr>
        <w:t xml:space="preserve">exercice pratique doivent être invités à fournir une brève description de leurs méthodes de transformation des mesures en notes et à fournir des exemples des situations où ces méthodes </w:t>
      </w:r>
      <w:r w:rsidR="0000589A" w:rsidRPr="008725ED">
        <w:rPr>
          <w:lang w:val="fr-FR"/>
        </w:rPr>
        <w:t>étaient</w:t>
      </w:r>
      <w:r w:rsidRPr="008725ED">
        <w:rPr>
          <w:lang w:val="fr-FR"/>
        </w:rPr>
        <w:t xml:space="preserve"> susceptibles d</w:t>
      </w:r>
      <w:r w:rsidR="00EF1779" w:rsidRPr="008725ED">
        <w:rPr>
          <w:lang w:val="fr-FR"/>
        </w:rPr>
        <w:t>’</w:t>
      </w:r>
      <w:r w:rsidRPr="008725ED">
        <w:rPr>
          <w:lang w:val="fr-FR"/>
        </w:rPr>
        <w:t>être utilisées, par exemple pour des caractères et des types de reproduction ou de multiplication particuliers ou des situations diverses, sur la base des brèves descriptions fournies par la France et par le Royaume</w:t>
      </w:r>
      <w:r w:rsidR="00EF1779" w:rsidRPr="008725ED">
        <w:rPr>
          <w:lang w:val="fr-FR"/>
        </w:rPr>
        <w:t>-</w:t>
      </w:r>
      <w:r w:rsidRPr="008725ED">
        <w:rPr>
          <w:lang w:val="fr-FR"/>
        </w:rPr>
        <w:t>U</w:t>
      </w:r>
      <w:r w:rsidR="00D43219" w:rsidRPr="008725ED">
        <w:rPr>
          <w:lang w:val="fr-FR"/>
        </w:rPr>
        <w:t>ni.  Le</w:t>
      </w:r>
      <w:r w:rsidR="00EF1779" w:rsidRPr="008725ED">
        <w:rPr>
          <w:lang w:val="fr-FR"/>
        </w:rPr>
        <w:t> TC</w:t>
      </w:r>
      <w:r w:rsidRPr="008725ED">
        <w:rPr>
          <w:lang w:val="fr-FR"/>
        </w:rPr>
        <w:t xml:space="preserve"> </w:t>
      </w:r>
      <w:r w:rsidR="00344B0C" w:rsidRPr="008725ED">
        <w:rPr>
          <w:lang w:val="fr-FR"/>
        </w:rPr>
        <w:t>est convenu</w:t>
      </w:r>
      <w:r w:rsidRPr="008725ED">
        <w:rPr>
          <w:lang w:val="fr-FR"/>
        </w:rPr>
        <w:t xml:space="preserve"> d</w:t>
      </w:r>
      <w:r w:rsidR="00EF1779" w:rsidRPr="008725ED">
        <w:rPr>
          <w:lang w:val="fr-FR"/>
        </w:rPr>
        <w:t>’</w:t>
      </w:r>
      <w:r w:rsidRPr="008725ED">
        <w:rPr>
          <w:lang w:val="fr-FR"/>
        </w:rPr>
        <w:t>inviter le TWC à examiner les explications que les participants de l</w:t>
      </w:r>
      <w:r w:rsidR="00EF1779" w:rsidRPr="008725ED">
        <w:rPr>
          <w:lang w:val="fr-FR"/>
        </w:rPr>
        <w:t>’</w:t>
      </w:r>
      <w:r w:rsidRPr="008725ED">
        <w:rPr>
          <w:lang w:val="fr-FR"/>
        </w:rPr>
        <w:t xml:space="preserve">exercice pratique </w:t>
      </w:r>
      <w:r w:rsidR="00EB1ACA" w:rsidRPr="008725ED">
        <w:rPr>
          <w:lang w:val="fr-FR"/>
        </w:rPr>
        <w:t>devaient</w:t>
      </w:r>
      <w:r w:rsidRPr="008725ED">
        <w:rPr>
          <w:lang w:val="fr-FR"/>
        </w:rPr>
        <w:t xml:space="preserve"> fournir de façon à envisager ces explications comme un éventuel fondement des orientations aux fins de la révision du document TGP/8.</w:t>
      </w:r>
    </w:p>
    <w:p w:rsidR="008C3126" w:rsidRPr="008725ED" w:rsidRDefault="008C3126" w:rsidP="00382CC4">
      <w:pPr>
        <w:rPr>
          <w:lang w:val="fr-FR"/>
        </w:rPr>
      </w:pPr>
    </w:p>
    <w:p w:rsidR="008C3126" w:rsidRPr="008725ED" w:rsidRDefault="00D87DB7" w:rsidP="00382CC4">
      <w:pPr>
        <w:pStyle w:val="Heading4"/>
      </w:pPr>
      <w:r w:rsidRPr="008725ED">
        <w:t>TGP/10</w:t>
      </w:r>
      <w:r w:rsidR="00EF1779" w:rsidRPr="008725ED">
        <w:t> :</w:t>
      </w:r>
      <w:r w:rsidRPr="008725ED">
        <w:t xml:space="preserve"> Examen de l</w:t>
      </w:r>
      <w:r w:rsidR="00EF1779" w:rsidRPr="008725ED">
        <w:t>’</w:t>
      </w:r>
      <w:r w:rsidRPr="008725ED">
        <w:t>homogénéité</w:t>
      </w:r>
    </w:p>
    <w:p w:rsidR="008C3126" w:rsidRPr="008725ED" w:rsidRDefault="008C3126" w:rsidP="00D87DB7">
      <w:pPr>
        <w:rPr>
          <w:lang w:val="fr-FR"/>
        </w:rPr>
      </w:pPr>
    </w:p>
    <w:p w:rsidR="008C3126" w:rsidRPr="008725ED" w:rsidRDefault="00D87DB7" w:rsidP="00382CC4">
      <w:pPr>
        <w:pStyle w:val="Heading5"/>
        <w:rPr>
          <w:snapToGrid w:val="0"/>
        </w:rPr>
      </w:pPr>
      <w:r w:rsidRPr="00382CC4">
        <w:rPr>
          <w:i/>
          <w:snapToGrid w:val="0"/>
        </w:rPr>
        <w:t>Révision du document TGP/10</w:t>
      </w:r>
      <w:r w:rsidR="00EF1779" w:rsidRPr="008725ED">
        <w:rPr>
          <w:snapToGrid w:val="0"/>
        </w:rPr>
        <w:t> :</w:t>
      </w:r>
      <w:r w:rsidRPr="008725ED">
        <w:rPr>
          <w:snapToGrid w:val="0"/>
        </w:rPr>
        <w:t xml:space="preserve"> Nouvelle section</w:t>
      </w:r>
      <w:r w:rsidR="00EF1779" w:rsidRPr="008725ED">
        <w:rPr>
          <w:snapToGrid w:val="0"/>
        </w:rPr>
        <w:t> :</w:t>
      </w:r>
      <w:r w:rsidRPr="008725ED">
        <w:rPr>
          <w:snapToGrid w:val="0"/>
        </w:rPr>
        <w:t xml:space="preserve"> Évaluation de l</w:t>
      </w:r>
      <w:r w:rsidR="00EF1779" w:rsidRPr="008725ED">
        <w:rPr>
          <w:snapToGrid w:val="0"/>
        </w:rPr>
        <w:t>’</w:t>
      </w:r>
      <w:r w:rsidRPr="008725ED">
        <w:rPr>
          <w:snapToGrid w:val="0"/>
        </w:rPr>
        <w:t>homogénéité d</w:t>
      </w:r>
      <w:r w:rsidR="00EF1779" w:rsidRPr="008725ED">
        <w:rPr>
          <w:snapToGrid w:val="0"/>
        </w:rPr>
        <w:t>’</w:t>
      </w:r>
      <w:r w:rsidRPr="008725ED">
        <w:rPr>
          <w:snapToGrid w:val="0"/>
        </w:rPr>
        <w:t>après les plantes hors</w:t>
      </w:r>
      <w:r w:rsidR="00EF1779" w:rsidRPr="008725ED">
        <w:rPr>
          <w:snapToGrid w:val="0"/>
        </w:rPr>
        <w:t>-</w:t>
      </w:r>
      <w:r w:rsidRPr="008725ED">
        <w:rPr>
          <w:snapToGrid w:val="0"/>
        </w:rPr>
        <w:t>type sur la base de plusieurs cycles de végétation ou sur la base de sous</w:t>
      </w:r>
      <w:r w:rsidR="00EF1779" w:rsidRPr="008725ED">
        <w:rPr>
          <w:snapToGrid w:val="0"/>
        </w:rPr>
        <w:t>-</w:t>
      </w:r>
      <w:r w:rsidRPr="008725ED">
        <w:rPr>
          <w:snapToGrid w:val="0"/>
        </w:rPr>
        <w:t>échantillons</w:t>
      </w:r>
    </w:p>
    <w:p w:rsidR="008C3126" w:rsidRPr="008725ED" w:rsidRDefault="008C3126" w:rsidP="00D87DB7">
      <w:pPr>
        <w:rPr>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1D3EC4" w:rsidRPr="008725ED">
        <w:rPr>
          <w:lang w:val="fr-FR"/>
        </w:rPr>
        <w:t>a examiné</w:t>
      </w:r>
      <w:r w:rsidRPr="008725ED">
        <w:rPr>
          <w:lang w:val="fr-FR"/>
        </w:rPr>
        <w:t xml:space="preserve"> le </w:t>
      </w:r>
      <w:r w:rsidR="00EF1779" w:rsidRPr="008725ED">
        <w:rPr>
          <w:lang w:val="fr-FR"/>
        </w:rPr>
        <w:t>document TC</w:t>
      </w:r>
      <w:r w:rsidRPr="008725ED">
        <w:rPr>
          <w:lang w:val="fr-FR"/>
        </w:rPr>
        <w:t>/53/19.</w:t>
      </w:r>
    </w:p>
    <w:p w:rsidR="008C3126" w:rsidRPr="008725ED" w:rsidRDefault="008C3126" w:rsidP="00D87DB7">
      <w:pPr>
        <w:rPr>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indiqué </w:t>
      </w:r>
      <w:r w:rsidRPr="008725ED">
        <w:rPr>
          <w:lang w:val="fr-FR"/>
        </w:rPr>
        <w:t xml:space="preserve">que des exposés </w:t>
      </w:r>
      <w:r w:rsidR="00EB1ACA" w:rsidRPr="008725ED">
        <w:rPr>
          <w:lang w:val="fr-FR"/>
        </w:rPr>
        <w:t>avaient</w:t>
      </w:r>
      <w:r w:rsidRPr="008725ED">
        <w:rPr>
          <w:lang w:val="fr-FR"/>
        </w:rPr>
        <w:t xml:space="preserve"> été présentés par la France et par le Royaume</w:t>
      </w:r>
      <w:r w:rsidR="00EF1779" w:rsidRPr="008725ED">
        <w:rPr>
          <w:lang w:val="fr-FR"/>
        </w:rPr>
        <w:t>-</w:t>
      </w:r>
      <w:r w:rsidRPr="008725ED">
        <w:rPr>
          <w:lang w:val="fr-FR"/>
        </w:rPr>
        <w:t xml:space="preserve">Uni au TWC, au TWV et au TWA, à leurs sessions de 2016, et </w:t>
      </w:r>
      <w:r w:rsidR="00344B0C" w:rsidRPr="008725ED">
        <w:rPr>
          <w:lang w:val="fr-FR"/>
        </w:rPr>
        <w:t xml:space="preserve">a pris note </w:t>
      </w:r>
      <w:r w:rsidRPr="008725ED">
        <w:rPr>
          <w:lang w:val="fr-FR"/>
        </w:rPr>
        <w:t>des propositions de l</w:t>
      </w:r>
      <w:r w:rsidR="00EF1779" w:rsidRPr="008725ED">
        <w:rPr>
          <w:lang w:val="fr-FR"/>
        </w:rPr>
        <w:t>’</w:t>
      </w:r>
      <w:r w:rsidRPr="008725ED">
        <w:rPr>
          <w:lang w:val="fr-FR"/>
        </w:rPr>
        <w:t>Allemagne, des Pays</w:t>
      </w:r>
      <w:r w:rsidR="00EF1779" w:rsidRPr="008725ED">
        <w:rPr>
          <w:lang w:val="fr-FR"/>
        </w:rPr>
        <w:t>-</w:t>
      </w:r>
      <w:r w:rsidRPr="008725ED">
        <w:rPr>
          <w:lang w:val="fr-FR"/>
        </w:rPr>
        <w:t>Bas et du Royaume</w:t>
      </w:r>
      <w:r w:rsidR="00EF1779" w:rsidRPr="008725ED">
        <w:rPr>
          <w:lang w:val="fr-FR"/>
        </w:rPr>
        <w:t>-</w:t>
      </w:r>
      <w:r w:rsidRPr="008725ED">
        <w:rPr>
          <w:lang w:val="fr-FR"/>
        </w:rPr>
        <w:t>Uni de fournir des exemples au TWC, à sa session de 2017, en vue du choix de la méthode la plus appropriée pour l</w:t>
      </w:r>
      <w:r w:rsidR="00EF1779" w:rsidRPr="008725ED">
        <w:rPr>
          <w:lang w:val="fr-FR"/>
        </w:rPr>
        <w:t>’</w:t>
      </w:r>
      <w:r w:rsidRPr="008725ED">
        <w:rPr>
          <w:lang w:val="fr-FR"/>
        </w:rPr>
        <w:t>évaluation des plantes hors</w:t>
      </w:r>
      <w:r w:rsidR="00EF1779" w:rsidRPr="008725ED">
        <w:rPr>
          <w:lang w:val="fr-FR"/>
        </w:rPr>
        <w:t>-</w:t>
      </w:r>
      <w:r w:rsidRPr="008725ED">
        <w:rPr>
          <w:lang w:val="fr-FR"/>
        </w:rPr>
        <w:t>type.</w:t>
      </w:r>
    </w:p>
    <w:p w:rsidR="008C3126" w:rsidRPr="008725ED" w:rsidRDefault="008C3126" w:rsidP="00D87DB7">
      <w:pPr>
        <w:rPr>
          <w:snapToGrid w:val="0"/>
          <w:lang w:val="fr-FR"/>
        </w:rPr>
      </w:pPr>
    </w:p>
    <w:p w:rsidR="008C3126" w:rsidRPr="008725ED" w:rsidRDefault="00D87DB7" w:rsidP="00D87DB7">
      <w:pPr>
        <w:rPr>
          <w:rFonts w:cs="Arial"/>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pris note </w:t>
      </w:r>
      <w:r w:rsidRPr="008725ED">
        <w:rPr>
          <w:lang w:val="fr-FR"/>
        </w:rPr>
        <w:t>des propositions de l</w:t>
      </w:r>
      <w:r w:rsidR="00EF1779" w:rsidRPr="008725ED">
        <w:rPr>
          <w:lang w:val="fr-FR"/>
        </w:rPr>
        <w:t>’</w:t>
      </w:r>
      <w:r w:rsidRPr="008725ED">
        <w:rPr>
          <w:lang w:val="fr-FR"/>
        </w:rPr>
        <w:t>Allemagne, de la France, des Pays</w:t>
      </w:r>
      <w:r w:rsidR="00EF1779" w:rsidRPr="008725ED">
        <w:rPr>
          <w:lang w:val="fr-FR"/>
        </w:rPr>
        <w:t>-</w:t>
      </w:r>
      <w:r w:rsidRPr="008725ED">
        <w:rPr>
          <w:lang w:val="fr-FR"/>
        </w:rPr>
        <w:t>Bas, de la Pologne et du Royaume</w:t>
      </w:r>
      <w:r w:rsidR="00EF1779" w:rsidRPr="008725ED">
        <w:rPr>
          <w:lang w:val="fr-FR"/>
        </w:rPr>
        <w:t>-</w:t>
      </w:r>
      <w:r w:rsidRPr="008725ED">
        <w:rPr>
          <w:lang w:val="fr-FR"/>
        </w:rPr>
        <w:t>Uni de fournir au TWA, à sa quarante</w:t>
      </w:r>
      <w:r w:rsidR="00EF1779" w:rsidRPr="008725ED">
        <w:rPr>
          <w:lang w:val="fr-FR"/>
        </w:rPr>
        <w:t>-</w:t>
      </w:r>
      <w:r w:rsidRPr="008725ED">
        <w:rPr>
          <w:lang w:val="fr-FR"/>
        </w:rPr>
        <w:t>six</w:t>
      </w:r>
      <w:r w:rsidR="00EF1779" w:rsidRPr="008725ED">
        <w:rPr>
          <w:lang w:val="fr-FR"/>
        </w:rPr>
        <w:t>ième session</w:t>
      </w:r>
      <w:r w:rsidRPr="008725ED">
        <w:rPr>
          <w:lang w:val="fr-FR"/>
        </w:rPr>
        <w:t>, des exemples comparant les effets possibles de la méthode 3 et d</w:t>
      </w:r>
      <w:r w:rsidR="00EF1779" w:rsidRPr="008725ED">
        <w:rPr>
          <w:lang w:val="fr-FR"/>
        </w:rPr>
        <w:t>’</w:t>
      </w:r>
      <w:r w:rsidRPr="008725ED">
        <w:rPr>
          <w:lang w:val="fr-FR"/>
        </w:rPr>
        <w:t>autres méthodes sur les décisions relatives à l</w:t>
      </w:r>
      <w:r w:rsidR="00EF1779" w:rsidRPr="008725ED">
        <w:rPr>
          <w:lang w:val="fr-FR"/>
        </w:rPr>
        <w:t>’</w:t>
      </w:r>
      <w:r w:rsidRPr="008725ED">
        <w:rPr>
          <w:lang w:val="fr-FR"/>
        </w:rPr>
        <w:t>homogénéité.</w:t>
      </w:r>
    </w:p>
    <w:p w:rsidR="008C3126" w:rsidRPr="008725ED" w:rsidRDefault="008C3126" w:rsidP="00D87DB7">
      <w:pPr>
        <w:rPr>
          <w:rFonts w:cs="Arial"/>
          <w:lang w:val="fr-FR"/>
        </w:rPr>
      </w:pPr>
    </w:p>
    <w:p w:rsidR="008C3126" w:rsidRPr="008725ED" w:rsidRDefault="00D87DB7" w:rsidP="00D87DB7">
      <w:pPr>
        <w:rPr>
          <w:rFonts w:cs="Arial"/>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est convenu</w:t>
      </w:r>
      <w:r w:rsidRPr="008725ED">
        <w:rPr>
          <w:lang w:val="fr-FR"/>
        </w:rPr>
        <w:t xml:space="preserve"> d</w:t>
      </w:r>
      <w:r w:rsidR="00EF1779" w:rsidRPr="008725ED">
        <w:rPr>
          <w:lang w:val="fr-FR"/>
        </w:rPr>
        <w:t>’</w:t>
      </w:r>
      <w:r w:rsidRPr="008725ED">
        <w:rPr>
          <w:lang w:val="fr-FR"/>
        </w:rPr>
        <w:t>inviter des experts à fournir aux TWP, à leurs sessions 2017, des informations sur les critères permettant de choisir la méthode la plus appropriée pour l</w:t>
      </w:r>
      <w:r w:rsidR="00EF1779" w:rsidRPr="008725ED">
        <w:rPr>
          <w:lang w:val="fr-FR"/>
        </w:rPr>
        <w:t>’</w:t>
      </w:r>
      <w:r w:rsidRPr="008725ED">
        <w:rPr>
          <w:lang w:val="fr-FR"/>
        </w:rPr>
        <w:t>évaluation des plantes hors</w:t>
      </w:r>
      <w:r w:rsidR="00EF1779" w:rsidRPr="008725ED">
        <w:rPr>
          <w:lang w:val="fr-FR"/>
        </w:rPr>
        <w:t>-</w:t>
      </w:r>
      <w:r w:rsidRPr="008725ED">
        <w:rPr>
          <w:lang w:val="fr-FR"/>
        </w:rPr>
        <w:t>type pour différents types de plantes.</w:t>
      </w:r>
    </w:p>
    <w:p w:rsidR="008C3126" w:rsidRPr="008725ED" w:rsidRDefault="008C3126" w:rsidP="00D87DB7">
      <w:pPr>
        <w:rPr>
          <w:snapToGrid w:val="0"/>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1D3EC4" w:rsidRPr="008725ED">
        <w:rPr>
          <w:lang w:val="fr-FR"/>
        </w:rPr>
        <w:t>a examiné</w:t>
      </w:r>
      <w:r w:rsidRPr="008725ED">
        <w:rPr>
          <w:lang w:val="fr-FR"/>
        </w:rPr>
        <w:t xml:space="preserve"> le projet d</w:t>
      </w:r>
      <w:r w:rsidR="00EF1779" w:rsidRPr="008725ED">
        <w:rPr>
          <w:lang w:val="fr-FR"/>
        </w:rPr>
        <w:t>’</w:t>
      </w:r>
      <w:r w:rsidRPr="008725ED">
        <w:rPr>
          <w:lang w:val="fr-FR"/>
        </w:rPr>
        <w:t xml:space="preserve">orientations figurant dans les annexes I et II du </w:t>
      </w:r>
      <w:r w:rsidR="00EF1779" w:rsidRPr="008725ED">
        <w:rPr>
          <w:lang w:val="fr-FR"/>
        </w:rPr>
        <w:t>document TC</w:t>
      </w:r>
      <w:r w:rsidRPr="008725ED">
        <w:rPr>
          <w:lang w:val="fr-FR"/>
        </w:rPr>
        <w:t>/53/19 tel que modifié par les TWP à leurs sessions de 2016, aux fins de son inclusion dans une future version révisée du document TGP/10.  Le</w:t>
      </w:r>
      <w:r w:rsidR="00EF1779" w:rsidRPr="008725ED">
        <w:rPr>
          <w:lang w:val="fr-FR"/>
        </w:rPr>
        <w:t> TC</w:t>
      </w:r>
      <w:r w:rsidRPr="008725ED">
        <w:rPr>
          <w:lang w:val="fr-FR"/>
        </w:rPr>
        <w:t xml:space="preserve"> </w:t>
      </w:r>
      <w:r w:rsidR="00344B0C" w:rsidRPr="008725ED">
        <w:rPr>
          <w:lang w:val="fr-FR"/>
        </w:rPr>
        <w:t>est convenu</w:t>
      </w:r>
      <w:r w:rsidRPr="008725ED">
        <w:rPr>
          <w:lang w:val="fr-FR"/>
        </w:rPr>
        <w:t xml:space="preserve"> d</w:t>
      </w:r>
      <w:r w:rsidR="00EF1779" w:rsidRPr="008725ED">
        <w:rPr>
          <w:lang w:val="fr-FR"/>
        </w:rPr>
        <w:t>’</w:t>
      </w:r>
      <w:r w:rsidRPr="008725ED">
        <w:rPr>
          <w:lang w:val="fr-FR"/>
        </w:rPr>
        <w:t>inviter les groupes de travail techniques, à leurs sessions de 2017, à préciser dans l</w:t>
      </w:r>
      <w:r w:rsidR="00EF1779" w:rsidRPr="008725ED">
        <w:rPr>
          <w:lang w:val="fr-FR"/>
        </w:rPr>
        <w:t>’</w:t>
      </w:r>
      <w:r w:rsidRPr="008725ED">
        <w:rPr>
          <w:lang w:val="fr-FR"/>
        </w:rPr>
        <w:t xml:space="preserve">annexe I si </w:t>
      </w:r>
      <w:r w:rsidR="00EB1ACA" w:rsidRPr="008725ED">
        <w:rPr>
          <w:lang w:val="fr-FR"/>
        </w:rPr>
        <w:t>plusieurs critères généraux dev</w:t>
      </w:r>
      <w:r w:rsidRPr="008725ED">
        <w:rPr>
          <w:lang w:val="fr-FR"/>
        </w:rPr>
        <w:t>aient être pris en considération pour qu</w:t>
      </w:r>
      <w:r w:rsidR="00EF1779" w:rsidRPr="008725ED">
        <w:rPr>
          <w:lang w:val="fr-FR"/>
        </w:rPr>
        <w:t>’</w:t>
      </w:r>
      <w:r w:rsidRPr="008725ED">
        <w:rPr>
          <w:lang w:val="fr-FR"/>
        </w:rPr>
        <w:t>une variété soit rejetée après un seul cycle de végétation au lieu du cas précis où le nombre de plantes hors</w:t>
      </w:r>
      <w:r w:rsidR="00EF1779" w:rsidRPr="008725ED">
        <w:rPr>
          <w:lang w:val="fr-FR"/>
        </w:rPr>
        <w:t>-</w:t>
      </w:r>
      <w:r w:rsidRPr="008725ED">
        <w:rPr>
          <w:lang w:val="fr-FR"/>
        </w:rPr>
        <w:t>type autorisé pour deux cycles de végétation est dépassé.</w:t>
      </w:r>
    </w:p>
    <w:p w:rsidR="008C3126" w:rsidRPr="008725ED" w:rsidRDefault="008C3126" w:rsidP="00D87DB7">
      <w:pPr>
        <w:rPr>
          <w:lang w:val="fr-FR"/>
        </w:rPr>
      </w:pPr>
    </w:p>
    <w:p w:rsidR="008C3126" w:rsidRPr="008725ED" w:rsidRDefault="00D87DB7" w:rsidP="00D87DB7">
      <w:pPr>
        <w:rPr>
          <w:snapToGrid w:val="0"/>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est convenu</w:t>
      </w:r>
      <w:r w:rsidRPr="008725ED">
        <w:rPr>
          <w:lang w:val="fr-FR"/>
        </w:rPr>
        <w:t xml:space="preserve"> que, </w:t>
      </w:r>
      <w:r w:rsidRPr="008725ED">
        <w:rPr>
          <w:snapToGrid w:val="0"/>
          <w:lang w:val="fr-FR"/>
        </w:rPr>
        <w:t>tout comme la révision du document TGP/10, les orientations figurant dans le</w:t>
      </w:r>
      <w:r w:rsidRPr="008725ED">
        <w:rPr>
          <w:lang w:val="fr-FR"/>
        </w:rPr>
        <w:t xml:space="preserve"> document TGP/8/2, deuxième partie, section 8 “La méthode d</w:t>
      </w:r>
      <w:r w:rsidR="00EF1779" w:rsidRPr="008725ED">
        <w:rPr>
          <w:lang w:val="fr-FR"/>
        </w:rPr>
        <w:t>’</w:t>
      </w:r>
      <w:r w:rsidRPr="008725ED">
        <w:rPr>
          <w:lang w:val="fr-FR"/>
        </w:rPr>
        <w:t>évaluation de l</w:t>
      </w:r>
      <w:r w:rsidR="00EF1779" w:rsidRPr="008725ED">
        <w:rPr>
          <w:lang w:val="fr-FR"/>
        </w:rPr>
        <w:t>’</w:t>
      </w:r>
      <w:r w:rsidRPr="008725ED">
        <w:rPr>
          <w:lang w:val="fr-FR"/>
        </w:rPr>
        <w:t>homogénéité fondée sur les hors</w:t>
      </w:r>
      <w:r w:rsidR="00EF1779" w:rsidRPr="008725ED">
        <w:rPr>
          <w:lang w:val="fr-FR"/>
        </w:rPr>
        <w:t>-</w:t>
      </w:r>
      <w:r w:rsidRPr="008725ED">
        <w:rPr>
          <w:lang w:val="fr-FR"/>
        </w:rPr>
        <w:t xml:space="preserve">types”, </w:t>
      </w:r>
      <w:r w:rsidR="00EB1ACA" w:rsidRPr="008725ED">
        <w:rPr>
          <w:lang w:val="fr-FR"/>
        </w:rPr>
        <w:t>devaient</w:t>
      </w:r>
      <w:r w:rsidRPr="008725ED">
        <w:rPr>
          <w:lang w:val="fr-FR"/>
        </w:rPr>
        <w:t xml:space="preserve"> être révisées afin de tenir compte de</w:t>
      </w:r>
      <w:r w:rsidRPr="008725ED">
        <w:rPr>
          <w:snapToGrid w:val="0"/>
          <w:lang w:val="fr-FR"/>
        </w:rPr>
        <w:t xml:space="preserve"> la pratique des membres de l</w:t>
      </w:r>
      <w:r w:rsidR="00EF1779" w:rsidRPr="008725ED">
        <w:rPr>
          <w:snapToGrid w:val="0"/>
          <w:lang w:val="fr-FR"/>
        </w:rPr>
        <w:t>’</w:t>
      </w:r>
      <w:r w:rsidRPr="008725ED">
        <w:rPr>
          <w:snapToGrid w:val="0"/>
          <w:lang w:val="fr-FR"/>
        </w:rPr>
        <w:t>Union quant à l</w:t>
      </w:r>
      <w:r w:rsidR="00EF1779" w:rsidRPr="008725ED">
        <w:rPr>
          <w:snapToGrid w:val="0"/>
          <w:lang w:val="fr-FR"/>
        </w:rPr>
        <w:t>’</w:t>
      </w:r>
      <w:r w:rsidRPr="008725ED">
        <w:rPr>
          <w:snapToGrid w:val="0"/>
          <w:lang w:val="fr-FR"/>
        </w:rPr>
        <w:t>utilisation de méthodes au</w:t>
      </w:r>
      <w:r w:rsidR="00EF1779" w:rsidRPr="008725ED">
        <w:rPr>
          <w:snapToGrid w:val="0"/>
          <w:lang w:val="fr-FR"/>
        </w:rPr>
        <w:t>-</w:t>
      </w:r>
      <w:r w:rsidRPr="008725ED">
        <w:rPr>
          <w:snapToGrid w:val="0"/>
          <w:lang w:val="fr-FR"/>
        </w:rPr>
        <w:t>delà d</w:t>
      </w:r>
      <w:r w:rsidR="00EF1779" w:rsidRPr="008725ED">
        <w:rPr>
          <w:snapToGrid w:val="0"/>
          <w:lang w:val="fr-FR"/>
        </w:rPr>
        <w:t>’</w:t>
      </w:r>
      <w:r w:rsidRPr="008725ED">
        <w:rPr>
          <w:snapToGrid w:val="0"/>
          <w:lang w:val="fr-FR"/>
        </w:rPr>
        <w:t>un essai unique (année).</w:t>
      </w:r>
    </w:p>
    <w:p w:rsidR="008C3126" w:rsidRPr="008725ED" w:rsidRDefault="008C3126" w:rsidP="00D87DB7">
      <w:pPr>
        <w:rPr>
          <w:lang w:val="fr-FR"/>
        </w:rPr>
      </w:pPr>
    </w:p>
    <w:p w:rsidR="008C3126" w:rsidRPr="008725ED" w:rsidRDefault="008C3126" w:rsidP="00D87DB7">
      <w:pPr>
        <w:rPr>
          <w:lang w:val="fr-FR"/>
        </w:rPr>
      </w:pPr>
    </w:p>
    <w:p w:rsidR="008C3126" w:rsidRPr="008725ED" w:rsidRDefault="00D87DB7" w:rsidP="00382CC4">
      <w:pPr>
        <w:pStyle w:val="Heading3"/>
        <w:rPr>
          <w:rStyle w:val="Emphasis"/>
          <w:i/>
        </w:rPr>
      </w:pPr>
      <w:bookmarkStart w:id="9" w:name="_Toc494207947"/>
      <w:r w:rsidRPr="008725ED">
        <w:rPr>
          <w:rStyle w:val="Emphasis"/>
          <w:i/>
          <w:iCs w:val="0"/>
        </w:rPr>
        <w:t>Nouvelles propositions de futures révisions de documents TGP</w:t>
      </w:r>
      <w:bookmarkEnd w:id="9"/>
    </w:p>
    <w:p w:rsidR="008C3126" w:rsidRPr="008725ED" w:rsidRDefault="008C3126" w:rsidP="00D87DB7">
      <w:pPr>
        <w:keepNext/>
        <w:rPr>
          <w:lang w:val="fr-FR"/>
        </w:rPr>
      </w:pPr>
    </w:p>
    <w:p w:rsidR="008C3126" w:rsidRPr="008725ED" w:rsidRDefault="00D87DB7" w:rsidP="00382CC4">
      <w:pPr>
        <w:pStyle w:val="Heading4"/>
      </w:pPr>
      <w:r w:rsidRPr="008725ED">
        <w:t>TGP/7</w:t>
      </w:r>
      <w:r w:rsidR="00EF1779" w:rsidRPr="008725ED">
        <w:t> :</w:t>
      </w:r>
      <w:r w:rsidRPr="008725ED">
        <w:t xml:space="preserve"> Élaboration des principes directeurs d</w:t>
      </w:r>
      <w:r w:rsidR="00EF1779" w:rsidRPr="008725ED">
        <w:t>’</w:t>
      </w:r>
      <w:r w:rsidRPr="008725ED">
        <w:t>examen</w:t>
      </w:r>
    </w:p>
    <w:p w:rsidR="008C3126" w:rsidRPr="008725ED" w:rsidRDefault="008C3126" w:rsidP="00D87DB7">
      <w:pPr>
        <w:keepNext/>
        <w:rPr>
          <w:lang w:val="fr-FR"/>
        </w:rPr>
      </w:pPr>
    </w:p>
    <w:p w:rsidR="008C3126" w:rsidRPr="008725ED" w:rsidRDefault="00D87DB7" w:rsidP="00382CC4">
      <w:pPr>
        <w:pStyle w:val="Heading5"/>
      </w:pPr>
      <w:r w:rsidRPr="008725ED">
        <w:t>i)</w:t>
      </w:r>
      <w:r w:rsidRPr="008725ED">
        <w:tab/>
        <w:t>Durée des examens DHS dans le secteur des fruits</w:t>
      </w:r>
    </w:p>
    <w:p w:rsidR="008C3126" w:rsidRPr="008725ED" w:rsidRDefault="008C3126" w:rsidP="00D87DB7">
      <w:pPr>
        <w:keepNext/>
        <w:rPr>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1D3EC4" w:rsidRPr="008725ED">
        <w:rPr>
          <w:lang w:val="fr-FR"/>
        </w:rPr>
        <w:t>a examiné</w:t>
      </w:r>
      <w:r w:rsidRPr="008725ED">
        <w:rPr>
          <w:lang w:val="fr-FR"/>
        </w:rPr>
        <w:t xml:space="preserve"> le </w:t>
      </w:r>
      <w:r w:rsidR="00EF1779" w:rsidRPr="008725ED">
        <w:rPr>
          <w:lang w:val="fr-FR"/>
        </w:rPr>
        <w:t>document TC</w:t>
      </w:r>
      <w:r w:rsidRPr="008725ED">
        <w:rPr>
          <w:lang w:val="fr-FR"/>
        </w:rPr>
        <w:t>/53/5.</w:t>
      </w:r>
    </w:p>
    <w:p w:rsidR="008C3126" w:rsidRPr="008725ED" w:rsidRDefault="008C3126" w:rsidP="00D87DB7">
      <w:pPr>
        <w:rPr>
          <w:lang w:val="fr-FR"/>
        </w:rPr>
      </w:pPr>
    </w:p>
    <w:p w:rsidR="008C3126" w:rsidRPr="008725ED" w:rsidRDefault="00D87DB7" w:rsidP="00D87DB7">
      <w:pPr>
        <w:rPr>
          <w:spacing w:val="-2"/>
          <w:lang w:val="fr-FR"/>
        </w:rPr>
      </w:pPr>
      <w:r w:rsidRPr="008725ED">
        <w:rPr>
          <w:spacing w:val="-2"/>
          <w:lang w:val="fr-FR"/>
        </w:rPr>
        <w:fldChar w:fldCharType="begin"/>
      </w:r>
      <w:r w:rsidRPr="008725ED">
        <w:rPr>
          <w:spacing w:val="-2"/>
          <w:lang w:val="fr-FR"/>
        </w:rPr>
        <w:instrText xml:space="preserve"> AUTONUM  </w:instrText>
      </w:r>
      <w:r w:rsidRPr="008725ED">
        <w:rPr>
          <w:spacing w:val="-2"/>
          <w:lang w:val="fr-FR"/>
        </w:rPr>
        <w:fldChar w:fldCharType="end"/>
      </w:r>
      <w:r w:rsidRPr="008725ED">
        <w:rPr>
          <w:spacing w:val="-2"/>
          <w:lang w:val="fr-FR"/>
        </w:rPr>
        <w:tab/>
        <w:t>Le</w:t>
      </w:r>
      <w:r w:rsidR="00EF1779" w:rsidRPr="008725ED">
        <w:rPr>
          <w:spacing w:val="-2"/>
          <w:lang w:val="fr-FR"/>
        </w:rPr>
        <w:t> TC</w:t>
      </w:r>
      <w:r w:rsidRPr="008725ED">
        <w:rPr>
          <w:spacing w:val="-2"/>
          <w:lang w:val="fr-FR"/>
        </w:rPr>
        <w:t xml:space="preserve"> </w:t>
      </w:r>
      <w:r w:rsidR="001D3EC4" w:rsidRPr="008725ED">
        <w:rPr>
          <w:spacing w:val="-2"/>
          <w:lang w:val="fr-FR"/>
        </w:rPr>
        <w:t>a examiné</w:t>
      </w:r>
      <w:r w:rsidRPr="008725ED">
        <w:rPr>
          <w:spacing w:val="-2"/>
          <w:lang w:val="fr-FR"/>
        </w:rPr>
        <w:t xml:space="preserve"> la proposition du TWF de réviser le document TGP/7 “Élaboration des principes directeurs d</w:t>
      </w:r>
      <w:r w:rsidR="00EF1779" w:rsidRPr="008725ED">
        <w:rPr>
          <w:spacing w:val="-2"/>
          <w:lang w:val="fr-FR"/>
        </w:rPr>
        <w:t>’</w:t>
      </w:r>
      <w:r w:rsidRPr="008725ED">
        <w:rPr>
          <w:spacing w:val="-2"/>
          <w:lang w:val="fr-FR"/>
        </w:rPr>
        <w:t>examen” pour insérer un nouveau texte standard dans le modèle de principes directeurs d</w:t>
      </w:r>
      <w:r w:rsidR="00EF1779" w:rsidRPr="008725ED">
        <w:rPr>
          <w:spacing w:val="-2"/>
          <w:lang w:val="fr-FR"/>
        </w:rPr>
        <w:t>’</w:t>
      </w:r>
      <w:r w:rsidRPr="008725ED">
        <w:rPr>
          <w:spacing w:val="-2"/>
          <w:lang w:val="fr-FR"/>
        </w:rPr>
        <w:t>examen et modifier le texte standard supplémentaire 2 pour préciser la durée de l</w:t>
      </w:r>
      <w:r w:rsidR="00EF1779" w:rsidRPr="008725ED">
        <w:rPr>
          <w:spacing w:val="-2"/>
          <w:lang w:val="fr-FR"/>
        </w:rPr>
        <w:t>’</w:t>
      </w:r>
      <w:r w:rsidRPr="008725ED">
        <w:rPr>
          <w:spacing w:val="-2"/>
          <w:lang w:val="fr-FR"/>
        </w:rPr>
        <w:t>examen DHS, comme suit</w:t>
      </w:r>
      <w:r w:rsidR="00EF1779" w:rsidRPr="008725ED">
        <w:rPr>
          <w:spacing w:val="-2"/>
          <w:lang w:val="fr-FR"/>
        </w:rPr>
        <w:t> :</w:t>
      </w:r>
    </w:p>
    <w:p w:rsidR="008C3126" w:rsidRPr="008725ED" w:rsidRDefault="008C3126" w:rsidP="00D87DB7">
      <w:pPr>
        <w:rPr>
          <w:lang w:val="fr-FR"/>
        </w:rPr>
      </w:pPr>
    </w:p>
    <w:p w:rsidR="008C3126" w:rsidRPr="008725ED" w:rsidRDefault="00D87DB7" w:rsidP="00D87DB7">
      <w:pPr>
        <w:numPr>
          <w:ilvl w:val="0"/>
          <w:numId w:val="12"/>
        </w:numPr>
        <w:autoSpaceDE w:val="0"/>
        <w:autoSpaceDN w:val="0"/>
        <w:adjustRightInd w:val="0"/>
        <w:spacing w:after="120"/>
        <w:jc w:val="left"/>
        <w:rPr>
          <w:rFonts w:eastAsia="Cambria" w:cs="Arial"/>
          <w:b/>
          <w:i/>
          <w:lang w:val="fr-FR"/>
        </w:rPr>
      </w:pPr>
      <w:r w:rsidRPr="008725ED">
        <w:rPr>
          <w:rFonts w:eastAsia="Cambria" w:cs="Arial"/>
          <w:b/>
          <w:i/>
          <w:lang w:val="fr-FR"/>
        </w:rPr>
        <w:t>Ajout d</w:t>
      </w:r>
      <w:r w:rsidR="00EF1779" w:rsidRPr="008725ED">
        <w:rPr>
          <w:rFonts w:eastAsia="Cambria" w:cs="Arial"/>
          <w:b/>
          <w:i/>
          <w:lang w:val="fr-FR"/>
        </w:rPr>
        <w:t>’</w:t>
      </w:r>
      <w:r w:rsidRPr="008725ED">
        <w:rPr>
          <w:rFonts w:eastAsia="Cambria" w:cs="Arial"/>
          <w:b/>
          <w:i/>
          <w:lang w:val="fr-FR"/>
        </w:rPr>
        <w:t>une phrase standard au point 3 du modèle de principes directeurs d</w:t>
      </w:r>
      <w:r w:rsidR="00EF1779" w:rsidRPr="008725ED">
        <w:rPr>
          <w:rFonts w:eastAsia="Cambria" w:cs="Arial"/>
          <w:b/>
          <w:i/>
          <w:lang w:val="fr-FR"/>
        </w:rPr>
        <w:t>’</w:t>
      </w:r>
      <w:r w:rsidRPr="008725ED">
        <w:rPr>
          <w:rFonts w:eastAsia="Cambria" w:cs="Arial"/>
          <w:b/>
          <w:i/>
          <w:lang w:val="fr-FR"/>
        </w:rPr>
        <w:t>examen de l</w:t>
      </w:r>
      <w:r w:rsidR="00EF1779" w:rsidRPr="008725ED">
        <w:rPr>
          <w:rFonts w:eastAsia="Cambria" w:cs="Arial"/>
          <w:b/>
          <w:i/>
          <w:lang w:val="fr-FR"/>
        </w:rPr>
        <w:t>’</w:t>
      </w:r>
      <w:r w:rsidRPr="008725ED">
        <w:rPr>
          <w:rFonts w:eastAsia="Cambria" w:cs="Arial"/>
          <w:b/>
          <w:i/>
          <w:lang w:val="fr-FR"/>
        </w:rPr>
        <w:t>UPOV, comme suit</w:t>
      </w:r>
      <w:r w:rsidR="00EF1779" w:rsidRPr="008725ED">
        <w:rPr>
          <w:rFonts w:eastAsia="Cambria" w:cs="Arial"/>
          <w:b/>
          <w:i/>
          <w:lang w:val="fr-FR"/>
        </w:rPr>
        <w:t> :</w:t>
      </w:r>
    </w:p>
    <w:p w:rsidR="008C3126" w:rsidRPr="008725ED" w:rsidRDefault="00D87DB7" w:rsidP="00D87DB7">
      <w:pPr>
        <w:autoSpaceDE w:val="0"/>
        <w:autoSpaceDN w:val="0"/>
        <w:adjustRightInd w:val="0"/>
        <w:ind w:right="567" w:firstLine="360"/>
        <w:jc w:val="left"/>
        <w:rPr>
          <w:rFonts w:eastAsia="Cambria" w:cs="Arial"/>
          <w:lang w:val="fr-FR"/>
        </w:rPr>
      </w:pPr>
      <w:r w:rsidRPr="008725ED">
        <w:rPr>
          <w:rFonts w:eastAsia="Cambria" w:cs="Arial"/>
          <w:lang w:val="fr-FR"/>
        </w:rPr>
        <w:t>“3.  Méthode d</w:t>
      </w:r>
      <w:r w:rsidR="00EF1779" w:rsidRPr="008725ED">
        <w:rPr>
          <w:rFonts w:eastAsia="Cambria" w:cs="Arial"/>
          <w:lang w:val="fr-FR"/>
        </w:rPr>
        <w:t>’</w:t>
      </w:r>
      <w:r w:rsidRPr="008725ED">
        <w:rPr>
          <w:rFonts w:eastAsia="Cambria" w:cs="Arial"/>
          <w:lang w:val="fr-FR"/>
        </w:rPr>
        <w:t>examen</w:t>
      </w:r>
    </w:p>
    <w:p w:rsidR="008C3126" w:rsidRPr="008725ED" w:rsidRDefault="008C3126" w:rsidP="00D87DB7">
      <w:pPr>
        <w:autoSpaceDE w:val="0"/>
        <w:autoSpaceDN w:val="0"/>
        <w:adjustRightInd w:val="0"/>
        <w:ind w:right="567" w:firstLine="360"/>
        <w:jc w:val="left"/>
        <w:rPr>
          <w:rFonts w:eastAsia="Cambria" w:cs="Arial"/>
          <w:lang w:val="fr-FR"/>
        </w:rPr>
      </w:pPr>
    </w:p>
    <w:p w:rsidR="008C3126" w:rsidRPr="008725ED" w:rsidRDefault="00D87DB7" w:rsidP="00D87DB7">
      <w:pPr>
        <w:autoSpaceDE w:val="0"/>
        <w:autoSpaceDN w:val="0"/>
        <w:adjustRightInd w:val="0"/>
        <w:ind w:left="567" w:right="567"/>
        <w:jc w:val="left"/>
        <w:rPr>
          <w:rFonts w:eastAsia="Cambria" w:cs="Arial"/>
          <w:i/>
          <w:iCs/>
          <w:lang w:val="fr-FR"/>
        </w:rPr>
      </w:pPr>
      <w:r w:rsidRPr="008725ED">
        <w:rPr>
          <w:rFonts w:eastAsia="Cambria" w:cs="Arial"/>
          <w:iCs/>
          <w:lang w:val="fr-FR"/>
        </w:rPr>
        <w:t>“</w:t>
      </w:r>
      <w:r w:rsidRPr="008725ED">
        <w:rPr>
          <w:rFonts w:eastAsia="Cambria" w:cs="Arial"/>
          <w:i/>
          <w:iCs/>
          <w:lang w:val="fr-FR"/>
        </w:rPr>
        <w:t>3.1</w:t>
      </w:r>
      <w:r w:rsidRPr="008725ED">
        <w:rPr>
          <w:rFonts w:eastAsia="Cambria" w:cs="Arial"/>
          <w:iCs/>
          <w:lang w:val="fr-FR"/>
        </w:rPr>
        <w:t xml:space="preserve"> </w:t>
      </w:r>
      <w:r w:rsidRPr="008725ED">
        <w:rPr>
          <w:rFonts w:eastAsia="Cambria" w:cs="Arial"/>
          <w:i/>
          <w:iCs/>
          <w:lang w:val="fr-FR"/>
        </w:rPr>
        <w:t>Nombre de cycles de végétation</w:t>
      </w:r>
    </w:p>
    <w:p w:rsidR="008C3126" w:rsidRPr="008725ED" w:rsidRDefault="008C3126" w:rsidP="00D87DB7">
      <w:pPr>
        <w:autoSpaceDE w:val="0"/>
        <w:autoSpaceDN w:val="0"/>
        <w:adjustRightInd w:val="0"/>
        <w:ind w:left="567" w:right="567"/>
        <w:jc w:val="left"/>
        <w:rPr>
          <w:rFonts w:eastAsia="Cambria" w:cs="Arial"/>
          <w:i/>
          <w:iCs/>
          <w:lang w:val="fr-FR"/>
        </w:rPr>
      </w:pPr>
    </w:p>
    <w:p w:rsidR="008C3126" w:rsidRPr="008725ED" w:rsidRDefault="00D87DB7" w:rsidP="00D87DB7">
      <w:pPr>
        <w:autoSpaceDE w:val="0"/>
        <w:autoSpaceDN w:val="0"/>
        <w:adjustRightInd w:val="0"/>
        <w:ind w:left="567" w:right="567" w:firstLine="567"/>
        <w:jc w:val="left"/>
        <w:rPr>
          <w:rFonts w:eastAsia="Cambria" w:cs="Arial"/>
          <w:lang w:val="fr-FR"/>
        </w:rPr>
      </w:pPr>
      <w:r w:rsidRPr="008725ED">
        <w:rPr>
          <w:rFonts w:eastAsia="Cambria" w:cs="Arial"/>
          <w:lang w:val="fr-FR"/>
        </w:rPr>
        <w:t>“En règle générale, la durée minimale des essais doit être de</w:t>
      </w:r>
    </w:p>
    <w:p w:rsidR="008C3126" w:rsidRPr="008725ED" w:rsidRDefault="008C3126" w:rsidP="00D87DB7">
      <w:pPr>
        <w:autoSpaceDE w:val="0"/>
        <w:autoSpaceDN w:val="0"/>
        <w:adjustRightInd w:val="0"/>
        <w:ind w:left="567" w:right="567" w:firstLine="567"/>
        <w:jc w:val="left"/>
        <w:rPr>
          <w:rFonts w:eastAsia="Cambria" w:cs="Arial"/>
          <w:lang w:val="fr-FR"/>
        </w:rPr>
      </w:pPr>
    </w:p>
    <w:p w:rsidR="008C3126" w:rsidRPr="008725ED" w:rsidRDefault="00D87DB7" w:rsidP="00D87DB7">
      <w:pPr>
        <w:autoSpaceDE w:val="0"/>
        <w:autoSpaceDN w:val="0"/>
        <w:adjustRightInd w:val="0"/>
        <w:ind w:left="567" w:right="567" w:firstLine="567"/>
        <w:jc w:val="left"/>
        <w:rPr>
          <w:rFonts w:eastAsia="Cambria" w:cs="Arial"/>
          <w:lang w:val="fr-FR"/>
        </w:rPr>
      </w:pPr>
      <w:r w:rsidRPr="008725ED">
        <w:rPr>
          <w:rFonts w:eastAsia="Cambria" w:cs="Arial"/>
          <w:lang w:val="fr-FR"/>
        </w:rPr>
        <w:t xml:space="preserve">“{ </w:t>
      </w:r>
      <w:r w:rsidRPr="008725ED">
        <w:rPr>
          <w:rFonts w:eastAsia="Cambria" w:cs="Arial"/>
          <w:b/>
          <w:lang w:val="fr-FR"/>
        </w:rPr>
        <w:t>ASW 2</w:t>
      </w:r>
      <w:r w:rsidRPr="008725ED">
        <w:rPr>
          <w:rFonts w:eastAsia="Cambria" w:cs="Arial"/>
          <w:lang w:val="fr-FR"/>
        </w:rPr>
        <w:t xml:space="preserve"> (Section 3.1.1) – Nombre de cycles de végétation }</w:t>
      </w:r>
    </w:p>
    <w:p w:rsidR="008C3126" w:rsidRPr="008725ED" w:rsidRDefault="00D87DB7" w:rsidP="00D87DB7">
      <w:pPr>
        <w:autoSpaceDE w:val="0"/>
        <w:autoSpaceDN w:val="0"/>
        <w:adjustRightInd w:val="0"/>
        <w:ind w:left="567" w:right="567" w:firstLine="567"/>
        <w:jc w:val="left"/>
        <w:rPr>
          <w:rFonts w:eastAsia="Cambria" w:cs="Arial"/>
          <w:lang w:val="fr-FR"/>
        </w:rPr>
      </w:pPr>
      <w:r w:rsidRPr="008725ED">
        <w:rPr>
          <w:rFonts w:eastAsia="Cambria" w:cs="Arial"/>
          <w:lang w:val="fr-FR"/>
        </w:rPr>
        <w:t>“{ GN 8 (chapitre 3.1.2) – Précisions concernant le cycle de végétation }</w:t>
      </w:r>
    </w:p>
    <w:p w:rsidR="008C3126" w:rsidRPr="008725ED" w:rsidRDefault="00D87DB7" w:rsidP="00D87DB7">
      <w:pPr>
        <w:autoSpaceDE w:val="0"/>
        <w:autoSpaceDN w:val="0"/>
        <w:adjustRightInd w:val="0"/>
        <w:spacing w:after="240"/>
        <w:ind w:left="567" w:right="567" w:firstLine="567"/>
        <w:rPr>
          <w:rFonts w:eastAsia="Cambria" w:cs="Arial"/>
          <w:lang w:val="fr-FR"/>
        </w:rPr>
      </w:pPr>
      <w:r w:rsidRPr="008725ED">
        <w:rPr>
          <w:rFonts w:eastAsia="Cambria" w:cs="Arial"/>
          <w:lang w:val="fr-FR"/>
        </w:rPr>
        <w:t xml:space="preserve">“{ </w:t>
      </w:r>
      <w:r w:rsidRPr="008725ED">
        <w:rPr>
          <w:rFonts w:eastAsia="Cambria" w:cs="Arial"/>
          <w:b/>
          <w:lang w:val="fr-FR"/>
        </w:rPr>
        <w:t xml:space="preserve">ASW 3 </w:t>
      </w:r>
      <w:r w:rsidRPr="008725ED">
        <w:rPr>
          <w:rFonts w:eastAsia="Cambria" w:cs="Arial"/>
          <w:lang w:val="fr-FR"/>
        </w:rPr>
        <w:t>(chapitre 3.1.2) – Précisions concernant le cycle de végétation }</w:t>
      </w:r>
    </w:p>
    <w:p w:rsidR="008C3126" w:rsidRPr="008725ED" w:rsidRDefault="00D87DB7" w:rsidP="00D87DB7">
      <w:pPr>
        <w:shd w:val="clear" w:color="auto" w:fill="FFFFFF" w:themeFill="background1"/>
        <w:autoSpaceDE w:val="0"/>
        <w:autoSpaceDN w:val="0"/>
        <w:adjustRightInd w:val="0"/>
        <w:ind w:left="567" w:right="567" w:firstLine="567"/>
        <w:rPr>
          <w:rFonts w:eastAsia="Cambria" w:cs="Arial"/>
          <w:u w:val="single"/>
          <w:lang w:val="fr-FR" w:eastAsia="fr-FR"/>
        </w:rPr>
      </w:pPr>
      <w:r w:rsidRPr="008725ED">
        <w:rPr>
          <w:rFonts w:eastAsia="Cambria" w:cs="Arial"/>
          <w:highlight w:val="lightGray"/>
          <w:u w:val="single"/>
          <w:lang w:val="fr-FR" w:eastAsia="fr-FR"/>
        </w:rPr>
        <w:t>Dès qu</w:t>
      </w:r>
      <w:r w:rsidR="00EF1779" w:rsidRPr="008725ED">
        <w:rPr>
          <w:rFonts w:eastAsia="Cambria" w:cs="Arial"/>
          <w:highlight w:val="lightGray"/>
          <w:u w:val="single"/>
          <w:lang w:val="fr-FR" w:eastAsia="fr-FR"/>
        </w:rPr>
        <w:t>’</w:t>
      </w:r>
      <w:r w:rsidRPr="008725ED">
        <w:rPr>
          <w:rFonts w:eastAsia="Cambria" w:cs="Arial"/>
          <w:highlight w:val="lightGray"/>
          <w:u w:val="single"/>
          <w:lang w:val="fr-FR" w:eastAsia="fr-FR"/>
        </w:rPr>
        <w:t>il est possible d</w:t>
      </w:r>
      <w:r w:rsidR="00EF1779" w:rsidRPr="008725ED">
        <w:rPr>
          <w:rFonts w:eastAsia="Cambria" w:cs="Arial"/>
          <w:highlight w:val="lightGray"/>
          <w:u w:val="single"/>
          <w:lang w:val="fr-FR" w:eastAsia="fr-FR"/>
        </w:rPr>
        <w:t>’</w:t>
      </w:r>
      <w:r w:rsidRPr="008725ED">
        <w:rPr>
          <w:rFonts w:eastAsia="Cambria" w:cs="Arial"/>
          <w:highlight w:val="lightGray"/>
          <w:u w:val="single"/>
          <w:lang w:val="fr-FR" w:eastAsia="fr-FR"/>
        </w:rPr>
        <w:t>établir de façon certaine que le résultat des examens DHS sera négatif, ceux</w:t>
      </w:r>
      <w:r w:rsidR="00EF1779" w:rsidRPr="008725ED">
        <w:rPr>
          <w:rFonts w:eastAsia="Cambria" w:cs="Arial"/>
          <w:highlight w:val="lightGray"/>
          <w:u w:val="single"/>
          <w:lang w:val="fr-FR" w:eastAsia="fr-FR"/>
        </w:rPr>
        <w:t>-</w:t>
      </w:r>
      <w:r w:rsidRPr="008725ED">
        <w:rPr>
          <w:rFonts w:eastAsia="Cambria" w:cs="Arial"/>
          <w:highlight w:val="lightGray"/>
          <w:u w:val="single"/>
          <w:lang w:val="fr-FR" w:eastAsia="fr-FR"/>
        </w:rPr>
        <w:t>ci peuvent être interrompus, indépendamment du nombre de cycles de végétation menés jusqu</w:t>
      </w:r>
      <w:r w:rsidR="00EF1779" w:rsidRPr="008725ED">
        <w:rPr>
          <w:rFonts w:eastAsia="Cambria" w:cs="Arial"/>
          <w:highlight w:val="lightGray"/>
          <w:u w:val="single"/>
          <w:lang w:val="fr-FR" w:eastAsia="fr-FR"/>
        </w:rPr>
        <w:t>’</w:t>
      </w:r>
      <w:r w:rsidRPr="008725ED">
        <w:rPr>
          <w:rFonts w:eastAsia="Cambria" w:cs="Arial"/>
          <w:highlight w:val="lightGray"/>
          <w:u w:val="single"/>
          <w:lang w:val="fr-FR" w:eastAsia="fr-FR"/>
        </w:rPr>
        <w:t>alors.</w:t>
      </w:r>
    </w:p>
    <w:p w:rsidR="008C3126" w:rsidRPr="008725ED" w:rsidRDefault="008C3126" w:rsidP="00D87DB7">
      <w:pPr>
        <w:autoSpaceDE w:val="0"/>
        <w:autoSpaceDN w:val="0"/>
        <w:adjustRightInd w:val="0"/>
        <w:ind w:right="567"/>
        <w:rPr>
          <w:rFonts w:eastAsia="Cambria" w:cs="Arial"/>
          <w:lang w:val="fr-FR"/>
        </w:rPr>
      </w:pPr>
    </w:p>
    <w:p w:rsidR="008C3126" w:rsidRPr="008725ED" w:rsidRDefault="00D87DB7" w:rsidP="00D87DB7">
      <w:pPr>
        <w:keepNext/>
        <w:numPr>
          <w:ilvl w:val="0"/>
          <w:numId w:val="12"/>
        </w:numPr>
        <w:autoSpaceDE w:val="0"/>
        <w:autoSpaceDN w:val="0"/>
        <w:adjustRightInd w:val="0"/>
        <w:spacing w:after="120"/>
        <w:ind w:right="567"/>
        <w:jc w:val="left"/>
        <w:rPr>
          <w:rFonts w:eastAsia="Cambria" w:cs="Arial"/>
          <w:lang w:val="fr-FR"/>
        </w:rPr>
      </w:pPr>
      <w:r w:rsidRPr="008725ED">
        <w:rPr>
          <w:rFonts w:eastAsia="Cambria" w:cs="Arial"/>
          <w:b/>
          <w:i/>
          <w:lang w:val="fr-FR"/>
        </w:rPr>
        <w:t>Option(s) supplémentaires(s) à inclure à ASW 2</w:t>
      </w:r>
    </w:p>
    <w:p w:rsidR="008C3126" w:rsidRPr="008725ED" w:rsidRDefault="00D87DB7" w:rsidP="00D87DB7">
      <w:pPr>
        <w:autoSpaceDE w:val="0"/>
        <w:autoSpaceDN w:val="0"/>
        <w:adjustRightInd w:val="0"/>
        <w:ind w:left="567" w:right="567"/>
        <w:jc w:val="left"/>
        <w:rPr>
          <w:rFonts w:eastAsia="Cambria" w:cs="Arial"/>
          <w:lang w:val="fr-FR"/>
        </w:rPr>
      </w:pPr>
      <w:r w:rsidRPr="008725ED">
        <w:rPr>
          <w:rFonts w:eastAsia="Cambria" w:cs="Arial"/>
          <w:lang w:val="fr-FR"/>
        </w:rPr>
        <w:t>ASW 2 (Chapitre 3.1 du modèle – Nombre de cycles de végétation)</w:t>
      </w:r>
    </w:p>
    <w:p w:rsidR="008C3126" w:rsidRPr="008725ED" w:rsidRDefault="008C3126" w:rsidP="00D87DB7">
      <w:pPr>
        <w:autoSpaceDE w:val="0"/>
        <w:autoSpaceDN w:val="0"/>
        <w:adjustRightInd w:val="0"/>
        <w:ind w:left="567" w:right="567"/>
        <w:jc w:val="left"/>
        <w:rPr>
          <w:rFonts w:eastAsia="Cambria" w:cs="Arial"/>
          <w:lang w:val="fr-FR"/>
        </w:rPr>
      </w:pPr>
    </w:p>
    <w:p w:rsidR="008C3126" w:rsidRPr="008725ED" w:rsidRDefault="00D87DB7" w:rsidP="00D87DB7">
      <w:pPr>
        <w:pStyle w:val="ListParagraph"/>
        <w:numPr>
          <w:ilvl w:val="0"/>
          <w:numId w:val="13"/>
        </w:numPr>
        <w:autoSpaceDE w:val="0"/>
        <w:autoSpaceDN w:val="0"/>
        <w:adjustRightInd w:val="0"/>
        <w:spacing w:after="0" w:line="240" w:lineRule="auto"/>
        <w:ind w:right="567"/>
        <w:rPr>
          <w:rFonts w:ascii="Arial" w:eastAsia="Cambria" w:hAnsi="Arial" w:cs="Arial"/>
          <w:i/>
          <w:iCs/>
          <w:sz w:val="20"/>
          <w:szCs w:val="20"/>
          <w:lang w:val="fr-FR"/>
        </w:rPr>
      </w:pPr>
      <w:r w:rsidRPr="008725ED">
        <w:rPr>
          <w:rFonts w:ascii="Arial" w:eastAsia="Cambria" w:hAnsi="Arial" w:cs="Arial"/>
          <w:i/>
          <w:iCs/>
          <w:sz w:val="20"/>
          <w:szCs w:val="20"/>
          <w:lang w:val="fr-FR"/>
        </w:rPr>
        <w:t>Cycle de végétation unique</w:t>
      </w:r>
    </w:p>
    <w:p w:rsidR="008C3126" w:rsidRPr="008725ED" w:rsidRDefault="008C3126" w:rsidP="00D87DB7">
      <w:pPr>
        <w:pStyle w:val="ListParagraph"/>
        <w:ind w:left="927"/>
        <w:rPr>
          <w:rFonts w:ascii="Arial" w:hAnsi="Arial" w:cs="Arial"/>
          <w:sz w:val="20"/>
          <w:szCs w:val="20"/>
          <w:lang w:val="fr-FR"/>
        </w:rPr>
      </w:pPr>
    </w:p>
    <w:p w:rsidR="008C3126" w:rsidRPr="008725ED" w:rsidRDefault="00D87DB7" w:rsidP="00D87DB7">
      <w:pPr>
        <w:pStyle w:val="ListParagraph"/>
        <w:numPr>
          <w:ilvl w:val="0"/>
          <w:numId w:val="13"/>
        </w:numPr>
        <w:autoSpaceDE w:val="0"/>
        <w:autoSpaceDN w:val="0"/>
        <w:adjustRightInd w:val="0"/>
        <w:spacing w:after="0"/>
        <w:ind w:left="924" w:right="567" w:hanging="357"/>
        <w:rPr>
          <w:rFonts w:ascii="Arial" w:eastAsia="Cambria" w:hAnsi="Arial" w:cs="Arial"/>
          <w:sz w:val="20"/>
          <w:szCs w:val="20"/>
          <w:lang w:val="fr-FR"/>
        </w:rPr>
      </w:pPr>
      <w:r w:rsidRPr="008725ED">
        <w:rPr>
          <w:rFonts w:ascii="Arial" w:eastAsia="Cambria" w:hAnsi="Arial" w:cs="Arial"/>
          <w:sz w:val="20"/>
          <w:szCs w:val="20"/>
          <w:lang w:val="fr-FR"/>
        </w:rPr>
        <w:t xml:space="preserve">“En règle générale, la durée </w:t>
      </w:r>
      <w:r w:rsidRPr="008725ED">
        <w:rPr>
          <w:rFonts w:ascii="Arial" w:eastAsia="Cambria" w:hAnsi="Arial" w:cs="Arial"/>
          <w:strike/>
          <w:sz w:val="20"/>
          <w:szCs w:val="20"/>
          <w:highlight w:val="lightGray"/>
          <w:lang w:val="fr-FR"/>
        </w:rPr>
        <w:t>minimale</w:t>
      </w:r>
      <w:r w:rsidRPr="008725ED">
        <w:rPr>
          <w:rFonts w:ascii="Arial" w:eastAsia="Cambria" w:hAnsi="Arial" w:cs="Arial"/>
          <w:sz w:val="20"/>
          <w:szCs w:val="20"/>
          <w:lang w:val="fr-FR"/>
        </w:rPr>
        <w:t xml:space="preserve"> des essais doit être d</w:t>
      </w:r>
      <w:r w:rsidR="00EF1779" w:rsidRPr="008725ED">
        <w:rPr>
          <w:rFonts w:ascii="Arial" w:eastAsia="Cambria" w:hAnsi="Arial" w:cs="Arial"/>
          <w:sz w:val="20"/>
          <w:szCs w:val="20"/>
          <w:lang w:val="fr-FR"/>
        </w:rPr>
        <w:t>’</w:t>
      </w:r>
      <w:r w:rsidRPr="008725ED">
        <w:rPr>
          <w:rFonts w:ascii="Arial" w:eastAsia="Cambria" w:hAnsi="Arial" w:cs="Arial"/>
          <w:sz w:val="20"/>
          <w:szCs w:val="20"/>
          <w:lang w:val="fr-FR"/>
        </w:rPr>
        <w:t>un seul cycle de végétati</w:t>
      </w:r>
      <w:r w:rsidR="00D43219" w:rsidRPr="008725ED">
        <w:rPr>
          <w:rFonts w:ascii="Arial" w:eastAsia="Cambria" w:hAnsi="Arial" w:cs="Arial"/>
          <w:sz w:val="20"/>
          <w:szCs w:val="20"/>
          <w:lang w:val="fr-FR"/>
        </w:rPr>
        <w:t xml:space="preserve">on.  </w:t>
      </w:r>
      <w:r w:rsidR="00D43219" w:rsidRPr="008725ED">
        <w:rPr>
          <w:rFonts w:ascii="Arial" w:eastAsia="Cambria" w:hAnsi="Arial" w:cs="Arial"/>
          <w:sz w:val="20"/>
          <w:szCs w:val="20"/>
          <w:highlight w:val="lightGray"/>
          <w:u w:val="single"/>
          <w:lang w:val="fr-FR" w:eastAsia="fr-FR"/>
        </w:rPr>
        <w:t xml:space="preserve">À </w:t>
      </w:r>
      <w:r w:rsidRPr="008725ED">
        <w:rPr>
          <w:rFonts w:ascii="Arial" w:eastAsia="Cambria" w:hAnsi="Arial" w:cs="Arial"/>
          <w:sz w:val="20"/>
          <w:szCs w:val="20"/>
          <w:highlight w:val="lightGray"/>
          <w:u w:val="single"/>
          <w:lang w:val="fr-FR" w:eastAsia="fr-FR"/>
        </w:rPr>
        <w:t>la fin du cycle de végétation, le service compétent détermine s</w:t>
      </w:r>
      <w:r w:rsidR="00EF1779" w:rsidRPr="008725ED">
        <w:rPr>
          <w:rFonts w:ascii="Arial" w:eastAsia="Cambria" w:hAnsi="Arial" w:cs="Arial"/>
          <w:sz w:val="20"/>
          <w:szCs w:val="20"/>
          <w:highlight w:val="lightGray"/>
          <w:u w:val="single"/>
          <w:lang w:val="fr-FR" w:eastAsia="fr-FR"/>
        </w:rPr>
        <w:t>’</w:t>
      </w:r>
      <w:r w:rsidRPr="008725ED">
        <w:rPr>
          <w:rFonts w:ascii="Arial" w:eastAsia="Cambria" w:hAnsi="Arial" w:cs="Arial"/>
          <w:sz w:val="20"/>
          <w:szCs w:val="20"/>
          <w:highlight w:val="lightGray"/>
          <w:u w:val="single"/>
          <w:lang w:val="fr-FR" w:eastAsia="fr-FR"/>
        </w:rPr>
        <w:t>il est nécessaire de procéder à un cycle de végétation ultérieur.</w:t>
      </w:r>
      <w:r w:rsidRPr="008725ED">
        <w:rPr>
          <w:rFonts w:ascii="Arial" w:eastAsia="Cambria" w:hAnsi="Arial" w:cs="Arial"/>
          <w:sz w:val="20"/>
          <w:szCs w:val="20"/>
          <w:lang w:val="fr-FR" w:eastAsia="fr-FR"/>
        </w:rPr>
        <w:t>”</w:t>
      </w:r>
    </w:p>
    <w:p w:rsidR="008C3126" w:rsidRPr="008725ED" w:rsidRDefault="008C3126" w:rsidP="00D87DB7">
      <w:pPr>
        <w:autoSpaceDE w:val="0"/>
        <w:autoSpaceDN w:val="0"/>
        <w:adjustRightInd w:val="0"/>
        <w:ind w:left="567" w:right="567"/>
        <w:jc w:val="left"/>
        <w:rPr>
          <w:rFonts w:eastAsia="Cambria" w:cs="Arial"/>
          <w:lang w:val="fr-FR"/>
        </w:rPr>
      </w:pPr>
    </w:p>
    <w:p w:rsidR="008C3126" w:rsidRPr="008725ED" w:rsidRDefault="00D87DB7" w:rsidP="00D87DB7">
      <w:pPr>
        <w:pStyle w:val="ListParagraph"/>
        <w:numPr>
          <w:ilvl w:val="0"/>
          <w:numId w:val="13"/>
        </w:numPr>
        <w:autoSpaceDE w:val="0"/>
        <w:autoSpaceDN w:val="0"/>
        <w:adjustRightInd w:val="0"/>
        <w:spacing w:after="0" w:line="240" w:lineRule="auto"/>
        <w:ind w:right="567"/>
        <w:rPr>
          <w:rFonts w:ascii="Arial" w:eastAsia="Cambria" w:hAnsi="Arial" w:cs="Arial"/>
          <w:i/>
          <w:iCs/>
          <w:sz w:val="20"/>
          <w:szCs w:val="20"/>
          <w:lang w:val="fr-FR"/>
        </w:rPr>
      </w:pPr>
      <w:r w:rsidRPr="008725ED">
        <w:rPr>
          <w:rFonts w:ascii="Arial" w:eastAsia="Cambria" w:hAnsi="Arial" w:cs="Arial"/>
          <w:i/>
          <w:iCs/>
          <w:sz w:val="20"/>
          <w:szCs w:val="20"/>
          <w:lang w:val="fr-FR"/>
        </w:rPr>
        <w:t>Deux cycles de végétation indépendants</w:t>
      </w:r>
    </w:p>
    <w:p w:rsidR="008C3126" w:rsidRPr="008725ED" w:rsidRDefault="008C3126" w:rsidP="00D87DB7">
      <w:pPr>
        <w:pStyle w:val="ListParagraph"/>
        <w:autoSpaceDE w:val="0"/>
        <w:autoSpaceDN w:val="0"/>
        <w:adjustRightInd w:val="0"/>
        <w:spacing w:after="0"/>
        <w:ind w:left="924" w:right="567"/>
        <w:rPr>
          <w:rFonts w:ascii="Arial" w:eastAsia="Cambria" w:hAnsi="Arial" w:cs="Arial"/>
          <w:i/>
          <w:iCs/>
          <w:sz w:val="20"/>
          <w:szCs w:val="20"/>
          <w:lang w:val="fr-FR"/>
        </w:rPr>
      </w:pPr>
    </w:p>
    <w:p w:rsidR="008C3126" w:rsidRPr="008725ED" w:rsidRDefault="00D87DB7" w:rsidP="00D87DB7">
      <w:pPr>
        <w:autoSpaceDE w:val="0"/>
        <w:autoSpaceDN w:val="0"/>
        <w:adjustRightInd w:val="0"/>
        <w:ind w:left="567" w:right="567"/>
        <w:rPr>
          <w:rFonts w:eastAsia="Cambria" w:cs="Arial"/>
          <w:lang w:val="fr-FR"/>
        </w:rPr>
      </w:pPr>
      <w:r w:rsidRPr="008725ED">
        <w:rPr>
          <w:rFonts w:eastAsia="Cambria" w:cs="Arial"/>
          <w:lang w:val="fr-FR"/>
        </w:rPr>
        <w:t xml:space="preserve">“En règle générale, la durée </w:t>
      </w:r>
      <w:r w:rsidRPr="008725ED">
        <w:rPr>
          <w:rFonts w:eastAsia="Cambria" w:cs="Arial"/>
          <w:strike/>
          <w:highlight w:val="lightGray"/>
          <w:lang w:val="fr-FR"/>
        </w:rPr>
        <w:t>minimale</w:t>
      </w:r>
      <w:r w:rsidRPr="008725ED">
        <w:rPr>
          <w:rFonts w:eastAsia="Cambria" w:cs="Arial"/>
          <w:lang w:val="fr-FR"/>
        </w:rPr>
        <w:t xml:space="preserve"> des essais doit être de deux cycles de végétation indépendan</w:t>
      </w:r>
      <w:r w:rsidR="00D43219" w:rsidRPr="008725ED">
        <w:rPr>
          <w:rFonts w:eastAsia="Cambria" w:cs="Arial"/>
          <w:lang w:val="fr-FR"/>
        </w:rPr>
        <w:t xml:space="preserve">ts.  </w:t>
      </w:r>
      <w:r w:rsidR="00D43219" w:rsidRPr="008725ED">
        <w:rPr>
          <w:rFonts w:eastAsia="Cambria" w:cs="Arial"/>
          <w:highlight w:val="lightGray"/>
          <w:u w:val="single"/>
          <w:lang w:val="fr-FR"/>
        </w:rPr>
        <w:t>Né</w:t>
      </w:r>
      <w:r w:rsidRPr="008725ED">
        <w:rPr>
          <w:rFonts w:eastAsia="Cambria" w:cs="Arial"/>
          <w:highlight w:val="lightGray"/>
          <w:u w:val="single"/>
          <w:lang w:val="fr-FR"/>
        </w:rPr>
        <w:t>anmoins, à la fin de chaque cycle de végétation, le service compétent détermine s</w:t>
      </w:r>
      <w:r w:rsidR="00EF1779" w:rsidRPr="008725ED">
        <w:rPr>
          <w:rFonts w:eastAsia="Cambria" w:cs="Arial"/>
          <w:highlight w:val="lightGray"/>
          <w:u w:val="single"/>
          <w:lang w:val="fr-FR"/>
        </w:rPr>
        <w:t>’</w:t>
      </w:r>
      <w:r w:rsidRPr="008725ED">
        <w:rPr>
          <w:rFonts w:eastAsia="Cambria" w:cs="Arial"/>
          <w:highlight w:val="lightGray"/>
          <w:u w:val="single"/>
          <w:lang w:val="fr-FR"/>
        </w:rPr>
        <w:t>il est nécessaire de procéder à un cycle de végétation ultérieur.</w:t>
      </w:r>
      <w:r w:rsidRPr="008725ED">
        <w:rPr>
          <w:rFonts w:eastAsia="Cambria" w:cs="Arial"/>
          <w:lang w:val="fr-FR"/>
        </w:rPr>
        <w:t>”</w:t>
      </w:r>
    </w:p>
    <w:p w:rsidR="008C3126" w:rsidRPr="008725ED" w:rsidRDefault="008C3126" w:rsidP="00D87DB7">
      <w:pPr>
        <w:rPr>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est convenu</w:t>
      </w:r>
      <w:r w:rsidRPr="008725ED">
        <w:rPr>
          <w:lang w:val="fr-FR"/>
        </w:rPr>
        <w:t xml:space="preserve"> qu</w:t>
      </w:r>
      <w:r w:rsidR="00EF1779" w:rsidRPr="008725ED">
        <w:rPr>
          <w:lang w:val="fr-FR"/>
        </w:rPr>
        <w:t>’</w:t>
      </w:r>
      <w:r w:rsidRPr="008725ED">
        <w:rPr>
          <w:lang w:val="fr-FR"/>
        </w:rPr>
        <w:t xml:space="preserve">il </w:t>
      </w:r>
      <w:r w:rsidR="00EB1ACA" w:rsidRPr="008725ED">
        <w:rPr>
          <w:lang w:val="fr-FR"/>
        </w:rPr>
        <w:t>était</w:t>
      </w:r>
      <w:r w:rsidRPr="008725ED">
        <w:rPr>
          <w:lang w:val="fr-FR"/>
        </w:rPr>
        <w:t xml:space="preserve"> important de préciser qu</w:t>
      </w:r>
      <w:r w:rsidR="00EF1779" w:rsidRPr="008725ED">
        <w:rPr>
          <w:lang w:val="fr-FR"/>
        </w:rPr>
        <w:t>’</w:t>
      </w:r>
      <w:r w:rsidRPr="008725ED">
        <w:rPr>
          <w:lang w:val="fr-FR"/>
        </w:rPr>
        <w:t xml:space="preserve">il </w:t>
      </w:r>
      <w:r w:rsidR="00EB1ACA" w:rsidRPr="008725ED">
        <w:rPr>
          <w:lang w:val="fr-FR"/>
        </w:rPr>
        <w:t>était</w:t>
      </w:r>
      <w:r w:rsidRPr="008725ED">
        <w:rPr>
          <w:lang w:val="fr-FR"/>
        </w:rPr>
        <w:t xml:space="preserve"> possible d</w:t>
      </w:r>
      <w:r w:rsidR="00EF1779" w:rsidRPr="008725ED">
        <w:rPr>
          <w:lang w:val="fr-FR"/>
        </w:rPr>
        <w:t>’</w:t>
      </w:r>
      <w:r w:rsidRPr="008725ED">
        <w:rPr>
          <w:lang w:val="fr-FR"/>
        </w:rPr>
        <w:t xml:space="preserve">abandonner un examen DHS dès que le rejet </w:t>
      </w:r>
      <w:r w:rsidR="00EB1ACA" w:rsidRPr="008725ED">
        <w:rPr>
          <w:lang w:val="fr-FR"/>
        </w:rPr>
        <w:t>était</w:t>
      </w:r>
      <w:r w:rsidRPr="008725ED">
        <w:rPr>
          <w:lang w:val="fr-FR"/>
        </w:rPr>
        <w:t xml:space="preserve"> inévitable, plutôt que de poursuivre l</w:t>
      </w:r>
      <w:r w:rsidR="00EF1779" w:rsidRPr="008725ED">
        <w:rPr>
          <w:lang w:val="fr-FR"/>
        </w:rPr>
        <w:t>’</w:t>
      </w:r>
      <w:r w:rsidRPr="008725ED">
        <w:rPr>
          <w:lang w:val="fr-FR"/>
        </w:rPr>
        <w:t>examen jusqu</w:t>
      </w:r>
      <w:r w:rsidR="00EF1779" w:rsidRPr="008725ED">
        <w:rPr>
          <w:lang w:val="fr-FR"/>
        </w:rPr>
        <w:t>’</w:t>
      </w:r>
      <w:r w:rsidRPr="008725ED">
        <w:rPr>
          <w:lang w:val="fr-FR"/>
        </w:rPr>
        <w:t>à la fin de la période norma</w:t>
      </w:r>
      <w:r w:rsidR="00D43219" w:rsidRPr="008725ED">
        <w:rPr>
          <w:lang w:val="fr-FR"/>
        </w:rPr>
        <w:t>le.  Il</w:t>
      </w:r>
      <w:r w:rsidRPr="008725ED">
        <w:rPr>
          <w:lang w:val="fr-FR"/>
        </w:rPr>
        <w:t xml:space="preserve"> </w:t>
      </w:r>
      <w:r w:rsidR="00344B0C" w:rsidRPr="008725ED">
        <w:rPr>
          <w:lang w:val="fr-FR"/>
        </w:rPr>
        <w:t>est convenu</w:t>
      </w:r>
      <w:r w:rsidRPr="008725ED">
        <w:rPr>
          <w:lang w:val="fr-FR"/>
        </w:rPr>
        <w:t xml:space="preserve"> que le texte standard des principes directeurs d</w:t>
      </w:r>
      <w:r w:rsidR="00EF1779" w:rsidRPr="008725ED">
        <w:rPr>
          <w:lang w:val="fr-FR"/>
        </w:rPr>
        <w:t>’</w:t>
      </w:r>
      <w:r w:rsidRPr="008725ED">
        <w:rPr>
          <w:lang w:val="fr-FR"/>
        </w:rPr>
        <w:t>examen n</w:t>
      </w:r>
      <w:r w:rsidR="00EF1779" w:rsidRPr="008725ED">
        <w:rPr>
          <w:lang w:val="fr-FR"/>
        </w:rPr>
        <w:t>’</w:t>
      </w:r>
      <w:r w:rsidR="00EB1ACA" w:rsidRPr="008725ED">
        <w:rPr>
          <w:lang w:val="fr-FR"/>
        </w:rPr>
        <w:t xml:space="preserve">était </w:t>
      </w:r>
      <w:r w:rsidRPr="008725ED">
        <w:rPr>
          <w:lang w:val="fr-FR"/>
        </w:rPr>
        <w:t xml:space="preserve">pas complètement clair à cet égard et </w:t>
      </w:r>
      <w:r w:rsidR="00EB1ACA" w:rsidRPr="008725ED">
        <w:rPr>
          <w:lang w:val="fr-FR"/>
        </w:rPr>
        <w:t xml:space="preserve">devait </w:t>
      </w:r>
      <w:r w:rsidRPr="008725ED">
        <w:rPr>
          <w:lang w:val="fr-FR"/>
        </w:rPr>
        <w:t>être amélio</w:t>
      </w:r>
      <w:r w:rsidR="00D43219" w:rsidRPr="008725ED">
        <w:rPr>
          <w:lang w:val="fr-FR"/>
        </w:rPr>
        <w:t>ré.  To</w:t>
      </w:r>
      <w:r w:rsidRPr="008725ED">
        <w:rPr>
          <w:lang w:val="fr-FR"/>
        </w:rPr>
        <w:t>utefois, il </w:t>
      </w:r>
      <w:r w:rsidR="00344B0C" w:rsidRPr="008725ED">
        <w:rPr>
          <w:lang w:val="fr-FR"/>
        </w:rPr>
        <w:t>est convenu</w:t>
      </w:r>
      <w:r w:rsidR="00EB1ACA" w:rsidRPr="008725ED">
        <w:rPr>
          <w:lang w:val="fr-FR"/>
        </w:rPr>
        <w:t xml:space="preserve"> que le libellé proposé pouv</w:t>
      </w:r>
      <w:r w:rsidRPr="008725ED">
        <w:rPr>
          <w:lang w:val="fr-FR"/>
        </w:rPr>
        <w:t>ait être interprété comme encourageant des cycles de végétation supplémentaires au</w:t>
      </w:r>
      <w:r w:rsidR="00EF1779" w:rsidRPr="008725ED">
        <w:rPr>
          <w:lang w:val="fr-FR"/>
        </w:rPr>
        <w:t>-</w:t>
      </w:r>
      <w:r w:rsidRPr="008725ED">
        <w:rPr>
          <w:lang w:val="fr-FR"/>
        </w:rPr>
        <w:t xml:space="preserve">delà de la période normale et </w:t>
      </w:r>
      <w:r w:rsidR="00EB1ACA" w:rsidRPr="008725ED">
        <w:rPr>
          <w:lang w:val="fr-FR"/>
        </w:rPr>
        <w:t xml:space="preserve">a </w:t>
      </w:r>
      <w:r w:rsidRPr="008725ED">
        <w:rPr>
          <w:lang w:val="fr-FR"/>
        </w:rPr>
        <w:t>demandé aux groupes de travail techniques d</w:t>
      </w:r>
      <w:r w:rsidR="00EF1779" w:rsidRPr="008725ED">
        <w:rPr>
          <w:lang w:val="fr-FR"/>
        </w:rPr>
        <w:t>’</w:t>
      </w:r>
      <w:r w:rsidRPr="008725ED">
        <w:rPr>
          <w:lang w:val="fr-FR"/>
        </w:rPr>
        <w:t>élaborer une version améliorée du texte à leurs sessions de 2017.</w:t>
      </w:r>
    </w:p>
    <w:p w:rsidR="008C3126" w:rsidRPr="008725ED" w:rsidRDefault="008C3126" w:rsidP="00D87DB7">
      <w:pPr>
        <w:rPr>
          <w:lang w:val="fr-FR"/>
        </w:rPr>
      </w:pPr>
    </w:p>
    <w:p w:rsidR="008C3126" w:rsidRPr="008725ED" w:rsidRDefault="00D87DB7" w:rsidP="00382CC4">
      <w:pPr>
        <w:pStyle w:val="Heading5"/>
      </w:pPr>
      <w:r w:rsidRPr="008725ED">
        <w:t>ii)</w:t>
      </w:r>
      <w:r w:rsidRPr="008725ED">
        <w:tab/>
        <w:t>Ordre des codes UPOV et des noms botaniques</w:t>
      </w:r>
    </w:p>
    <w:p w:rsidR="008C3126" w:rsidRPr="008725ED" w:rsidRDefault="008C3126" w:rsidP="00D87DB7">
      <w:pPr>
        <w:keepNext/>
        <w:rPr>
          <w:snapToGrid w:val="0"/>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est convenu</w:t>
      </w:r>
      <w:r w:rsidRPr="008725ED">
        <w:rPr>
          <w:lang w:val="fr-FR"/>
        </w:rPr>
        <w:t xml:space="preserve"> que </w:t>
      </w:r>
      <w:r w:rsidRPr="008725ED">
        <w:rPr>
          <w:snapToGrid w:val="0"/>
          <w:lang w:val="fr-FR"/>
        </w:rPr>
        <w:t xml:space="preserve">les codes UPOV et les noms botaniques figurant dans le </w:t>
      </w:r>
      <w:r w:rsidRPr="008725ED">
        <w:rPr>
          <w:lang w:val="fr-FR"/>
        </w:rPr>
        <w:t>projet de principes directeurs d</w:t>
      </w:r>
      <w:r w:rsidR="00EF1779" w:rsidRPr="008725ED">
        <w:rPr>
          <w:lang w:val="fr-FR"/>
        </w:rPr>
        <w:t>’</w:t>
      </w:r>
      <w:r w:rsidRPr="008725ED">
        <w:rPr>
          <w:lang w:val="fr-FR"/>
        </w:rPr>
        <w:t>examen devaient</w:t>
      </w:r>
      <w:r w:rsidRPr="008725ED">
        <w:rPr>
          <w:snapToGrid w:val="0"/>
          <w:lang w:val="fr-FR"/>
        </w:rPr>
        <w:t>, en règle générale, apparaître par ordre alphabétiq</w:t>
      </w:r>
      <w:r w:rsidR="00D43219" w:rsidRPr="008725ED">
        <w:rPr>
          <w:snapToGrid w:val="0"/>
          <w:lang w:val="fr-FR"/>
        </w:rPr>
        <w:t>ue.  To</w:t>
      </w:r>
      <w:r w:rsidRPr="008725ED">
        <w:rPr>
          <w:snapToGrid w:val="0"/>
          <w:lang w:val="fr-FR"/>
        </w:rPr>
        <w:t>utefois, le</w:t>
      </w:r>
      <w:r w:rsidR="00EF1779" w:rsidRPr="008725ED">
        <w:rPr>
          <w:snapToGrid w:val="0"/>
          <w:lang w:val="fr-FR"/>
        </w:rPr>
        <w:t> TC</w:t>
      </w:r>
      <w:r w:rsidRPr="008725ED">
        <w:rPr>
          <w:snapToGrid w:val="0"/>
          <w:lang w:val="fr-FR"/>
        </w:rPr>
        <w:t xml:space="preserve"> </w:t>
      </w:r>
      <w:r w:rsidR="00344B0C" w:rsidRPr="008725ED">
        <w:rPr>
          <w:snapToGrid w:val="0"/>
          <w:lang w:val="fr-FR"/>
        </w:rPr>
        <w:t>est convenu</w:t>
      </w:r>
      <w:r w:rsidRPr="008725ED">
        <w:rPr>
          <w:snapToGrid w:val="0"/>
          <w:lang w:val="fr-FR"/>
        </w:rPr>
        <w:t xml:space="preserve"> que le modèle de principes directeur</w:t>
      </w:r>
      <w:r w:rsidR="00EB1ACA" w:rsidRPr="008725ED">
        <w:rPr>
          <w:snapToGrid w:val="0"/>
          <w:lang w:val="fr-FR"/>
        </w:rPr>
        <w:t>s d</w:t>
      </w:r>
      <w:r w:rsidR="00EF1779" w:rsidRPr="008725ED">
        <w:rPr>
          <w:snapToGrid w:val="0"/>
          <w:lang w:val="fr-FR"/>
        </w:rPr>
        <w:t>’</w:t>
      </w:r>
      <w:r w:rsidR="00EB1ACA" w:rsidRPr="008725ED">
        <w:rPr>
          <w:snapToGrid w:val="0"/>
          <w:lang w:val="fr-FR"/>
        </w:rPr>
        <w:t>examen fondé sur le Web dev</w:t>
      </w:r>
      <w:r w:rsidRPr="008725ED">
        <w:rPr>
          <w:snapToGrid w:val="0"/>
          <w:lang w:val="fr-FR"/>
        </w:rPr>
        <w:t>ait permettre à</w:t>
      </w:r>
      <w:r w:rsidRPr="008725ED">
        <w:rPr>
          <w:lang w:val="fr-FR"/>
        </w:rPr>
        <w:t xml:space="preserve"> l</w:t>
      </w:r>
      <w:r w:rsidR="00EF1779" w:rsidRPr="008725ED">
        <w:rPr>
          <w:lang w:val="fr-FR"/>
        </w:rPr>
        <w:t>’</w:t>
      </w:r>
      <w:r w:rsidRPr="008725ED">
        <w:rPr>
          <w:snapToGrid w:val="0"/>
          <w:lang w:val="fr-FR"/>
        </w:rPr>
        <w:t>expert principal de modifier cet ordre, le cas échéant.</w:t>
      </w:r>
    </w:p>
    <w:p w:rsidR="008C3126" w:rsidRPr="008725ED" w:rsidRDefault="008C3126" w:rsidP="00D87DB7">
      <w:pPr>
        <w:rPr>
          <w:snapToGrid w:val="0"/>
          <w:lang w:val="fr-FR"/>
        </w:rPr>
      </w:pPr>
    </w:p>
    <w:p w:rsidR="008C3126" w:rsidRPr="008725ED" w:rsidRDefault="00D87DB7" w:rsidP="00382CC4">
      <w:pPr>
        <w:pStyle w:val="Heading5"/>
      </w:pPr>
      <w:r w:rsidRPr="008725ED">
        <w:t>iii)</w:t>
      </w:r>
      <w:r w:rsidRPr="008725ED">
        <w:tab/>
        <w:t>Ordre des méthodes d</w:t>
      </w:r>
      <w:r w:rsidR="00EF1779" w:rsidRPr="008725ED">
        <w:t>’</w:t>
      </w:r>
      <w:r w:rsidRPr="008725ED">
        <w:t>observation</w:t>
      </w:r>
    </w:p>
    <w:p w:rsidR="008C3126" w:rsidRPr="008725ED" w:rsidRDefault="008C3126" w:rsidP="00D87DB7">
      <w:pPr>
        <w:keepNext/>
        <w:rPr>
          <w:snapToGrid w:val="0"/>
          <w:lang w:val="fr-FR"/>
        </w:rPr>
      </w:pPr>
    </w:p>
    <w:p w:rsidR="008C3126" w:rsidRPr="008725ED" w:rsidRDefault="00D87DB7" w:rsidP="00D87DB7">
      <w:pPr>
        <w:rPr>
          <w:snapToGrid w:val="0"/>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est convenu</w:t>
      </w:r>
      <w:r w:rsidRPr="008725ED">
        <w:rPr>
          <w:lang w:val="fr-FR"/>
        </w:rPr>
        <w:t xml:space="preserve"> que les </w:t>
      </w:r>
      <w:r w:rsidRPr="008725ED">
        <w:rPr>
          <w:snapToGrid w:val="0"/>
          <w:lang w:val="fr-FR"/>
        </w:rPr>
        <w:t>méthodes d</w:t>
      </w:r>
      <w:r w:rsidR="00EF1779" w:rsidRPr="008725ED">
        <w:rPr>
          <w:snapToGrid w:val="0"/>
          <w:lang w:val="fr-FR"/>
        </w:rPr>
        <w:t>’</w:t>
      </w:r>
      <w:r w:rsidR="00EB1ACA" w:rsidRPr="008725ED">
        <w:rPr>
          <w:snapToGrid w:val="0"/>
          <w:lang w:val="fr-FR"/>
        </w:rPr>
        <w:t>observation d</w:t>
      </w:r>
      <w:r w:rsidR="00EF1779" w:rsidRPr="008725ED">
        <w:rPr>
          <w:snapToGrid w:val="0"/>
          <w:lang w:val="fr-FR"/>
        </w:rPr>
        <w:t>’</w:t>
      </w:r>
      <w:r w:rsidR="00EB1ACA" w:rsidRPr="008725ED">
        <w:rPr>
          <w:snapToGrid w:val="0"/>
          <w:lang w:val="fr-FR"/>
        </w:rPr>
        <w:t>un caractère dev</w:t>
      </w:r>
      <w:r w:rsidRPr="008725ED">
        <w:rPr>
          <w:snapToGrid w:val="0"/>
          <w:lang w:val="fr-FR"/>
        </w:rPr>
        <w:t>aient continuer d</w:t>
      </w:r>
      <w:r w:rsidR="00EF1779" w:rsidRPr="008725ED">
        <w:rPr>
          <w:snapToGrid w:val="0"/>
          <w:lang w:val="fr-FR"/>
        </w:rPr>
        <w:t>’</w:t>
      </w:r>
      <w:r w:rsidRPr="008725ED">
        <w:rPr>
          <w:snapToGrid w:val="0"/>
          <w:lang w:val="fr-FR"/>
        </w:rPr>
        <w:t>être présentées par ordre alphabétique, évitant ainsi toute indication de l</w:t>
      </w:r>
      <w:r w:rsidR="00EF1779" w:rsidRPr="008725ED">
        <w:rPr>
          <w:snapToGrid w:val="0"/>
          <w:lang w:val="fr-FR"/>
        </w:rPr>
        <w:t>’</w:t>
      </w:r>
      <w:r w:rsidRPr="008725ED">
        <w:rPr>
          <w:snapToGrid w:val="0"/>
          <w:lang w:val="fr-FR"/>
        </w:rPr>
        <w:t>ordre de préférence.</w:t>
      </w:r>
    </w:p>
    <w:p w:rsidR="008C3126" w:rsidRPr="008725ED" w:rsidRDefault="008C3126" w:rsidP="00D87DB7">
      <w:pPr>
        <w:rPr>
          <w:lang w:val="fr-FR"/>
        </w:rPr>
      </w:pPr>
    </w:p>
    <w:p w:rsidR="008C3126" w:rsidRPr="008725ED" w:rsidRDefault="00D87DB7" w:rsidP="00382CC4">
      <w:pPr>
        <w:pStyle w:val="Heading5"/>
      </w:pPr>
      <w:r w:rsidRPr="008725ED">
        <w:t>iv)</w:t>
      </w:r>
      <w:r w:rsidRPr="008725ED">
        <w:tab/>
        <w:t>Présentation de différents types d</w:t>
      </w:r>
      <w:r w:rsidR="00EF1779" w:rsidRPr="008725ED">
        <w:t>’</w:t>
      </w:r>
      <w:r w:rsidRPr="008725ED">
        <w:t>exemples de variétés</w:t>
      </w:r>
    </w:p>
    <w:p w:rsidR="008C3126" w:rsidRPr="008725ED" w:rsidRDefault="008C3126" w:rsidP="00D87DB7">
      <w:pPr>
        <w:keepNext/>
        <w:rPr>
          <w:snapToGrid w:val="0"/>
          <w:lang w:val="fr-FR"/>
        </w:rPr>
      </w:pPr>
    </w:p>
    <w:p w:rsidR="008C3126" w:rsidRPr="008725ED" w:rsidRDefault="00D87DB7" w:rsidP="00D87DB7">
      <w:pPr>
        <w:rPr>
          <w:rFonts w:asciiTheme="minorHAnsi" w:eastAsiaTheme="minorEastAsia" w:hAnsiTheme="minorHAnsi" w:cstheme="minorBidi"/>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est convenu</w:t>
      </w:r>
      <w:r w:rsidRPr="008725ED">
        <w:rPr>
          <w:lang w:val="fr-FR"/>
        </w:rPr>
        <w:t xml:space="preserve"> que les conseils dans le document TGP/7 “Élaboration des principes directeurs d</w:t>
      </w:r>
      <w:r w:rsidR="00EF1779" w:rsidRPr="008725ED">
        <w:rPr>
          <w:lang w:val="fr-FR"/>
        </w:rPr>
        <w:t>’</w:t>
      </w:r>
      <w:r w:rsidRPr="008725ED">
        <w:rPr>
          <w:lang w:val="fr-FR"/>
        </w:rPr>
        <w:t>examen”, GN 28, section 3.2</w:t>
      </w:r>
      <w:r w:rsidR="00EF1779" w:rsidRPr="008725ED">
        <w:rPr>
          <w:lang w:val="fr-FR"/>
        </w:rPr>
        <w:t> :</w:t>
      </w:r>
      <w:r w:rsidRPr="008725ED">
        <w:rPr>
          <w:lang w:val="fr-FR"/>
        </w:rPr>
        <w:t xml:space="preserve"> “Différents types de variétés” </w:t>
      </w:r>
      <w:r w:rsidR="00EB1ACA" w:rsidRPr="008725ED">
        <w:rPr>
          <w:lang w:val="fr-FR"/>
        </w:rPr>
        <w:t>devaient</w:t>
      </w:r>
      <w:r w:rsidRPr="008725ED">
        <w:rPr>
          <w:lang w:val="fr-FR"/>
        </w:rPr>
        <w:t xml:space="preserve"> être révi</w:t>
      </w:r>
      <w:r w:rsidR="00EB1ACA" w:rsidRPr="008725ED">
        <w:rPr>
          <w:lang w:val="fr-FR"/>
        </w:rPr>
        <w:t>sés pour indiquer que l</w:t>
      </w:r>
      <w:r w:rsidR="00EF1779" w:rsidRPr="008725ED">
        <w:rPr>
          <w:lang w:val="fr-FR"/>
        </w:rPr>
        <w:t>’</w:t>
      </w:r>
      <w:r w:rsidR="00EB1ACA" w:rsidRPr="008725ED">
        <w:rPr>
          <w:lang w:val="fr-FR"/>
        </w:rPr>
        <w:t>on pouv</w:t>
      </w:r>
      <w:r w:rsidRPr="008725ED">
        <w:rPr>
          <w:lang w:val="fr-FR"/>
        </w:rPr>
        <w:t>ait utiliser une virgule pour séparer différents types d</w:t>
      </w:r>
      <w:r w:rsidR="00EF1779" w:rsidRPr="008725ED">
        <w:rPr>
          <w:lang w:val="fr-FR"/>
        </w:rPr>
        <w:t>’</w:t>
      </w:r>
      <w:r w:rsidRPr="008725ED">
        <w:rPr>
          <w:lang w:val="fr-FR"/>
        </w:rPr>
        <w:t xml:space="preserve">exemples de variétés </w:t>
      </w:r>
      <w:r w:rsidRPr="008725ED">
        <w:rPr>
          <w:snapToGrid w:val="0"/>
          <w:lang w:val="fr-FR"/>
        </w:rPr>
        <w:t>(p. ex. (h) type hiver, (p) type printemps);  et si l</w:t>
      </w:r>
      <w:r w:rsidR="00EF1779" w:rsidRPr="008725ED">
        <w:rPr>
          <w:snapToGrid w:val="0"/>
          <w:lang w:val="fr-FR"/>
        </w:rPr>
        <w:t>’</w:t>
      </w:r>
      <w:r w:rsidRPr="008725ED">
        <w:rPr>
          <w:snapToGrid w:val="0"/>
          <w:lang w:val="fr-FR"/>
        </w:rPr>
        <w:t>indication du type devait précéder la dénomination de chaque exemple de variété (p. ex. (h) hiver 1, (h) hiver 2, (p) printemps 1, (p) printemps 2).</w:t>
      </w:r>
    </w:p>
    <w:p w:rsidR="008C3126" w:rsidRPr="008725ED" w:rsidRDefault="008C3126" w:rsidP="00D87DB7">
      <w:pPr>
        <w:rPr>
          <w:lang w:val="fr-FR"/>
        </w:rPr>
      </w:pPr>
    </w:p>
    <w:p w:rsidR="008C3126" w:rsidRPr="008725ED" w:rsidRDefault="00D87DB7" w:rsidP="00382CC4">
      <w:pPr>
        <w:pStyle w:val="Heading5"/>
      </w:pPr>
      <w:r w:rsidRPr="008725ED">
        <w:t>v)</w:t>
      </w:r>
      <w:r w:rsidRPr="008725ED">
        <w:tab/>
        <w:t>Explications portant sur tous les caractères</w:t>
      </w:r>
    </w:p>
    <w:p w:rsidR="008C3126" w:rsidRPr="008725ED" w:rsidRDefault="008C3126" w:rsidP="00D87DB7">
      <w:pPr>
        <w:keepNext/>
        <w:rPr>
          <w:snapToGrid w:val="0"/>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1D3EC4" w:rsidRPr="008725ED">
        <w:rPr>
          <w:lang w:val="fr-FR"/>
        </w:rPr>
        <w:t>a examiné</w:t>
      </w:r>
      <w:r w:rsidRPr="008725ED">
        <w:rPr>
          <w:lang w:val="fr-FR"/>
        </w:rPr>
        <w:t xml:space="preserve"> s</w:t>
      </w:r>
      <w:r w:rsidR="00EF1779" w:rsidRPr="008725ED">
        <w:rPr>
          <w:lang w:val="fr-FR"/>
        </w:rPr>
        <w:t>’</w:t>
      </w:r>
      <w:r w:rsidRPr="008725ED">
        <w:rPr>
          <w:lang w:val="fr-FR"/>
        </w:rPr>
        <w:t xml:space="preserve">il </w:t>
      </w:r>
      <w:r w:rsidR="00EB1ACA" w:rsidRPr="008725ED">
        <w:rPr>
          <w:lang w:val="fr-FR"/>
        </w:rPr>
        <w:t>était</w:t>
      </w:r>
      <w:r w:rsidR="00344B0C" w:rsidRPr="008725ED">
        <w:rPr>
          <w:lang w:val="fr-FR"/>
        </w:rPr>
        <w:t xml:space="preserve"> convenu</w:t>
      </w:r>
      <w:r w:rsidRPr="008725ED">
        <w:rPr>
          <w:lang w:val="fr-FR"/>
        </w:rPr>
        <w:t xml:space="preserve"> de présenter des explications portant sur tous les caractères avant le chapitre </w:t>
      </w:r>
      <w:r w:rsidRPr="008725ED">
        <w:rPr>
          <w:snapToGrid w:val="0"/>
          <w:lang w:val="fr-FR"/>
        </w:rPr>
        <w:t>8.1 “Explications portant sur plusieurs caractères” sans l</w:t>
      </w:r>
      <w:r w:rsidR="00EF1779" w:rsidRPr="008725ED">
        <w:rPr>
          <w:snapToGrid w:val="0"/>
          <w:lang w:val="fr-FR"/>
        </w:rPr>
        <w:t>’</w:t>
      </w:r>
      <w:r w:rsidRPr="008725ED">
        <w:rPr>
          <w:snapToGrid w:val="0"/>
          <w:lang w:val="fr-FR"/>
        </w:rPr>
        <w:t>ajout d</w:t>
      </w:r>
      <w:r w:rsidR="00EF1779" w:rsidRPr="008725ED">
        <w:rPr>
          <w:snapToGrid w:val="0"/>
          <w:lang w:val="fr-FR"/>
        </w:rPr>
        <w:t>’</w:t>
      </w:r>
      <w:r w:rsidRPr="008725ED">
        <w:rPr>
          <w:snapToGrid w:val="0"/>
          <w:lang w:val="fr-FR"/>
        </w:rPr>
        <w:t>une note dans le tableau des caractèr</w:t>
      </w:r>
      <w:r w:rsidR="00D43219" w:rsidRPr="008725ED">
        <w:rPr>
          <w:snapToGrid w:val="0"/>
          <w:lang w:val="fr-FR"/>
        </w:rPr>
        <w:t xml:space="preserve">es.  </w:t>
      </w:r>
      <w:r w:rsidR="00D43219" w:rsidRPr="008725ED">
        <w:rPr>
          <w:lang w:val="fr-FR"/>
        </w:rPr>
        <w:t>Le</w:t>
      </w:r>
      <w:r w:rsidR="00EF1779" w:rsidRPr="008725ED">
        <w:rPr>
          <w:lang w:val="fr-FR"/>
        </w:rPr>
        <w:t> TC</w:t>
      </w:r>
      <w:r w:rsidRPr="008725ED">
        <w:rPr>
          <w:lang w:val="fr-FR"/>
        </w:rPr>
        <w:t xml:space="preserve"> </w:t>
      </w:r>
      <w:r w:rsidR="00344B0C" w:rsidRPr="008725ED">
        <w:rPr>
          <w:lang w:val="fr-FR"/>
        </w:rPr>
        <w:t>est convenu</w:t>
      </w:r>
      <w:r w:rsidRPr="008725ED">
        <w:rPr>
          <w:lang w:val="fr-FR"/>
        </w:rPr>
        <w:t xml:space="preserve"> d</w:t>
      </w:r>
      <w:r w:rsidR="00EF1779" w:rsidRPr="008725ED">
        <w:rPr>
          <w:lang w:val="fr-FR"/>
        </w:rPr>
        <w:t>’</w:t>
      </w:r>
      <w:r w:rsidRPr="008725ED">
        <w:rPr>
          <w:lang w:val="fr-FR"/>
        </w:rPr>
        <w:t>inviter les groupes de travail techniques, à leurs sessions de 2017, à examiner cette proposition et à rendre compte au</w:t>
      </w:r>
      <w:r w:rsidR="00EF1779" w:rsidRPr="008725ED">
        <w:rPr>
          <w:lang w:val="fr-FR"/>
        </w:rPr>
        <w:t> TC</w:t>
      </w:r>
      <w:r w:rsidRPr="008725ED">
        <w:rPr>
          <w:lang w:val="fr-FR"/>
        </w:rPr>
        <w:t>, à sa session de 2018.</w:t>
      </w:r>
    </w:p>
    <w:p w:rsidR="008C3126" w:rsidRPr="008725ED" w:rsidRDefault="008C3126" w:rsidP="00D87DB7">
      <w:pPr>
        <w:rPr>
          <w:lang w:val="fr-FR"/>
        </w:rPr>
      </w:pPr>
    </w:p>
    <w:p w:rsidR="008C3126" w:rsidRPr="008725ED" w:rsidRDefault="00D87DB7" w:rsidP="00382CC4">
      <w:pPr>
        <w:pStyle w:val="Heading5"/>
      </w:pPr>
      <w:r w:rsidRPr="008725ED">
        <w:t>vi)</w:t>
      </w:r>
      <w:r w:rsidRPr="008725ED">
        <w:tab/>
        <w:t>Explications ultérieures portant sur plusieurs caractères</w:t>
      </w:r>
    </w:p>
    <w:p w:rsidR="008C3126" w:rsidRPr="008725ED" w:rsidRDefault="008C3126" w:rsidP="00D87DB7">
      <w:pPr>
        <w:keepNext/>
        <w:rPr>
          <w:snapToGrid w:val="0"/>
          <w:lang w:val="fr-FR"/>
        </w:rPr>
      </w:pPr>
    </w:p>
    <w:p w:rsidR="008C3126" w:rsidRPr="008725ED" w:rsidRDefault="00D87DB7" w:rsidP="00D87DB7">
      <w:pPr>
        <w:rPr>
          <w:snapToGrid w:val="0"/>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1D3EC4" w:rsidRPr="008725ED">
        <w:rPr>
          <w:lang w:val="fr-FR"/>
        </w:rPr>
        <w:t>a examiné</w:t>
      </w:r>
      <w:r w:rsidRPr="008725ED">
        <w:rPr>
          <w:lang w:val="fr-FR"/>
        </w:rPr>
        <w:t xml:space="preserve"> si des caractères</w:t>
      </w:r>
      <w:r w:rsidR="00EB1ACA" w:rsidRPr="008725ED">
        <w:rPr>
          <w:lang w:val="fr-FR"/>
        </w:rPr>
        <w:t xml:space="preserve"> ayant la même explication pouv</w:t>
      </w:r>
      <w:r w:rsidRPr="008725ED">
        <w:rPr>
          <w:lang w:val="fr-FR"/>
        </w:rPr>
        <w:t>aient être présentés au chapitre </w:t>
      </w:r>
      <w:r w:rsidRPr="008725ED">
        <w:rPr>
          <w:snapToGrid w:val="0"/>
          <w:lang w:val="fr-FR"/>
        </w:rPr>
        <w:t>8.2 “Explications portant sur certains caractères” de manière que les explications ultérieures renvoient au premier caractère présentant les informations appropriées, comme suit</w:t>
      </w:r>
      <w:r w:rsidR="00EF1779" w:rsidRPr="008725ED">
        <w:rPr>
          <w:snapToGrid w:val="0"/>
          <w:lang w:val="fr-FR"/>
        </w:rPr>
        <w:t> :</w:t>
      </w:r>
    </w:p>
    <w:p w:rsidR="008C3126" w:rsidRPr="008725ED" w:rsidRDefault="008C3126" w:rsidP="00D87DB7">
      <w:pPr>
        <w:rPr>
          <w:snapToGrid w:val="0"/>
          <w:lang w:val="fr-FR"/>
        </w:rPr>
      </w:pPr>
    </w:p>
    <w:p w:rsidR="008C3126" w:rsidRPr="008725ED" w:rsidRDefault="00D87DB7" w:rsidP="00D87DB7">
      <w:pPr>
        <w:keepNext/>
        <w:keepLines/>
        <w:ind w:left="567"/>
        <w:rPr>
          <w:snapToGrid w:val="0"/>
          <w:lang w:val="fr-FR"/>
        </w:rPr>
      </w:pPr>
      <w:r w:rsidRPr="008725ED">
        <w:rPr>
          <w:snapToGrid w:val="0"/>
          <w:lang w:val="fr-FR"/>
        </w:rPr>
        <w:t>p. ex.</w:t>
      </w:r>
      <w:r w:rsidR="00EF1779" w:rsidRPr="008725ED">
        <w:rPr>
          <w:snapToGrid w:val="0"/>
          <w:lang w:val="fr-FR"/>
        </w:rPr>
        <w:t> :</w:t>
      </w:r>
      <w:r w:rsidRPr="008725ED">
        <w:rPr>
          <w:snapToGrid w:val="0"/>
          <w:lang w:val="fr-FR"/>
        </w:rPr>
        <w:t xml:space="preserve"> </w:t>
      </w:r>
      <w:r w:rsidRPr="008725ED">
        <w:rPr>
          <w:snapToGrid w:val="0"/>
          <w:lang w:val="fr-FR"/>
        </w:rPr>
        <w:tab/>
        <w:t>Ad. 10 “[</w:t>
      </w:r>
      <w:r w:rsidRPr="008725ED">
        <w:rPr>
          <w:i/>
          <w:snapToGrid w:val="0"/>
          <w:lang w:val="fr-FR"/>
        </w:rPr>
        <w:t>texte/illustration d</w:t>
      </w:r>
      <w:r w:rsidR="00EF1779" w:rsidRPr="008725ED">
        <w:rPr>
          <w:i/>
          <w:snapToGrid w:val="0"/>
          <w:lang w:val="fr-FR"/>
        </w:rPr>
        <w:t>’</w:t>
      </w:r>
      <w:r w:rsidRPr="008725ED">
        <w:rPr>
          <w:i/>
          <w:snapToGrid w:val="0"/>
          <w:lang w:val="fr-FR"/>
        </w:rPr>
        <w:t>explication</w:t>
      </w:r>
      <w:r w:rsidRPr="008725ED">
        <w:rPr>
          <w:snapToGrid w:val="0"/>
          <w:lang w:val="fr-FR"/>
        </w:rPr>
        <w:t>]”</w:t>
      </w:r>
    </w:p>
    <w:p w:rsidR="008C3126" w:rsidRPr="008725ED" w:rsidRDefault="008C3126" w:rsidP="00D87DB7">
      <w:pPr>
        <w:keepNext/>
        <w:keepLines/>
        <w:ind w:left="567"/>
        <w:rPr>
          <w:snapToGrid w:val="0"/>
          <w:lang w:val="fr-FR"/>
        </w:rPr>
      </w:pPr>
    </w:p>
    <w:p w:rsidR="008C3126" w:rsidRPr="008725ED" w:rsidRDefault="00D87DB7" w:rsidP="00D87DB7">
      <w:pPr>
        <w:keepNext/>
        <w:keepLines/>
        <w:ind w:left="567" w:firstLine="567"/>
        <w:rPr>
          <w:snapToGrid w:val="0"/>
          <w:lang w:val="fr-FR"/>
        </w:rPr>
      </w:pPr>
      <w:r w:rsidRPr="008725ED">
        <w:rPr>
          <w:snapToGrid w:val="0"/>
          <w:lang w:val="fr-FR"/>
        </w:rPr>
        <w:t>Ad. 11 “Voir Ad. 10”</w:t>
      </w:r>
    </w:p>
    <w:p w:rsidR="008C3126" w:rsidRPr="008725ED" w:rsidRDefault="008C3126" w:rsidP="00D87DB7">
      <w:pPr>
        <w:keepNext/>
        <w:keepLines/>
        <w:ind w:left="567" w:firstLine="567"/>
        <w:rPr>
          <w:snapToGrid w:val="0"/>
          <w:lang w:val="fr-FR"/>
        </w:rPr>
      </w:pPr>
    </w:p>
    <w:p w:rsidR="008C3126" w:rsidRPr="008725ED" w:rsidRDefault="00D87DB7" w:rsidP="00D87DB7">
      <w:pPr>
        <w:keepNext/>
        <w:keepLines/>
        <w:ind w:left="567" w:firstLine="567"/>
        <w:rPr>
          <w:snapToGrid w:val="0"/>
          <w:lang w:val="fr-FR"/>
        </w:rPr>
      </w:pPr>
      <w:r w:rsidRPr="008725ED">
        <w:rPr>
          <w:snapToGrid w:val="0"/>
          <w:lang w:val="fr-FR"/>
        </w:rPr>
        <w:t>[…]</w:t>
      </w:r>
    </w:p>
    <w:p w:rsidR="008C3126" w:rsidRPr="008725ED" w:rsidRDefault="008C3126" w:rsidP="00D87DB7">
      <w:pPr>
        <w:keepNext/>
        <w:keepLines/>
        <w:ind w:left="567" w:firstLine="567"/>
        <w:rPr>
          <w:snapToGrid w:val="0"/>
          <w:lang w:val="fr-FR"/>
        </w:rPr>
      </w:pPr>
    </w:p>
    <w:p w:rsidR="008C3126" w:rsidRPr="008725ED" w:rsidRDefault="00D87DB7" w:rsidP="00D87DB7">
      <w:pPr>
        <w:keepNext/>
        <w:keepLines/>
        <w:ind w:left="567" w:firstLine="567"/>
        <w:rPr>
          <w:snapToGrid w:val="0"/>
          <w:lang w:val="fr-FR"/>
        </w:rPr>
      </w:pPr>
      <w:r w:rsidRPr="008725ED">
        <w:rPr>
          <w:snapToGrid w:val="0"/>
          <w:lang w:val="fr-FR"/>
        </w:rPr>
        <w:t>Ad. 50 “Voir Ad. 10”</w:t>
      </w:r>
    </w:p>
    <w:p w:rsidR="008C3126" w:rsidRPr="008725ED" w:rsidRDefault="008C3126" w:rsidP="00D87DB7">
      <w:pPr>
        <w:rPr>
          <w:lang w:val="fr-FR"/>
        </w:rPr>
      </w:pPr>
    </w:p>
    <w:p w:rsidR="008C3126" w:rsidRPr="008725ED" w:rsidRDefault="00D87DB7" w:rsidP="00382CC4">
      <w:pPr>
        <w:pStyle w:val="Heading5"/>
      </w:pPr>
      <w:r w:rsidRPr="008725ED">
        <w:t>vii)</w:t>
      </w:r>
      <w:r w:rsidRPr="008725ED">
        <w:tab/>
        <w:t>Caractères applicables à certaines variétés seulement</w:t>
      </w:r>
    </w:p>
    <w:p w:rsidR="008C3126" w:rsidRPr="008725ED" w:rsidRDefault="008C3126" w:rsidP="00D87DB7">
      <w:pPr>
        <w:keepNext/>
        <w:rPr>
          <w:snapToGrid w:val="0"/>
          <w:lang w:val="fr-FR"/>
        </w:rPr>
      </w:pPr>
    </w:p>
    <w:p w:rsidR="008C3126" w:rsidRPr="008725ED" w:rsidRDefault="00D87DB7" w:rsidP="00D87DB7">
      <w:pPr>
        <w:rPr>
          <w:snapToGrid w:val="0"/>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1D3EC4" w:rsidRPr="008725ED">
        <w:rPr>
          <w:lang w:val="fr-FR"/>
        </w:rPr>
        <w:t>a examiné</w:t>
      </w:r>
      <w:r w:rsidRPr="008725ED">
        <w:rPr>
          <w:lang w:val="fr-FR"/>
        </w:rPr>
        <w:t xml:space="preserve"> s</w:t>
      </w:r>
      <w:r w:rsidR="00EF1779" w:rsidRPr="008725ED">
        <w:rPr>
          <w:lang w:val="fr-FR"/>
        </w:rPr>
        <w:t>’</w:t>
      </w:r>
      <w:r w:rsidRPr="008725ED">
        <w:rPr>
          <w:lang w:val="fr-FR"/>
        </w:rPr>
        <w:t xml:space="preserve">il </w:t>
      </w:r>
      <w:r w:rsidR="00EB1ACA" w:rsidRPr="008725ED">
        <w:rPr>
          <w:lang w:val="fr-FR"/>
        </w:rPr>
        <w:t>était</w:t>
      </w:r>
      <w:r w:rsidR="00344B0C" w:rsidRPr="008725ED">
        <w:rPr>
          <w:lang w:val="fr-FR"/>
        </w:rPr>
        <w:t xml:space="preserve"> convenu</w:t>
      </w:r>
      <w:r w:rsidRPr="008725ED">
        <w:rPr>
          <w:lang w:val="fr-FR"/>
        </w:rPr>
        <w:t xml:space="preserve"> de modifier la note indicative 18.3) du document TGP/7, dans le but de clarifier que</w:t>
      </w:r>
      <w:r w:rsidRPr="008725ED">
        <w:rPr>
          <w:snapToGrid w:val="0"/>
          <w:lang w:val="fr-FR"/>
        </w:rPr>
        <w:t>, outre le niveau d</w:t>
      </w:r>
      <w:r w:rsidR="00EF1779" w:rsidRPr="008725ED">
        <w:rPr>
          <w:snapToGrid w:val="0"/>
          <w:lang w:val="fr-FR"/>
        </w:rPr>
        <w:t>’</w:t>
      </w:r>
      <w:r w:rsidRPr="008725ED">
        <w:rPr>
          <w:snapToGrid w:val="0"/>
          <w:lang w:val="fr-FR"/>
        </w:rPr>
        <w:t>expression d</w:t>
      </w:r>
      <w:r w:rsidR="00EF1779" w:rsidRPr="008725ED">
        <w:rPr>
          <w:snapToGrid w:val="0"/>
          <w:lang w:val="fr-FR"/>
        </w:rPr>
        <w:t>’</w:t>
      </w:r>
      <w:r w:rsidRPr="008725ED">
        <w:rPr>
          <w:snapToGrid w:val="0"/>
          <w:lang w:val="fr-FR"/>
        </w:rPr>
        <w:t>un caractère pseudo</w:t>
      </w:r>
      <w:r w:rsidR="00EF1779" w:rsidRPr="008725ED">
        <w:rPr>
          <w:snapToGrid w:val="0"/>
          <w:lang w:val="fr-FR"/>
        </w:rPr>
        <w:t>-</w:t>
      </w:r>
      <w:r w:rsidRPr="008725ED">
        <w:rPr>
          <w:snapToGrid w:val="0"/>
          <w:lang w:val="fr-FR"/>
        </w:rPr>
        <w:t>qualitatif précédent, dans certains cas, le niveau d</w:t>
      </w:r>
      <w:r w:rsidR="00EF1779" w:rsidRPr="008725ED">
        <w:rPr>
          <w:snapToGrid w:val="0"/>
          <w:lang w:val="fr-FR"/>
        </w:rPr>
        <w:t>’</w:t>
      </w:r>
      <w:r w:rsidRPr="008725ED">
        <w:rPr>
          <w:snapToGrid w:val="0"/>
          <w:lang w:val="fr-FR"/>
        </w:rPr>
        <w:t>expression d</w:t>
      </w:r>
      <w:r w:rsidR="00EF1779" w:rsidRPr="008725ED">
        <w:rPr>
          <w:snapToGrid w:val="0"/>
          <w:lang w:val="fr-FR"/>
        </w:rPr>
        <w:t>’</w:t>
      </w:r>
      <w:r w:rsidRPr="008725ED">
        <w:rPr>
          <w:snapToGrid w:val="0"/>
          <w:lang w:val="fr-FR"/>
        </w:rPr>
        <w:t>un caractère pseudo</w:t>
      </w:r>
      <w:r w:rsidR="00EF1779" w:rsidRPr="008725ED">
        <w:rPr>
          <w:snapToGrid w:val="0"/>
          <w:lang w:val="fr-FR"/>
        </w:rPr>
        <w:t>-</w:t>
      </w:r>
      <w:r w:rsidRPr="008725ED">
        <w:rPr>
          <w:snapToGrid w:val="0"/>
          <w:lang w:val="fr-FR"/>
        </w:rPr>
        <w:t>qualitatif ou quantitatif précédent a</w:t>
      </w:r>
      <w:r w:rsidR="0000589A" w:rsidRPr="008725ED">
        <w:rPr>
          <w:snapToGrid w:val="0"/>
          <w:lang w:val="fr-FR"/>
        </w:rPr>
        <w:t>v</w:t>
      </w:r>
      <w:r w:rsidRPr="008725ED">
        <w:rPr>
          <w:snapToGrid w:val="0"/>
          <w:lang w:val="fr-FR"/>
        </w:rPr>
        <w:t>a</w:t>
      </w:r>
      <w:r w:rsidR="00EB1ACA" w:rsidRPr="008725ED">
        <w:rPr>
          <w:snapToGrid w:val="0"/>
          <w:lang w:val="fr-FR"/>
        </w:rPr>
        <w:t>it</w:t>
      </w:r>
      <w:r w:rsidRPr="008725ED">
        <w:rPr>
          <w:snapToGrid w:val="0"/>
          <w:lang w:val="fr-FR"/>
        </w:rPr>
        <w:t xml:space="preserve"> aussi pour conséquence qu</w:t>
      </w:r>
      <w:r w:rsidR="00EF1779" w:rsidRPr="008725ED">
        <w:rPr>
          <w:snapToGrid w:val="0"/>
          <w:lang w:val="fr-FR"/>
        </w:rPr>
        <w:t>’</w:t>
      </w:r>
      <w:r w:rsidRPr="008725ED">
        <w:rPr>
          <w:snapToGrid w:val="0"/>
          <w:lang w:val="fr-FR"/>
        </w:rPr>
        <w:t>un caractère ultérieur n</w:t>
      </w:r>
      <w:r w:rsidR="00EF1779" w:rsidRPr="008725ED">
        <w:rPr>
          <w:snapToGrid w:val="0"/>
          <w:lang w:val="fr-FR"/>
        </w:rPr>
        <w:t>’</w:t>
      </w:r>
      <w:r w:rsidR="00EB1ACA" w:rsidRPr="008725ED">
        <w:rPr>
          <w:snapToGrid w:val="0"/>
          <w:lang w:val="fr-FR"/>
        </w:rPr>
        <w:t xml:space="preserve">était </w:t>
      </w:r>
      <w:r w:rsidRPr="008725ED">
        <w:rPr>
          <w:snapToGrid w:val="0"/>
          <w:lang w:val="fr-FR"/>
        </w:rPr>
        <w:t>pas applicable.</w:t>
      </w:r>
    </w:p>
    <w:p w:rsidR="008C3126" w:rsidRPr="008725ED" w:rsidRDefault="008C3126" w:rsidP="00D87DB7">
      <w:pPr>
        <w:rPr>
          <w:snapToGrid w:val="0"/>
          <w:lang w:val="fr-FR"/>
        </w:rPr>
      </w:pPr>
    </w:p>
    <w:p w:rsidR="008C3126" w:rsidRPr="008725ED" w:rsidRDefault="00D87DB7" w:rsidP="00D87DB7">
      <w:pPr>
        <w:rPr>
          <w:snapToGrid w:val="0"/>
          <w:lang w:val="fr-FR"/>
        </w:rPr>
      </w:pPr>
      <w:r w:rsidRPr="008725ED">
        <w:rPr>
          <w:snapToGrid w:val="0"/>
          <w:lang w:val="fr-FR"/>
        </w:rPr>
        <w:fldChar w:fldCharType="begin"/>
      </w:r>
      <w:r w:rsidRPr="008725ED">
        <w:rPr>
          <w:snapToGrid w:val="0"/>
          <w:lang w:val="fr-FR"/>
        </w:rPr>
        <w:instrText xml:space="preserve"> AUTONUM  </w:instrText>
      </w:r>
      <w:r w:rsidRPr="008725ED">
        <w:rPr>
          <w:snapToGrid w:val="0"/>
          <w:lang w:val="fr-FR"/>
        </w:rPr>
        <w:fldChar w:fldCharType="end"/>
      </w:r>
      <w:r w:rsidRPr="008725ED">
        <w:rPr>
          <w:snapToGrid w:val="0"/>
          <w:lang w:val="fr-FR"/>
        </w:rPr>
        <w:tab/>
      </w:r>
      <w:r w:rsidRPr="008725ED">
        <w:rPr>
          <w:lang w:val="fr-FR"/>
        </w:rPr>
        <w:t>Le</w:t>
      </w:r>
      <w:r w:rsidR="00EF1779" w:rsidRPr="008725ED">
        <w:rPr>
          <w:lang w:val="fr-FR"/>
        </w:rPr>
        <w:t> TC</w:t>
      </w:r>
      <w:r w:rsidRPr="008725ED">
        <w:rPr>
          <w:lang w:val="fr-FR"/>
        </w:rPr>
        <w:t xml:space="preserve"> </w:t>
      </w:r>
      <w:r w:rsidR="00344B0C" w:rsidRPr="008725ED">
        <w:rPr>
          <w:snapToGrid w:val="0"/>
          <w:lang w:val="fr-FR"/>
        </w:rPr>
        <w:t>est convenu</w:t>
      </w:r>
      <w:r w:rsidRPr="008725ED">
        <w:rPr>
          <w:snapToGrid w:val="0"/>
          <w:lang w:val="fr-FR"/>
        </w:rPr>
        <w:t xml:space="preserve"> d</w:t>
      </w:r>
      <w:r w:rsidR="00EF1779" w:rsidRPr="008725ED">
        <w:rPr>
          <w:snapToGrid w:val="0"/>
          <w:lang w:val="fr-FR"/>
        </w:rPr>
        <w:t>’</w:t>
      </w:r>
      <w:r w:rsidRPr="008725ED">
        <w:rPr>
          <w:snapToGrid w:val="0"/>
          <w:lang w:val="fr-FR"/>
        </w:rPr>
        <w:t xml:space="preserve">inviter les </w:t>
      </w:r>
      <w:r w:rsidRPr="008725ED">
        <w:rPr>
          <w:lang w:val="fr-FR"/>
        </w:rPr>
        <w:t>groupes de travail techniques</w:t>
      </w:r>
      <w:r w:rsidRPr="008725ED">
        <w:rPr>
          <w:snapToGrid w:val="0"/>
          <w:lang w:val="fr-FR"/>
        </w:rPr>
        <w:t xml:space="preserve">, à leurs sessions de 2017, à examiner la possibilité et, le cas échéant, à définir les circonstances dans lesquelles les caractères </w:t>
      </w:r>
      <w:r w:rsidR="00EB1ACA" w:rsidRPr="008725ED">
        <w:rPr>
          <w:snapToGrid w:val="0"/>
          <w:lang w:val="fr-FR"/>
        </w:rPr>
        <w:t>pouvaient</w:t>
      </w:r>
      <w:r w:rsidRPr="008725ED">
        <w:rPr>
          <w:lang w:val="fr-FR"/>
        </w:rPr>
        <w:t xml:space="preserve"> </w:t>
      </w:r>
      <w:r w:rsidRPr="008725ED">
        <w:rPr>
          <w:snapToGrid w:val="0"/>
          <w:lang w:val="fr-FR"/>
        </w:rPr>
        <w:t>être exclus de l</w:t>
      </w:r>
      <w:r w:rsidR="00EF1779" w:rsidRPr="008725ED">
        <w:rPr>
          <w:snapToGrid w:val="0"/>
          <w:lang w:val="fr-FR"/>
        </w:rPr>
        <w:t>’</w:t>
      </w:r>
      <w:r w:rsidRPr="008725ED">
        <w:rPr>
          <w:snapToGrid w:val="0"/>
          <w:lang w:val="fr-FR"/>
        </w:rPr>
        <w:t>observation sur la base d</w:t>
      </w:r>
      <w:r w:rsidR="00EF1779" w:rsidRPr="008725ED">
        <w:rPr>
          <w:snapToGrid w:val="0"/>
          <w:lang w:val="fr-FR"/>
        </w:rPr>
        <w:t>’</w:t>
      </w:r>
      <w:r w:rsidRPr="008725ED">
        <w:rPr>
          <w:snapToGrid w:val="0"/>
          <w:lang w:val="fr-FR"/>
        </w:rPr>
        <w:t>un caractère pseudo</w:t>
      </w:r>
      <w:r w:rsidR="00EF1779" w:rsidRPr="008725ED">
        <w:rPr>
          <w:snapToGrid w:val="0"/>
          <w:lang w:val="fr-FR"/>
        </w:rPr>
        <w:t>-</w:t>
      </w:r>
      <w:r w:rsidRPr="008725ED">
        <w:rPr>
          <w:snapToGrid w:val="0"/>
          <w:lang w:val="fr-FR"/>
        </w:rPr>
        <w:t xml:space="preserve">qualitatif ou quantitatif précédent et il </w:t>
      </w:r>
      <w:r w:rsidR="00344B0C" w:rsidRPr="008725ED">
        <w:rPr>
          <w:snapToGrid w:val="0"/>
          <w:lang w:val="fr-FR"/>
        </w:rPr>
        <w:t>est convenu</w:t>
      </w:r>
      <w:r w:rsidRPr="008725ED">
        <w:rPr>
          <w:snapToGrid w:val="0"/>
          <w:lang w:val="fr-FR"/>
        </w:rPr>
        <w:t xml:space="preserve"> d</w:t>
      </w:r>
      <w:r w:rsidR="00EF1779" w:rsidRPr="008725ED">
        <w:rPr>
          <w:snapToGrid w:val="0"/>
          <w:lang w:val="fr-FR"/>
        </w:rPr>
        <w:t>’</w:t>
      </w:r>
      <w:r w:rsidRPr="008725ED">
        <w:rPr>
          <w:snapToGrid w:val="0"/>
          <w:lang w:val="fr-FR"/>
        </w:rPr>
        <w:t>accorder plus de temps à l</w:t>
      </w:r>
      <w:r w:rsidR="00EF1779" w:rsidRPr="008725ED">
        <w:rPr>
          <w:snapToGrid w:val="0"/>
          <w:lang w:val="fr-FR"/>
        </w:rPr>
        <w:t>’</w:t>
      </w:r>
      <w:r w:rsidRPr="008725ED">
        <w:rPr>
          <w:snapToGrid w:val="0"/>
          <w:lang w:val="fr-FR"/>
        </w:rPr>
        <w:t>étude de cette question à sa session de 2018.</w:t>
      </w:r>
    </w:p>
    <w:p w:rsidR="008C3126" w:rsidRPr="008725ED" w:rsidRDefault="008C3126" w:rsidP="00D87DB7">
      <w:pPr>
        <w:rPr>
          <w:lang w:val="fr-FR"/>
        </w:rPr>
      </w:pPr>
    </w:p>
    <w:p w:rsidR="008C3126" w:rsidRPr="008725ED" w:rsidRDefault="00D87DB7" w:rsidP="00382CC4">
      <w:pPr>
        <w:pStyle w:val="Heading5"/>
      </w:pPr>
      <w:r w:rsidRPr="008725ED">
        <w:t>viii)</w:t>
      </w:r>
      <w:r w:rsidRPr="008725ED">
        <w:tab/>
        <w:t>Procédure de révision partielle des principes directeurs d</w:t>
      </w:r>
      <w:r w:rsidR="00EF1779" w:rsidRPr="008725ED">
        <w:t>’</w:t>
      </w:r>
      <w:r w:rsidRPr="008725ED">
        <w:t>examen de l</w:t>
      </w:r>
      <w:r w:rsidR="00EF1779" w:rsidRPr="008725ED">
        <w:t>’</w:t>
      </w:r>
      <w:r w:rsidRPr="008725ED">
        <w:t>UPOV</w:t>
      </w:r>
    </w:p>
    <w:p w:rsidR="008C3126" w:rsidRPr="008725ED" w:rsidRDefault="008C3126" w:rsidP="00D87DB7">
      <w:pPr>
        <w:keepNext/>
        <w:rPr>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1D3EC4" w:rsidRPr="008725ED">
        <w:rPr>
          <w:lang w:val="fr-FR"/>
        </w:rPr>
        <w:t>a examiné</w:t>
      </w:r>
      <w:r w:rsidRPr="008725ED">
        <w:rPr>
          <w:lang w:val="fr-FR"/>
        </w:rPr>
        <w:t xml:space="preserve"> s</w:t>
      </w:r>
      <w:r w:rsidR="00EF1779" w:rsidRPr="008725ED">
        <w:rPr>
          <w:lang w:val="fr-FR"/>
        </w:rPr>
        <w:t>’</w:t>
      </w:r>
      <w:r w:rsidRPr="008725ED">
        <w:rPr>
          <w:lang w:val="fr-FR"/>
        </w:rPr>
        <w:t xml:space="preserve">il </w:t>
      </w:r>
      <w:r w:rsidR="00EB1ACA" w:rsidRPr="008725ED">
        <w:rPr>
          <w:lang w:val="fr-FR"/>
        </w:rPr>
        <w:t>était</w:t>
      </w:r>
      <w:r w:rsidR="00344B0C" w:rsidRPr="008725ED">
        <w:rPr>
          <w:lang w:val="fr-FR"/>
        </w:rPr>
        <w:t xml:space="preserve"> convenu</w:t>
      </w:r>
      <w:r w:rsidRPr="008725ED">
        <w:rPr>
          <w:lang w:val="fr-FR"/>
        </w:rPr>
        <w:t xml:space="preserve"> de modifier le document TGP/7 pour permettre l</w:t>
      </w:r>
      <w:r w:rsidR="00EF1779" w:rsidRPr="008725ED">
        <w:rPr>
          <w:lang w:val="fr-FR"/>
        </w:rPr>
        <w:t>’</w:t>
      </w:r>
      <w:r w:rsidRPr="008725ED">
        <w:rPr>
          <w:lang w:val="fr-FR"/>
        </w:rPr>
        <w:t>ajout de nouvelles propositions en vue de révisions partielles des principes directeurs d</w:t>
      </w:r>
      <w:r w:rsidR="00EF1779" w:rsidRPr="008725ED">
        <w:rPr>
          <w:lang w:val="fr-FR"/>
        </w:rPr>
        <w:t>’</w:t>
      </w:r>
      <w:r w:rsidRPr="008725ED">
        <w:rPr>
          <w:lang w:val="fr-FR"/>
        </w:rPr>
        <w:t>examen à tout moment de l</w:t>
      </w:r>
      <w:r w:rsidR="00EF1779" w:rsidRPr="008725ED">
        <w:rPr>
          <w:lang w:val="fr-FR"/>
        </w:rPr>
        <w:t>’</w:t>
      </w:r>
      <w:r w:rsidRPr="008725ED">
        <w:rPr>
          <w:lang w:val="fr-FR"/>
        </w:rPr>
        <w:t>année, pour autant que le temps nécessaire soit alloué à la vérification des propositions par les experts compétents et les membres de l</w:t>
      </w:r>
      <w:r w:rsidR="00EF1779" w:rsidRPr="008725ED">
        <w:rPr>
          <w:lang w:val="fr-FR"/>
        </w:rPr>
        <w:t>’</w:t>
      </w:r>
      <w:r w:rsidRPr="008725ED">
        <w:rPr>
          <w:lang w:val="fr-FR"/>
        </w:rPr>
        <w:t>UPOV intéressés.</w:t>
      </w:r>
    </w:p>
    <w:p w:rsidR="008C3126" w:rsidRPr="008725ED" w:rsidRDefault="008C3126" w:rsidP="00D87DB7">
      <w:pPr>
        <w:rPr>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pris note </w:t>
      </w:r>
      <w:r w:rsidRPr="008725ED">
        <w:rPr>
          <w:lang w:val="fr-FR"/>
        </w:rPr>
        <w:t>du rôle de l</w:t>
      </w:r>
      <w:r w:rsidR="00EF1779" w:rsidRPr="008725ED">
        <w:rPr>
          <w:lang w:val="fr-FR"/>
        </w:rPr>
        <w:t>’</w:t>
      </w:r>
      <w:r w:rsidRPr="008725ED">
        <w:rPr>
          <w:lang w:val="fr-FR"/>
        </w:rPr>
        <w:t>UPOV dans l</w:t>
      </w:r>
      <w:r w:rsidR="00EF1779" w:rsidRPr="008725ED">
        <w:rPr>
          <w:lang w:val="fr-FR"/>
        </w:rPr>
        <w:t>’</w:t>
      </w:r>
      <w:r w:rsidRPr="008725ED">
        <w:rPr>
          <w:lang w:val="fr-FR"/>
        </w:rPr>
        <w:t>harmonisation des principes directeurs d</w:t>
      </w:r>
      <w:r w:rsidR="00EF1779" w:rsidRPr="008725ED">
        <w:rPr>
          <w:lang w:val="fr-FR"/>
        </w:rPr>
        <w:t>’</w:t>
      </w:r>
      <w:r w:rsidRPr="008725ED">
        <w:rPr>
          <w:lang w:val="fr-FR"/>
        </w:rPr>
        <w:t xml:space="preserve">examen et </w:t>
      </w:r>
      <w:r w:rsidR="00344B0C" w:rsidRPr="008725ED">
        <w:rPr>
          <w:lang w:val="fr-FR"/>
        </w:rPr>
        <w:t xml:space="preserve">a rappelé </w:t>
      </w:r>
      <w:r w:rsidRPr="008725ED">
        <w:rPr>
          <w:lang w:val="fr-FR"/>
        </w:rPr>
        <w:t>que les membres de l</w:t>
      </w:r>
      <w:r w:rsidR="00EF1779" w:rsidRPr="008725ED">
        <w:rPr>
          <w:lang w:val="fr-FR"/>
        </w:rPr>
        <w:t>’</w:t>
      </w:r>
      <w:r w:rsidRPr="008725ED">
        <w:rPr>
          <w:lang w:val="fr-FR"/>
        </w:rPr>
        <w:t xml:space="preserve">UPOV </w:t>
      </w:r>
      <w:r w:rsidR="00EB1ACA" w:rsidRPr="008725ED">
        <w:rPr>
          <w:lang w:val="fr-FR"/>
        </w:rPr>
        <w:t>pouvaient</w:t>
      </w:r>
      <w:r w:rsidRPr="008725ED">
        <w:rPr>
          <w:lang w:val="fr-FR"/>
        </w:rPr>
        <w:t xml:space="preserve"> modifier leurs propres principes directeurs d</w:t>
      </w:r>
      <w:r w:rsidR="00EF1779" w:rsidRPr="008725ED">
        <w:rPr>
          <w:lang w:val="fr-FR"/>
        </w:rPr>
        <w:t>’</w:t>
      </w:r>
      <w:r w:rsidRPr="008725ED">
        <w:rPr>
          <w:lang w:val="fr-FR"/>
        </w:rPr>
        <w:t>examen avant que des modifications ne soient apportées aux principes directeurs d</w:t>
      </w:r>
      <w:r w:rsidR="00EF1779" w:rsidRPr="008725ED">
        <w:rPr>
          <w:lang w:val="fr-FR"/>
        </w:rPr>
        <w:t>’</w:t>
      </w:r>
      <w:r w:rsidRPr="008725ED">
        <w:rPr>
          <w:lang w:val="fr-FR"/>
        </w:rPr>
        <w:t>examen de l</w:t>
      </w:r>
      <w:r w:rsidR="00EF1779" w:rsidRPr="008725ED">
        <w:rPr>
          <w:lang w:val="fr-FR"/>
        </w:rPr>
        <w:t>’</w:t>
      </w:r>
      <w:r w:rsidRPr="008725ED">
        <w:rPr>
          <w:lang w:val="fr-FR"/>
        </w:rPr>
        <w:t>U</w:t>
      </w:r>
      <w:r w:rsidR="00D43219" w:rsidRPr="008725ED">
        <w:rPr>
          <w:lang w:val="fr-FR"/>
        </w:rPr>
        <w:t>POV.  To</w:t>
      </w:r>
      <w:r w:rsidRPr="008725ED">
        <w:rPr>
          <w:lang w:val="fr-FR"/>
        </w:rPr>
        <w:t>utefois, le</w:t>
      </w:r>
      <w:r w:rsidR="00EF1779" w:rsidRPr="008725ED">
        <w:rPr>
          <w:lang w:val="fr-FR"/>
        </w:rPr>
        <w:t> TC</w:t>
      </w:r>
      <w:r w:rsidRPr="008725ED">
        <w:rPr>
          <w:lang w:val="fr-FR"/>
        </w:rPr>
        <w:t xml:space="preserve"> </w:t>
      </w:r>
      <w:r w:rsidR="00344B0C" w:rsidRPr="008725ED">
        <w:rPr>
          <w:lang w:val="fr-FR"/>
        </w:rPr>
        <w:t xml:space="preserve">a rappelé </w:t>
      </w:r>
      <w:r w:rsidRPr="008725ED">
        <w:rPr>
          <w:lang w:val="fr-FR"/>
        </w:rPr>
        <w:t>qu</w:t>
      </w:r>
      <w:r w:rsidR="00EF1779" w:rsidRPr="008725ED">
        <w:rPr>
          <w:lang w:val="fr-FR"/>
        </w:rPr>
        <w:t>’</w:t>
      </w:r>
      <w:r w:rsidRPr="008725ED">
        <w:rPr>
          <w:lang w:val="fr-FR"/>
        </w:rPr>
        <w:t xml:space="preserve">il </w:t>
      </w:r>
      <w:r w:rsidR="00EB1ACA" w:rsidRPr="008725ED">
        <w:rPr>
          <w:lang w:val="fr-FR"/>
        </w:rPr>
        <w:t>était</w:t>
      </w:r>
      <w:r w:rsidRPr="008725ED">
        <w:rPr>
          <w:lang w:val="fr-FR"/>
        </w:rPr>
        <w:t xml:space="preserve"> important pour les</w:t>
      </w:r>
      <w:r w:rsidRPr="008725ED">
        <w:rPr>
          <w:rFonts w:cs="Arial"/>
          <w:lang w:val="fr-FR"/>
        </w:rPr>
        <w:t xml:space="preserve"> services</w:t>
      </w:r>
      <w:r w:rsidRPr="008725ED">
        <w:rPr>
          <w:lang w:val="fr-FR"/>
        </w:rPr>
        <w:t xml:space="preserve"> de faire rapport sur ces faits nouveaux de sorte que les principes directeurs d</w:t>
      </w:r>
      <w:r w:rsidR="00EF1779" w:rsidRPr="008725ED">
        <w:rPr>
          <w:lang w:val="fr-FR"/>
        </w:rPr>
        <w:t>’</w:t>
      </w:r>
      <w:r w:rsidRPr="008725ED">
        <w:rPr>
          <w:lang w:val="fr-FR"/>
        </w:rPr>
        <w:t>examen de l</w:t>
      </w:r>
      <w:r w:rsidR="00EF1779" w:rsidRPr="008725ED">
        <w:rPr>
          <w:lang w:val="fr-FR"/>
        </w:rPr>
        <w:t>’</w:t>
      </w:r>
      <w:r w:rsidRPr="008725ED">
        <w:rPr>
          <w:lang w:val="fr-FR"/>
        </w:rPr>
        <w:t>UPOV puissent, le cas échéant, être révisés.</w:t>
      </w:r>
    </w:p>
    <w:p w:rsidR="008C3126" w:rsidRPr="008725ED" w:rsidRDefault="008C3126" w:rsidP="00D87DB7">
      <w:pPr>
        <w:rPr>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est convenu</w:t>
      </w:r>
      <w:r w:rsidRPr="008725ED">
        <w:rPr>
          <w:lang w:val="fr-FR"/>
        </w:rPr>
        <w:t xml:space="preserve"> qu</w:t>
      </w:r>
      <w:r w:rsidR="00EF1779" w:rsidRPr="008725ED">
        <w:rPr>
          <w:lang w:val="fr-FR"/>
        </w:rPr>
        <w:t>’</w:t>
      </w:r>
      <w:r w:rsidRPr="008725ED">
        <w:rPr>
          <w:lang w:val="fr-FR"/>
        </w:rPr>
        <w:t>il ne serait pas opportun d</w:t>
      </w:r>
      <w:r w:rsidR="00EF1779" w:rsidRPr="008725ED">
        <w:rPr>
          <w:lang w:val="fr-FR"/>
        </w:rPr>
        <w:t>’</w:t>
      </w:r>
      <w:r w:rsidRPr="008725ED">
        <w:rPr>
          <w:lang w:val="fr-FR"/>
        </w:rPr>
        <w:t>élaborer des propositions de révisions partielles des principes directeurs d</w:t>
      </w:r>
      <w:r w:rsidR="00EF1779" w:rsidRPr="008725ED">
        <w:rPr>
          <w:lang w:val="fr-FR"/>
        </w:rPr>
        <w:t>’</w:t>
      </w:r>
      <w:r w:rsidRPr="008725ED">
        <w:rPr>
          <w:lang w:val="fr-FR"/>
        </w:rPr>
        <w:t>examen de l</w:t>
      </w:r>
      <w:r w:rsidR="00EF1779" w:rsidRPr="008725ED">
        <w:rPr>
          <w:lang w:val="fr-FR"/>
        </w:rPr>
        <w:t>’</w:t>
      </w:r>
      <w:r w:rsidRPr="008725ED">
        <w:rPr>
          <w:lang w:val="fr-FR"/>
        </w:rPr>
        <w:t>UPOV à tout moment de l</w:t>
      </w:r>
      <w:r w:rsidR="00EF1779" w:rsidRPr="008725ED">
        <w:rPr>
          <w:lang w:val="fr-FR"/>
        </w:rPr>
        <w:t>’</w:t>
      </w:r>
      <w:r w:rsidRPr="008725ED">
        <w:rPr>
          <w:lang w:val="fr-FR"/>
        </w:rPr>
        <w:t>ann</w:t>
      </w:r>
      <w:r w:rsidR="00D43219" w:rsidRPr="008725ED">
        <w:rPr>
          <w:lang w:val="fr-FR"/>
        </w:rPr>
        <w:t>ée.  Le</w:t>
      </w:r>
      <w:r w:rsidR="00EF1779" w:rsidRPr="008725ED">
        <w:rPr>
          <w:lang w:val="fr-FR"/>
        </w:rPr>
        <w:t> TC</w:t>
      </w:r>
      <w:r w:rsidRPr="008725ED">
        <w:rPr>
          <w:lang w:val="fr-FR"/>
        </w:rPr>
        <w:t xml:space="preserve"> </w:t>
      </w:r>
      <w:r w:rsidR="00344B0C" w:rsidRPr="008725ED">
        <w:rPr>
          <w:lang w:val="fr-FR"/>
        </w:rPr>
        <w:t>est convenu</w:t>
      </w:r>
      <w:r w:rsidR="00EB1ACA" w:rsidRPr="008725ED">
        <w:rPr>
          <w:lang w:val="fr-FR"/>
        </w:rPr>
        <w:t xml:space="preserve"> que les services ne dev</w:t>
      </w:r>
      <w:r w:rsidRPr="008725ED">
        <w:rPr>
          <w:lang w:val="fr-FR"/>
        </w:rPr>
        <w:t>aient pas être invités à notifier l</w:t>
      </w:r>
      <w:r w:rsidR="00EF1779" w:rsidRPr="008725ED">
        <w:rPr>
          <w:lang w:val="fr-FR"/>
        </w:rPr>
        <w:t>’</w:t>
      </w:r>
      <w:r w:rsidRPr="008725ED">
        <w:rPr>
          <w:lang w:val="fr-FR"/>
        </w:rPr>
        <w:t>utilisation de nouveaux caractères et niveaux d</w:t>
      </w:r>
      <w:r w:rsidR="00EF1779" w:rsidRPr="008725ED">
        <w:rPr>
          <w:lang w:val="fr-FR"/>
        </w:rPr>
        <w:t>’</w:t>
      </w:r>
      <w:r w:rsidRPr="008725ED">
        <w:rPr>
          <w:lang w:val="fr-FR"/>
        </w:rPr>
        <w:t>expression au moyen de la procédure établie dans le document TGP/5, section 10</w:t>
      </w:r>
      <w:r w:rsidR="00EF1779" w:rsidRPr="008725ED">
        <w:rPr>
          <w:lang w:val="fr-FR"/>
        </w:rPr>
        <w:t> :</w:t>
      </w:r>
      <w:r w:rsidRPr="008725ED">
        <w:rPr>
          <w:lang w:val="fr-FR"/>
        </w:rPr>
        <w:t xml:space="preserve"> “Notification de caractères et de niveaux d</w:t>
      </w:r>
      <w:r w:rsidR="00EF1779" w:rsidRPr="008725ED">
        <w:rPr>
          <w:lang w:val="fr-FR"/>
        </w:rPr>
        <w:t>’</w:t>
      </w:r>
      <w:r w:rsidRPr="008725ED">
        <w:rPr>
          <w:lang w:val="fr-FR"/>
        </w:rPr>
        <w:t>expression supplémentaires”.</w:t>
      </w:r>
    </w:p>
    <w:p w:rsidR="008C3126" w:rsidRPr="008725ED" w:rsidRDefault="008C3126" w:rsidP="00D87DB7">
      <w:pPr>
        <w:rPr>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est convenu</w:t>
      </w:r>
      <w:r w:rsidRPr="008725ED">
        <w:rPr>
          <w:lang w:val="fr-FR"/>
        </w:rPr>
        <w:t xml:space="preserve"> de demander au Bureau de l</w:t>
      </w:r>
      <w:r w:rsidR="00EF1779" w:rsidRPr="008725ED">
        <w:rPr>
          <w:lang w:val="fr-FR"/>
        </w:rPr>
        <w:t>’</w:t>
      </w:r>
      <w:r w:rsidRPr="008725ED">
        <w:rPr>
          <w:lang w:val="fr-FR"/>
        </w:rPr>
        <w:t>Union d</w:t>
      </w:r>
      <w:r w:rsidR="00EF1779" w:rsidRPr="008725ED">
        <w:rPr>
          <w:lang w:val="fr-FR"/>
        </w:rPr>
        <w:t>’</w:t>
      </w:r>
      <w:r w:rsidRPr="008725ED">
        <w:rPr>
          <w:lang w:val="fr-FR"/>
        </w:rPr>
        <w:t>encourager la notification de caractères et de niveaux d</w:t>
      </w:r>
      <w:r w:rsidR="00EF1779" w:rsidRPr="008725ED">
        <w:rPr>
          <w:lang w:val="fr-FR"/>
        </w:rPr>
        <w:t>’</w:t>
      </w:r>
      <w:r w:rsidRPr="008725ED">
        <w:rPr>
          <w:lang w:val="fr-FR"/>
        </w:rPr>
        <w:t>expression supplémentaires en présentant un exposé aux groupes de travail techniques, à leurs sessions de 2017, sur les procédures établies dans le document TGP/5, section 10.</w:t>
      </w:r>
    </w:p>
    <w:p w:rsidR="008C3126" w:rsidRPr="008725ED" w:rsidRDefault="008C3126" w:rsidP="00D87DB7">
      <w:pPr>
        <w:spacing w:line="360" w:lineRule="auto"/>
        <w:rPr>
          <w:lang w:val="fr-FR"/>
        </w:rPr>
      </w:pPr>
    </w:p>
    <w:p w:rsidR="008C3126" w:rsidRPr="008725ED" w:rsidRDefault="00D87DB7" w:rsidP="00382CC4">
      <w:pPr>
        <w:pStyle w:val="Heading4"/>
      </w:pPr>
      <w:r w:rsidRPr="008725ED">
        <w:t>TGP/14</w:t>
      </w:r>
      <w:r w:rsidR="00EF1779" w:rsidRPr="008725ED">
        <w:t> :</w:t>
      </w:r>
      <w:r w:rsidRPr="008725ED">
        <w:t xml:space="preserve"> Glossaire des termes utilisés dans les documents de l</w:t>
      </w:r>
      <w:r w:rsidR="00EF1779" w:rsidRPr="008725ED">
        <w:t>’</w:t>
      </w:r>
      <w:r w:rsidRPr="008725ED">
        <w:t>UPOV</w:t>
      </w:r>
    </w:p>
    <w:p w:rsidR="008C3126" w:rsidRPr="008725ED" w:rsidRDefault="008C3126" w:rsidP="00D87DB7">
      <w:pPr>
        <w:keepNext/>
        <w:rPr>
          <w:lang w:val="fr-FR"/>
        </w:rPr>
      </w:pPr>
    </w:p>
    <w:p w:rsidR="008C3126" w:rsidRPr="008725ED" w:rsidRDefault="00D87DB7" w:rsidP="00382CC4">
      <w:pPr>
        <w:pStyle w:val="Heading5"/>
      </w:pPr>
      <w:r w:rsidRPr="008725ED">
        <w:t>ix)</w:t>
      </w:r>
      <w:r w:rsidRPr="008725ED">
        <w:tab/>
        <w:t>Définition de “recourbé”</w:t>
      </w:r>
    </w:p>
    <w:p w:rsidR="008C3126" w:rsidRPr="008725ED" w:rsidRDefault="008C3126" w:rsidP="00D87DB7">
      <w:pPr>
        <w:rPr>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00344B0C" w:rsidRPr="008725ED">
        <w:rPr>
          <w:lang w:val="fr-FR"/>
        </w:rPr>
        <w:t xml:space="preserve"> a noté </w:t>
      </w:r>
      <w:r w:rsidRPr="008725ED">
        <w:rPr>
          <w:lang w:val="fr-FR"/>
        </w:rPr>
        <w:t>que l</w:t>
      </w:r>
      <w:r w:rsidR="00EF1779" w:rsidRPr="008725ED">
        <w:rPr>
          <w:lang w:val="fr-FR"/>
        </w:rPr>
        <w:t>’</w:t>
      </w:r>
      <w:r w:rsidRPr="008725ED">
        <w:rPr>
          <w:lang w:val="fr-FR"/>
        </w:rPr>
        <w:t>expert d</w:t>
      </w:r>
      <w:r w:rsidR="00EF1779" w:rsidRPr="008725ED">
        <w:rPr>
          <w:lang w:val="fr-FR"/>
        </w:rPr>
        <w:t>’</w:t>
      </w:r>
      <w:r w:rsidRPr="008725ED">
        <w:rPr>
          <w:lang w:val="fr-FR"/>
        </w:rPr>
        <w:t>Israël a</w:t>
      </w:r>
      <w:r w:rsidR="008B0C7B" w:rsidRPr="008725ED">
        <w:rPr>
          <w:lang w:val="fr-FR"/>
        </w:rPr>
        <w:t>vait</w:t>
      </w:r>
      <w:r w:rsidRPr="008725ED">
        <w:rPr>
          <w:lang w:val="fr-FR"/>
        </w:rPr>
        <w:t xml:space="preserve"> retiré la révision proposée du terme “recourbé”.</w:t>
      </w:r>
    </w:p>
    <w:p w:rsidR="008C3126" w:rsidRPr="008725ED" w:rsidRDefault="008C3126" w:rsidP="00D87DB7">
      <w:pPr>
        <w:rPr>
          <w:lang w:val="fr-FR"/>
        </w:rPr>
      </w:pPr>
    </w:p>
    <w:p w:rsidR="008C3126" w:rsidRPr="008725ED" w:rsidRDefault="00D87DB7" w:rsidP="00382CC4">
      <w:pPr>
        <w:pStyle w:val="Heading5"/>
      </w:pPr>
      <w:r w:rsidRPr="008725ED">
        <w:t>x)</w:t>
      </w:r>
      <w:r w:rsidRPr="008725ED">
        <w:tab/>
        <w:t>Tableau des caractères liés à la forme</w:t>
      </w:r>
    </w:p>
    <w:p w:rsidR="008C3126" w:rsidRPr="008725ED" w:rsidRDefault="008C3126" w:rsidP="00D87DB7">
      <w:pPr>
        <w:keepNext/>
        <w:keepLines/>
        <w:rPr>
          <w:snapToGrid w:val="0"/>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est convenu</w:t>
      </w:r>
      <w:r w:rsidRPr="008725ED">
        <w:rPr>
          <w:lang w:val="fr-FR"/>
        </w:rPr>
        <w:t xml:space="preserve"> de réviser le document TGP/14</w:t>
      </w:r>
      <w:r w:rsidR="00EF1779" w:rsidRPr="008725ED">
        <w:rPr>
          <w:lang w:val="fr-FR"/>
        </w:rPr>
        <w:t> :</w:t>
      </w:r>
      <w:r w:rsidRPr="008725ED">
        <w:rPr>
          <w:lang w:val="fr-FR"/>
        </w:rPr>
        <w:t xml:space="preserve"> section 2</w:t>
      </w:r>
      <w:r w:rsidR="00EF1779" w:rsidRPr="008725ED">
        <w:rPr>
          <w:lang w:val="fr-FR"/>
        </w:rPr>
        <w:t> :</w:t>
      </w:r>
      <w:r w:rsidRPr="008725ED">
        <w:rPr>
          <w:lang w:val="fr-FR"/>
        </w:rPr>
        <w:t xml:space="preserve"> sous</w:t>
      </w:r>
      <w:r w:rsidR="00EF1779" w:rsidRPr="008725ED">
        <w:rPr>
          <w:lang w:val="fr-FR"/>
        </w:rPr>
        <w:t>-</w:t>
      </w:r>
      <w:r w:rsidRPr="008725ED">
        <w:rPr>
          <w:lang w:val="fr-FR"/>
        </w:rPr>
        <w:t>section 2</w:t>
      </w:r>
      <w:r w:rsidR="00EF1779" w:rsidRPr="008725ED">
        <w:rPr>
          <w:lang w:val="fr-FR"/>
        </w:rPr>
        <w:t> :</w:t>
      </w:r>
      <w:r w:rsidRPr="008725ED">
        <w:rPr>
          <w:lang w:val="fr-FR"/>
        </w:rPr>
        <w:t xml:space="preserve"> Formes et structures pour modifier le tableau des positions de la partie la plus large et des rapports longueur/largeur présenté dans la variante 2 afin de supprimer le terme “rapport” et de faire figurer “largeur” dans une colonne distincte de l</w:t>
      </w:r>
      <w:r w:rsidR="00EF1779" w:rsidRPr="008725ED">
        <w:rPr>
          <w:lang w:val="fr-FR"/>
        </w:rPr>
        <w:t>’</w:t>
      </w:r>
      <w:r w:rsidRPr="008725ED">
        <w:rPr>
          <w:lang w:val="fr-FR"/>
        </w:rPr>
        <w:t xml:space="preserve">échelle “large à étroit”, comme indiqué dans le paragraphe 30 du </w:t>
      </w:r>
      <w:r w:rsidR="00EF1779" w:rsidRPr="008725ED">
        <w:rPr>
          <w:lang w:val="fr-FR"/>
        </w:rPr>
        <w:t>document TC</w:t>
      </w:r>
      <w:r w:rsidRPr="008725ED">
        <w:rPr>
          <w:lang w:val="fr-FR"/>
        </w:rPr>
        <w:t>/53/5</w:t>
      </w:r>
      <w:r w:rsidRPr="008725ED">
        <w:rPr>
          <w:snapToGrid w:val="0"/>
          <w:lang w:val="fr-FR"/>
        </w:rPr>
        <w:t>.</w:t>
      </w:r>
    </w:p>
    <w:p w:rsidR="008C3126" w:rsidRPr="008725ED" w:rsidRDefault="008C3126" w:rsidP="00D87DB7">
      <w:pPr>
        <w:rPr>
          <w:lang w:val="fr-FR"/>
        </w:rPr>
      </w:pPr>
    </w:p>
    <w:p w:rsidR="008C3126" w:rsidRPr="008725ED" w:rsidRDefault="00D87DB7" w:rsidP="00382CC4">
      <w:pPr>
        <w:pStyle w:val="Heading5"/>
      </w:pPr>
      <w:r w:rsidRPr="008725ED">
        <w:t>xi)</w:t>
      </w:r>
      <w:r w:rsidRPr="008725ED">
        <w:tab/>
        <w:t>Révision des groupes de couleurs de l</w:t>
      </w:r>
      <w:r w:rsidR="00EF1779" w:rsidRPr="008725ED">
        <w:t>’</w:t>
      </w:r>
      <w:r w:rsidRPr="008725ED">
        <w:t>UPOV</w:t>
      </w:r>
    </w:p>
    <w:p w:rsidR="008C3126" w:rsidRPr="008725ED" w:rsidRDefault="008C3126" w:rsidP="00D87DB7">
      <w:pPr>
        <w:keepNext/>
        <w:rPr>
          <w:lang w:val="fr-FR"/>
        </w:rPr>
      </w:pPr>
    </w:p>
    <w:p w:rsidR="008C3126" w:rsidRPr="008725ED" w:rsidRDefault="00D87DB7" w:rsidP="00D87DB7">
      <w:pPr>
        <w:rPr>
          <w:snapToGrid w:val="0"/>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w:t>
      </w:r>
      <w:r w:rsidR="008B0C7B" w:rsidRPr="008725ED">
        <w:rPr>
          <w:lang w:val="fr-FR"/>
        </w:rPr>
        <w:t>pris note des</w:t>
      </w:r>
      <w:r w:rsidRPr="008725ED">
        <w:rPr>
          <w:lang w:val="fr-FR"/>
        </w:rPr>
        <w:t xml:space="preserve"> informations reçues du TWO </w:t>
      </w:r>
      <w:r w:rsidRPr="008725ED">
        <w:rPr>
          <w:rFonts w:cs="Arial"/>
          <w:lang w:val="fr-FR"/>
        </w:rPr>
        <w:t>selon lesquelles certains codes de couleurs de l</w:t>
      </w:r>
      <w:r w:rsidR="00EF1779" w:rsidRPr="008725ED">
        <w:rPr>
          <w:rFonts w:cs="Arial"/>
          <w:lang w:val="fr-FR"/>
        </w:rPr>
        <w:t>’</w:t>
      </w:r>
      <w:r w:rsidRPr="008725ED">
        <w:rPr>
          <w:rFonts w:cs="Arial"/>
          <w:lang w:val="fr-FR"/>
        </w:rPr>
        <w:t>édition de 1986 et des versions ultérieures du code de couleurs RHS avaient des couleurs différentes de celles figurant dans la sixième éditi</w:t>
      </w:r>
      <w:r w:rsidR="00D43219" w:rsidRPr="008725ED">
        <w:rPr>
          <w:rFonts w:cs="Arial"/>
          <w:lang w:val="fr-FR"/>
        </w:rPr>
        <w:t xml:space="preserve">on.  </w:t>
      </w:r>
      <w:r w:rsidR="00D43219" w:rsidRPr="008725ED">
        <w:rPr>
          <w:lang w:val="fr-FR"/>
        </w:rPr>
        <w:t>Le</w:t>
      </w:r>
      <w:r w:rsidR="00EF1779" w:rsidRPr="008725ED">
        <w:rPr>
          <w:lang w:val="fr-FR"/>
        </w:rPr>
        <w:t> TC</w:t>
      </w:r>
      <w:r w:rsidRPr="008725ED">
        <w:rPr>
          <w:lang w:val="fr-FR"/>
        </w:rPr>
        <w:t xml:space="preserve"> </w:t>
      </w:r>
      <w:r w:rsidR="008B0C7B" w:rsidRPr="008725ED">
        <w:rPr>
          <w:lang w:val="fr-FR"/>
        </w:rPr>
        <w:t>a accueilli</w:t>
      </w:r>
      <w:r w:rsidRPr="008725ED">
        <w:rPr>
          <w:lang w:val="fr-FR"/>
        </w:rPr>
        <w:t xml:space="preserve"> avec satisfaction la proposition du TWO </w:t>
      </w:r>
      <w:r w:rsidRPr="008725ED">
        <w:rPr>
          <w:rFonts w:cs="Arial"/>
          <w:lang w:val="fr-FR"/>
        </w:rPr>
        <w:t xml:space="preserve">selon laquelle le </w:t>
      </w:r>
      <w:r w:rsidRPr="008725ED">
        <w:rPr>
          <w:lang w:val="fr-FR"/>
        </w:rPr>
        <w:t>document TGP/14 “Glossaire des termes utilisés dans les documents de l</w:t>
      </w:r>
      <w:r w:rsidR="00EF1779" w:rsidRPr="008725ED">
        <w:rPr>
          <w:lang w:val="fr-FR"/>
        </w:rPr>
        <w:t>’</w:t>
      </w:r>
      <w:r w:rsidRPr="008725ED">
        <w:rPr>
          <w:lang w:val="fr-FR"/>
        </w:rPr>
        <w:t xml:space="preserve">UPOV” </w:t>
      </w:r>
      <w:r w:rsidR="008B0C7B" w:rsidRPr="008725ED">
        <w:rPr>
          <w:lang w:val="fr-FR"/>
        </w:rPr>
        <w:t>devait</w:t>
      </w:r>
      <w:r w:rsidRPr="008725ED">
        <w:rPr>
          <w:lang w:val="fr-FR"/>
        </w:rPr>
        <w:t xml:space="preserve"> être révisée en vue de remplacer la liste actuelle les groupes de couleurs de l</w:t>
      </w:r>
      <w:r w:rsidR="00EF1779" w:rsidRPr="008725ED">
        <w:rPr>
          <w:lang w:val="fr-FR"/>
        </w:rPr>
        <w:t>’</w:t>
      </w:r>
      <w:r w:rsidRPr="008725ED">
        <w:rPr>
          <w:lang w:val="fr-FR"/>
        </w:rPr>
        <w:t xml:space="preserve">UPOV par une nouvelle liste créée sur la base de la </w:t>
      </w:r>
      <w:r w:rsidRPr="008725ED">
        <w:rPr>
          <w:rFonts w:cs="Arial"/>
          <w:lang w:val="fr-FR"/>
        </w:rPr>
        <w:t>sixième édition du code de couleurs RHS</w:t>
      </w:r>
      <w:r w:rsidRPr="008725ED">
        <w:rPr>
          <w:snapToGrid w:val="0"/>
          <w:lang w:val="fr-FR"/>
        </w:rPr>
        <w:t>.</w:t>
      </w:r>
    </w:p>
    <w:p w:rsidR="008C3126" w:rsidRPr="008725ED" w:rsidRDefault="008C3126" w:rsidP="00D87DB7">
      <w:pPr>
        <w:rPr>
          <w:snapToGrid w:val="0"/>
          <w:lang w:val="fr-FR"/>
        </w:rPr>
      </w:pPr>
    </w:p>
    <w:p w:rsidR="008C3126" w:rsidRPr="008725ED" w:rsidRDefault="00D87DB7" w:rsidP="00D87DB7">
      <w:pPr>
        <w:rPr>
          <w:rFonts w:cs="Arial"/>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r>
      <w:r w:rsidRPr="008725ED">
        <w:rPr>
          <w:rFonts w:cs="Arial"/>
          <w:lang w:val="fr-FR"/>
        </w:rPr>
        <w:t>Le</w:t>
      </w:r>
      <w:r w:rsidR="00EF1779" w:rsidRPr="008725ED">
        <w:rPr>
          <w:rFonts w:cs="Arial"/>
          <w:lang w:val="fr-FR"/>
        </w:rPr>
        <w:t> TC</w:t>
      </w:r>
      <w:r w:rsidRPr="008725ED">
        <w:rPr>
          <w:rFonts w:cs="Arial"/>
          <w:lang w:val="fr-FR"/>
        </w:rPr>
        <w:t xml:space="preserve"> </w:t>
      </w:r>
      <w:r w:rsidR="00344B0C" w:rsidRPr="008725ED">
        <w:rPr>
          <w:rFonts w:cs="Arial"/>
          <w:lang w:val="fr-FR"/>
        </w:rPr>
        <w:t xml:space="preserve">a pris note </w:t>
      </w:r>
      <w:r w:rsidRPr="008725ED">
        <w:rPr>
          <w:rFonts w:cs="Arial"/>
          <w:lang w:val="fr-FR"/>
        </w:rPr>
        <w:t>des discussions au sein du TWO sur la question de savoir s</w:t>
      </w:r>
      <w:r w:rsidR="00EF1779" w:rsidRPr="008725ED">
        <w:rPr>
          <w:rFonts w:cs="Arial"/>
          <w:lang w:val="fr-FR"/>
        </w:rPr>
        <w:t>’</w:t>
      </w:r>
      <w:r w:rsidRPr="008725ED">
        <w:rPr>
          <w:rFonts w:cs="Arial"/>
          <w:lang w:val="fr-FR"/>
        </w:rPr>
        <w:t xml:space="preserve">il </w:t>
      </w:r>
      <w:r w:rsidR="00344B0C" w:rsidRPr="008725ED">
        <w:rPr>
          <w:rFonts w:cs="Arial"/>
          <w:lang w:val="fr-FR"/>
        </w:rPr>
        <w:t>convenait</w:t>
      </w:r>
      <w:r w:rsidRPr="008725ED">
        <w:rPr>
          <w:rFonts w:cs="Arial"/>
          <w:lang w:val="fr-FR"/>
        </w:rPr>
        <w:t xml:space="preserve"> d</w:t>
      </w:r>
      <w:r w:rsidR="00EF1779" w:rsidRPr="008725ED">
        <w:rPr>
          <w:rFonts w:cs="Arial"/>
          <w:lang w:val="fr-FR"/>
        </w:rPr>
        <w:t>’</w:t>
      </w:r>
      <w:r w:rsidRPr="008725ED">
        <w:rPr>
          <w:rFonts w:cs="Arial"/>
          <w:lang w:val="fr-FR"/>
        </w:rPr>
        <w:t>utiliser les groupes de couleurs de l</w:t>
      </w:r>
      <w:r w:rsidR="00EF1779" w:rsidRPr="008725ED">
        <w:rPr>
          <w:rFonts w:cs="Arial"/>
          <w:lang w:val="fr-FR"/>
        </w:rPr>
        <w:t>’</w:t>
      </w:r>
      <w:r w:rsidRPr="008725ED">
        <w:rPr>
          <w:rFonts w:cs="Arial"/>
          <w:lang w:val="fr-FR"/>
        </w:rPr>
        <w:t>UPOV appliqués dans le code de couleurs RHS pour le groupement des variétés et l</w:t>
      </w:r>
      <w:r w:rsidR="00EF1779" w:rsidRPr="008725ED">
        <w:rPr>
          <w:rFonts w:cs="Arial"/>
          <w:lang w:val="fr-FR"/>
        </w:rPr>
        <w:t>’</w:t>
      </w:r>
      <w:r w:rsidRPr="008725ED">
        <w:rPr>
          <w:rFonts w:cs="Arial"/>
          <w:lang w:val="fr-FR"/>
        </w:rPr>
        <w:t>organisation d</w:t>
      </w:r>
      <w:r w:rsidR="00EF1779" w:rsidRPr="008725ED">
        <w:rPr>
          <w:rFonts w:cs="Arial"/>
          <w:lang w:val="fr-FR"/>
        </w:rPr>
        <w:t>’</w:t>
      </w:r>
      <w:r w:rsidRPr="008725ED">
        <w:rPr>
          <w:rFonts w:cs="Arial"/>
          <w:lang w:val="fr-FR"/>
        </w:rPr>
        <w:t xml:space="preserve">essais en culture et </w:t>
      </w:r>
      <w:r w:rsidR="008B0C7B" w:rsidRPr="008725ED">
        <w:rPr>
          <w:rFonts w:cs="Arial"/>
          <w:lang w:val="fr-FR"/>
        </w:rPr>
        <w:t xml:space="preserve">a </w:t>
      </w:r>
      <w:r w:rsidRPr="008725ED">
        <w:rPr>
          <w:rFonts w:cs="Arial"/>
          <w:lang w:val="fr-FR"/>
        </w:rPr>
        <w:t xml:space="preserve">également </w:t>
      </w:r>
      <w:r w:rsidR="008B0C7B" w:rsidRPr="008725ED">
        <w:rPr>
          <w:rFonts w:cs="Arial"/>
          <w:lang w:val="fr-FR"/>
        </w:rPr>
        <w:t xml:space="preserve">pris </w:t>
      </w:r>
      <w:r w:rsidRPr="008725ED">
        <w:rPr>
          <w:rFonts w:cs="Arial"/>
          <w:lang w:val="fr-FR"/>
        </w:rPr>
        <w:t xml:space="preserve">note du fait que le TWO </w:t>
      </w:r>
      <w:r w:rsidR="008B0C7B" w:rsidRPr="008725ED">
        <w:rPr>
          <w:rFonts w:cs="Arial"/>
          <w:lang w:val="fr-FR"/>
        </w:rPr>
        <w:t>était</w:t>
      </w:r>
      <w:r w:rsidRPr="008725ED">
        <w:rPr>
          <w:rFonts w:cs="Arial"/>
          <w:lang w:val="fr-FR"/>
        </w:rPr>
        <w:t xml:space="preserve"> convenu que la différence entre les groupes de couleur de </w:t>
      </w:r>
      <w:r w:rsidRPr="008725ED">
        <w:rPr>
          <w:lang w:val="fr-FR"/>
        </w:rPr>
        <w:t>l</w:t>
      </w:r>
      <w:r w:rsidR="00EF1779" w:rsidRPr="008725ED">
        <w:rPr>
          <w:lang w:val="fr-FR"/>
        </w:rPr>
        <w:t>’</w:t>
      </w:r>
      <w:r w:rsidRPr="008725ED">
        <w:rPr>
          <w:lang w:val="fr-FR"/>
        </w:rPr>
        <w:t xml:space="preserve">UPOV </w:t>
      </w:r>
      <w:r w:rsidRPr="008725ED">
        <w:rPr>
          <w:rFonts w:cs="Arial"/>
          <w:lang w:val="fr-FR"/>
        </w:rPr>
        <w:t>était inférieure à ce qu</w:t>
      </w:r>
      <w:r w:rsidR="00EF1779" w:rsidRPr="008725ED">
        <w:rPr>
          <w:rFonts w:cs="Arial"/>
          <w:lang w:val="fr-FR"/>
        </w:rPr>
        <w:t>’</w:t>
      </w:r>
      <w:r w:rsidRPr="008725ED">
        <w:rPr>
          <w:rFonts w:cs="Arial"/>
          <w:lang w:val="fr-FR"/>
        </w:rPr>
        <w:t>il faudrait pour l</w:t>
      </w:r>
      <w:r w:rsidR="00EF1779" w:rsidRPr="008725ED">
        <w:rPr>
          <w:rFonts w:cs="Arial"/>
          <w:lang w:val="fr-FR"/>
        </w:rPr>
        <w:t>’</w:t>
      </w:r>
      <w:r w:rsidRPr="008725ED">
        <w:rPr>
          <w:rFonts w:cs="Arial"/>
          <w:lang w:val="fr-FR"/>
        </w:rPr>
        <w:t>exclusion des variétés dans le cadre d</w:t>
      </w:r>
      <w:r w:rsidR="00EF1779" w:rsidRPr="008725ED">
        <w:rPr>
          <w:rFonts w:cs="Arial"/>
          <w:lang w:val="fr-FR"/>
        </w:rPr>
        <w:t>’</w:t>
      </w:r>
      <w:r w:rsidRPr="008725ED">
        <w:rPr>
          <w:rFonts w:cs="Arial"/>
          <w:lang w:val="fr-FR"/>
        </w:rPr>
        <w:t>essais comparatifs en culture.</w:t>
      </w:r>
    </w:p>
    <w:p w:rsidR="008C3126" w:rsidRPr="008725ED" w:rsidRDefault="008C3126" w:rsidP="00D87DB7">
      <w:pPr>
        <w:rPr>
          <w:rFonts w:cs="Arial"/>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indiqué </w:t>
      </w:r>
      <w:r w:rsidRPr="008725ED">
        <w:rPr>
          <w:lang w:val="fr-FR"/>
        </w:rPr>
        <w:t>que le </w:t>
      </w:r>
      <w:r w:rsidRPr="008725ED">
        <w:rPr>
          <w:snapToGrid w:val="0"/>
          <w:lang w:val="fr-FR"/>
        </w:rPr>
        <w:t>TWO a</w:t>
      </w:r>
      <w:r w:rsidR="008B0C7B" w:rsidRPr="008725ED">
        <w:rPr>
          <w:snapToGrid w:val="0"/>
          <w:lang w:val="fr-FR"/>
        </w:rPr>
        <w:t>vait</w:t>
      </w:r>
      <w:r w:rsidRPr="008725ED">
        <w:rPr>
          <w:snapToGrid w:val="0"/>
          <w:lang w:val="fr-FR"/>
        </w:rPr>
        <w:t xml:space="preserve"> demandé que l</w:t>
      </w:r>
      <w:r w:rsidR="00EF1779" w:rsidRPr="008725ED">
        <w:rPr>
          <w:snapToGrid w:val="0"/>
          <w:lang w:val="fr-FR"/>
        </w:rPr>
        <w:t>’</w:t>
      </w:r>
      <w:r w:rsidRPr="008725ED">
        <w:rPr>
          <w:snapToGrid w:val="0"/>
          <w:lang w:val="fr-FR"/>
        </w:rPr>
        <w:t>expert de l</w:t>
      </w:r>
      <w:r w:rsidR="00EF1779" w:rsidRPr="008725ED">
        <w:rPr>
          <w:snapToGrid w:val="0"/>
          <w:lang w:val="fr-FR"/>
        </w:rPr>
        <w:t>’</w:t>
      </w:r>
      <w:r w:rsidRPr="008725ED">
        <w:rPr>
          <w:snapToGrid w:val="0"/>
          <w:lang w:val="fr-FR"/>
        </w:rPr>
        <w:t>Allemagne, appuyé par les experts de l</w:t>
      </w:r>
      <w:r w:rsidR="00EF1779" w:rsidRPr="008725ED">
        <w:rPr>
          <w:snapToGrid w:val="0"/>
          <w:lang w:val="fr-FR"/>
        </w:rPr>
        <w:t>’</w:t>
      </w:r>
      <w:r w:rsidRPr="008725ED">
        <w:rPr>
          <w:snapToGrid w:val="0"/>
          <w:lang w:val="fr-FR"/>
        </w:rPr>
        <w:t>Australie, du Canada, de la Nouvelle</w:t>
      </w:r>
      <w:r w:rsidR="00EF1779" w:rsidRPr="008725ED">
        <w:rPr>
          <w:snapToGrid w:val="0"/>
          <w:lang w:val="fr-FR"/>
        </w:rPr>
        <w:t>-</w:t>
      </w:r>
      <w:r w:rsidRPr="008725ED">
        <w:rPr>
          <w:snapToGrid w:val="0"/>
          <w:lang w:val="fr-FR"/>
        </w:rPr>
        <w:t>Zélande, des Pays</w:t>
      </w:r>
      <w:r w:rsidR="00EF1779" w:rsidRPr="008725ED">
        <w:rPr>
          <w:snapToGrid w:val="0"/>
          <w:lang w:val="fr-FR"/>
        </w:rPr>
        <w:t>-</w:t>
      </w:r>
      <w:r w:rsidRPr="008725ED">
        <w:rPr>
          <w:snapToGrid w:val="0"/>
          <w:lang w:val="fr-FR"/>
        </w:rPr>
        <w:t>Bas, du Royaume</w:t>
      </w:r>
      <w:r w:rsidR="00EF1779" w:rsidRPr="008725ED">
        <w:rPr>
          <w:snapToGrid w:val="0"/>
          <w:lang w:val="fr-FR"/>
        </w:rPr>
        <w:t>-</w:t>
      </w:r>
      <w:r w:rsidRPr="008725ED">
        <w:rPr>
          <w:snapToGrid w:val="0"/>
          <w:lang w:val="fr-FR"/>
        </w:rPr>
        <w:t>Uni et de l</w:t>
      </w:r>
      <w:r w:rsidR="00EF1779" w:rsidRPr="008725ED">
        <w:rPr>
          <w:snapToGrid w:val="0"/>
          <w:lang w:val="fr-FR"/>
        </w:rPr>
        <w:t>’</w:t>
      </w:r>
      <w:r w:rsidRPr="008725ED">
        <w:rPr>
          <w:snapToGrid w:val="0"/>
          <w:lang w:val="fr-FR"/>
        </w:rPr>
        <w:t>Union européenne, rédige les principes directeurs sur les facteurs à prendre en considération pour la création de groupes de couleurs aux fins du regroupement des variétés et de l</w:t>
      </w:r>
      <w:r w:rsidR="00EF1779" w:rsidRPr="008725ED">
        <w:rPr>
          <w:snapToGrid w:val="0"/>
          <w:lang w:val="fr-FR"/>
        </w:rPr>
        <w:t>’</w:t>
      </w:r>
      <w:r w:rsidRPr="008725ED">
        <w:rPr>
          <w:snapToGrid w:val="0"/>
          <w:lang w:val="fr-FR"/>
        </w:rPr>
        <w:t>organisation des essais en culture.</w:t>
      </w:r>
    </w:p>
    <w:p w:rsidR="008C3126" w:rsidRPr="008725ED" w:rsidRDefault="008C3126" w:rsidP="005E033E">
      <w:pPr>
        <w:spacing w:line="360" w:lineRule="auto"/>
        <w:rPr>
          <w:rFonts w:cs="Arial"/>
          <w:lang w:val="fr-FR"/>
        </w:rPr>
      </w:pPr>
    </w:p>
    <w:p w:rsidR="008C3126" w:rsidRPr="008725ED" w:rsidRDefault="00D87DB7" w:rsidP="00D87DB7">
      <w:pPr>
        <w:pStyle w:val="Heading3"/>
      </w:pPr>
      <w:bookmarkStart w:id="10" w:name="_Toc494207948"/>
      <w:r w:rsidRPr="008725ED">
        <w:t>Programme d</w:t>
      </w:r>
      <w:r w:rsidR="00EF1779" w:rsidRPr="008725ED">
        <w:t>’</w:t>
      </w:r>
      <w:r w:rsidRPr="008725ED">
        <w:t>élaboration des documents TGP</w:t>
      </w:r>
      <w:bookmarkEnd w:id="10"/>
    </w:p>
    <w:p w:rsidR="008C3126" w:rsidRPr="008725ED" w:rsidRDefault="008C3126" w:rsidP="00D87DB7">
      <w:pPr>
        <w:keepNext/>
        <w:rPr>
          <w:rFonts w:cs="Arial"/>
          <w:lang w:val="fr-FR" w:eastAsia="ja-JP"/>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008B0C7B" w:rsidRPr="008725ED">
        <w:rPr>
          <w:lang w:val="fr-FR"/>
        </w:rPr>
        <w:t xml:space="preserve"> a donné</w:t>
      </w:r>
      <w:r w:rsidRPr="008725ED">
        <w:rPr>
          <w:lang w:val="fr-FR"/>
        </w:rPr>
        <w:t xml:space="preserve"> son aval au programme d</w:t>
      </w:r>
      <w:r w:rsidR="00EF1779" w:rsidRPr="008725ED">
        <w:rPr>
          <w:lang w:val="fr-FR"/>
        </w:rPr>
        <w:t>’</w:t>
      </w:r>
      <w:r w:rsidRPr="008725ED">
        <w:rPr>
          <w:lang w:val="fr-FR"/>
        </w:rPr>
        <w:t>élaboration de</w:t>
      </w:r>
      <w:r w:rsidR="008B0C7B" w:rsidRPr="008725ED">
        <w:rPr>
          <w:lang w:val="fr-FR"/>
        </w:rPr>
        <w:t>s documents TGP tel qu</w:t>
      </w:r>
      <w:r w:rsidR="00EF1779" w:rsidRPr="008725ED">
        <w:rPr>
          <w:lang w:val="fr-FR"/>
        </w:rPr>
        <w:t>’</w:t>
      </w:r>
      <w:r w:rsidR="008B0C7B" w:rsidRPr="008725ED">
        <w:rPr>
          <w:lang w:val="fr-FR"/>
        </w:rPr>
        <w:t>il figurait</w:t>
      </w:r>
      <w:r w:rsidRPr="008725ED">
        <w:rPr>
          <w:lang w:val="fr-FR"/>
        </w:rPr>
        <w:t xml:space="preserve"> à l</w:t>
      </w:r>
      <w:r w:rsidR="00EF1779" w:rsidRPr="008725ED">
        <w:rPr>
          <w:lang w:val="fr-FR"/>
        </w:rPr>
        <w:t>’</w:t>
      </w:r>
      <w:r w:rsidRPr="008725ED">
        <w:rPr>
          <w:lang w:val="fr-FR"/>
        </w:rPr>
        <w:t xml:space="preserve">annexe du </w:t>
      </w:r>
      <w:r w:rsidR="00EF1779" w:rsidRPr="008725ED">
        <w:rPr>
          <w:lang w:val="fr-FR"/>
        </w:rPr>
        <w:t>document TC</w:t>
      </w:r>
      <w:r w:rsidRPr="008725ED">
        <w:rPr>
          <w:lang w:val="fr-FR"/>
        </w:rPr>
        <w:t>/53/5, sous réserve de ses conclusions ci</w:t>
      </w:r>
      <w:r w:rsidR="00EF1779" w:rsidRPr="008725ED">
        <w:rPr>
          <w:lang w:val="fr-FR"/>
        </w:rPr>
        <w:t>-</w:t>
      </w:r>
      <w:r w:rsidRPr="008725ED">
        <w:rPr>
          <w:lang w:val="fr-FR"/>
        </w:rPr>
        <w:t>dessus.</w:t>
      </w:r>
    </w:p>
    <w:p w:rsidR="008C3126" w:rsidRPr="008725ED" w:rsidRDefault="008C3126" w:rsidP="00D87DB7">
      <w:pPr>
        <w:rPr>
          <w:lang w:val="fr-FR"/>
        </w:rPr>
      </w:pPr>
    </w:p>
    <w:p w:rsidR="008C3126" w:rsidRPr="008725ED" w:rsidRDefault="008C3126" w:rsidP="00D87DB7">
      <w:pPr>
        <w:jc w:val="left"/>
        <w:rPr>
          <w:u w:val="single"/>
          <w:lang w:val="fr-FR"/>
        </w:rPr>
      </w:pPr>
    </w:p>
    <w:p w:rsidR="008C3126" w:rsidRPr="008725ED" w:rsidRDefault="00D87DB7" w:rsidP="005E033E">
      <w:pPr>
        <w:pStyle w:val="Heading2"/>
        <w:rPr>
          <w:rFonts w:cs="Arial"/>
          <w:lang w:val="fr-FR"/>
        </w:rPr>
      </w:pPr>
      <w:bookmarkStart w:id="11" w:name="_Toc494207949"/>
      <w:r w:rsidRPr="008725ED">
        <w:rPr>
          <w:lang w:val="fr-FR"/>
        </w:rPr>
        <w:t>Coopération en matière d</w:t>
      </w:r>
      <w:r w:rsidR="00EF1779" w:rsidRPr="008725ED">
        <w:rPr>
          <w:lang w:val="fr-FR"/>
        </w:rPr>
        <w:t>’</w:t>
      </w:r>
      <w:r w:rsidRPr="008725ED">
        <w:rPr>
          <w:lang w:val="fr-FR"/>
        </w:rPr>
        <w:t>examen</w:t>
      </w:r>
      <w:bookmarkEnd w:id="11"/>
    </w:p>
    <w:p w:rsidR="008C3126" w:rsidRPr="008725ED" w:rsidRDefault="008C3126" w:rsidP="00D87DB7">
      <w:pPr>
        <w:keepNext/>
        <w:ind w:left="567" w:hanging="567"/>
        <w:rPr>
          <w:rFonts w:cs="Arial"/>
          <w:snapToGrid w:val="0"/>
          <w:lang w:val="fr-FR"/>
        </w:rPr>
      </w:pPr>
    </w:p>
    <w:p w:rsidR="008C3126" w:rsidRPr="008725ED" w:rsidRDefault="00D87DB7" w:rsidP="00D87DB7">
      <w:pPr>
        <w:keepNext/>
        <w:ind w:left="567" w:hanging="567"/>
        <w:rPr>
          <w:rFonts w:cs="Arial"/>
          <w:lang w:val="fr-FR"/>
        </w:rPr>
      </w:pPr>
      <w:r w:rsidRPr="008725ED">
        <w:rPr>
          <w:rFonts w:cs="Arial"/>
          <w:snapToGrid w:val="0"/>
          <w:lang w:val="fr-FR"/>
        </w:rPr>
        <w:fldChar w:fldCharType="begin"/>
      </w:r>
      <w:r w:rsidRPr="008725ED">
        <w:rPr>
          <w:rFonts w:cs="Arial"/>
          <w:snapToGrid w:val="0"/>
          <w:lang w:val="fr-FR"/>
        </w:rPr>
        <w:instrText xml:space="preserve"> AUTONUM  </w:instrText>
      </w:r>
      <w:r w:rsidRPr="008725ED">
        <w:rPr>
          <w:rFonts w:cs="Arial"/>
          <w:snapToGrid w:val="0"/>
          <w:lang w:val="fr-FR"/>
        </w:rPr>
        <w:fldChar w:fldCharType="end"/>
      </w:r>
      <w:r w:rsidRPr="008725ED">
        <w:rPr>
          <w:rFonts w:cs="Arial"/>
          <w:snapToGrid w:val="0"/>
          <w:lang w:val="fr-FR"/>
        </w:rPr>
        <w:tab/>
        <w:t>Le</w:t>
      </w:r>
      <w:r w:rsidR="00EF1779" w:rsidRPr="008725ED">
        <w:rPr>
          <w:rFonts w:cs="Arial"/>
          <w:snapToGrid w:val="0"/>
          <w:lang w:val="fr-FR"/>
        </w:rPr>
        <w:t> TC</w:t>
      </w:r>
      <w:r w:rsidRPr="008725ED">
        <w:rPr>
          <w:rFonts w:cs="Arial"/>
          <w:snapToGrid w:val="0"/>
          <w:lang w:val="fr-FR"/>
        </w:rPr>
        <w:t xml:space="preserve"> </w:t>
      </w:r>
      <w:r w:rsidR="00344B0C" w:rsidRPr="008725ED">
        <w:rPr>
          <w:rFonts w:cs="Arial"/>
          <w:snapToGrid w:val="0"/>
          <w:lang w:val="fr-FR"/>
        </w:rPr>
        <w:t xml:space="preserve">a examiné </w:t>
      </w:r>
      <w:r w:rsidRPr="008725ED">
        <w:rPr>
          <w:rFonts w:cs="Arial"/>
          <w:snapToGrid w:val="0"/>
          <w:lang w:val="fr-FR"/>
        </w:rPr>
        <w:t xml:space="preserve">le </w:t>
      </w:r>
      <w:r w:rsidR="00EF1779" w:rsidRPr="008725ED">
        <w:rPr>
          <w:rFonts w:cs="Arial"/>
          <w:lang w:val="fr-FR"/>
        </w:rPr>
        <w:t>document TC</w:t>
      </w:r>
      <w:r w:rsidRPr="008725ED">
        <w:rPr>
          <w:rFonts w:cs="Arial"/>
          <w:lang w:val="fr-FR"/>
        </w:rPr>
        <w:t>/53/20 et le rapport verbal du Bureau de l</w:t>
      </w:r>
      <w:r w:rsidR="00EF1779" w:rsidRPr="008725ED">
        <w:rPr>
          <w:rFonts w:cs="Arial"/>
          <w:lang w:val="fr-FR"/>
        </w:rPr>
        <w:t>’</w:t>
      </w:r>
      <w:r w:rsidRPr="008725ED">
        <w:rPr>
          <w:rFonts w:cs="Arial"/>
          <w:lang w:val="fr-FR"/>
        </w:rPr>
        <w:t>Union, qui indiqu</w:t>
      </w:r>
      <w:r w:rsidR="00FF0DB4" w:rsidRPr="008725ED">
        <w:rPr>
          <w:rFonts w:cs="Arial"/>
          <w:lang w:val="fr-FR"/>
        </w:rPr>
        <w:t>ai</w:t>
      </w:r>
      <w:r w:rsidRPr="008725ED">
        <w:rPr>
          <w:rFonts w:cs="Arial"/>
          <w:lang w:val="fr-FR"/>
        </w:rPr>
        <w:t>ent que</w:t>
      </w:r>
      <w:r w:rsidR="00EF1779" w:rsidRPr="008725ED">
        <w:rPr>
          <w:rFonts w:cs="Arial"/>
          <w:lang w:val="fr-FR"/>
        </w:rPr>
        <w:t> :</w:t>
      </w:r>
    </w:p>
    <w:p w:rsidR="008C3126" w:rsidRPr="008725ED" w:rsidRDefault="008C3126" w:rsidP="00D87DB7">
      <w:pPr>
        <w:keepNext/>
        <w:ind w:left="567" w:hanging="567"/>
        <w:rPr>
          <w:rFonts w:cs="Arial"/>
          <w:lang w:val="fr-FR"/>
        </w:rPr>
      </w:pPr>
    </w:p>
    <w:p w:rsidR="008C3126" w:rsidRPr="008725ED" w:rsidRDefault="00D87DB7" w:rsidP="0064330D">
      <w:pPr>
        <w:numPr>
          <w:ilvl w:val="0"/>
          <w:numId w:val="19"/>
        </w:numPr>
        <w:tabs>
          <w:tab w:val="clear" w:pos="720"/>
          <w:tab w:val="num" w:pos="851"/>
        </w:tabs>
        <w:spacing w:after="120"/>
        <w:ind w:left="851" w:hanging="284"/>
        <w:rPr>
          <w:rFonts w:cs="Arial"/>
          <w:lang w:val="fr-FR"/>
        </w:rPr>
      </w:pPr>
      <w:r w:rsidRPr="008725ED">
        <w:rPr>
          <w:rFonts w:cs="Arial"/>
          <w:lang w:val="fr-FR"/>
        </w:rPr>
        <w:t xml:space="preserve">93% des membres ayant répondu </w:t>
      </w:r>
      <w:r w:rsidR="00FF0DB4" w:rsidRPr="008725ED">
        <w:rPr>
          <w:rFonts w:cs="Arial"/>
          <w:lang w:val="fr-FR"/>
        </w:rPr>
        <w:t>étaient</w:t>
      </w:r>
      <w:r w:rsidRPr="008725ED">
        <w:rPr>
          <w:rFonts w:cs="Arial"/>
          <w:lang w:val="fr-FR"/>
        </w:rPr>
        <w:t xml:space="preserve"> assez/très confiants au sujet des possibilités de coopération (tout en notant que seuls 38% des membres de l</w:t>
      </w:r>
      <w:r w:rsidR="00EF1779" w:rsidRPr="008725ED">
        <w:rPr>
          <w:rFonts w:cs="Arial"/>
          <w:lang w:val="fr-FR"/>
        </w:rPr>
        <w:t>’</w:t>
      </w:r>
      <w:r w:rsidRPr="008725ED">
        <w:rPr>
          <w:rFonts w:cs="Arial"/>
          <w:lang w:val="fr-FR"/>
        </w:rPr>
        <w:t>UPOV ont répondu)</w:t>
      </w:r>
    </w:p>
    <w:p w:rsidR="008C3126" w:rsidRPr="008725ED" w:rsidRDefault="00D87DB7" w:rsidP="0064330D">
      <w:pPr>
        <w:numPr>
          <w:ilvl w:val="0"/>
          <w:numId w:val="19"/>
        </w:numPr>
        <w:tabs>
          <w:tab w:val="clear" w:pos="720"/>
          <w:tab w:val="num" w:pos="851"/>
        </w:tabs>
        <w:spacing w:after="120"/>
        <w:ind w:left="851" w:hanging="284"/>
        <w:rPr>
          <w:rFonts w:cs="Arial"/>
          <w:lang w:val="fr-FR"/>
        </w:rPr>
      </w:pPr>
      <w:r w:rsidRPr="008725ED">
        <w:rPr>
          <w:rFonts w:cs="Arial"/>
          <w:lang w:val="fr-FR"/>
        </w:rPr>
        <w:t>50% des membres ayant répondu indiqu</w:t>
      </w:r>
      <w:r w:rsidR="00FF0DB4" w:rsidRPr="008725ED">
        <w:rPr>
          <w:rFonts w:cs="Arial"/>
          <w:lang w:val="fr-FR"/>
        </w:rPr>
        <w:t>ai</w:t>
      </w:r>
      <w:r w:rsidRPr="008725ED">
        <w:rPr>
          <w:rFonts w:cs="Arial"/>
          <w:lang w:val="fr-FR"/>
        </w:rPr>
        <w:t xml:space="preserve">ent que le rapport DHS </w:t>
      </w:r>
      <w:r w:rsidR="00FF0DB4" w:rsidRPr="008725ED">
        <w:rPr>
          <w:rFonts w:cs="Arial"/>
          <w:lang w:val="fr-FR"/>
        </w:rPr>
        <w:t>était</w:t>
      </w:r>
      <w:r w:rsidRPr="008725ED">
        <w:rPr>
          <w:rFonts w:cs="Arial"/>
          <w:lang w:val="fr-FR"/>
        </w:rPr>
        <w:t xml:space="preserve"> utilisé comme fondement pour la décision DHS sans que d</w:t>
      </w:r>
      <w:r w:rsidR="00EF1779" w:rsidRPr="008725ED">
        <w:rPr>
          <w:rFonts w:cs="Arial"/>
          <w:lang w:val="fr-FR"/>
        </w:rPr>
        <w:t>’</w:t>
      </w:r>
      <w:r w:rsidRPr="008725ED">
        <w:rPr>
          <w:rFonts w:cs="Arial"/>
          <w:lang w:val="fr-FR"/>
        </w:rPr>
        <w:t>autres informations soient nécessaires</w:t>
      </w:r>
    </w:p>
    <w:p w:rsidR="008C3126" w:rsidRPr="008725ED" w:rsidRDefault="00D87DB7" w:rsidP="0064330D">
      <w:pPr>
        <w:numPr>
          <w:ilvl w:val="0"/>
          <w:numId w:val="19"/>
        </w:numPr>
        <w:tabs>
          <w:tab w:val="clear" w:pos="720"/>
          <w:tab w:val="num" w:pos="851"/>
        </w:tabs>
        <w:spacing w:after="120"/>
        <w:ind w:left="851" w:hanging="284"/>
        <w:rPr>
          <w:rFonts w:cs="Arial"/>
          <w:lang w:val="fr-FR"/>
        </w:rPr>
      </w:pPr>
      <w:r w:rsidRPr="008725ED">
        <w:rPr>
          <w:rFonts w:cs="Arial"/>
          <w:lang w:val="fr-FR"/>
        </w:rPr>
        <w:t>30% de</w:t>
      </w:r>
      <w:r w:rsidR="00FF0DB4" w:rsidRPr="008725ED">
        <w:rPr>
          <w:rFonts w:cs="Arial"/>
          <w:lang w:val="fr-FR"/>
        </w:rPr>
        <w:t>s membres ayant répondu considérai</w:t>
      </w:r>
      <w:r w:rsidRPr="008725ED">
        <w:rPr>
          <w:rFonts w:cs="Arial"/>
          <w:lang w:val="fr-FR"/>
        </w:rPr>
        <w:t>ent que de nouvelles mesures pratiques pou</w:t>
      </w:r>
      <w:r w:rsidR="00FF0DB4" w:rsidRPr="008725ED">
        <w:rPr>
          <w:rFonts w:cs="Arial"/>
          <w:lang w:val="fr-FR"/>
        </w:rPr>
        <w:t>v</w:t>
      </w:r>
      <w:r w:rsidRPr="008725ED">
        <w:rPr>
          <w:rFonts w:cs="Arial"/>
          <w:lang w:val="fr-FR"/>
        </w:rPr>
        <w:t>aient faciliter l</w:t>
      </w:r>
      <w:r w:rsidR="00EF1779" w:rsidRPr="008725ED">
        <w:rPr>
          <w:rFonts w:cs="Arial"/>
          <w:lang w:val="fr-FR"/>
        </w:rPr>
        <w:t>’</w:t>
      </w:r>
      <w:r w:rsidRPr="008725ED">
        <w:rPr>
          <w:rFonts w:cs="Arial"/>
          <w:lang w:val="fr-FR"/>
        </w:rPr>
        <w:t>utilisation des rapports DHS existants</w:t>
      </w:r>
    </w:p>
    <w:p w:rsidR="008C3126" w:rsidRPr="008725ED" w:rsidRDefault="00D87DB7" w:rsidP="0064330D">
      <w:pPr>
        <w:numPr>
          <w:ilvl w:val="0"/>
          <w:numId w:val="19"/>
        </w:numPr>
        <w:tabs>
          <w:tab w:val="clear" w:pos="720"/>
          <w:tab w:val="num" w:pos="851"/>
        </w:tabs>
        <w:ind w:left="851" w:hanging="284"/>
        <w:rPr>
          <w:rFonts w:cs="Arial"/>
          <w:lang w:val="fr-FR"/>
        </w:rPr>
      </w:pPr>
      <w:r w:rsidRPr="008725ED">
        <w:rPr>
          <w:rFonts w:cs="Arial"/>
          <w:lang w:val="fr-FR"/>
        </w:rPr>
        <w:t xml:space="preserve">29% des membres ayant répondu </w:t>
      </w:r>
      <w:r w:rsidR="00FF0DB4" w:rsidRPr="008725ED">
        <w:rPr>
          <w:rFonts w:cs="Arial"/>
          <w:lang w:val="fr-FR"/>
        </w:rPr>
        <w:t>étaient</w:t>
      </w:r>
      <w:r w:rsidRPr="008725ED">
        <w:rPr>
          <w:rFonts w:cs="Arial"/>
          <w:lang w:val="fr-FR"/>
        </w:rPr>
        <w:t xml:space="preserve"> d</w:t>
      </w:r>
      <w:r w:rsidR="00EF1779" w:rsidRPr="008725ED">
        <w:rPr>
          <w:rFonts w:cs="Arial"/>
          <w:lang w:val="fr-FR"/>
        </w:rPr>
        <w:t>’</w:t>
      </w:r>
      <w:r w:rsidRPr="008725ED">
        <w:rPr>
          <w:rFonts w:cs="Arial"/>
          <w:lang w:val="fr-FR"/>
        </w:rPr>
        <w:t>avis que la coopération dans le cadre de l</w:t>
      </w:r>
      <w:r w:rsidR="00EF1779" w:rsidRPr="008725ED">
        <w:rPr>
          <w:rFonts w:cs="Arial"/>
          <w:lang w:val="fr-FR"/>
        </w:rPr>
        <w:t>’</w:t>
      </w:r>
      <w:r w:rsidRPr="008725ED">
        <w:rPr>
          <w:rFonts w:cs="Arial"/>
          <w:lang w:val="fr-FR"/>
        </w:rPr>
        <w:t>examen DHS n</w:t>
      </w:r>
      <w:r w:rsidR="00EF1779" w:rsidRPr="008725ED">
        <w:rPr>
          <w:rFonts w:cs="Arial"/>
          <w:lang w:val="fr-FR"/>
        </w:rPr>
        <w:t>’</w:t>
      </w:r>
      <w:r w:rsidRPr="008725ED">
        <w:rPr>
          <w:rFonts w:cs="Arial"/>
          <w:lang w:val="fr-FR"/>
        </w:rPr>
        <w:t>était “pas du tout facile”</w:t>
      </w:r>
    </w:p>
    <w:p w:rsidR="008C3126" w:rsidRPr="008725ED" w:rsidRDefault="008C3126" w:rsidP="0064330D">
      <w:pPr>
        <w:rPr>
          <w:rFonts w:cs="Arial"/>
          <w:lang w:val="fr-FR"/>
        </w:rPr>
      </w:pPr>
    </w:p>
    <w:p w:rsidR="008C3126" w:rsidRPr="008725ED" w:rsidRDefault="00D87DB7" w:rsidP="0064330D">
      <w:pPr>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Le Bureau de l</w:t>
      </w:r>
      <w:r w:rsidR="00EF1779" w:rsidRPr="008725ED">
        <w:rPr>
          <w:rFonts w:cs="Arial"/>
          <w:lang w:val="fr-FR"/>
        </w:rPr>
        <w:t>’</w:t>
      </w:r>
      <w:r w:rsidRPr="008725ED">
        <w:rPr>
          <w:rFonts w:cs="Arial"/>
          <w:lang w:val="fr-FR"/>
        </w:rPr>
        <w:t xml:space="preserve">Union </w:t>
      </w:r>
      <w:r w:rsidR="00344B0C" w:rsidRPr="008725ED">
        <w:rPr>
          <w:rFonts w:cs="Arial"/>
          <w:lang w:val="fr-FR"/>
        </w:rPr>
        <w:t xml:space="preserve">a indiqué </w:t>
      </w:r>
      <w:r w:rsidRPr="008725ED">
        <w:rPr>
          <w:rFonts w:cs="Arial"/>
          <w:lang w:val="fr-FR"/>
        </w:rPr>
        <w:t xml:space="preserve">que le </w:t>
      </w:r>
      <w:r w:rsidRPr="008725ED">
        <w:rPr>
          <w:rFonts w:cs="Arial"/>
          <w:lang w:val="fr-FR" w:eastAsia="ja-JP"/>
        </w:rPr>
        <w:t>Groupe de travail sur un éventuel système international de coopération (WG</w:t>
      </w:r>
      <w:r w:rsidR="00EF1779" w:rsidRPr="008725ED">
        <w:rPr>
          <w:rFonts w:cs="Arial"/>
          <w:lang w:val="fr-FR" w:eastAsia="ja-JP"/>
        </w:rPr>
        <w:t>-</w:t>
      </w:r>
      <w:r w:rsidRPr="008725ED">
        <w:rPr>
          <w:rFonts w:cs="Arial"/>
          <w:lang w:val="fr-FR" w:eastAsia="ja-JP"/>
        </w:rPr>
        <w:t>ISC) a</w:t>
      </w:r>
      <w:r w:rsidR="00FF0DB4" w:rsidRPr="008725ED">
        <w:rPr>
          <w:rFonts w:cs="Arial"/>
          <w:lang w:val="fr-FR" w:eastAsia="ja-JP"/>
        </w:rPr>
        <w:t>vait</w:t>
      </w:r>
      <w:r w:rsidRPr="008725ED">
        <w:rPr>
          <w:lang w:val="fr-FR"/>
        </w:rPr>
        <w:t xml:space="preserve"> </w:t>
      </w:r>
      <w:r w:rsidRPr="008725ED">
        <w:rPr>
          <w:rFonts w:cs="Arial"/>
          <w:lang w:val="fr-FR" w:eastAsia="ja-JP"/>
        </w:rPr>
        <w:t>constaté qu</w:t>
      </w:r>
      <w:r w:rsidR="00EF1779" w:rsidRPr="008725ED">
        <w:rPr>
          <w:rFonts w:cs="Arial"/>
          <w:lang w:val="fr-FR" w:eastAsia="ja-JP"/>
        </w:rPr>
        <w:t>’</w:t>
      </w:r>
      <w:r w:rsidRPr="008725ED">
        <w:rPr>
          <w:rFonts w:cs="Arial"/>
          <w:lang w:val="fr-FR" w:eastAsia="ja-JP"/>
        </w:rPr>
        <w:t>il était nécessaire</w:t>
      </w:r>
      <w:r w:rsidRPr="008725ED">
        <w:rPr>
          <w:rFonts w:cs="Arial"/>
          <w:lang w:val="fr-FR"/>
        </w:rPr>
        <w:t xml:space="preserve"> d</w:t>
      </w:r>
      <w:r w:rsidR="00EF1779" w:rsidRPr="008725ED">
        <w:rPr>
          <w:rFonts w:cs="Arial"/>
          <w:lang w:val="fr-FR"/>
        </w:rPr>
        <w:t>’</w:t>
      </w:r>
      <w:r w:rsidRPr="008725ED">
        <w:rPr>
          <w:rFonts w:cs="Arial"/>
          <w:lang w:val="fr-FR"/>
        </w:rPr>
        <w:t>accepter des rapports DHS de n</w:t>
      </w:r>
      <w:r w:rsidR="00EF1779" w:rsidRPr="008725ED">
        <w:rPr>
          <w:rFonts w:cs="Arial"/>
          <w:lang w:val="fr-FR"/>
        </w:rPr>
        <w:t>’</w:t>
      </w:r>
      <w:r w:rsidRPr="008725ED">
        <w:rPr>
          <w:rFonts w:cs="Arial"/>
          <w:lang w:val="fr-FR"/>
        </w:rPr>
        <w:t>importe quel membre de l</w:t>
      </w:r>
      <w:r w:rsidR="00EF1779" w:rsidRPr="008725ED">
        <w:rPr>
          <w:rFonts w:cs="Arial"/>
          <w:lang w:val="fr-FR"/>
        </w:rPr>
        <w:t>’</w:t>
      </w:r>
      <w:r w:rsidRPr="008725ED">
        <w:rPr>
          <w:rFonts w:cs="Arial"/>
          <w:lang w:val="fr-FR"/>
        </w:rPr>
        <w:t>Union sans aucune considération.</w:t>
      </w:r>
    </w:p>
    <w:p w:rsidR="008C3126" w:rsidRPr="008725ED" w:rsidRDefault="008C3126" w:rsidP="0064330D">
      <w:pPr>
        <w:ind w:left="567" w:hanging="567"/>
        <w:rPr>
          <w:rFonts w:cs="Arial"/>
          <w:lang w:val="fr-FR"/>
        </w:rPr>
      </w:pPr>
    </w:p>
    <w:p w:rsidR="008C3126" w:rsidRPr="008725ED" w:rsidRDefault="00D87DB7" w:rsidP="0064330D">
      <w:pPr>
        <w:rPr>
          <w:snapToGrid w:val="0"/>
          <w:lang w:val="fr-FR"/>
        </w:rPr>
      </w:pPr>
      <w:r w:rsidRPr="008725ED">
        <w:rPr>
          <w:snapToGrid w:val="0"/>
          <w:lang w:val="fr-FR"/>
        </w:rPr>
        <w:fldChar w:fldCharType="begin"/>
      </w:r>
      <w:r w:rsidRPr="008725ED">
        <w:rPr>
          <w:snapToGrid w:val="0"/>
          <w:lang w:val="fr-FR"/>
        </w:rPr>
        <w:instrText xml:space="preserve"> AUTONUM  </w:instrText>
      </w:r>
      <w:r w:rsidRPr="008725ED">
        <w:rPr>
          <w:snapToGrid w:val="0"/>
          <w:lang w:val="fr-FR"/>
        </w:rPr>
        <w:fldChar w:fldCharType="end"/>
      </w:r>
      <w:r w:rsidRPr="008725ED">
        <w:rPr>
          <w:snapToGrid w:val="0"/>
          <w:lang w:val="fr-FR"/>
        </w:rPr>
        <w:tab/>
        <w:t>Le</w:t>
      </w:r>
      <w:r w:rsidR="00EF1779" w:rsidRPr="008725ED">
        <w:rPr>
          <w:snapToGrid w:val="0"/>
          <w:lang w:val="fr-FR"/>
        </w:rPr>
        <w:t> TC</w:t>
      </w:r>
      <w:r w:rsidRPr="008725ED">
        <w:rPr>
          <w:snapToGrid w:val="0"/>
          <w:lang w:val="fr-FR"/>
        </w:rPr>
        <w:t xml:space="preserve"> </w:t>
      </w:r>
      <w:r w:rsidR="00344B0C" w:rsidRPr="008725ED">
        <w:rPr>
          <w:snapToGrid w:val="0"/>
          <w:lang w:val="fr-FR"/>
        </w:rPr>
        <w:t xml:space="preserve">a indiqué </w:t>
      </w:r>
      <w:r w:rsidRPr="008725ED">
        <w:rPr>
          <w:snapToGrid w:val="0"/>
          <w:lang w:val="fr-FR"/>
        </w:rPr>
        <w:t>qu</w:t>
      </w:r>
      <w:r w:rsidR="00EF1779" w:rsidRPr="008725ED">
        <w:rPr>
          <w:snapToGrid w:val="0"/>
          <w:lang w:val="fr-FR"/>
        </w:rPr>
        <w:t>’</w:t>
      </w:r>
      <w:r w:rsidRPr="008725ED">
        <w:rPr>
          <w:snapToGrid w:val="0"/>
          <w:lang w:val="fr-FR"/>
        </w:rPr>
        <w:t>il y avait d</w:t>
      </w:r>
      <w:r w:rsidR="00EF1779" w:rsidRPr="008725ED">
        <w:rPr>
          <w:snapToGrid w:val="0"/>
          <w:lang w:val="fr-FR"/>
        </w:rPr>
        <w:t>’</w:t>
      </w:r>
      <w:r w:rsidRPr="008725ED">
        <w:rPr>
          <w:snapToGrid w:val="0"/>
          <w:lang w:val="fr-FR"/>
        </w:rPr>
        <w:t>importants aspects de politique générale relatifs à la coopération en matière d</w:t>
      </w:r>
      <w:r w:rsidR="00EF1779" w:rsidRPr="008725ED">
        <w:rPr>
          <w:snapToGrid w:val="0"/>
          <w:lang w:val="fr-FR"/>
        </w:rPr>
        <w:t>’</w:t>
      </w:r>
      <w:r w:rsidRPr="008725ED">
        <w:rPr>
          <w:snapToGrid w:val="0"/>
          <w:lang w:val="fr-FR"/>
        </w:rPr>
        <w:t>examen </w:t>
      </w:r>
      <w:r w:rsidRPr="008725ED">
        <w:rPr>
          <w:rFonts w:cs="Arial"/>
          <w:lang w:val="fr-FR"/>
        </w:rPr>
        <w:t>DHS</w:t>
      </w:r>
      <w:r w:rsidRPr="008725ED">
        <w:rPr>
          <w:snapToGrid w:val="0"/>
          <w:lang w:val="fr-FR"/>
        </w:rPr>
        <w:t xml:space="preserve"> et </w:t>
      </w:r>
      <w:r w:rsidR="00344B0C" w:rsidRPr="008725ED">
        <w:rPr>
          <w:snapToGrid w:val="0"/>
          <w:lang w:val="fr-FR"/>
        </w:rPr>
        <w:t>est convenu</w:t>
      </w:r>
      <w:r w:rsidRPr="008725ED">
        <w:rPr>
          <w:snapToGrid w:val="0"/>
          <w:lang w:val="fr-FR"/>
        </w:rPr>
        <w:t xml:space="preserve"> que les résultats de l</w:t>
      </w:r>
      <w:r w:rsidR="00EF1779" w:rsidRPr="008725ED">
        <w:rPr>
          <w:snapToGrid w:val="0"/>
          <w:lang w:val="fr-FR"/>
        </w:rPr>
        <w:t>’</w:t>
      </w:r>
      <w:r w:rsidRPr="008725ED">
        <w:rPr>
          <w:snapToGrid w:val="0"/>
          <w:lang w:val="fr-FR"/>
        </w:rPr>
        <w:t xml:space="preserve">étude devaient être communiqués au </w:t>
      </w:r>
      <w:r w:rsidRPr="008725ED">
        <w:rPr>
          <w:rFonts w:cs="Arial"/>
          <w:lang w:val="fr-FR" w:eastAsia="ja-JP"/>
        </w:rPr>
        <w:t>WG</w:t>
      </w:r>
      <w:r w:rsidR="00EF1779" w:rsidRPr="008725ED">
        <w:rPr>
          <w:rFonts w:cs="Arial"/>
          <w:lang w:val="fr-FR" w:eastAsia="ja-JP"/>
        </w:rPr>
        <w:t>-</w:t>
      </w:r>
      <w:r w:rsidRPr="008725ED">
        <w:rPr>
          <w:rFonts w:cs="Arial"/>
          <w:lang w:val="fr-FR" w:eastAsia="ja-JP"/>
        </w:rPr>
        <w:t>ISC</w:t>
      </w:r>
      <w:r w:rsidRPr="008725ED">
        <w:rPr>
          <w:snapToGrid w:val="0"/>
          <w:lang w:val="fr-FR"/>
        </w:rPr>
        <w:t xml:space="preserve"> accompagnés, le cas échant, d</w:t>
      </w:r>
      <w:r w:rsidR="00EF1779" w:rsidRPr="008725ED">
        <w:rPr>
          <w:snapToGrid w:val="0"/>
          <w:lang w:val="fr-FR"/>
        </w:rPr>
        <w:t>’</w:t>
      </w:r>
      <w:r w:rsidRPr="008725ED">
        <w:rPr>
          <w:snapToGrid w:val="0"/>
          <w:lang w:val="fr-FR"/>
        </w:rPr>
        <w:t>une explication des enjeux.</w:t>
      </w:r>
    </w:p>
    <w:p w:rsidR="008C3126" w:rsidRPr="008725ED" w:rsidRDefault="008C3126" w:rsidP="0064330D">
      <w:pPr>
        <w:rPr>
          <w:snapToGrid w:val="0"/>
          <w:lang w:val="fr-FR"/>
        </w:rPr>
      </w:pPr>
    </w:p>
    <w:p w:rsidR="008C3126" w:rsidRPr="008725ED" w:rsidRDefault="00D87DB7" w:rsidP="0064330D">
      <w:pPr>
        <w:keepLines/>
        <w:rPr>
          <w:snapToGrid w:val="0"/>
          <w:lang w:val="fr-FR"/>
        </w:rPr>
      </w:pPr>
      <w:r w:rsidRPr="008725ED">
        <w:rPr>
          <w:snapToGrid w:val="0"/>
          <w:lang w:val="fr-FR"/>
        </w:rPr>
        <w:fldChar w:fldCharType="begin"/>
      </w:r>
      <w:r w:rsidRPr="008725ED">
        <w:rPr>
          <w:snapToGrid w:val="0"/>
          <w:lang w:val="fr-FR"/>
        </w:rPr>
        <w:instrText xml:space="preserve"> AUTONUM  </w:instrText>
      </w:r>
      <w:r w:rsidRPr="008725ED">
        <w:rPr>
          <w:snapToGrid w:val="0"/>
          <w:lang w:val="fr-FR"/>
        </w:rPr>
        <w:fldChar w:fldCharType="end"/>
      </w:r>
      <w:r w:rsidRPr="008725ED">
        <w:rPr>
          <w:snapToGrid w:val="0"/>
          <w:lang w:val="fr-FR"/>
        </w:rPr>
        <w:tab/>
        <w:t>Le</w:t>
      </w:r>
      <w:r w:rsidR="00EF1779" w:rsidRPr="008725ED">
        <w:rPr>
          <w:snapToGrid w:val="0"/>
          <w:lang w:val="fr-FR"/>
        </w:rPr>
        <w:t> TC</w:t>
      </w:r>
      <w:r w:rsidRPr="008725ED">
        <w:rPr>
          <w:snapToGrid w:val="0"/>
          <w:lang w:val="fr-FR"/>
        </w:rPr>
        <w:t xml:space="preserve"> </w:t>
      </w:r>
      <w:r w:rsidR="00FF0DB4" w:rsidRPr="008725ED">
        <w:rPr>
          <w:snapToGrid w:val="0"/>
          <w:lang w:val="fr-FR"/>
        </w:rPr>
        <w:t>a reconnu qu</w:t>
      </w:r>
      <w:r w:rsidR="00EF1779" w:rsidRPr="008725ED">
        <w:rPr>
          <w:snapToGrid w:val="0"/>
          <w:lang w:val="fr-FR"/>
        </w:rPr>
        <w:t>’</w:t>
      </w:r>
      <w:r w:rsidR="00FF0DB4" w:rsidRPr="008725ED">
        <w:rPr>
          <w:snapToGrid w:val="0"/>
          <w:lang w:val="fr-FR"/>
        </w:rPr>
        <w:t>il fallait</w:t>
      </w:r>
      <w:r w:rsidRPr="008725ED">
        <w:rPr>
          <w:snapToGrid w:val="0"/>
          <w:lang w:val="fr-FR"/>
        </w:rPr>
        <w:t xml:space="preserve"> mener une nouvelle étude afin d</w:t>
      </w:r>
      <w:r w:rsidR="00EF1779" w:rsidRPr="008725ED">
        <w:rPr>
          <w:snapToGrid w:val="0"/>
          <w:lang w:val="fr-FR"/>
        </w:rPr>
        <w:t>’</w:t>
      </w:r>
      <w:r w:rsidRPr="008725ED">
        <w:rPr>
          <w:snapToGrid w:val="0"/>
          <w:lang w:val="fr-FR"/>
        </w:rPr>
        <w:t>augmenter le nombre de membres de l</w:t>
      </w:r>
      <w:r w:rsidR="00EF1779" w:rsidRPr="008725ED">
        <w:rPr>
          <w:snapToGrid w:val="0"/>
          <w:lang w:val="fr-FR"/>
        </w:rPr>
        <w:t>’</w:t>
      </w:r>
      <w:r w:rsidRPr="008725ED">
        <w:rPr>
          <w:snapToGrid w:val="0"/>
          <w:lang w:val="fr-FR"/>
        </w:rPr>
        <w:t>Union fournissant des informatio</w:t>
      </w:r>
      <w:r w:rsidR="00D43219" w:rsidRPr="008725ED">
        <w:rPr>
          <w:snapToGrid w:val="0"/>
          <w:lang w:val="fr-FR"/>
        </w:rPr>
        <w:t>ns.  Le</w:t>
      </w:r>
      <w:r w:rsidR="00EF1779" w:rsidRPr="008725ED">
        <w:rPr>
          <w:snapToGrid w:val="0"/>
          <w:lang w:val="fr-FR"/>
        </w:rPr>
        <w:t> TC</w:t>
      </w:r>
      <w:r w:rsidRPr="008725ED">
        <w:rPr>
          <w:snapToGrid w:val="0"/>
          <w:lang w:val="fr-FR"/>
        </w:rPr>
        <w:t xml:space="preserve"> </w:t>
      </w:r>
      <w:r w:rsidR="00344B0C" w:rsidRPr="008725ED">
        <w:rPr>
          <w:snapToGrid w:val="0"/>
          <w:lang w:val="fr-FR"/>
        </w:rPr>
        <w:t>est convenu</w:t>
      </w:r>
      <w:r w:rsidRPr="008725ED">
        <w:rPr>
          <w:snapToGrid w:val="0"/>
          <w:lang w:val="fr-FR"/>
        </w:rPr>
        <w:t xml:space="preserve"> que les questions figur</w:t>
      </w:r>
      <w:r w:rsidR="00FF0DB4" w:rsidRPr="008725ED">
        <w:rPr>
          <w:snapToGrid w:val="0"/>
          <w:lang w:val="fr-FR"/>
        </w:rPr>
        <w:t>ant dans l</w:t>
      </w:r>
      <w:r w:rsidR="00EF1779" w:rsidRPr="008725ED">
        <w:rPr>
          <w:snapToGrid w:val="0"/>
          <w:lang w:val="fr-FR"/>
        </w:rPr>
        <w:t>’</w:t>
      </w:r>
      <w:r w:rsidR="00FF0DB4" w:rsidRPr="008725ED">
        <w:rPr>
          <w:snapToGrid w:val="0"/>
          <w:lang w:val="fr-FR"/>
        </w:rPr>
        <w:t>étude précédente dev</w:t>
      </w:r>
      <w:r w:rsidRPr="008725ED">
        <w:rPr>
          <w:snapToGrid w:val="0"/>
          <w:lang w:val="fr-FR"/>
        </w:rPr>
        <w:t xml:space="preserve">aient servir de base mais </w:t>
      </w:r>
      <w:r w:rsidR="00FF0DB4" w:rsidRPr="008725ED">
        <w:rPr>
          <w:snapToGrid w:val="0"/>
          <w:lang w:val="fr-FR"/>
        </w:rPr>
        <w:t>qu</w:t>
      </w:r>
      <w:r w:rsidR="00EF1779" w:rsidRPr="008725ED">
        <w:rPr>
          <w:snapToGrid w:val="0"/>
          <w:lang w:val="fr-FR"/>
        </w:rPr>
        <w:t>’</w:t>
      </w:r>
      <w:r w:rsidRPr="008725ED">
        <w:rPr>
          <w:snapToGrid w:val="0"/>
          <w:lang w:val="fr-FR"/>
        </w:rPr>
        <w:t xml:space="preserve">il </w:t>
      </w:r>
      <w:r w:rsidR="00FF0DB4" w:rsidRPr="008725ED">
        <w:rPr>
          <w:snapToGrid w:val="0"/>
          <w:lang w:val="fr-FR"/>
        </w:rPr>
        <w:t xml:space="preserve">fallait </w:t>
      </w:r>
      <w:r w:rsidRPr="008725ED">
        <w:rPr>
          <w:snapToGrid w:val="0"/>
          <w:lang w:val="fr-FR"/>
        </w:rPr>
        <w:t>raccourcir la nouvelle étude en recentrant certains des enjeux sur la base des informations tirées de la première étu</w:t>
      </w:r>
      <w:r w:rsidR="00D43219" w:rsidRPr="008725ED">
        <w:rPr>
          <w:snapToGrid w:val="0"/>
          <w:lang w:val="fr-FR"/>
        </w:rPr>
        <w:t>de.  Le</w:t>
      </w:r>
      <w:r w:rsidR="00EF1779" w:rsidRPr="008725ED">
        <w:rPr>
          <w:snapToGrid w:val="0"/>
          <w:lang w:val="fr-FR"/>
        </w:rPr>
        <w:t> TC</w:t>
      </w:r>
      <w:r w:rsidRPr="008725ED">
        <w:rPr>
          <w:snapToGrid w:val="0"/>
          <w:lang w:val="fr-FR"/>
        </w:rPr>
        <w:t xml:space="preserve"> </w:t>
      </w:r>
      <w:r w:rsidR="00344B0C" w:rsidRPr="008725ED">
        <w:rPr>
          <w:snapToGrid w:val="0"/>
          <w:lang w:val="fr-FR"/>
        </w:rPr>
        <w:t>est convenu</w:t>
      </w:r>
      <w:r w:rsidRPr="008725ED">
        <w:rPr>
          <w:snapToGrid w:val="0"/>
          <w:lang w:val="fr-FR"/>
        </w:rPr>
        <w:t xml:space="preserve"> que les résult</w:t>
      </w:r>
      <w:r w:rsidR="00FF0DB4" w:rsidRPr="008725ED">
        <w:rPr>
          <w:snapToGrid w:val="0"/>
          <w:lang w:val="fr-FR"/>
        </w:rPr>
        <w:t>ats de la nouvelle étude dev</w:t>
      </w:r>
      <w:r w:rsidRPr="008725ED">
        <w:rPr>
          <w:snapToGrid w:val="0"/>
          <w:lang w:val="fr-FR"/>
        </w:rPr>
        <w:t>aient être présentés au</w:t>
      </w:r>
      <w:r w:rsidR="00EF1779" w:rsidRPr="008725ED">
        <w:rPr>
          <w:snapToGrid w:val="0"/>
          <w:lang w:val="fr-FR"/>
        </w:rPr>
        <w:t> TC</w:t>
      </w:r>
      <w:r w:rsidRPr="008725ED">
        <w:rPr>
          <w:snapToGrid w:val="0"/>
          <w:lang w:val="fr-FR"/>
        </w:rPr>
        <w:t xml:space="preserve"> à sa session de 2018.</w:t>
      </w:r>
    </w:p>
    <w:p w:rsidR="008C3126" w:rsidRPr="008725ED" w:rsidRDefault="008C3126" w:rsidP="0064330D">
      <w:pPr>
        <w:rPr>
          <w:snapToGrid w:val="0"/>
          <w:lang w:val="fr-FR"/>
        </w:rPr>
      </w:pPr>
    </w:p>
    <w:p w:rsidR="008C3126" w:rsidRPr="008725ED" w:rsidRDefault="00D87DB7" w:rsidP="0064330D">
      <w:pPr>
        <w:rPr>
          <w:snapToGrid w:val="0"/>
          <w:lang w:val="fr-FR"/>
        </w:rPr>
      </w:pPr>
      <w:r w:rsidRPr="008725ED">
        <w:rPr>
          <w:snapToGrid w:val="0"/>
          <w:lang w:val="fr-FR"/>
        </w:rPr>
        <w:fldChar w:fldCharType="begin"/>
      </w:r>
      <w:r w:rsidRPr="008725ED">
        <w:rPr>
          <w:snapToGrid w:val="0"/>
          <w:lang w:val="fr-FR"/>
        </w:rPr>
        <w:instrText xml:space="preserve"> AUTONUM  </w:instrText>
      </w:r>
      <w:r w:rsidRPr="008725ED">
        <w:rPr>
          <w:snapToGrid w:val="0"/>
          <w:lang w:val="fr-FR"/>
        </w:rPr>
        <w:fldChar w:fldCharType="end"/>
      </w:r>
      <w:r w:rsidRPr="008725ED">
        <w:rPr>
          <w:snapToGrid w:val="0"/>
          <w:lang w:val="fr-FR"/>
        </w:rPr>
        <w:tab/>
        <w:t>Le</w:t>
      </w:r>
      <w:r w:rsidR="00EF1779" w:rsidRPr="008725ED">
        <w:rPr>
          <w:snapToGrid w:val="0"/>
          <w:lang w:val="fr-FR"/>
        </w:rPr>
        <w:t> TC</w:t>
      </w:r>
      <w:r w:rsidRPr="008725ED">
        <w:rPr>
          <w:snapToGrid w:val="0"/>
          <w:lang w:val="fr-FR"/>
        </w:rPr>
        <w:t xml:space="preserve"> </w:t>
      </w:r>
      <w:r w:rsidR="00344B0C" w:rsidRPr="008725ED">
        <w:rPr>
          <w:snapToGrid w:val="0"/>
          <w:lang w:val="fr-FR"/>
        </w:rPr>
        <w:t>est convenu</w:t>
      </w:r>
      <w:r w:rsidRPr="008725ED">
        <w:rPr>
          <w:snapToGrid w:val="0"/>
          <w:lang w:val="fr-FR"/>
        </w:rPr>
        <w:t xml:space="preserve"> également qu</w:t>
      </w:r>
      <w:r w:rsidR="00EF1779" w:rsidRPr="008725ED">
        <w:rPr>
          <w:snapToGrid w:val="0"/>
          <w:lang w:val="fr-FR"/>
        </w:rPr>
        <w:t>’</w:t>
      </w:r>
      <w:r w:rsidRPr="008725ED">
        <w:rPr>
          <w:snapToGrid w:val="0"/>
          <w:lang w:val="fr-FR"/>
        </w:rPr>
        <w:t xml:space="preserve">il </w:t>
      </w:r>
      <w:r w:rsidR="00FF0DB4" w:rsidRPr="008725ED">
        <w:rPr>
          <w:snapToGrid w:val="0"/>
          <w:lang w:val="fr-FR"/>
        </w:rPr>
        <w:t>fallait</w:t>
      </w:r>
      <w:r w:rsidRPr="008725ED">
        <w:rPr>
          <w:snapToGrid w:val="0"/>
          <w:lang w:val="fr-FR"/>
        </w:rPr>
        <w:t xml:space="preserve"> rechercher les causes des difficultés rencontrées pour établir une coopération au moyen du nouveau questionnaire.</w:t>
      </w:r>
    </w:p>
    <w:p w:rsidR="008C3126" w:rsidRPr="008725ED" w:rsidRDefault="008C3126" w:rsidP="0064330D">
      <w:pPr>
        <w:rPr>
          <w:snapToGrid w:val="0"/>
          <w:lang w:val="fr-FR"/>
        </w:rPr>
      </w:pPr>
    </w:p>
    <w:p w:rsidR="008C3126" w:rsidRPr="008725ED" w:rsidRDefault="00D87DB7" w:rsidP="0064330D">
      <w:pPr>
        <w:rPr>
          <w:snapToGrid w:val="0"/>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pris note </w:t>
      </w:r>
      <w:r w:rsidRPr="008725ED">
        <w:rPr>
          <w:lang w:val="fr-FR"/>
        </w:rPr>
        <w:t>du rapport présenté par le Japon sur ses nouvelles procédures administratives pour faciliter l</w:t>
      </w:r>
      <w:r w:rsidR="00EF1779" w:rsidRPr="008725ED">
        <w:rPr>
          <w:lang w:val="fr-FR"/>
        </w:rPr>
        <w:t>’</w:t>
      </w:r>
      <w:r w:rsidRPr="008725ED">
        <w:rPr>
          <w:lang w:val="fr-FR"/>
        </w:rPr>
        <w:t>échange de rapports d</w:t>
      </w:r>
      <w:r w:rsidR="00EF1779" w:rsidRPr="008725ED">
        <w:rPr>
          <w:lang w:val="fr-FR"/>
        </w:rPr>
        <w:t>’</w:t>
      </w:r>
      <w:r w:rsidRPr="008725ED">
        <w:rPr>
          <w:lang w:val="fr-FR"/>
        </w:rPr>
        <w:t>examen DHS entre le Japon et d</w:t>
      </w:r>
      <w:r w:rsidR="00EF1779" w:rsidRPr="008725ED">
        <w:rPr>
          <w:lang w:val="fr-FR"/>
        </w:rPr>
        <w:t>’</w:t>
      </w:r>
      <w:r w:rsidRPr="008725ED">
        <w:rPr>
          <w:lang w:val="fr-FR"/>
        </w:rPr>
        <w:t xml:space="preserve">autres </w:t>
      </w:r>
      <w:r w:rsidRPr="008725ED">
        <w:rPr>
          <w:snapToGrid w:val="0"/>
          <w:lang w:val="fr-FR"/>
        </w:rPr>
        <w:t>membres de l</w:t>
      </w:r>
      <w:r w:rsidR="00EF1779" w:rsidRPr="008725ED">
        <w:rPr>
          <w:snapToGrid w:val="0"/>
          <w:lang w:val="fr-FR"/>
        </w:rPr>
        <w:t>’</w:t>
      </w:r>
      <w:r w:rsidR="00FF0DB4" w:rsidRPr="008725ED">
        <w:rPr>
          <w:lang w:val="fr-FR"/>
        </w:rPr>
        <w:t>UPOV et du fait qu</w:t>
      </w:r>
      <w:r w:rsidR="00EF1779" w:rsidRPr="008725ED">
        <w:rPr>
          <w:lang w:val="fr-FR"/>
        </w:rPr>
        <w:t>’</w:t>
      </w:r>
      <w:r w:rsidR="00FF0DB4" w:rsidRPr="008725ED">
        <w:rPr>
          <w:lang w:val="fr-FR"/>
        </w:rPr>
        <w:t>il en résultait</w:t>
      </w:r>
      <w:r w:rsidRPr="008725ED">
        <w:rPr>
          <w:lang w:val="fr-FR"/>
        </w:rPr>
        <w:t xml:space="preserve"> que les rapports d</w:t>
      </w:r>
      <w:r w:rsidR="00EF1779" w:rsidRPr="008725ED">
        <w:rPr>
          <w:lang w:val="fr-FR"/>
        </w:rPr>
        <w:t>’</w:t>
      </w:r>
      <w:r w:rsidRPr="008725ED">
        <w:rPr>
          <w:lang w:val="fr-FR"/>
        </w:rPr>
        <w:t>examen</w:t>
      </w:r>
      <w:r w:rsidR="00FF0DB4" w:rsidRPr="008725ED">
        <w:rPr>
          <w:lang w:val="fr-FR"/>
        </w:rPr>
        <w:t> DHS seraie</w:t>
      </w:r>
      <w:r w:rsidRPr="008725ED">
        <w:rPr>
          <w:lang w:val="fr-FR"/>
        </w:rPr>
        <w:t xml:space="preserve">nt fournis à titre gracieux aux </w:t>
      </w:r>
      <w:r w:rsidRPr="008725ED">
        <w:rPr>
          <w:snapToGrid w:val="0"/>
          <w:lang w:val="fr-FR"/>
        </w:rPr>
        <w:t>membres de l</w:t>
      </w:r>
      <w:r w:rsidR="00EF1779" w:rsidRPr="008725ED">
        <w:rPr>
          <w:snapToGrid w:val="0"/>
          <w:lang w:val="fr-FR"/>
        </w:rPr>
        <w:t>’</w:t>
      </w:r>
      <w:r w:rsidRPr="008725ED">
        <w:rPr>
          <w:lang w:val="fr-FR"/>
        </w:rPr>
        <w:t>UPOV avec lesquelles un accord de coopération a été conclu.</w:t>
      </w:r>
    </w:p>
    <w:p w:rsidR="008C3126" w:rsidRPr="008725ED" w:rsidRDefault="008C3126" w:rsidP="0064330D">
      <w:pPr>
        <w:rPr>
          <w:snapToGrid w:val="0"/>
          <w:lang w:val="fr-FR"/>
        </w:rPr>
      </w:pPr>
    </w:p>
    <w:p w:rsidR="008C3126" w:rsidRPr="008725ED" w:rsidRDefault="008C3126" w:rsidP="0064330D">
      <w:pPr>
        <w:rPr>
          <w:snapToGrid w:val="0"/>
          <w:lang w:val="fr-FR"/>
        </w:rPr>
      </w:pPr>
    </w:p>
    <w:p w:rsidR="008C3126" w:rsidRPr="008725ED" w:rsidRDefault="00D87DB7" w:rsidP="00D87DB7">
      <w:pPr>
        <w:pStyle w:val="Heading2"/>
        <w:keepLines/>
        <w:rPr>
          <w:lang w:val="fr-FR"/>
        </w:rPr>
      </w:pPr>
      <w:bookmarkStart w:id="12" w:name="_Toc494207950"/>
      <w:r w:rsidRPr="008725ED">
        <w:rPr>
          <w:lang w:val="fr-FR"/>
        </w:rPr>
        <w:t>Informations et bases de données</w:t>
      </w:r>
      <w:bookmarkEnd w:id="12"/>
    </w:p>
    <w:p w:rsidR="008C3126" w:rsidRPr="008725ED" w:rsidRDefault="008C3126" w:rsidP="00D87DB7">
      <w:pPr>
        <w:keepNext/>
        <w:keepLines/>
        <w:rPr>
          <w:snapToGrid w:val="0"/>
          <w:lang w:val="fr-FR"/>
        </w:rPr>
      </w:pPr>
    </w:p>
    <w:p w:rsidR="008C3126" w:rsidRPr="008725ED" w:rsidRDefault="00D87DB7" w:rsidP="00D87DB7">
      <w:pPr>
        <w:pStyle w:val="Heading3"/>
        <w:keepLines/>
      </w:pPr>
      <w:bookmarkStart w:id="13" w:name="_Toc494207951"/>
      <w:r w:rsidRPr="008725ED">
        <w:t>Bases de données d</w:t>
      </w:r>
      <w:r w:rsidR="00EF1779" w:rsidRPr="008725ED">
        <w:t>’</w:t>
      </w:r>
      <w:r w:rsidRPr="008725ED">
        <w:t>information de l</w:t>
      </w:r>
      <w:r w:rsidR="00EF1779" w:rsidRPr="008725ED">
        <w:t>’</w:t>
      </w:r>
      <w:r w:rsidRPr="008725ED">
        <w:t>UPOV</w:t>
      </w:r>
      <w:bookmarkEnd w:id="13"/>
    </w:p>
    <w:p w:rsidR="008C3126" w:rsidRPr="008725ED" w:rsidRDefault="008C3126" w:rsidP="00D87DB7">
      <w:pPr>
        <w:pStyle w:val="Heading3"/>
        <w:rPr>
          <w:snapToGrid w:val="0"/>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examiné </w:t>
      </w:r>
      <w:r w:rsidRPr="008725ED">
        <w:rPr>
          <w:lang w:val="fr-FR"/>
        </w:rPr>
        <w:t xml:space="preserve">le </w:t>
      </w:r>
      <w:r w:rsidR="00EF1779" w:rsidRPr="008725ED">
        <w:rPr>
          <w:lang w:val="fr-FR"/>
        </w:rPr>
        <w:t>document TC</w:t>
      </w:r>
      <w:r w:rsidRPr="008725ED">
        <w:rPr>
          <w:lang w:val="fr-FR"/>
        </w:rPr>
        <w:t>/53/6.</w:t>
      </w:r>
    </w:p>
    <w:p w:rsidR="008C3126" w:rsidRPr="008725ED" w:rsidRDefault="008C3126" w:rsidP="00D87DB7">
      <w:pPr>
        <w:rPr>
          <w:snapToGrid w:val="0"/>
          <w:lang w:val="fr-FR"/>
        </w:rPr>
      </w:pPr>
    </w:p>
    <w:p w:rsidR="008C3126" w:rsidRPr="008725ED" w:rsidRDefault="00D87DB7" w:rsidP="00382CC4">
      <w:pPr>
        <w:pStyle w:val="Heading4"/>
      </w:pPr>
      <w:r w:rsidRPr="008725ED">
        <w:t>Base de données GENIE</w:t>
      </w:r>
    </w:p>
    <w:p w:rsidR="008C3126" w:rsidRPr="008725ED" w:rsidRDefault="008C3126" w:rsidP="00D87DB7">
      <w:pPr>
        <w:rPr>
          <w:snapToGrid w:val="0"/>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pris note </w:t>
      </w:r>
      <w:r w:rsidRPr="008725ED">
        <w:rPr>
          <w:lang w:val="fr-FR"/>
        </w:rPr>
        <w:t>du fait qu</w:t>
      </w:r>
      <w:r w:rsidR="00EF1779" w:rsidRPr="008725ED">
        <w:rPr>
          <w:lang w:val="fr-FR"/>
        </w:rPr>
        <w:t>’</w:t>
      </w:r>
      <w:r w:rsidRPr="008725ED">
        <w:rPr>
          <w:lang w:val="fr-FR"/>
        </w:rPr>
        <w:t xml:space="preserve">un document expliquant la structure de données et les fonctions de la base de données GENIE </w:t>
      </w:r>
      <w:r w:rsidR="00FF0DB4" w:rsidRPr="008725ED">
        <w:rPr>
          <w:lang w:val="fr-FR"/>
        </w:rPr>
        <w:t>était</w:t>
      </w:r>
      <w:r w:rsidRPr="008725ED">
        <w:rPr>
          <w:lang w:val="fr-FR"/>
        </w:rPr>
        <w:t xml:space="preserve"> en cours d</w:t>
      </w:r>
      <w:r w:rsidR="00EF1779" w:rsidRPr="008725ED">
        <w:rPr>
          <w:lang w:val="fr-FR"/>
        </w:rPr>
        <w:t>’</w:t>
      </w:r>
      <w:r w:rsidRPr="008725ED">
        <w:rPr>
          <w:lang w:val="fr-FR"/>
        </w:rPr>
        <w:t>élaboration par le Bureau de l</w:t>
      </w:r>
      <w:r w:rsidR="00EF1779" w:rsidRPr="008725ED">
        <w:rPr>
          <w:lang w:val="fr-FR"/>
        </w:rPr>
        <w:t>’</w:t>
      </w:r>
      <w:r w:rsidRPr="008725ED">
        <w:rPr>
          <w:lang w:val="fr-FR"/>
        </w:rPr>
        <w:t>Union de manière à faciliter sa maintenance et son développement fut</w:t>
      </w:r>
      <w:r w:rsidR="00D43219" w:rsidRPr="008725ED">
        <w:rPr>
          <w:lang w:val="fr-FR"/>
        </w:rPr>
        <w:t>ur.  Ou</w:t>
      </w:r>
      <w:r w:rsidRPr="008725ED">
        <w:rPr>
          <w:lang w:val="fr-FR"/>
        </w:rPr>
        <w:t>tre l</w:t>
      </w:r>
      <w:r w:rsidR="00EF1779" w:rsidRPr="008725ED">
        <w:rPr>
          <w:lang w:val="fr-FR"/>
        </w:rPr>
        <w:t>’</w:t>
      </w:r>
      <w:r w:rsidRPr="008725ED">
        <w:rPr>
          <w:lang w:val="fr-FR"/>
        </w:rPr>
        <w:t>entretien de routine, une modification de la base de données était nécessaire pour télécharger un certain type de données lorsque les notes s</w:t>
      </w:r>
      <w:r w:rsidR="00EF1779" w:rsidRPr="008725ED">
        <w:rPr>
          <w:lang w:val="fr-FR"/>
        </w:rPr>
        <w:t>’</w:t>
      </w:r>
      <w:r w:rsidRPr="008725ED">
        <w:rPr>
          <w:lang w:val="fr-FR"/>
        </w:rPr>
        <w:t>appliqu</w:t>
      </w:r>
      <w:r w:rsidR="00FF0DB4" w:rsidRPr="008725ED">
        <w:rPr>
          <w:lang w:val="fr-FR"/>
        </w:rPr>
        <w:t>ai</w:t>
      </w:r>
      <w:r w:rsidRPr="008725ED">
        <w:rPr>
          <w:lang w:val="fr-FR"/>
        </w:rPr>
        <w:t>e</w:t>
      </w:r>
      <w:r w:rsidR="00D43219" w:rsidRPr="008725ED">
        <w:rPr>
          <w:lang w:val="fr-FR"/>
        </w:rPr>
        <w:t>nt.  Pa</w:t>
      </w:r>
      <w:r w:rsidRPr="008725ED">
        <w:rPr>
          <w:lang w:val="fr-FR"/>
        </w:rPr>
        <w:t>r ailleurs, il </w:t>
      </w:r>
      <w:r w:rsidR="00344B0C" w:rsidRPr="008725ED">
        <w:rPr>
          <w:lang w:val="fr-FR"/>
        </w:rPr>
        <w:t>est convenu</w:t>
      </w:r>
      <w:r w:rsidRPr="008725ED">
        <w:rPr>
          <w:lang w:val="fr-FR"/>
        </w:rPr>
        <w:t xml:space="preserve"> d</w:t>
      </w:r>
      <w:r w:rsidR="00EF1779" w:rsidRPr="008725ED">
        <w:rPr>
          <w:lang w:val="fr-FR"/>
        </w:rPr>
        <w:t>’</w:t>
      </w:r>
      <w:r w:rsidRPr="008725ED">
        <w:rPr>
          <w:lang w:val="fr-FR"/>
        </w:rPr>
        <w:t>apporter des améliorations à la production de rapports pour les documents destinés au Conseil et aux comi</w:t>
      </w:r>
      <w:r w:rsidR="00FF0DB4" w:rsidRPr="008725ED">
        <w:rPr>
          <w:lang w:val="fr-FR"/>
        </w:rPr>
        <w:t>tés concern</w:t>
      </w:r>
      <w:r w:rsidR="00D43219" w:rsidRPr="008725ED">
        <w:rPr>
          <w:lang w:val="fr-FR"/>
        </w:rPr>
        <w:t>és.  Ce</w:t>
      </w:r>
      <w:r w:rsidR="00FF0DB4" w:rsidRPr="008725ED">
        <w:rPr>
          <w:lang w:val="fr-FR"/>
        </w:rPr>
        <w:t>s travaux dev</w:t>
      </w:r>
      <w:r w:rsidRPr="008725ED">
        <w:rPr>
          <w:lang w:val="fr-FR"/>
        </w:rPr>
        <w:t>aient s</w:t>
      </w:r>
      <w:r w:rsidR="00EF1779" w:rsidRPr="008725ED">
        <w:rPr>
          <w:lang w:val="fr-FR"/>
        </w:rPr>
        <w:t>’</w:t>
      </w:r>
      <w:r w:rsidRPr="008725ED">
        <w:rPr>
          <w:lang w:val="fr-FR"/>
        </w:rPr>
        <w:t>achever en 2018.</w:t>
      </w:r>
    </w:p>
    <w:p w:rsidR="008C3126" w:rsidRPr="008725ED" w:rsidRDefault="008C3126" w:rsidP="00D87DB7">
      <w:pPr>
        <w:rPr>
          <w:snapToGrid w:val="0"/>
          <w:lang w:val="fr-FR"/>
        </w:rPr>
      </w:pPr>
    </w:p>
    <w:p w:rsidR="008C3126" w:rsidRPr="008725ED" w:rsidRDefault="00D87DB7" w:rsidP="00382CC4">
      <w:pPr>
        <w:pStyle w:val="Heading4"/>
      </w:pPr>
      <w:r w:rsidRPr="008725ED">
        <w:t>Système de codes UPOV</w:t>
      </w:r>
    </w:p>
    <w:p w:rsidR="008C3126" w:rsidRPr="008725ED" w:rsidRDefault="008C3126" w:rsidP="00D87DB7">
      <w:pPr>
        <w:keepNext/>
        <w:rPr>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indiqué </w:t>
      </w:r>
      <w:r w:rsidRPr="008725ED">
        <w:rPr>
          <w:lang w:val="fr-FR"/>
        </w:rPr>
        <w:t xml:space="preserve">que </w:t>
      </w:r>
      <w:r w:rsidRPr="008725ED">
        <w:rPr>
          <w:lang w:val="fr-FR" w:eastAsia="ja-JP"/>
        </w:rPr>
        <w:t xml:space="preserve">173 nouveaux codes UPOV </w:t>
      </w:r>
      <w:r w:rsidR="00FF0DB4" w:rsidRPr="008725ED">
        <w:rPr>
          <w:lang w:val="fr-FR" w:eastAsia="ja-JP"/>
        </w:rPr>
        <w:t>avaient</w:t>
      </w:r>
      <w:r w:rsidRPr="008725ED">
        <w:rPr>
          <w:lang w:val="fr-FR" w:eastAsia="ja-JP"/>
        </w:rPr>
        <w:t xml:space="preserve"> été créés </w:t>
      </w:r>
      <w:r w:rsidR="00EF1779" w:rsidRPr="008725ED">
        <w:rPr>
          <w:lang w:val="fr-FR" w:eastAsia="ja-JP"/>
        </w:rPr>
        <w:t>en 2016</w:t>
      </w:r>
      <w:r w:rsidRPr="008725ED">
        <w:rPr>
          <w:lang w:val="fr-FR" w:eastAsia="ja-JP"/>
        </w:rPr>
        <w:t xml:space="preserve"> et que la base de données GENIE </w:t>
      </w:r>
      <w:r w:rsidR="00FF0DB4" w:rsidRPr="008725ED">
        <w:rPr>
          <w:lang w:val="fr-FR" w:eastAsia="ja-JP"/>
        </w:rPr>
        <w:t>contenait</w:t>
      </w:r>
      <w:r w:rsidRPr="008725ED">
        <w:rPr>
          <w:lang w:val="fr-FR" w:eastAsia="ja-JP"/>
        </w:rPr>
        <w:t xml:space="preserve"> 8149 codes UPOV</w:t>
      </w:r>
      <w:r w:rsidRPr="008725ED">
        <w:rPr>
          <w:lang w:val="fr-FR"/>
        </w:rPr>
        <w:t>.</w:t>
      </w:r>
    </w:p>
    <w:p w:rsidR="008C3126" w:rsidRPr="008725ED" w:rsidRDefault="008C3126" w:rsidP="00D87DB7">
      <w:pPr>
        <w:rPr>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FF0DB4" w:rsidRPr="008725ED">
        <w:rPr>
          <w:lang w:val="fr-FR"/>
        </w:rPr>
        <w:t>a noté</w:t>
      </w:r>
      <w:r w:rsidRPr="008725ED">
        <w:rPr>
          <w:lang w:val="fr-FR"/>
        </w:rPr>
        <w:t xml:space="preserve"> que le Bureau de l</w:t>
      </w:r>
      <w:r w:rsidR="00EF1779" w:rsidRPr="008725ED">
        <w:rPr>
          <w:lang w:val="fr-FR"/>
        </w:rPr>
        <w:t>’</w:t>
      </w:r>
      <w:r w:rsidRPr="008725ED">
        <w:rPr>
          <w:lang w:val="fr-FR"/>
        </w:rPr>
        <w:t>Union établira</w:t>
      </w:r>
      <w:r w:rsidR="00D048A5" w:rsidRPr="008725ED">
        <w:rPr>
          <w:lang w:val="fr-FR"/>
        </w:rPr>
        <w:t>it</w:t>
      </w:r>
      <w:r w:rsidRPr="008725ED">
        <w:rPr>
          <w:lang w:val="fr-FR"/>
        </w:rPr>
        <w:t xml:space="preserve"> des tableaux des ajouts et des modifications apportés aux codes UPOV pour vérification par les services compétents pour chacune des sessions des TWP en 2017, comme indiqué au paragraphe 11 du </w:t>
      </w:r>
      <w:r w:rsidR="00EF1779" w:rsidRPr="008725ED">
        <w:rPr>
          <w:lang w:val="fr-FR"/>
        </w:rPr>
        <w:t>document TC</w:t>
      </w:r>
      <w:r w:rsidRPr="008725ED">
        <w:rPr>
          <w:lang w:val="fr-FR"/>
        </w:rPr>
        <w:t>/53/6.</w:t>
      </w:r>
    </w:p>
    <w:p w:rsidR="008C3126" w:rsidRPr="008725ED" w:rsidRDefault="008C3126" w:rsidP="00D87DB7">
      <w:pPr>
        <w:rPr>
          <w:lang w:val="fr-FR" w:eastAsia="ja-JP"/>
        </w:rPr>
      </w:pPr>
    </w:p>
    <w:p w:rsidR="008C3126" w:rsidRPr="008725ED" w:rsidRDefault="00D87DB7" w:rsidP="00D87DB7">
      <w:pPr>
        <w:rPr>
          <w:lang w:val="fr-FR" w:eastAsia="ja-JP"/>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eastAsia="ja-JP"/>
        </w:rPr>
        <w:t xml:space="preserve"> </w:t>
      </w:r>
      <w:r w:rsidR="00344B0C" w:rsidRPr="008725ED">
        <w:rPr>
          <w:lang w:val="fr-FR" w:eastAsia="ja-JP"/>
        </w:rPr>
        <w:t xml:space="preserve">a examiné </w:t>
      </w:r>
      <w:r w:rsidRPr="008725ED">
        <w:rPr>
          <w:lang w:val="fr-FR" w:eastAsia="ja-JP"/>
        </w:rPr>
        <w:t>la proposition de réviser le Guide relatif aux systèmes de codes UPOV concernant le nom botanique principal pour les hybrides intergénériques et interspécifiques</w:t>
      </w:r>
      <w:r w:rsidRPr="008725ED">
        <w:rPr>
          <w:lang w:val="fr-FR"/>
        </w:rPr>
        <w:t>, comme indiqué aux paragraphes </w:t>
      </w:r>
      <w:r w:rsidRPr="008725ED">
        <w:rPr>
          <w:lang w:val="fr-FR" w:eastAsia="ja-JP"/>
        </w:rPr>
        <w:t>12 à 15</w:t>
      </w:r>
      <w:r w:rsidRPr="008725ED">
        <w:rPr>
          <w:lang w:val="fr-FR"/>
        </w:rPr>
        <w:t xml:space="preserve"> du </w:t>
      </w:r>
      <w:r w:rsidR="00EF1779" w:rsidRPr="008725ED">
        <w:rPr>
          <w:lang w:val="fr-FR" w:eastAsia="ja-JP"/>
        </w:rPr>
        <w:t>document TC</w:t>
      </w:r>
      <w:r w:rsidRPr="008725ED">
        <w:rPr>
          <w:lang w:val="fr-FR"/>
        </w:rPr>
        <w:t>/53/6</w:t>
      </w:r>
      <w:r w:rsidRPr="008725ED">
        <w:rPr>
          <w:lang w:val="fr-FR" w:eastAsia="ja-JP"/>
        </w:rPr>
        <w:t>.  Le</w:t>
      </w:r>
      <w:r w:rsidR="00EF1779" w:rsidRPr="008725ED">
        <w:rPr>
          <w:lang w:val="fr-FR" w:eastAsia="ja-JP"/>
        </w:rPr>
        <w:t> TC</w:t>
      </w:r>
      <w:r w:rsidRPr="008725ED">
        <w:rPr>
          <w:lang w:val="fr-FR" w:eastAsia="ja-JP"/>
        </w:rPr>
        <w:t xml:space="preserve"> </w:t>
      </w:r>
      <w:r w:rsidR="00344B0C" w:rsidRPr="008725ED">
        <w:rPr>
          <w:lang w:val="fr-FR" w:eastAsia="ja-JP"/>
        </w:rPr>
        <w:t xml:space="preserve">a pris note </w:t>
      </w:r>
      <w:r w:rsidRPr="008725ED">
        <w:rPr>
          <w:lang w:val="fr-FR" w:eastAsia="ja-JP"/>
        </w:rPr>
        <w:t>de l</w:t>
      </w:r>
      <w:r w:rsidR="00EF1779" w:rsidRPr="008725ED">
        <w:rPr>
          <w:lang w:val="fr-FR" w:eastAsia="ja-JP"/>
        </w:rPr>
        <w:t>’</w:t>
      </w:r>
      <w:r w:rsidRPr="008725ED">
        <w:rPr>
          <w:lang w:val="fr-FR" w:eastAsia="ja-JP"/>
        </w:rPr>
        <w:t xml:space="preserve">existence de diverses procédures parmi les membres et </w:t>
      </w:r>
      <w:r w:rsidR="00344B0C" w:rsidRPr="008725ED">
        <w:rPr>
          <w:lang w:val="fr-FR" w:eastAsia="ja-JP"/>
        </w:rPr>
        <w:t>est convenu</w:t>
      </w:r>
      <w:r w:rsidRPr="008725ED">
        <w:rPr>
          <w:lang w:val="fr-FR" w:eastAsia="ja-JP"/>
        </w:rPr>
        <w:t xml:space="preserve"> qu</w:t>
      </w:r>
      <w:r w:rsidR="00EF1779" w:rsidRPr="008725ED">
        <w:rPr>
          <w:lang w:val="fr-FR" w:eastAsia="ja-JP"/>
        </w:rPr>
        <w:t>’</w:t>
      </w:r>
      <w:r w:rsidRPr="008725ED">
        <w:rPr>
          <w:lang w:val="fr-FR" w:eastAsia="ja-JP"/>
        </w:rPr>
        <w:t>il n</w:t>
      </w:r>
      <w:r w:rsidR="00EF1779" w:rsidRPr="008725ED">
        <w:rPr>
          <w:lang w:val="fr-FR" w:eastAsia="ja-JP"/>
        </w:rPr>
        <w:t>’</w:t>
      </w:r>
      <w:r w:rsidR="00D048A5" w:rsidRPr="008725ED">
        <w:rPr>
          <w:lang w:val="fr-FR" w:eastAsia="ja-JP"/>
        </w:rPr>
        <w:t xml:space="preserve">était </w:t>
      </w:r>
      <w:r w:rsidRPr="008725ED">
        <w:rPr>
          <w:lang w:val="fr-FR" w:eastAsia="ja-JP"/>
        </w:rPr>
        <w:t>pas approprié de réviser le Guide relatif aux systèmes de codes UPOV concernant le nom botanique principal pour les hybrides intergénériques et interspécifiques.</w:t>
      </w:r>
    </w:p>
    <w:p w:rsidR="008C3126" w:rsidRPr="008725ED" w:rsidRDefault="008C3126" w:rsidP="00D87DB7">
      <w:pPr>
        <w:rPr>
          <w:lang w:val="fr-FR" w:eastAsia="ja-JP"/>
        </w:rPr>
      </w:pPr>
    </w:p>
    <w:p w:rsidR="008C3126" w:rsidRPr="008725ED" w:rsidRDefault="00D87DB7" w:rsidP="00D87DB7">
      <w:pPr>
        <w:rPr>
          <w:lang w:val="fr-FR" w:eastAsia="ja-JP"/>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00344B0C" w:rsidRPr="008725ED">
        <w:rPr>
          <w:lang w:val="fr-FR"/>
        </w:rPr>
        <w:t xml:space="preserve"> a noté </w:t>
      </w:r>
      <w:r w:rsidRPr="008725ED">
        <w:rPr>
          <w:lang w:val="fr-FR"/>
        </w:rPr>
        <w:t>que pour éviter toute interpré</w:t>
      </w:r>
      <w:r w:rsidR="00D048A5" w:rsidRPr="008725ED">
        <w:rPr>
          <w:lang w:val="fr-FR"/>
        </w:rPr>
        <w:t>tation erronée, l</w:t>
      </w:r>
      <w:r w:rsidR="00EF1779" w:rsidRPr="008725ED">
        <w:rPr>
          <w:lang w:val="fr-FR"/>
        </w:rPr>
        <w:t>’</w:t>
      </w:r>
      <w:r w:rsidR="00D048A5" w:rsidRPr="008725ED">
        <w:rPr>
          <w:lang w:val="fr-FR"/>
        </w:rPr>
        <w:t>OCVV souhait</w:t>
      </w:r>
      <w:r w:rsidRPr="008725ED">
        <w:rPr>
          <w:lang w:val="fr-FR"/>
        </w:rPr>
        <w:t>ait préciser que les informations fournies au Bureau de l</w:t>
      </w:r>
      <w:r w:rsidR="00EF1779" w:rsidRPr="008725ED">
        <w:rPr>
          <w:lang w:val="fr-FR"/>
        </w:rPr>
        <w:t>’</w:t>
      </w:r>
      <w:r w:rsidRPr="008725ED">
        <w:rPr>
          <w:lang w:val="fr-FR"/>
        </w:rPr>
        <w:t xml:space="preserve">Union </w:t>
      </w:r>
      <w:r w:rsidR="00D048A5" w:rsidRPr="008725ED">
        <w:rPr>
          <w:lang w:val="fr-FR"/>
        </w:rPr>
        <w:t>étaient</w:t>
      </w:r>
      <w:r w:rsidRPr="008725ED">
        <w:rPr>
          <w:lang w:val="fr-FR"/>
        </w:rPr>
        <w:t xml:space="preserve"> classées par ordre alphabétique.</w:t>
      </w:r>
    </w:p>
    <w:p w:rsidR="008C3126" w:rsidRPr="008725ED" w:rsidRDefault="008C3126" w:rsidP="00D87DB7">
      <w:pPr>
        <w:rPr>
          <w:lang w:val="fr-FR" w:eastAsia="ja-JP"/>
        </w:rPr>
      </w:pPr>
    </w:p>
    <w:p w:rsidR="008C3126" w:rsidRPr="008725ED" w:rsidRDefault="00D87DB7" w:rsidP="00382CC4">
      <w:pPr>
        <w:pStyle w:val="Heading4"/>
      </w:pPr>
      <w:r w:rsidRPr="008725ED">
        <w:t>Base de données PLUTO</w:t>
      </w:r>
    </w:p>
    <w:p w:rsidR="008C3126" w:rsidRPr="008725ED" w:rsidRDefault="008C3126" w:rsidP="00D87DB7">
      <w:pPr>
        <w:rPr>
          <w:snapToGrid w:val="0"/>
          <w:lang w:val="fr-FR"/>
        </w:rPr>
      </w:pPr>
    </w:p>
    <w:p w:rsidR="008C3126" w:rsidRPr="008725ED" w:rsidRDefault="00D87DB7" w:rsidP="00D87DB7">
      <w:pPr>
        <w:rPr>
          <w:rFonts w:cs="Arial"/>
          <w:bCs/>
          <w:lang w:val="fr-FR" w:eastAsia="ja-JP"/>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pris note </w:t>
      </w:r>
      <w:r w:rsidRPr="008725ED">
        <w:rPr>
          <w:lang w:val="fr-FR"/>
        </w:rPr>
        <w:t>de la synthèse des contributions à la base de données PLUTO de 2013 à 2016 et du niveau actuel des apports de données par les membres de l</w:t>
      </w:r>
      <w:r w:rsidR="00EF1779" w:rsidRPr="008725ED">
        <w:rPr>
          <w:lang w:val="fr-FR"/>
        </w:rPr>
        <w:t>’</w:t>
      </w:r>
      <w:r w:rsidRPr="008725ED">
        <w:rPr>
          <w:lang w:val="fr-FR"/>
        </w:rPr>
        <w:t>Union figurant à l</w:t>
      </w:r>
      <w:r w:rsidR="00EF1779" w:rsidRPr="008725ED">
        <w:rPr>
          <w:lang w:val="fr-FR"/>
        </w:rPr>
        <w:t>’</w:t>
      </w:r>
      <w:r w:rsidRPr="008725ED">
        <w:rPr>
          <w:lang w:val="fr-FR"/>
        </w:rPr>
        <w:t xml:space="preserve">annexe du </w:t>
      </w:r>
      <w:r w:rsidR="00EF1779" w:rsidRPr="008725ED">
        <w:rPr>
          <w:lang w:val="fr-FR"/>
        </w:rPr>
        <w:t>document TC</w:t>
      </w:r>
      <w:r w:rsidRPr="008725ED">
        <w:rPr>
          <w:lang w:val="fr-FR"/>
        </w:rPr>
        <w:t>/53/6</w:t>
      </w:r>
      <w:r w:rsidRPr="008725ED">
        <w:rPr>
          <w:rFonts w:cs="Arial"/>
          <w:bCs/>
          <w:lang w:val="fr-FR" w:eastAsia="ja-JP"/>
        </w:rPr>
        <w:t>.  Le</w:t>
      </w:r>
      <w:r w:rsidR="00EF1779" w:rsidRPr="008725ED">
        <w:rPr>
          <w:rFonts w:cs="Arial"/>
          <w:bCs/>
          <w:lang w:val="fr-FR" w:eastAsia="ja-JP"/>
        </w:rPr>
        <w:t> TC</w:t>
      </w:r>
      <w:r w:rsidRPr="008725ED">
        <w:rPr>
          <w:rFonts w:cs="Arial"/>
          <w:bCs/>
          <w:lang w:val="fr-FR" w:eastAsia="ja-JP"/>
        </w:rPr>
        <w:t xml:space="preserve"> </w:t>
      </w:r>
      <w:r w:rsidR="00344B0C" w:rsidRPr="008725ED">
        <w:rPr>
          <w:rFonts w:cs="Arial"/>
          <w:bCs/>
          <w:lang w:val="fr-FR" w:eastAsia="ja-JP"/>
        </w:rPr>
        <w:t xml:space="preserve">a indiqué </w:t>
      </w:r>
      <w:r w:rsidRPr="008725ED">
        <w:rPr>
          <w:rFonts w:cs="Arial"/>
          <w:bCs/>
          <w:lang w:val="fr-FR" w:eastAsia="ja-JP"/>
        </w:rPr>
        <w:t xml:space="preserve">que </w:t>
      </w:r>
      <w:r w:rsidRPr="008725ED">
        <w:rPr>
          <w:lang w:val="fr-FR" w:eastAsia="ja-JP"/>
        </w:rPr>
        <w:t>70% de tous les</w:t>
      </w:r>
      <w:r w:rsidRPr="008725ED">
        <w:rPr>
          <w:snapToGrid w:val="0"/>
          <w:lang w:val="fr-FR"/>
        </w:rPr>
        <w:t xml:space="preserve"> membres de l</w:t>
      </w:r>
      <w:r w:rsidR="00EF1779" w:rsidRPr="008725ED">
        <w:rPr>
          <w:snapToGrid w:val="0"/>
          <w:lang w:val="fr-FR"/>
        </w:rPr>
        <w:t>’</w:t>
      </w:r>
      <w:r w:rsidRPr="008725ED">
        <w:rPr>
          <w:lang w:val="fr-FR"/>
        </w:rPr>
        <w:t>UPOV</w:t>
      </w:r>
      <w:r w:rsidRPr="008725ED">
        <w:rPr>
          <w:lang w:val="fr-FR" w:eastAsia="ja-JP"/>
        </w:rPr>
        <w:t xml:space="preserve"> </w:t>
      </w:r>
      <w:r w:rsidR="00D048A5" w:rsidRPr="008725ED">
        <w:rPr>
          <w:lang w:val="fr-FR" w:eastAsia="ja-JP"/>
        </w:rPr>
        <w:t>avaient</w:t>
      </w:r>
      <w:r w:rsidRPr="008725ED">
        <w:rPr>
          <w:lang w:val="fr-FR" w:eastAsia="ja-JP"/>
        </w:rPr>
        <w:t xml:space="preserve"> fourni des données à la base de données PLUTO en 2016.</w:t>
      </w:r>
    </w:p>
    <w:p w:rsidR="008C3126" w:rsidRPr="008725ED" w:rsidRDefault="008C3126" w:rsidP="00D87DB7">
      <w:pPr>
        <w:rPr>
          <w:lang w:val="fr-FR" w:eastAsia="ja-JP"/>
        </w:rPr>
      </w:pPr>
    </w:p>
    <w:p w:rsidR="008C3126" w:rsidRPr="008725ED" w:rsidRDefault="00D87DB7" w:rsidP="00D87DB7">
      <w:pPr>
        <w:rPr>
          <w:lang w:val="fr-FR" w:eastAsia="ja-JP"/>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00344B0C" w:rsidRPr="008725ED">
        <w:rPr>
          <w:lang w:val="fr-FR"/>
        </w:rPr>
        <w:t xml:space="preserve"> a noté </w:t>
      </w:r>
      <w:r w:rsidRPr="008725ED">
        <w:rPr>
          <w:lang w:val="fr-FR" w:eastAsia="ja-JP"/>
        </w:rPr>
        <w:t>que le WG</w:t>
      </w:r>
      <w:r w:rsidR="00EF1779" w:rsidRPr="008725ED">
        <w:rPr>
          <w:lang w:val="fr-FR" w:eastAsia="ja-JP"/>
        </w:rPr>
        <w:t>-</w:t>
      </w:r>
      <w:r w:rsidRPr="008725ED">
        <w:rPr>
          <w:lang w:val="fr-FR" w:eastAsia="ja-JP"/>
        </w:rPr>
        <w:t xml:space="preserve">DEN, à sa première réunion, </w:t>
      </w:r>
      <w:r w:rsidR="00D048A5" w:rsidRPr="008725ED">
        <w:rPr>
          <w:lang w:val="fr-FR" w:eastAsia="ja-JP"/>
        </w:rPr>
        <w:t>était</w:t>
      </w:r>
      <w:r w:rsidRPr="008725ED">
        <w:rPr>
          <w:lang w:val="fr-FR" w:eastAsia="ja-JP"/>
        </w:rPr>
        <w:t xml:space="preserve"> convenu reporter à sa deuxième réunion ou à une réunion ultérieure les travaux concernant l</w:t>
      </w:r>
      <w:r w:rsidR="00EF1779" w:rsidRPr="008725ED">
        <w:rPr>
          <w:lang w:val="fr-FR" w:eastAsia="ja-JP"/>
        </w:rPr>
        <w:t>’</w:t>
      </w:r>
      <w:r w:rsidRPr="008725ED">
        <w:rPr>
          <w:lang w:val="fr-FR" w:eastAsia="ja-JP"/>
        </w:rPr>
        <w:t>élargissement du contenu de la base de données PLUTO.</w:t>
      </w:r>
    </w:p>
    <w:p w:rsidR="008C3126" w:rsidRPr="008725ED" w:rsidRDefault="008C3126" w:rsidP="00D87DB7">
      <w:pPr>
        <w:rPr>
          <w:lang w:val="fr-FR" w:eastAsia="ja-JP"/>
        </w:rPr>
      </w:pPr>
    </w:p>
    <w:p w:rsidR="008C3126" w:rsidRPr="008725ED" w:rsidRDefault="00D87DB7" w:rsidP="00D87DB7">
      <w:pPr>
        <w:rPr>
          <w:lang w:val="fr-FR" w:eastAsia="ja-JP"/>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00344B0C" w:rsidRPr="008725ED">
        <w:rPr>
          <w:lang w:val="fr-FR"/>
        </w:rPr>
        <w:t xml:space="preserve"> a noté </w:t>
      </w:r>
      <w:r w:rsidRPr="008725ED">
        <w:rPr>
          <w:lang w:val="fr-FR"/>
        </w:rPr>
        <w:t>que le WG</w:t>
      </w:r>
      <w:r w:rsidR="00EF1779" w:rsidRPr="008725ED">
        <w:rPr>
          <w:lang w:val="fr-FR"/>
        </w:rPr>
        <w:t>-</w:t>
      </w:r>
      <w:r w:rsidRPr="008725ED">
        <w:rPr>
          <w:lang w:val="fr-FR"/>
        </w:rPr>
        <w:t xml:space="preserve">DEN, à sa deuxième réunion, </w:t>
      </w:r>
      <w:r w:rsidR="00D048A5" w:rsidRPr="008725ED">
        <w:rPr>
          <w:lang w:val="fr-FR"/>
        </w:rPr>
        <w:t>était</w:t>
      </w:r>
      <w:r w:rsidRPr="008725ED">
        <w:rPr>
          <w:lang w:val="fr-FR"/>
        </w:rPr>
        <w:t xml:space="preserve"> convenu d</w:t>
      </w:r>
      <w:r w:rsidR="00EF1779" w:rsidRPr="008725ED">
        <w:rPr>
          <w:lang w:val="fr-FR"/>
        </w:rPr>
        <w:t>’</w:t>
      </w:r>
      <w:r w:rsidRPr="008725ED">
        <w:rPr>
          <w:lang w:val="fr-FR"/>
        </w:rPr>
        <w:t>examiner à sa troisième réunion, sur la base du document présenté à la deuxième réunion, les questions ne pouvant pas être examinées à sa deuxième réunion.</w:t>
      </w:r>
    </w:p>
    <w:p w:rsidR="008C3126" w:rsidRPr="008725ED" w:rsidRDefault="008C3126" w:rsidP="00D87DB7">
      <w:pPr>
        <w:rPr>
          <w:lang w:val="fr-FR" w:eastAsia="ja-JP"/>
        </w:rPr>
      </w:pPr>
    </w:p>
    <w:p w:rsidR="008C3126" w:rsidRPr="008725ED" w:rsidRDefault="00D87DB7" w:rsidP="00D87DB7">
      <w:pPr>
        <w:rPr>
          <w:lang w:val="fr-FR" w:eastAsia="ja-JP"/>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a pris note que la troisième réunion du WG</w:t>
      </w:r>
      <w:r w:rsidR="00EF1779" w:rsidRPr="008725ED">
        <w:rPr>
          <w:lang w:val="fr-FR"/>
        </w:rPr>
        <w:t>-</w:t>
      </w:r>
      <w:r w:rsidRPr="008725ED">
        <w:rPr>
          <w:lang w:val="fr-FR"/>
        </w:rPr>
        <w:t>DEN se tiendra</w:t>
      </w:r>
      <w:r w:rsidR="00D048A5" w:rsidRPr="008725ED">
        <w:rPr>
          <w:lang w:val="fr-FR"/>
        </w:rPr>
        <w:t>it</w:t>
      </w:r>
      <w:r w:rsidRPr="008725ED">
        <w:rPr>
          <w:lang w:val="fr-FR"/>
        </w:rPr>
        <w:t xml:space="preserve"> à Genève le 7 avril 2017.</w:t>
      </w:r>
    </w:p>
    <w:p w:rsidR="008C3126" w:rsidRPr="008725ED" w:rsidRDefault="008C3126" w:rsidP="005E033E">
      <w:pPr>
        <w:spacing w:line="360" w:lineRule="auto"/>
        <w:rPr>
          <w:lang w:val="fr-FR" w:eastAsia="ja-JP"/>
        </w:rPr>
      </w:pPr>
    </w:p>
    <w:p w:rsidR="008C3126" w:rsidRPr="008725ED" w:rsidRDefault="00D87DB7" w:rsidP="00D87DB7">
      <w:pPr>
        <w:pStyle w:val="Heading3"/>
      </w:pPr>
      <w:bookmarkStart w:id="14" w:name="_Toc494207952"/>
      <w:r w:rsidRPr="008725ED">
        <w:t>Formulaire de demande électronique</w:t>
      </w:r>
      <w:bookmarkEnd w:id="14"/>
    </w:p>
    <w:p w:rsidR="008C3126" w:rsidRPr="008725ED" w:rsidRDefault="008C3126" w:rsidP="00D87DB7">
      <w:pPr>
        <w:keepNext/>
        <w:rPr>
          <w:lang w:val="fr-FR"/>
        </w:rPr>
      </w:pPr>
    </w:p>
    <w:p w:rsidR="008C3126" w:rsidRPr="008725ED" w:rsidRDefault="00D87DB7" w:rsidP="00D87DB7">
      <w:pPr>
        <w:rPr>
          <w:lang w:val="fr-FR"/>
        </w:rPr>
      </w:pPr>
      <w:r w:rsidRPr="008725ED">
        <w:rPr>
          <w:snapToGrid w:val="0"/>
          <w:lang w:val="fr-FR"/>
        </w:rPr>
        <w:fldChar w:fldCharType="begin"/>
      </w:r>
      <w:r w:rsidRPr="008725ED">
        <w:rPr>
          <w:snapToGrid w:val="0"/>
          <w:lang w:val="fr-FR"/>
        </w:rPr>
        <w:instrText xml:space="preserve"> AUTONUM  </w:instrText>
      </w:r>
      <w:r w:rsidRPr="008725ED">
        <w:rPr>
          <w:snapToGrid w:val="0"/>
          <w:lang w:val="fr-FR"/>
        </w:rPr>
        <w:fldChar w:fldCharType="end"/>
      </w:r>
      <w:r w:rsidRPr="008725ED">
        <w:rPr>
          <w:snapToGrid w:val="0"/>
          <w:lang w:val="fr-FR"/>
        </w:rPr>
        <w:tab/>
        <w:t>Le</w:t>
      </w:r>
      <w:r w:rsidR="00EF1779" w:rsidRPr="008725ED">
        <w:rPr>
          <w:snapToGrid w:val="0"/>
          <w:lang w:val="fr-FR"/>
        </w:rPr>
        <w:t> TC</w:t>
      </w:r>
      <w:r w:rsidRPr="008725ED">
        <w:rPr>
          <w:snapToGrid w:val="0"/>
          <w:lang w:val="fr-FR"/>
        </w:rPr>
        <w:t xml:space="preserve"> </w:t>
      </w:r>
      <w:r w:rsidR="00344B0C" w:rsidRPr="008725ED">
        <w:rPr>
          <w:snapToGrid w:val="0"/>
          <w:lang w:val="fr-FR"/>
        </w:rPr>
        <w:t xml:space="preserve">a pris note </w:t>
      </w:r>
      <w:r w:rsidRPr="008725ED">
        <w:rPr>
          <w:snapToGrid w:val="0"/>
          <w:lang w:val="fr-FR"/>
        </w:rPr>
        <w:t>des faits nouveaux concernant le formulaire de demande électronique de l</w:t>
      </w:r>
      <w:r w:rsidR="00EF1779" w:rsidRPr="008725ED">
        <w:rPr>
          <w:snapToGrid w:val="0"/>
          <w:lang w:val="fr-FR"/>
        </w:rPr>
        <w:t>’</w:t>
      </w:r>
      <w:r w:rsidRPr="008725ED">
        <w:rPr>
          <w:snapToGrid w:val="0"/>
          <w:lang w:val="fr-FR"/>
        </w:rPr>
        <w:t xml:space="preserve">UPOV, comme indiqué dans le </w:t>
      </w:r>
      <w:r w:rsidR="00EF1779" w:rsidRPr="008725ED">
        <w:rPr>
          <w:snapToGrid w:val="0"/>
          <w:lang w:val="fr-FR"/>
        </w:rPr>
        <w:t>document TC</w:t>
      </w:r>
      <w:r w:rsidRPr="008725ED">
        <w:rPr>
          <w:snapToGrid w:val="0"/>
          <w:lang w:val="fr-FR"/>
        </w:rPr>
        <w:t>/53/7.  Le</w:t>
      </w:r>
      <w:r w:rsidR="00EF1779" w:rsidRPr="008725ED">
        <w:rPr>
          <w:snapToGrid w:val="0"/>
          <w:lang w:val="fr-FR"/>
        </w:rPr>
        <w:t> TC</w:t>
      </w:r>
      <w:r w:rsidR="00344B0C" w:rsidRPr="008725ED">
        <w:rPr>
          <w:snapToGrid w:val="0"/>
          <w:lang w:val="fr-FR"/>
        </w:rPr>
        <w:t xml:space="preserve"> a noté </w:t>
      </w:r>
      <w:r w:rsidRPr="008725ED">
        <w:rPr>
          <w:snapToGrid w:val="0"/>
          <w:lang w:val="fr-FR"/>
        </w:rPr>
        <w:t>que la version n° 1 du formulaire de demande électronique de l</w:t>
      </w:r>
      <w:r w:rsidR="00EF1779" w:rsidRPr="008725ED">
        <w:rPr>
          <w:snapToGrid w:val="0"/>
          <w:lang w:val="fr-FR"/>
        </w:rPr>
        <w:t>’</w:t>
      </w:r>
      <w:r w:rsidRPr="008725ED">
        <w:rPr>
          <w:snapToGrid w:val="0"/>
          <w:lang w:val="fr-FR"/>
        </w:rPr>
        <w:t>UPOV a</w:t>
      </w:r>
      <w:r w:rsidR="00D048A5" w:rsidRPr="008725ED">
        <w:rPr>
          <w:snapToGrid w:val="0"/>
          <w:lang w:val="fr-FR"/>
        </w:rPr>
        <w:t>vait</w:t>
      </w:r>
      <w:r w:rsidRPr="008725ED">
        <w:rPr>
          <w:snapToGrid w:val="0"/>
          <w:lang w:val="fr-FR"/>
        </w:rPr>
        <w:t xml:space="preserve"> été lancée en janvier 2017 (disponible à l</w:t>
      </w:r>
      <w:r w:rsidR="00EF1779" w:rsidRPr="008725ED">
        <w:rPr>
          <w:snapToGrid w:val="0"/>
          <w:lang w:val="fr-FR"/>
        </w:rPr>
        <w:t>’</w:t>
      </w:r>
      <w:r w:rsidRPr="008725ED">
        <w:rPr>
          <w:snapToGrid w:val="0"/>
          <w:lang w:val="fr-FR"/>
        </w:rPr>
        <w:t>adresse</w:t>
      </w:r>
      <w:r w:rsidR="00EF1779" w:rsidRPr="008725ED">
        <w:rPr>
          <w:snapToGrid w:val="0"/>
          <w:lang w:val="fr-FR"/>
        </w:rPr>
        <w:t> :</w:t>
      </w:r>
      <w:r w:rsidR="005E033E" w:rsidRPr="005E033E">
        <w:t xml:space="preserve"> </w:t>
      </w:r>
      <w:hyperlink r:id="rId9" w:history="1">
        <w:r w:rsidR="005E033E" w:rsidRPr="00184CDD">
          <w:rPr>
            <w:rStyle w:val="Hyperlink"/>
            <w:snapToGrid w:val="0"/>
            <w:lang w:val="fr-FR"/>
          </w:rPr>
          <w:t>http://www.upov.int/upoveaf</w:t>
        </w:r>
      </w:hyperlink>
      <w:r w:rsidRPr="008725ED">
        <w:rPr>
          <w:lang w:val="fr-FR"/>
        </w:rPr>
        <w:t>).</w:t>
      </w:r>
    </w:p>
    <w:p w:rsidR="008C3126" w:rsidRPr="008725ED" w:rsidRDefault="008C3126" w:rsidP="00D87DB7">
      <w:pPr>
        <w:rPr>
          <w:lang w:val="fr-FR"/>
        </w:rPr>
      </w:pPr>
    </w:p>
    <w:p w:rsidR="008C3126" w:rsidRPr="008725ED" w:rsidRDefault="00D87DB7" w:rsidP="00D87DB7">
      <w:pPr>
        <w:rPr>
          <w:snapToGrid w:val="0"/>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00344B0C" w:rsidRPr="008725ED">
        <w:rPr>
          <w:lang w:val="fr-FR"/>
        </w:rPr>
        <w:t xml:space="preserve"> a noté </w:t>
      </w:r>
      <w:r w:rsidRPr="008725ED">
        <w:rPr>
          <w:lang w:val="fr-FR"/>
        </w:rPr>
        <w:t>que les projets de mise à disposition de nouvelles fonctions</w:t>
      </w:r>
      <w:r w:rsidR="00D048A5" w:rsidRPr="008725ED">
        <w:rPr>
          <w:lang w:val="fr-FR"/>
        </w:rPr>
        <w:t xml:space="preserve"> et des prochaines versions seraie</w:t>
      </w:r>
      <w:r w:rsidRPr="008725ED">
        <w:rPr>
          <w:lang w:val="fr-FR"/>
        </w:rPr>
        <w:t>nt examinés à la neuvième réunion en vue de l</w:t>
      </w:r>
      <w:r w:rsidR="00EF1779" w:rsidRPr="008725ED">
        <w:rPr>
          <w:lang w:val="fr-FR"/>
        </w:rPr>
        <w:t>’</w:t>
      </w:r>
      <w:r w:rsidRPr="008725ED">
        <w:rPr>
          <w:lang w:val="fr-FR"/>
        </w:rPr>
        <w:t>élaboration d</w:t>
      </w:r>
      <w:r w:rsidR="00EF1779" w:rsidRPr="008725ED">
        <w:rPr>
          <w:lang w:val="fr-FR"/>
        </w:rPr>
        <w:t>’</w:t>
      </w:r>
      <w:r w:rsidRPr="008725ED">
        <w:rPr>
          <w:lang w:val="fr-FR"/>
        </w:rPr>
        <w:t>un formulaire de demande électronique prévue le 7 avril 2017 et, plus précisément</w:t>
      </w:r>
      <w:r w:rsidR="00EF1779" w:rsidRPr="008725ED">
        <w:rPr>
          <w:lang w:val="fr-FR"/>
        </w:rPr>
        <w:t> :</w:t>
      </w:r>
      <w:r w:rsidRPr="008725ED">
        <w:rPr>
          <w:lang w:val="fr-FR"/>
        </w:rPr>
        <w:t xml:space="preserve"> la stratégie en matière d</w:t>
      </w:r>
      <w:r w:rsidR="00EF1779" w:rsidRPr="008725ED">
        <w:rPr>
          <w:lang w:val="fr-FR"/>
        </w:rPr>
        <w:t>’</w:t>
      </w:r>
      <w:r w:rsidRPr="008725ED">
        <w:rPr>
          <w:lang w:val="fr-FR"/>
        </w:rPr>
        <w:t>ajout de nouvelles plantes ou espèces;  le plan de communication et d</w:t>
      </w:r>
      <w:r w:rsidR="00EF1779" w:rsidRPr="008725ED">
        <w:rPr>
          <w:lang w:val="fr-FR"/>
        </w:rPr>
        <w:t>’</w:t>
      </w:r>
      <w:r w:rsidRPr="008725ED">
        <w:rPr>
          <w:lang w:val="fr-FR"/>
        </w:rPr>
        <w:t>assistance;  le nouveau nom proposé pour le formulaire;  la participation des membres de l</w:t>
      </w:r>
      <w:r w:rsidR="00EF1779" w:rsidRPr="008725ED">
        <w:rPr>
          <w:lang w:val="fr-FR"/>
        </w:rPr>
        <w:t>’</w:t>
      </w:r>
      <w:r w:rsidRPr="008725ED">
        <w:rPr>
          <w:lang w:val="fr-FR"/>
        </w:rPr>
        <w:t>Union au projet de formulaire;  et le calendrier provisoire pour le projet de formulaire de demande électronique.</w:t>
      </w:r>
    </w:p>
    <w:p w:rsidR="008C3126" w:rsidRPr="008725ED" w:rsidRDefault="008C3126" w:rsidP="005E033E">
      <w:pPr>
        <w:spacing w:line="360" w:lineRule="auto"/>
        <w:jc w:val="left"/>
        <w:rPr>
          <w:snapToGrid w:val="0"/>
          <w:lang w:val="fr-FR"/>
        </w:rPr>
      </w:pPr>
    </w:p>
    <w:p w:rsidR="008C3126" w:rsidRPr="008725ED" w:rsidRDefault="00D87DB7" w:rsidP="005E033E">
      <w:pPr>
        <w:pStyle w:val="Heading3"/>
        <w:rPr>
          <w:snapToGrid w:val="0"/>
        </w:rPr>
      </w:pPr>
      <w:bookmarkStart w:id="15" w:name="_Toc494207953"/>
      <w:r w:rsidRPr="008725ED">
        <w:t>Échange et utilisation de logiciels et d</w:t>
      </w:r>
      <w:r w:rsidR="00EF1779" w:rsidRPr="008725ED">
        <w:t>’</w:t>
      </w:r>
      <w:r w:rsidRPr="008725ED">
        <w:t>équipements</w:t>
      </w:r>
      <w:bookmarkEnd w:id="15"/>
    </w:p>
    <w:p w:rsidR="008C3126" w:rsidRPr="008725ED" w:rsidRDefault="008C3126" w:rsidP="00D87DB7">
      <w:pPr>
        <w:rPr>
          <w:snapToGrid w:val="0"/>
          <w:lang w:val="fr-FR"/>
        </w:rPr>
      </w:pPr>
    </w:p>
    <w:p w:rsidR="008C3126" w:rsidRPr="008725ED" w:rsidRDefault="00D87DB7" w:rsidP="00D87DB7">
      <w:pPr>
        <w:rPr>
          <w:snapToGrid w:val="0"/>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examiné </w:t>
      </w:r>
      <w:r w:rsidRPr="008725ED">
        <w:rPr>
          <w:lang w:val="fr-FR"/>
        </w:rPr>
        <w:t xml:space="preserve">le </w:t>
      </w:r>
      <w:r w:rsidR="00EF1779" w:rsidRPr="008725ED">
        <w:rPr>
          <w:lang w:val="fr-FR"/>
        </w:rPr>
        <w:t>document TC</w:t>
      </w:r>
      <w:r w:rsidRPr="008725ED">
        <w:rPr>
          <w:snapToGrid w:val="0"/>
          <w:lang w:val="fr-FR"/>
        </w:rPr>
        <w:t>/53/8.</w:t>
      </w:r>
    </w:p>
    <w:p w:rsidR="008C3126" w:rsidRPr="008725ED" w:rsidRDefault="008C3126" w:rsidP="00D87DB7">
      <w:pPr>
        <w:rPr>
          <w:snapToGrid w:val="0"/>
          <w:lang w:val="fr-FR"/>
        </w:rPr>
      </w:pPr>
    </w:p>
    <w:p w:rsidR="008C3126" w:rsidRPr="008725ED" w:rsidRDefault="00D87DB7" w:rsidP="00D87DB7">
      <w:pPr>
        <w:rPr>
          <w:rFonts w:eastAsia="MS Mincho"/>
          <w:snapToGrid w:val="0"/>
          <w:lang w:val="fr-FR" w:eastAsia="ja-JP"/>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pris note </w:t>
      </w:r>
      <w:r w:rsidRPr="008725ED">
        <w:rPr>
          <w:lang w:val="fr-FR"/>
        </w:rPr>
        <w:t>du fait que le Conseil, à sa cinquant</w:t>
      </w:r>
      <w:r w:rsidR="00EF1779" w:rsidRPr="008725ED">
        <w:rPr>
          <w:lang w:val="fr-FR"/>
        </w:rPr>
        <w:t>ième session</w:t>
      </w:r>
      <w:r w:rsidRPr="008725ED">
        <w:rPr>
          <w:lang w:val="fr-FR"/>
        </w:rPr>
        <w:t xml:space="preserve"> ordinaire tenue à Genève le 28 octobre 2016, a</w:t>
      </w:r>
      <w:r w:rsidR="00D048A5" w:rsidRPr="008725ED">
        <w:rPr>
          <w:lang w:val="fr-FR"/>
        </w:rPr>
        <w:t>vait</w:t>
      </w:r>
      <w:r w:rsidRPr="008725ED">
        <w:rPr>
          <w:lang w:val="fr-FR"/>
        </w:rPr>
        <w:t xml:space="preserve"> adopté le document UPOV/INF/16/6 “Logiciels échangeables”</w:t>
      </w:r>
      <w:r w:rsidRPr="008725ED">
        <w:rPr>
          <w:rFonts w:eastAsia="MS Mincho"/>
          <w:snapToGrid w:val="0"/>
          <w:lang w:val="fr-FR" w:eastAsia="ja-JP"/>
        </w:rPr>
        <w:t>.</w:t>
      </w:r>
    </w:p>
    <w:p w:rsidR="008C3126" w:rsidRPr="008725ED" w:rsidRDefault="008C3126" w:rsidP="00D87DB7">
      <w:pPr>
        <w:rPr>
          <w:rFonts w:eastAsia="MS Mincho"/>
          <w:snapToGrid w:val="0"/>
          <w:lang w:val="fr-FR" w:eastAsia="ja-JP"/>
        </w:rPr>
      </w:pPr>
    </w:p>
    <w:p w:rsidR="008C3126" w:rsidRPr="008725ED" w:rsidRDefault="00D87DB7" w:rsidP="00D87DB7">
      <w:pPr>
        <w:rPr>
          <w:rFonts w:eastAsia="MS Mincho"/>
          <w:snapToGrid w:val="0"/>
          <w:lang w:val="fr-FR" w:eastAsia="ja-JP"/>
        </w:rPr>
      </w:pPr>
      <w:r w:rsidRPr="008725ED">
        <w:rPr>
          <w:rFonts w:eastAsia="MS Mincho"/>
          <w:snapToGrid w:val="0"/>
          <w:lang w:val="fr-FR" w:eastAsia="ja-JP"/>
        </w:rPr>
        <w:fldChar w:fldCharType="begin"/>
      </w:r>
      <w:r w:rsidRPr="008725ED">
        <w:rPr>
          <w:rFonts w:eastAsia="MS Mincho"/>
          <w:snapToGrid w:val="0"/>
          <w:lang w:val="fr-FR" w:eastAsia="ja-JP"/>
        </w:rPr>
        <w:instrText xml:space="preserve"> AUTONUM  </w:instrText>
      </w:r>
      <w:r w:rsidRPr="008725ED">
        <w:rPr>
          <w:rFonts w:eastAsia="MS Mincho"/>
          <w:snapToGrid w:val="0"/>
          <w:lang w:val="fr-FR" w:eastAsia="ja-JP"/>
        </w:rPr>
        <w:fldChar w:fldCharType="end"/>
      </w:r>
      <w:r w:rsidRPr="008725ED">
        <w:rPr>
          <w:rFonts w:eastAsia="MS Mincho"/>
          <w:snapToGrid w:val="0"/>
          <w:lang w:val="fr-FR" w:eastAsia="ja-JP"/>
        </w:rPr>
        <w:tab/>
        <w:t>Le</w:t>
      </w:r>
      <w:r w:rsidR="00EF1779" w:rsidRPr="008725ED">
        <w:rPr>
          <w:rFonts w:eastAsia="MS Mincho"/>
          <w:snapToGrid w:val="0"/>
          <w:lang w:val="fr-FR" w:eastAsia="ja-JP"/>
        </w:rPr>
        <w:t> TC</w:t>
      </w:r>
      <w:r w:rsidRPr="008725ED">
        <w:rPr>
          <w:rFonts w:eastAsia="MS Mincho"/>
          <w:snapToGrid w:val="0"/>
          <w:lang w:val="fr-FR" w:eastAsia="ja-JP"/>
        </w:rPr>
        <w:t xml:space="preserve"> </w:t>
      </w:r>
      <w:r w:rsidR="00344B0C" w:rsidRPr="008725ED">
        <w:rPr>
          <w:rFonts w:eastAsia="MS Mincho"/>
          <w:snapToGrid w:val="0"/>
          <w:lang w:val="fr-FR" w:eastAsia="ja-JP"/>
        </w:rPr>
        <w:t xml:space="preserve">a pris note </w:t>
      </w:r>
      <w:r w:rsidRPr="008725ED">
        <w:rPr>
          <w:rFonts w:eastAsia="MS Mincho"/>
          <w:snapToGrid w:val="0"/>
          <w:lang w:val="fr-FR" w:eastAsia="ja-JP"/>
        </w:rPr>
        <w:t>de la suppression du logiciel SIVAVE du document UPOV/INF/16.</w:t>
      </w:r>
    </w:p>
    <w:p w:rsidR="008C3126" w:rsidRPr="008725ED" w:rsidRDefault="008C3126" w:rsidP="00D87DB7">
      <w:pPr>
        <w:rPr>
          <w:rFonts w:eastAsia="MS Mincho"/>
          <w:snapToGrid w:val="0"/>
          <w:lang w:val="fr-FR" w:eastAsia="ja-JP"/>
        </w:rPr>
      </w:pPr>
    </w:p>
    <w:p w:rsidR="008C3126" w:rsidRPr="008725ED" w:rsidRDefault="00D87DB7" w:rsidP="00D87DB7">
      <w:pPr>
        <w:rPr>
          <w:rFonts w:eastAsia="MS Mincho"/>
          <w:snapToGrid w:val="0"/>
          <w:lang w:val="fr-FR" w:eastAsia="ja-JP"/>
        </w:rPr>
      </w:pPr>
      <w:r w:rsidRPr="008725ED">
        <w:rPr>
          <w:rFonts w:eastAsia="MS Mincho"/>
          <w:snapToGrid w:val="0"/>
          <w:lang w:val="fr-FR" w:eastAsia="ja-JP"/>
        </w:rPr>
        <w:fldChar w:fldCharType="begin"/>
      </w:r>
      <w:r w:rsidRPr="008725ED">
        <w:rPr>
          <w:rFonts w:eastAsia="MS Mincho"/>
          <w:snapToGrid w:val="0"/>
          <w:lang w:val="fr-FR" w:eastAsia="ja-JP"/>
        </w:rPr>
        <w:instrText xml:space="preserve"> AUTONUM  </w:instrText>
      </w:r>
      <w:r w:rsidRPr="008725ED">
        <w:rPr>
          <w:rFonts w:eastAsia="MS Mincho"/>
          <w:snapToGrid w:val="0"/>
          <w:lang w:val="fr-FR" w:eastAsia="ja-JP"/>
        </w:rPr>
        <w:fldChar w:fldCharType="end"/>
      </w:r>
      <w:r w:rsidRPr="008725ED">
        <w:rPr>
          <w:rFonts w:eastAsia="MS Mincho"/>
          <w:snapToGrid w:val="0"/>
          <w:lang w:val="fr-FR" w:eastAsia="ja-JP"/>
        </w:rPr>
        <w:tab/>
        <w:t>Le</w:t>
      </w:r>
      <w:r w:rsidR="00EF1779" w:rsidRPr="008725ED">
        <w:rPr>
          <w:rFonts w:eastAsia="MS Mincho"/>
          <w:snapToGrid w:val="0"/>
          <w:lang w:val="fr-FR" w:eastAsia="ja-JP"/>
        </w:rPr>
        <w:t> TC</w:t>
      </w:r>
      <w:r w:rsidRPr="008725ED">
        <w:rPr>
          <w:rFonts w:eastAsia="MS Mincho"/>
          <w:snapToGrid w:val="0"/>
          <w:lang w:val="fr-FR" w:eastAsia="ja-JP"/>
        </w:rPr>
        <w:t xml:space="preserve"> </w:t>
      </w:r>
      <w:r w:rsidR="00344B0C" w:rsidRPr="008725ED">
        <w:rPr>
          <w:rFonts w:eastAsia="MS Mincho"/>
          <w:snapToGrid w:val="0"/>
          <w:lang w:val="fr-FR" w:eastAsia="ja-JP"/>
        </w:rPr>
        <w:t xml:space="preserve">a examiné </w:t>
      </w:r>
      <w:r w:rsidRPr="008725ED">
        <w:rPr>
          <w:rFonts w:eastAsia="MS Mincho"/>
          <w:snapToGrid w:val="0"/>
          <w:lang w:val="fr-FR" w:eastAsia="ja-JP"/>
        </w:rPr>
        <w:t>la proposition de révision du document UPOV/INF/16/6 en vue d</w:t>
      </w:r>
      <w:r w:rsidR="00EF1779" w:rsidRPr="008725ED">
        <w:rPr>
          <w:rFonts w:eastAsia="MS Mincho"/>
          <w:snapToGrid w:val="0"/>
          <w:lang w:val="fr-FR" w:eastAsia="ja-JP"/>
        </w:rPr>
        <w:t>’</w:t>
      </w:r>
      <w:r w:rsidRPr="008725ED">
        <w:rPr>
          <w:rFonts w:eastAsia="MS Mincho"/>
          <w:snapToGrid w:val="0"/>
          <w:lang w:val="fr-FR" w:eastAsia="ja-JP"/>
        </w:rPr>
        <w:t>inclure des informations sur l</w:t>
      </w:r>
      <w:r w:rsidR="00EF1779" w:rsidRPr="008725ED">
        <w:rPr>
          <w:rFonts w:eastAsia="MS Mincho"/>
          <w:snapToGrid w:val="0"/>
          <w:lang w:val="fr-FR" w:eastAsia="ja-JP"/>
        </w:rPr>
        <w:t>’</w:t>
      </w:r>
      <w:r w:rsidRPr="008725ED">
        <w:rPr>
          <w:rFonts w:eastAsia="MS Mincho"/>
          <w:snapToGrid w:val="0"/>
          <w:lang w:val="fr-FR" w:eastAsia="ja-JP"/>
        </w:rPr>
        <w:t>utilisation de logiciels par les membres de l</w:t>
      </w:r>
      <w:r w:rsidR="00EF1779" w:rsidRPr="008725ED">
        <w:rPr>
          <w:rFonts w:eastAsia="MS Mincho"/>
          <w:snapToGrid w:val="0"/>
          <w:lang w:val="fr-FR" w:eastAsia="ja-JP"/>
        </w:rPr>
        <w:t>’</w:t>
      </w:r>
      <w:r w:rsidRPr="008725ED">
        <w:rPr>
          <w:rFonts w:eastAsia="MS Mincho"/>
          <w:snapToGrid w:val="0"/>
          <w:lang w:val="fr-FR" w:eastAsia="ja-JP"/>
        </w:rPr>
        <w:t>Union, les informations étant fournies par le Brésil et le Mexique, comme indiqué dans l</w:t>
      </w:r>
      <w:r w:rsidR="00EF1779" w:rsidRPr="008725ED">
        <w:rPr>
          <w:rFonts w:eastAsia="MS Mincho"/>
          <w:snapToGrid w:val="0"/>
          <w:lang w:val="fr-FR" w:eastAsia="ja-JP"/>
        </w:rPr>
        <w:t>’</w:t>
      </w:r>
      <w:r w:rsidRPr="008725ED">
        <w:rPr>
          <w:rFonts w:eastAsia="MS Mincho"/>
          <w:snapToGrid w:val="0"/>
          <w:lang w:val="fr-FR" w:eastAsia="ja-JP"/>
        </w:rPr>
        <w:t xml:space="preserve">annexe I du </w:t>
      </w:r>
      <w:r w:rsidR="00EF1779" w:rsidRPr="008725ED">
        <w:rPr>
          <w:rFonts w:eastAsia="MS Mincho"/>
          <w:snapToGrid w:val="0"/>
          <w:lang w:val="fr-FR" w:eastAsia="ja-JP"/>
        </w:rPr>
        <w:t>document TC</w:t>
      </w:r>
      <w:r w:rsidRPr="008725ED">
        <w:rPr>
          <w:rFonts w:eastAsia="MS Mincho"/>
          <w:snapToGrid w:val="0"/>
          <w:lang w:val="fr-FR" w:eastAsia="ja-JP"/>
        </w:rPr>
        <w:t>/53/8.</w:t>
      </w:r>
    </w:p>
    <w:p w:rsidR="008C3126" w:rsidRPr="008725ED" w:rsidRDefault="008C3126" w:rsidP="00D87DB7">
      <w:pPr>
        <w:rPr>
          <w:rFonts w:eastAsia="MS Mincho"/>
          <w:snapToGrid w:val="0"/>
          <w:lang w:val="fr-FR" w:eastAsia="ja-JP"/>
        </w:rPr>
      </w:pPr>
    </w:p>
    <w:p w:rsidR="008C3126" w:rsidRPr="008725ED" w:rsidRDefault="00D87DB7" w:rsidP="00D87DB7">
      <w:pPr>
        <w:rPr>
          <w:rFonts w:eastAsia="MS Mincho"/>
          <w:snapToGrid w:val="0"/>
          <w:lang w:val="fr-FR" w:eastAsia="ja-JP"/>
        </w:rPr>
      </w:pPr>
      <w:r w:rsidRPr="008725ED">
        <w:rPr>
          <w:rFonts w:eastAsia="MS Mincho"/>
          <w:snapToGrid w:val="0"/>
          <w:lang w:val="fr-FR" w:eastAsia="ja-JP"/>
        </w:rPr>
        <w:fldChar w:fldCharType="begin"/>
      </w:r>
      <w:r w:rsidRPr="008725ED">
        <w:rPr>
          <w:rFonts w:eastAsia="MS Mincho"/>
          <w:snapToGrid w:val="0"/>
          <w:lang w:val="fr-FR" w:eastAsia="ja-JP"/>
        </w:rPr>
        <w:instrText xml:space="preserve"> AUTONUM  </w:instrText>
      </w:r>
      <w:r w:rsidRPr="008725ED">
        <w:rPr>
          <w:rFonts w:eastAsia="MS Mincho"/>
          <w:snapToGrid w:val="0"/>
          <w:lang w:val="fr-FR" w:eastAsia="ja-JP"/>
        </w:rPr>
        <w:fldChar w:fldCharType="end"/>
      </w:r>
      <w:r w:rsidRPr="008725ED">
        <w:rPr>
          <w:rFonts w:eastAsia="MS Mincho"/>
          <w:snapToGrid w:val="0"/>
          <w:lang w:val="fr-FR" w:eastAsia="ja-JP"/>
        </w:rPr>
        <w:tab/>
        <w:t>Le</w:t>
      </w:r>
      <w:r w:rsidR="00EF1779" w:rsidRPr="008725ED">
        <w:rPr>
          <w:rFonts w:eastAsia="MS Mincho"/>
          <w:snapToGrid w:val="0"/>
          <w:lang w:val="fr-FR" w:eastAsia="ja-JP"/>
        </w:rPr>
        <w:t> TC</w:t>
      </w:r>
      <w:r w:rsidR="00344B0C" w:rsidRPr="008725ED">
        <w:rPr>
          <w:rFonts w:eastAsia="MS Mincho"/>
          <w:snapToGrid w:val="0"/>
          <w:lang w:val="fr-FR" w:eastAsia="ja-JP"/>
        </w:rPr>
        <w:t xml:space="preserve"> a noté </w:t>
      </w:r>
      <w:r w:rsidRPr="008725ED">
        <w:rPr>
          <w:rFonts w:eastAsia="MS Mincho"/>
          <w:snapToGrid w:val="0"/>
          <w:lang w:val="fr-FR" w:eastAsia="ja-JP"/>
        </w:rPr>
        <w:t>que les observations formulées par le</w:t>
      </w:r>
      <w:r w:rsidR="00EF1779" w:rsidRPr="008725ED">
        <w:rPr>
          <w:rFonts w:eastAsia="MS Mincho"/>
          <w:snapToGrid w:val="0"/>
          <w:lang w:val="fr-FR" w:eastAsia="ja-JP"/>
        </w:rPr>
        <w:t> TC</w:t>
      </w:r>
      <w:r w:rsidRPr="008725ED">
        <w:rPr>
          <w:rFonts w:eastAsia="MS Mincho"/>
          <w:snapToGrid w:val="0"/>
          <w:lang w:val="fr-FR" w:eastAsia="ja-JP"/>
        </w:rPr>
        <w:t xml:space="preserve"> à sa cinquante</w:t>
      </w:r>
      <w:r w:rsidR="00EF1779" w:rsidRPr="008725ED">
        <w:rPr>
          <w:rFonts w:eastAsia="MS Mincho"/>
          <w:snapToGrid w:val="0"/>
          <w:lang w:val="fr-FR" w:eastAsia="ja-JP"/>
        </w:rPr>
        <w:t>-</w:t>
      </w:r>
      <w:r w:rsidRPr="008725ED">
        <w:rPr>
          <w:rFonts w:eastAsia="MS Mincho"/>
          <w:snapToGrid w:val="0"/>
          <w:lang w:val="fr-FR" w:eastAsia="ja-JP"/>
        </w:rPr>
        <w:t>trois</w:t>
      </w:r>
      <w:r w:rsidR="00EF1779" w:rsidRPr="008725ED">
        <w:rPr>
          <w:rFonts w:eastAsia="MS Mincho"/>
          <w:snapToGrid w:val="0"/>
          <w:lang w:val="fr-FR" w:eastAsia="ja-JP"/>
        </w:rPr>
        <w:t>ième session</w:t>
      </w:r>
      <w:r w:rsidRPr="008725ED">
        <w:rPr>
          <w:rFonts w:eastAsia="MS Mincho"/>
          <w:snapToGrid w:val="0"/>
          <w:lang w:val="fr-FR" w:eastAsia="ja-JP"/>
        </w:rPr>
        <w:t xml:space="preserve"> concernant l</w:t>
      </w:r>
      <w:r w:rsidR="00EF1779" w:rsidRPr="008725ED">
        <w:rPr>
          <w:rFonts w:eastAsia="MS Mincho"/>
          <w:snapToGrid w:val="0"/>
          <w:lang w:val="fr-FR" w:eastAsia="ja-JP"/>
        </w:rPr>
        <w:t>’</w:t>
      </w:r>
      <w:r w:rsidRPr="008725ED">
        <w:rPr>
          <w:rFonts w:eastAsia="MS Mincho"/>
          <w:snapToGrid w:val="0"/>
          <w:lang w:val="fr-FR" w:eastAsia="ja-JP"/>
        </w:rPr>
        <w:t>exclusion et l</w:t>
      </w:r>
      <w:r w:rsidR="00EF1779" w:rsidRPr="008725ED">
        <w:rPr>
          <w:rFonts w:eastAsia="MS Mincho"/>
          <w:snapToGrid w:val="0"/>
          <w:lang w:val="fr-FR" w:eastAsia="ja-JP"/>
        </w:rPr>
        <w:t>’</w:t>
      </w:r>
      <w:r w:rsidRPr="008725ED">
        <w:rPr>
          <w:rFonts w:eastAsia="MS Mincho"/>
          <w:snapToGrid w:val="0"/>
          <w:lang w:val="fr-FR" w:eastAsia="ja-JP"/>
        </w:rPr>
        <w:t>utilisation de logiciels</w:t>
      </w:r>
      <w:r w:rsidR="00D048A5" w:rsidRPr="008725ED">
        <w:rPr>
          <w:rFonts w:eastAsia="MS Mincho"/>
          <w:snapToGrid w:val="0"/>
          <w:lang w:val="fr-FR" w:eastAsia="ja-JP"/>
        </w:rPr>
        <w:t xml:space="preserve"> par les membres de l</w:t>
      </w:r>
      <w:r w:rsidR="00EF1779" w:rsidRPr="008725ED">
        <w:rPr>
          <w:rFonts w:eastAsia="MS Mincho"/>
          <w:snapToGrid w:val="0"/>
          <w:lang w:val="fr-FR" w:eastAsia="ja-JP"/>
        </w:rPr>
        <w:t>’</w:t>
      </w:r>
      <w:r w:rsidR="00D048A5" w:rsidRPr="008725ED">
        <w:rPr>
          <w:rFonts w:eastAsia="MS Mincho"/>
          <w:snapToGrid w:val="0"/>
          <w:lang w:val="fr-FR" w:eastAsia="ja-JP"/>
        </w:rPr>
        <w:t>Union seraie</w:t>
      </w:r>
      <w:r w:rsidRPr="008725ED">
        <w:rPr>
          <w:rFonts w:eastAsia="MS Mincho"/>
          <w:snapToGrid w:val="0"/>
          <w:lang w:val="fr-FR" w:eastAsia="ja-JP"/>
        </w:rPr>
        <w:t>nt communiquées au CAJ à sa soixante</w:t>
      </w:r>
      <w:r w:rsidR="00EF1779" w:rsidRPr="008725ED">
        <w:rPr>
          <w:rFonts w:eastAsia="MS Mincho"/>
          <w:snapToGrid w:val="0"/>
          <w:lang w:val="fr-FR" w:eastAsia="ja-JP"/>
        </w:rPr>
        <w:t>-</w:t>
      </w:r>
      <w:r w:rsidRPr="008725ED">
        <w:rPr>
          <w:rFonts w:eastAsia="MS Mincho"/>
          <w:snapToGrid w:val="0"/>
          <w:lang w:val="fr-FR" w:eastAsia="ja-JP"/>
        </w:rPr>
        <w:t>quatorz</w:t>
      </w:r>
      <w:r w:rsidR="00EF1779" w:rsidRPr="008725ED">
        <w:rPr>
          <w:rFonts w:eastAsia="MS Mincho"/>
          <w:snapToGrid w:val="0"/>
          <w:lang w:val="fr-FR" w:eastAsia="ja-JP"/>
        </w:rPr>
        <w:t>ième session</w:t>
      </w:r>
      <w:r w:rsidRPr="008725ED">
        <w:rPr>
          <w:rFonts w:eastAsia="MS Mincho"/>
          <w:snapToGrid w:val="0"/>
          <w:lang w:val="fr-FR" w:eastAsia="ja-JP"/>
        </w:rPr>
        <w:t>, qui se tiendra</w:t>
      </w:r>
      <w:r w:rsidR="00D048A5" w:rsidRPr="008725ED">
        <w:rPr>
          <w:rFonts w:eastAsia="MS Mincho"/>
          <w:snapToGrid w:val="0"/>
          <w:lang w:val="fr-FR" w:eastAsia="ja-JP"/>
        </w:rPr>
        <w:t>it</w:t>
      </w:r>
      <w:r w:rsidRPr="008725ED">
        <w:rPr>
          <w:rFonts w:eastAsia="MS Mincho"/>
          <w:snapToGrid w:val="0"/>
          <w:lang w:val="fr-FR" w:eastAsia="ja-JP"/>
        </w:rPr>
        <w:t xml:space="preserve"> à Genève en octobre 2017, et que, sous réserve de l</w:t>
      </w:r>
      <w:r w:rsidR="00EF1779" w:rsidRPr="008725ED">
        <w:rPr>
          <w:rFonts w:eastAsia="MS Mincho"/>
          <w:snapToGrid w:val="0"/>
          <w:lang w:val="fr-FR" w:eastAsia="ja-JP"/>
        </w:rPr>
        <w:t>’</w:t>
      </w:r>
      <w:r w:rsidRPr="008725ED">
        <w:rPr>
          <w:rFonts w:eastAsia="MS Mincho"/>
          <w:snapToGrid w:val="0"/>
          <w:lang w:val="fr-FR" w:eastAsia="ja-JP"/>
        </w:rPr>
        <w:t>accord du CAJ, un projet de document UPOV/INF/16/7 sera</w:t>
      </w:r>
      <w:r w:rsidR="00D048A5" w:rsidRPr="008725ED">
        <w:rPr>
          <w:rFonts w:eastAsia="MS Mincho"/>
          <w:snapToGrid w:val="0"/>
          <w:lang w:val="fr-FR" w:eastAsia="ja-JP"/>
        </w:rPr>
        <w:t>it</w:t>
      </w:r>
      <w:r w:rsidRPr="008725ED">
        <w:rPr>
          <w:rFonts w:eastAsia="MS Mincho"/>
          <w:snapToGrid w:val="0"/>
          <w:lang w:val="fr-FR" w:eastAsia="ja-JP"/>
        </w:rPr>
        <w:t xml:space="preserve"> présenté sur cette base au Conseil pour adoption à sa cinquante</w:t>
      </w:r>
      <w:r w:rsidR="00EF1779" w:rsidRPr="008725ED">
        <w:rPr>
          <w:rFonts w:eastAsia="MS Mincho"/>
          <w:snapToGrid w:val="0"/>
          <w:lang w:val="fr-FR" w:eastAsia="ja-JP"/>
        </w:rPr>
        <w:t> et unième session</w:t>
      </w:r>
      <w:r w:rsidRPr="008725ED">
        <w:rPr>
          <w:rFonts w:eastAsia="MS Mincho"/>
          <w:snapToGrid w:val="0"/>
          <w:lang w:val="fr-FR" w:eastAsia="ja-JP"/>
        </w:rPr>
        <w:t xml:space="preserve"> ordinaire, qui se tiendra</w:t>
      </w:r>
      <w:r w:rsidR="00D048A5" w:rsidRPr="008725ED">
        <w:rPr>
          <w:rFonts w:eastAsia="MS Mincho"/>
          <w:snapToGrid w:val="0"/>
          <w:lang w:val="fr-FR" w:eastAsia="ja-JP"/>
        </w:rPr>
        <w:t>it</w:t>
      </w:r>
      <w:r w:rsidRPr="008725ED">
        <w:rPr>
          <w:rFonts w:eastAsia="MS Mincho"/>
          <w:snapToGrid w:val="0"/>
          <w:lang w:val="fr-FR" w:eastAsia="ja-JP"/>
        </w:rPr>
        <w:t xml:space="preserve"> le 26 octobre 2017.</w:t>
      </w:r>
    </w:p>
    <w:p w:rsidR="008C3126" w:rsidRPr="008725ED" w:rsidRDefault="008C3126" w:rsidP="00D87DB7">
      <w:pPr>
        <w:rPr>
          <w:rFonts w:eastAsia="MS Mincho"/>
          <w:snapToGrid w:val="0"/>
          <w:lang w:val="fr-FR" w:eastAsia="ja-JP"/>
        </w:rPr>
      </w:pPr>
    </w:p>
    <w:p w:rsidR="008C3126" w:rsidRPr="008725ED" w:rsidRDefault="00D87DB7" w:rsidP="00D87DB7">
      <w:pPr>
        <w:rPr>
          <w:rFonts w:eastAsia="MS Mincho"/>
          <w:snapToGrid w:val="0"/>
          <w:lang w:val="fr-FR" w:eastAsia="ja-JP"/>
        </w:rPr>
      </w:pPr>
      <w:r w:rsidRPr="008725ED">
        <w:rPr>
          <w:rFonts w:eastAsia="MS Mincho"/>
          <w:snapToGrid w:val="0"/>
          <w:lang w:val="fr-FR" w:eastAsia="ja-JP"/>
        </w:rPr>
        <w:fldChar w:fldCharType="begin"/>
      </w:r>
      <w:r w:rsidRPr="008725ED">
        <w:rPr>
          <w:rFonts w:eastAsia="MS Mincho"/>
          <w:snapToGrid w:val="0"/>
          <w:lang w:val="fr-FR" w:eastAsia="ja-JP"/>
        </w:rPr>
        <w:instrText xml:space="preserve"> AUTONUM  </w:instrText>
      </w:r>
      <w:r w:rsidRPr="008725ED">
        <w:rPr>
          <w:rFonts w:eastAsia="MS Mincho"/>
          <w:snapToGrid w:val="0"/>
          <w:lang w:val="fr-FR" w:eastAsia="ja-JP"/>
        </w:rPr>
        <w:fldChar w:fldCharType="end"/>
      </w:r>
      <w:r w:rsidRPr="008725ED">
        <w:rPr>
          <w:rFonts w:eastAsia="MS Mincho"/>
          <w:snapToGrid w:val="0"/>
          <w:lang w:val="fr-FR" w:eastAsia="ja-JP"/>
        </w:rPr>
        <w:tab/>
        <w:t>Le</w:t>
      </w:r>
      <w:r w:rsidR="00EF1779" w:rsidRPr="008725ED">
        <w:rPr>
          <w:rFonts w:eastAsia="MS Mincho"/>
          <w:snapToGrid w:val="0"/>
          <w:lang w:val="fr-FR" w:eastAsia="ja-JP"/>
        </w:rPr>
        <w:t> TC</w:t>
      </w:r>
      <w:r w:rsidRPr="008725ED">
        <w:rPr>
          <w:rFonts w:eastAsia="MS Mincho"/>
          <w:snapToGrid w:val="0"/>
          <w:lang w:val="fr-FR" w:eastAsia="ja-JP"/>
        </w:rPr>
        <w:t xml:space="preserve"> </w:t>
      </w:r>
      <w:r w:rsidR="00344B0C" w:rsidRPr="008725ED">
        <w:rPr>
          <w:rFonts w:eastAsia="MS Mincho"/>
          <w:snapToGrid w:val="0"/>
          <w:lang w:val="fr-FR" w:eastAsia="ja-JP"/>
        </w:rPr>
        <w:t>est convenu</w:t>
      </w:r>
      <w:r w:rsidRPr="008725ED">
        <w:rPr>
          <w:rFonts w:eastAsia="MS Mincho"/>
          <w:snapToGrid w:val="0"/>
          <w:lang w:val="fr-FR" w:eastAsia="ja-JP"/>
        </w:rPr>
        <w:t xml:space="preserve"> que les informations figurant d</w:t>
      </w:r>
      <w:r w:rsidR="00FB2CE7" w:rsidRPr="008725ED">
        <w:rPr>
          <w:rFonts w:eastAsia="MS Mincho"/>
          <w:snapToGrid w:val="0"/>
          <w:lang w:val="fr-FR" w:eastAsia="ja-JP"/>
        </w:rPr>
        <w:t>ans le document UPOV/INF/16 dev</w:t>
      </w:r>
      <w:r w:rsidRPr="008725ED">
        <w:rPr>
          <w:rFonts w:eastAsia="MS Mincho"/>
          <w:snapToGrid w:val="0"/>
          <w:lang w:val="fr-FR" w:eastAsia="ja-JP"/>
        </w:rPr>
        <w:t>aient être publiées sous une forme se prêtant à des recherches sur le site Web de l</w:t>
      </w:r>
      <w:r w:rsidR="00EF1779" w:rsidRPr="008725ED">
        <w:rPr>
          <w:rFonts w:eastAsia="MS Mincho"/>
          <w:snapToGrid w:val="0"/>
          <w:lang w:val="fr-FR" w:eastAsia="ja-JP"/>
        </w:rPr>
        <w:t>’</w:t>
      </w:r>
      <w:r w:rsidRPr="008725ED">
        <w:rPr>
          <w:rFonts w:eastAsia="MS Mincho"/>
          <w:snapToGrid w:val="0"/>
          <w:lang w:val="fr-FR" w:eastAsia="ja-JP"/>
        </w:rPr>
        <w:t xml:space="preserve">UPOV et </w:t>
      </w:r>
      <w:r w:rsidR="00FB2CE7" w:rsidRPr="008725ED">
        <w:rPr>
          <w:rFonts w:eastAsia="MS Mincho"/>
          <w:snapToGrid w:val="0"/>
          <w:lang w:val="fr-FR" w:eastAsia="ja-JP"/>
        </w:rPr>
        <w:t>a noté</w:t>
      </w:r>
      <w:r w:rsidRPr="008725ED">
        <w:rPr>
          <w:rFonts w:eastAsia="MS Mincho"/>
          <w:snapToGrid w:val="0"/>
          <w:lang w:val="fr-FR" w:eastAsia="ja-JP"/>
        </w:rPr>
        <w:t xml:space="preserve"> que le Bureau de l</w:t>
      </w:r>
      <w:r w:rsidR="00EF1779" w:rsidRPr="008725ED">
        <w:rPr>
          <w:rFonts w:eastAsia="MS Mincho"/>
          <w:snapToGrid w:val="0"/>
          <w:lang w:val="fr-FR" w:eastAsia="ja-JP"/>
        </w:rPr>
        <w:t>’</w:t>
      </w:r>
      <w:r w:rsidRPr="008725ED">
        <w:rPr>
          <w:rFonts w:eastAsia="MS Mincho"/>
          <w:snapToGrid w:val="0"/>
          <w:lang w:val="fr-FR" w:eastAsia="ja-JP"/>
        </w:rPr>
        <w:t>Union imaginera</w:t>
      </w:r>
      <w:r w:rsidR="00FB2CE7" w:rsidRPr="008725ED">
        <w:rPr>
          <w:rFonts w:eastAsia="MS Mincho"/>
          <w:snapToGrid w:val="0"/>
          <w:lang w:val="fr-FR" w:eastAsia="ja-JP"/>
        </w:rPr>
        <w:t>it</w:t>
      </w:r>
      <w:r w:rsidRPr="008725ED">
        <w:rPr>
          <w:rFonts w:eastAsia="MS Mincho"/>
          <w:snapToGrid w:val="0"/>
          <w:lang w:val="fr-FR" w:eastAsia="ja-JP"/>
        </w:rPr>
        <w:t xml:space="preserve"> un outil dans ce but.</w:t>
      </w:r>
    </w:p>
    <w:p w:rsidR="008C3126" w:rsidRPr="008725ED" w:rsidRDefault="008C3126" w:rsidP="00D87DB7">
      <w:pPr>
        <w:rPr>
          <w:snapToGrid w:val="0"/>
          <w:lang w:val="fr-FR" w:eastAsia="ja-JP"/>
        </w:rPr>
      </w:pPr>
    </w:p>
    <w:p w:rsidR="008C3126" w:rsidRPr="008725ED" w:rsidRDefault="00D87DB7" w:rsidP="00D87DB7">
      <w:pPr>
        <w:rPr>
          <w:rFonts w:eastAsia="MS Mincho"/>
          <w:snapToGrid w:val="0"/>
          <w:lang w:val="fr-FR" w:eastAsia="ja-JP"/>
        </w:rPr>
      </w:pPr>
      <w:r w:rsidRPr="008725ED">
        <w:rPr>
          <w:rFonts w:eastAsia="MS Mincho"/>
          <w:lang w:val="fr-FR"/>
        </w:rPr>
        <w:fldChar w:fldCharType="begin"/>
      </w:r>
      <w:r w:rsidRPr="008725ED">
        <w:rPr>
          <w:rFonts w:eastAsia="MS Mincho"/>
          <w:lang w:val="fr-FR"/>
        </w:rPr>
        <w:instrText xml:space="preserve"> AUTONUM  </w:instrText>
      </w:r>
      <w:r w:rsidRPr="008725ED">
        <w:rPr>
          <w:rFonts w:eastAsia="MS Mincho"/>
          <w:lang w:val="fr-FR"/>
        </w:rPr>
        <w:fldChar w:fldCharType="end"/>
      </w:r>
      <w:r w:rsidRPr="008725ED">
        <w:rPr>
          <w:rFonts w:eastAsia="MS Mincho"/>
          <w:lang w:val="fr-FR"/>
        </w:rPr>
        <w:tab/>
        <w:t>Le</w:t>
      </w:r>
      <w:r w:rsidR="00EF1779" w:rsidRPr="008725ED">
        <w:rPr>
          <w:rFonts w:eastAsia="MS Mincho"/>
          <w:lang w:val="fr-FR"/>
        </w:rPr>
        <w:t> TC</w:t>
      </w:r>
      <w:r w:rsidRPr="008725ED">
        <w:rPr>
          <w:rFonts w:eastAsia="MS Mincho"/>
          <w:lang w:val="fr-FR"/>
        </w:rPr>
        <w:t xml:space="preserve"> </w:t>
      </w:r>
      <w:r w:rsidR="00344B0C" w:rsidRPr="008725ED">
        <w:rPr>
          <w:rFonts w:eastAsia="MS Mincho"/>
          <w:lang w:val="fr-FR"/>
        </w:rPr>
        <w:t xml:space="preserve">a pris note </w:t>
      </w:r>
      <w:r w:rsidRPr="008725ED">
        <w:rPr>
          <w:rFonts w:eastAsia="MS Mincho"/>
          <w:lang w:val="fr-FR"/>
        </w:rPr>
        <w:t>du fait que le Conseil, à sa quarante</w:t>
      </w:r>
      <w:r w:rsidR="00EF1779" w:rsidRPr="008725ED">
        <w:rPr>
          <w:rFonts w:eastAsia="MS Mincho"/>
          <w:lang w:val="fr-FR"/>
        </w:rPr>
        <w:t>-</w:t>
      </w:r>
      <w:r w:rsidRPr="008725ED">
        <w:rPr>
          <w:rFonts w:eastAsia="MS Mincho"/>
          <w:lang w:val="fr-FR"/>
        </w:rPr>
        <w:t>neuv</w:t>
      </w:r>
      <w:r w:rsidR="00EF1779" w:rsidRPr="008725ED">
        <w:rPr>
          <w:rFonts w:eastAsia="MS Mincho"/>
          <w:lang w:val="fr-FR"/>
        </w:rPr>
        <w:t>ième session</w:t>
      </w:r>
      <w:r w:rsidRPr="008725ED">
        <w:rPr>
          <w:rFonts w:eastAsia="MS Mincho"/>
          <w:lang w:val="fr-FR"/>
        </w:rPr>
        <w:t xml:space="preserve"> ordinaire, tenue à Genève le 28 octobre 2016, a</w:t>
      </w:r>
      <w:r w:rsidR="00FB2CE7" w:rsidRPr="008725ED">
        <w:rPr>
          <w:rFonts w:eastAsia="MS Mincho"/>
          <w:lang w:val="fr-FR"/>
        </w:rPr>
        <w:t>vait</w:t>
      </w:r>
      <w:r w:rsidRPr="008725ED">
        <w:rPr>
          <w:rFonts w:eastAsia="MS Mincho"/>
          <w:lang w:val="fr-FR"/>
        </w:rPr>
        <w:t xml:space="preserve"> adopté le document UPOV/INF/22/3 “Logiciels et équipements utilisés par les membres de l</w:t>
      </w:r>
      <w:r w:rsidR="00EF1779" w:rsidRPr="008725ED">
        <w:rPr>
          <w:rFonts w:eastAsia="MS Mincho"/>
          <w:lang w:val="fr-FR"/>
        </w:rPr>
        <w:t>’</w:t>
      </w:r>
      <w:r w:rsidRPr="008725ED">
        <w:rPr>
          <w:rFonts w:eastAsia="MS Mincho"/>
          <w:lang w:val="fr-FR"/>
        </w:rPr>
        <w:t>Union”.</w:t>
      </w:r>
    </w:p>
    <w:p w:rsidR="008C3126" w:rsidRPr="008725ED" w:rsidRDefault="008C3126" w:rsidP="00D87DB7">
      <w:pPr>
        <w:rPr>
          <w:rFonts w:eastAsia="MS Mincho"/>
          <w:snapToGrid w:val="0"/>
          <w:lang w:val="fr-FR" w:eastAsia="ja-JP"/>
        </w:rPr>
      </w:pPr>
    </w:p>
    <w:p w:rsidR="008C3126" w:rsidRPr="008725ED" w:rsidRDefault="00D87DB7" w:rsidP="00D87DB7">
      <w:pPr>
        <w:rPr>
          <w:rFonts w:eastAsia="MS Mincho"/>
          <w:snapToGrid w:val="0"/>
          <w:lang w:val="fr-FR" w:eastAsia="ja-JP"/>
        </w:rPr>
      </w:pPr>
      <w:r w:rsidRPr="008725ED">
        <w:rPr>
          <w:rFonts w:eastAsia="MS Mincho"/>
          <w:lang w:val="fr-FR"/>
        </w:rPr>
        <w:fldChar w:fldCharType="begin"/>
      </w:r>
      <w:r w:rsidRPr="008725ED">
        <w:rPr>
          <w:rFonts w:eastAsia="MS Mincho"/>
          <w:lang w:val="fr-FR"/>
        </w:rPr>
        <w:instrText xml:space="preserve"> AUTONUM  </w:instrText>
      </w:r>
      <w:r w:rsidRPr="008725ED">
        <w:rPr>
          <w:rFonts w:eastAsia="MS Mincho"/>
          <w:lang w:val="fr-FR"/>
        </w:rPr>
        <w:fldChar w:fldCharType="end"/>
      </w:r>
      <w:r w:rsidRPr="008725ED">
        <w:rPr>
          <w:rFonts w:eastAsia="MS Mincho"/>
          <w:lang w:val="fr-FR"/>
        </w:rPr>
        <w:tab/>
        <w:t>Le</w:t>
      </w:r>
      <w:r w:rsidR="00EF1779" w:rsidRPr="008725ED">
        <w:rPr>
          <w:rFonts w:eastAsia="MS Mincho"/>
          <w:lang w:val="fr-FR"/>
        </w:rPr>
        <w:t> TC</w:t>
      </w:r>
      <w:r w:rsidRPr="008725ED">
        <w:rPr>
          <w:rFonts w:eastAsia="MS Mincho"/>
          <w:snapToGrid w:val="0"/>
          <w:lang w:val="fr-FR" w:eastAsia="ja-JP"/>
        </w:rPr>
        <w:t xml:space="preserve"> </w:t>
      </w:r>
      <w:r w:rsidR="00344B0C" w:rsidRPr="008725ED">
        <w:rPr>
          <w:rFonts w:eastAsia="MS Mincho"/>
          <w:snapToGrid w:val="0"/>
          <w:lang w:val="fr-FR" w:eastAsia="ja-JP"/>
        </w:rPr>
        <w:t xml:space="preserve">a examiné </w:t>
      </w:r>
      <w:r w:rsidRPr="008725ED">
        <w:rPr>
          <w:rFonts w:eastAsia="MS Mincho"/>
          <w:snapToGrid w:val="0"/>
          <w:lang w:val="fr-FR" w:eastAsia="ja-JP"/>
        </w:rPr>
        <w:t>les informations figurant à l</w:t>
      </w:r>
      <w:r w:rsidR="00EF1779" w:rsidRPr="008725ED">
        <w:rPr>
          <w:rFonts w:eastAsia="MS Mincho"/>
          <w:snapToGrid w:val="0"/>
          <w:lang w:val="fr-FR" w:eastAsia="ja-JP"/>
        </w:rPr>
        <w:t>’</w:t>
      </w:r>
      <w:r w:rsidRPr="008725ED">
        <w:rPr>
          <w:rFonts w:eastAsia="MS Mincho"/>
          <w:snapToGrid w:val="0"/>
          <w:lang w:val="fr-FR" w:eastAsia="ja-JP"/>
        </w:rPr>
        <w:t xml:space="preserve">annexe II du </w:t>
      </w:r>
      <w:r w:rsidR="00EF1779" w:rsidRPr="008725ED">
        <w:rPr>
          <w:rFonts w:eastAsia="MS Mincho"/>
          <w:snapToGrid w:val="0"/>
          <w:lang w:val="fr-FR" w:eastAsia="ja-JP"/>
        </w:rPr>
        <w:t>document TC</w:t>
      </w:r>
      <w:r w:rsidRPr="008725ED">
        <w:rPr>
          <w:rFonts w:eastAsia="MS Mincho"/>
          <w:snapToGrid w:val="0"/>
          <w:lang w:val="fr-FR" w:eastAsia="ja-JP"/>
        </w:rPr>
        <w:t xml:space="preserve">/53/8 en tant que base pour une proposition de révision du document UPOV/INF/22/3 et </w:t>
      </w:r>
      <w:r w:rsidR="00344B0C" w:rsidRPr="008725ED">
        <w:rPr>
          <w:rFonts w:eastAsia="MS Mincho"/>
          <w:snapToGrid w:val="0"/>
          <w:lang w:val="fr-FR" w:eastAsia="ja-JP"/>
        </w:rPr>
        <w:t>est convenu</w:t>
      </w:r>
      <w:r w:rsidRPr="008725ED">
        <w:rPr>
          <w:rFonts w:eastAsia="MS Mincho"/>
          <w:snapToGrid w:val="0"/>
          <w:lang w:val="fr-FR" w:eastAsia="ja-JP"/>
        </w:rPr>
        <w:t xml:space="preserve"> de proposer les modifications suivantes</w:t>
      </w:r>
      <w:r w:rsidR="00EF1779" w:rsidRPr="008725ED">
        <w:rPr>
          <w:rFonts w:eastAsia="MS Mincho"/>
          <w:snapToGrid w:val="0"/>
          <w:lang w:val="fr-FR" w:eastAsia="ja-JP"/>
        </w:rPr>
        <w:t> :</w:t>
      </w:r>
    </w:p>
    <w:p w:rsidR="00D87DB7" w:rsidRPr="008725ED" w:rsidRDefault="00D87DB7" w:rsidP="00D87DB7">
      <w:pPr>
        <w:rPr>
          <w:rFonts w:eastAsia="MS Mincho"/>
          <w:snapToGrid w:val="0"/>
          <w:lang w:val="fr-FR" w:eastAsia="ja-JP"/>
        </w:rPr>
      </w:pPr>
    </w:p>
    <w:tbl>
      <w:tblPr>
        <w:tblW w:w="9180" w:type="dxa"/>
        <w:tblInd w:w="567" w:type="dxa"/>
        <w:tblLook w:val="04A0" w:firstRow="1" w:lastRow="0" w:firstColumn="1" w:lastColumn="0" w:noHBand="0" w:noVBand="1"/>
      </w:tblPr>
      <w:tblGrid>
        <w:gridCol w:w="3085"/>
        <w:gridCol w:w="6095"/>
      </w:tblGrid>
      <w:tr w:rsidR="008725ED" w:rsidRPr="005E033E" w:rsidTr="005E033E">
        <w:tc>
          <w:tcPr>
            <w:tcW w:w="3085" w:type="dxa"/>
          </w:tcPr>
          <w:p w:rsidR="00D87DB7" w:rsidRPr="005E033E" w:rsidRDefault="00D87DB7" w:rsidP="005E033E">
            <w:pPr>
              <w:keepNext/>
              <w:tabs>
                <w:tab w:val="left" w:pos="567"/>
                <w:tab w:val="left" w:pos="3969"/>
              </w:tabs>
              <w:ind w:left="284" w:hanging="284"/>
              <w:jc w:val="left"/>
              <w:rPr>
                <w:snapToGrid w:val="0"/>
                <w:sz w:val="18"/>
                <w:u w:val="single"/>
                <w:lang w:val="fr-FR"/>
              </w:rPr>
            </w:pPr>
            <w:r w:rsidRPr="005E033E">
              <w:rPr>
                <w:snapToGrid w:val="0"/>
                <w:sz w:val="18"/>
                <w:lang w:val="fr-FR"/>
              </w:rPr>
              <w:t>(c) Vérification des dénominations variétales (ligne</w:t>
            </w:r>
            <w:r w:rsidR="00EF1779" w:rsidRPr="005E033E">
              <w:rPr>
                <w:snapToGrid w:val="0"/>
                <w:sz w:val="18"/>
                <w:lang w:val="fr-FR"/>
              </w:rPr>
              <w:t> :</w:t>
            </w:r>
            <w:r w:rsidRPr="005E033E">
              <w:rPr>
                <w:snapToGrid w:val="0"/>
                <w:sz w:val="18"/>
                <w:lang w:val="fr-FR"/>
              </w:rPr>
              <w:t xml:space="preserve"> Allemagne)</w:t>
            </w:r>
          </w:p>
        </w:tc>
        <w:tc>
          <w:tcPr>
            <w:tcW w:w="6095" w:type="dxa"/>
          </w:tcPr>
          <w:p w:rsidR="008C3126" w:rsidRPr="005E033E" w:rsidRDefault="00D87DB7" w:rsidP="001D6A9B">
            <w:pPr>
              <w:rPr>
                <w:rFonts w:cs="Arial"/>
                <w:snapToGrid w:val="0"/>
                <w:sz w:val="18"/>
                <w:lang w:val="fr-FR"/>
              </w:rPr>
            </w:pPr>
            <w:r w:rsidRPr="005E033E">
              <w:rPr>
                <w:rFonts w:eastAsia="MS Mincho"/>
                <w:snapToGrid w:val="0"/>
                <w:sz w:val="18"/>
                <w:lang w:val="fr-FR" w:eastAsia="ja-JP"/>
              </w:rPr>
              <w:t>libellé</w:t>
            </w:r>
            <w:r w:rsidR="00EF1779" w:rsidRPr="005E033E">
              <w:rPr>
                <w:rFonts w:eastAsia="MS Mincho"/>
                <w:snapToGrid w:val="0"/>
                <w:sz w:val="18"/>
                <w:lang w:val="fr-FR" w:eastAsia="ja-JP"/>
              </w:rPr>
              <w:t> :</w:t>
            </w:r>
            <w:r w:rsidRPr="005E033E">
              <w:rPr>
                <w:rFonts w:eastAsia="MS Mincho"/>
                <w:snapToGrid w:val="0"/>
                <w:sz w:val="18"/>
                <w:lang w:val="fr-FR" w:eastAsia="ja-JP"/>
              </w:rPr>
              <w:t xml:space="preserve"> “</w:t>
            </w:r>
            <w:r w:rsidRPr="005E033E">
              <w:rPr>
                <w:rFonts w:cs="Arial"/>
                <w:snapToGrid w:val="0"/>
                <w:sz w:val="18"/>
                <w:lang w:val="fr-FR"/>
              </w:rPr>
              <w:t xml:space="preserve">Vérification des dénominations variétales dans les procédures nationales sur la base des règles phonétiques </w:t>
            </w:r>
            <w:r w:rsidRPr="005E033E">
              <w:rPr>
                <w:rFonts w:cs="Arial"/>
                <w:strike/>
                <w:snapToGrid w:val="0"/>
                <w:sz w:val="18"/>
                <w:highlight w:val="lightGray"/>
                <w:lang w:val="fr-FR"/>
              </w:rPr>
              <w:t>en complément de l</w:t>
            </w:r>
            <w:r w:rsidR="00EF1779" w:rsidRPr="005E033E">
              <w:rPr>
                <w:rFonts w:cs="Arial"/>
                <w:strike/>
                <w:snapToGrid w:val="0"/>
                <w:sz w:val="18"/>
                <w:highlight w:val="lightGray"/>
                <w:lang w:val="fr-FR"/>
              </w:rPr>
              <w:t>’</w:t>
            </w:r>
            <w:r w:rsidRPr="005E033E">
              <w:rPr>
                <w:rFonts w:cs="Arial"/>
                <w:strike/>
                <w:snapToGrid w:val="0"/>
                <w:sz w:val="18"/>
                <w:highlight w:val="lightGray"/>
                <w:lang w:val="fr-FR"/>
              </w:rPr>
              <w:t>examen</w:t>
            </w:r>
            <w:r w:rsidRPr="005E033E">
              <w:rPr>
                <w:rFonts w:cs="Arial"/>
                <w:snapToGrid w:val="0"/>
                <w:sz w:val="18"/>
                <w:lang w:val="fr-FR"/>
              </w:rPr>
              <w:t>”</w:t>
            </w:r>
          </w:p>
          <w:p w:rsidR="00D87DB7" w:rsidRPr="005E033E" w:rsidRDefault="00D87DB7" w:rsidP="001D6A9B">
            <w:pPr>
              <w:rPr>
                <w:rFonts w:eastAsia="MS Mincho"/>
                <w:snapToGrid w:val="0"/>
                <w:sz w:val="18"/>
                <w:lang w:val="fr-FR" w:eastAsia="ja-JP"/>
              </w:rPr>
            </w:pPr>
          </w:p>
        </w:tc>
      </w:tr>
      <w:tr w:rsidR="00D87DB7" w:rsidRPr="005E033E" w:rsidTr="005E033E">
        <w:tc>
          <w:tcPr>
            <w:tcW w:w="3085" w:type="dxa"/>
          </w:tcPr>
          <w:p w:rsidR="00D87DB7" w:rsidRPr="005E033E" w:rsidRDefault="00D87DB7" w:rsidP="001D6A9B">
            <w:pPr>
              <w:rPr>
                <w:rFonts w:eastAsia="MS Mincho"/>
                <w:snapToGrid w:val="0"/>
                <w:sz w:val="18"/>
                <w:lang w:val="fr-FR" w:eastAsia="ja-JP"/>
              </w:rPr>
            </w:pPr>
            <w:r w:rsidRPr="005E033E">
              <w:rPr>
                <w:rFonts w:eastAsia="MS Mincho"/>
                <w:snapToGrid w:val="0"/>
                <w:sz w:val="18"/>
                <w:lang w:val="fr-FR" w:eastAsia="ja-JP"/>
              </w:rPr>
              <w:t>(f) Analyse d</w:t>
            </w:r>
            <w:r w:rsidR="00EF1779" w:rsidRPr="005E033E">
              <w:rPr>
                <w:rFonts w:eastAsia="MS Mincho"/>
                <w:snapToGrid w:val="0"/>
                <w:sz w:val="18"/>
                <w:lang w:val="fr-FR" w:eastAsia="ja-JP"/>
              </w:rPr>
              <w:t>’</w:t>
            </w:r>
            <w:r w:rsidRPr="005E033E">
              <w:rPr>
                <w:rFonts w:eastAsia="MS Mincho"/>
                <w:snapToGrid w:val="0"/>
                <w:sz w:val="18"/>
                <w:lang w:val="fr-FR" w:eastAsia="ja-JP"/>
              </w:rPr>
              <w:t>images</w:t>
            </w:r>
          </w:p>
        </w:tc>
        <w:tc>
          <w:tcPr>
            <w:tcW w:w="6095" w:type="dxa"/>
          </w:tcPr>
          <w:p w:rsidR="008C3126" w:rsidRPr="005E033E" w:rsidRDefault="00D87DB7" w:rsidP="001D6A9B">
            <w:pPr>
              <w:rPr>
                <w:rFonts w:eastAsia="MS Mincho"/>
                <w:snapToGrid w:val="0"/>
                <w:sz w:val="18"/>
                <w:lang w:val="fr-FR" w:eastAsia="ja-JP"/>
              </w:rPr>
            </w:pPr>
            <w:r w:rsidRPr="005E033E">
              <w:rPr>
                <w:rFonts w:eastAsia="MS Mincho"/>
                <w:snapToGrid w:val="0"/>
                <w:sz w:val="18"/>
                <w:lang w:val="fr-FR" w:eastAsia="ja-JP"/>
              </w:rPr>
              <w:t>libellé</w:t>
            </w:r>
            <w:r w:rsidR="00EF1779" w:rsidRPr="005E033E">
              <w:rPr>
                <w:rFonts w:eastAsia="MS Mincho"/>
                <w:snapToGrid w:val="0"/>
                <w:sz w:val="18"/>
                <w:lang w:val="fr-FR" w:eastAsia="ja-JP"/>
              </w:rPr>
              <w:t> :</w:t>
            </w:r>
            <w:r w:rsidRPr="005E033E">
              <w:rPr>
                <w:rFonts w:eastAsia="MS Mincho"/>
                <w:snapToGrid w:val="0"/>
                <w:sz w:val="18"/>
                <w:lang w:val="fr-FR" w:eastAsia="ja-JP"/>
              </w:rPr>
              <w:t xml:space="preserve"> “E</w:t>
            </w:r>
            <w:r w:rsidR="00EF1779" w:rsidRPr="005E033E">
              <w:rPr>
                <w:rFonts w:eastAsia="MS Mincho"/>
                <w:snapToGrid w:val="0"/>
                <w:sz w:val="18"/>
                <w:lang w:val="fr-FR" w:eastAsia="ja-JP"/>
              </w:rPr>
              <w:t>-</w:t>
            </w:r>
            <w:r w:rsidRPr="005E033E">
              <w:rPr>
                <w:rFonts w:eastAsia="MS Mincho"/>
                <w:snapToGrid w:val="0"/>
                <w:sz w:val="18"/>
                <w:lang w:val="fr-FR" w:eastAsia="ja-JP"/>
              </w:rPr>
              <w:t>mail</w:t>
            </w:r>
            <w:r w:rsidR="00EF1779" w:rsidRPr="005E033E">
              <w:rPr>
                <w:rFonts w:eastAsia="MS Mincho"/>
                <w:snapToGrid w:val="0"/>
                <w:sz w:val="18"/>
                <w:lang w:val="fr-FR" w:eastAsia="ja-JP"/>
              </w:rPr>
              <w:t> :</w:t>
            </w:r>
            <w:r w:rsidRPr="005E033E">
              <w:rPr>
                <w:rFonts w:eastAsia="MS Mincho"/>
                <w:snapToGrid w:val="0"/>
                <w:sz w:val="18"/>
                <w:lang w:val="fr-FR" w:eastAsia="ja-JP"/>
              </w:rPr>
              <w:t xml:space="preserve"> </w:t>
            </w:r>
            <w:hyperlink r:id="rId10" w:history="1">
              <w:r w:rsidR="005E033E" w:rsidRPr="00184CDD">
                <w:rPr>
                  <w:rStyle w:val="Hyperlink"/>
                  <w:rFonts w:eastAsia="MS Mincho"/>
                  <w:snapToGrid w:val="0"/>
                  <w:sz w:val="18"/>
                  <w:lang w:val="fr-FR" w:eastAsia="ja-JP"/>
                </w:rPr>
                <w:t>a.roberts@bioss.ac.uk</w:t>
              </w:r>
            </w:hyperlink>
            <w:r w:rsidRPr="005E033E">
              <w:rPr>
                <w:rFonts w:eastAsia="MS Mincho"/>
                <w:snapToGrid w:val="0"/>
                <w:sz w:val="18"/>
                <w:lang w:val="fr-FR" w:eastAsia="ja-JP"/>
              </w:rPr>
              <w:t>”</w:t>
            </w:r>
          </w:p>
          <w:p w:rsidR="00D87DB7" w:rsidRPr="005E033E" w:rsidRDefault="00D87DB7" w:rsidP="001D6A9B">
            <w:pPr>
              <w:rPr>
                <w:rFonts w:eastAsia="MS Mincho"/>
                <w:snapToGrid w:val="0"/>
                <w:sz w:val="18"/>
                <w:lang w:val="fr-FR" w:eastAsia="ja-JP"/>
              </w:rPr>
            </w:pPr>
          </w:p>
        </w:tc>
      </w:tr>
    </w:tbl>
    <w:p w:rsidR="008C3126" w:rsidRPr="008725ED" w:rsidRDefault="008C3126" w:rsidP="00D87DB7">
      <w:pPr>
        <w:rPr>
          <w:rFonts w:eastAsia="MS Mincho"/>
          <w:snapToGrid w:val="0"/>
          <w:lang w:val="fr-FR" w:eastAsia="ja-JP"/>
        </w:rPr>
      </w:pPr>
    </w:p>
    <w:p w:rsidR="008C3126" w:rsidRPr="008725ED" w:rsidRDefault="00D87DB7" w:rsidP="00D87DB7">
      <w:pPr>
        <w:rPr>
          <w:rFonts w:eastAsia="MS Mincho"/>
          <w:snapToGrid w:val="0"/>
          <w:lang w:val="fr-FR" w:eastAsia="ja-JP"/>
        </w:rPr>
      </w:pPr>
      <w:r w:rsidRPr="008725ED">
        <w:rPr>
          <w:rFonts w:eastAsia="MS Mincho"/>
          <w:lang w:val="fr-FR"/>
        </w:rPr>
        <w:fldChar w:fldCharType="begin"/>
      </w:r>
      <w:r w:rsidRPr="008725ED">
        <w:rPr>
          <w:rFonts w:eastAsia="MS Mincho"/>
          <w:lang w:val="fr-FR"/>
        </w:rPr>
        <w:instrText xml:space="preserve"> AUTONUM  </w:instrText>
      </w:r>
      <w:r w:rsidRPr="008725ED">
        <w:rPr>
          <w:rFonts w:eastAsia="MS Mincho"/>
          <w:lang w:val="fr-FR"/>
        </w:rPr>
        <w:fldChar w:fldCharType="end"/>
      </w:r>
      <w:r w:rsidRPr="008725ED">
        <w:rPr>
          <w:rFonts w:eastAsia="MS Mincho"/>
          <w:lang w:val="fr-FR"/>
        </w:rPr>
        <w:tab/>
        <w:t>Le</w:t>
      </w:r>
      <w:r w:rsidR="00EF1779" w:rsidRPr="008725ED">
        <w:rPr>
          <w:rFonts w:eastAsia="MS Mincho"/>
          <w:lang w:val="fr-FR"/>
        </w:rPr>
        <w:t> TC</w:t>
      </w:r>
      <w:r w:rsidRPr="008725ED">
        <w:rPr>
          <w:rFonts w:eastAsia="MS Mincho"/>
          <w:lang w:val="fr-FR"/>
        </w:rPr>
        <w:t xml:space="preserve"> </w:t>
      </w:r>
      <w:r w:rsidR="00344B0C" w:rsidRPr="008725ED">
        <w:rPr>
          <w:rFonts w:eastAsia="MS Mincho"/>
          <w:snapToGrid w:val="0"/>
          <w:lang w:val="fr-FR" w:eastAsia="ja-JP"/>
        </w:rPr>
        <w:t>est convenu</w:t>
      </w:r>
      <w:r w:rsidRPr="008725ED">
        <w:rPr>
          <w:rFonts w:eastAsia="MS Mincho"/>
          <w:snapToGrid w:val="0"/>
          <w:lang w:val="fr-FR" w:eastAsia="ja-JP"/>
        </w:rPr>
        <w:t xml:space="preserve"> de proposer l</w:t>
      </w:r>
      <w:r w:rsidR="00EF1779" w:rsidRPr="008725ED">
        <w:rPr>
          <w:rFonts w:eastAsia="MS Mincho"/>
          <w:snapToGrid w:val="0"/>
          <w:lang w:val="fr-FR" w:eastAsia="ja-JP"/>
        </w:rPr>
        <w:t>’</w:t>
      </w:r>
      <w:r w:rsidRPr="008725ED">
        <w:rPr>
          <w:rFonts w:eastAsia="MS Mincho"/>
          <w:snapToGrid w:val="0"/>
          <w:lang w:val="fr-FR" w:eastAsia="ja-JP"/>
        </w:rPr>
        <w:t>ajout au document UPOV/INF/22 d</w:t>
      </w:r>
      <w:r w:rsidR="00EF1779" w:rsidRPr="008725ED">
        <w:rPr>
          <w:rFonts w:eastAsia="MS Mincho"/>
          <w:snapToGrid w:val="0"/>
          <w:lang w:val="fr-FR" w:eastAsia="ja-JP"/>
        </w:rPr>
        <w:t>’</w:t>
      </w:r>
      <w:r w:rsidRPr="008725ED">
        <w:rPr>
          <w:rFonts w:eastAsia="MS Mincho"/>
          <w:snapToGrid w:val="0"/>
          <w:lang w:val="fr-FR" w:eastAsia="ja-JP"/>
        </w:rPr>
        <w:t xml:space="preserve">un avertissement </w:t>
      </w:r>
      <w:r w:rsidRPr="008725ED">
        <w:rPr>
          <w:lang w:val="fr-FR" w:eastAsia="ja-JP"/>
        </w:rPr>
        <w:t>expliquant que le document vis</w:t>
      </w:r>
      <w:r w:rsidR="00FB2CE7" w:rsidRPr="008725ED">
        <w:rPr>
          <w:lang w:val="fr-FR" w:eastAsia="ja-JP"/>
        </w:rPr>
        <w:t>ait</w:t>
      </w:r>
      <w:r w:rsidRPr="008725ED">
        <w:rPr>
          <w:lang w:val="fr-FR" w:eastAsia="ja-JP"/>
        </w:rPr>
        <w:t xml:space="preserve"> à dispenser des informations sur l</w:t>
      </w:r>
      <w:r w:rsidR="00EF1779" w:rsidRPr="008725ED">
        <w:rPr>
          <w:lang w:val="fr-FR" w:eastAsia="ja-JP"/>
        </w:rPr>
        <w:t>’</w:t>
      </w:r>
      <w:r w:rsidRPr="008725ED">
        <w:rPr>
          <w:lang w:val="fr-FR" w:eastAsia="ja-JP"/>
        </w:rPr>
        <w:t>utilisation de logiciels et d</w:t>
      </w:r>
      <w:r w:rsidR="00EF1779" w:rsidRPr="008725ED">
        <w:rPr>
          <w:lang w:val="fr-FR" w:eastAsia="ja-JP"/>
        </w:rPr>
        <w:t>’</w:t>
      </w:r>
      <w:r w:rsidRPr="008725ED">
        <w:rPr>
          <w:lang w:val="fr-FR" w:eastAsia="ja-JP"/>
        </w:rPr>
        <w:t>équipements par les membres de l</w:t>
      </w:r>
      <w:r w:rsidR="00EF1779" w:rsidRPr="008725ED">
        <w:rPr>
          <w:lang w:val="fr-FR" w:eastAsia="ja-JP"/>
        </w:rPr>
        <w:t>’</w:t>
      </w:r>
      <w:r w:rsidRPr="008725ED">
        <w:rPr>
          <w:lang w:val="fr-FR" w:eastAsia="ja-JP"/>
        </w:rPr>
        <w:t>Union et à préciser que ni l</w:t>
      </w:r>
      <w:r w:rsidR="00EF1779" w:rsidRPr="008725ED">
        <w:rPr>
          <w:lang w:val="fr-FR" w:eastAsia="ja-JP"/>
        </w:rPr>
        <w:t>’</w:t>
      </w:r>
      <w:r w:rsidRPr="008725ED">
        <w:rPr>
          <w:lang w:val="fr-FR" w:eastAsia="ja-JP"/>
        </w:rPr>
        <w:t>UPOV ni le service payant une contribution n</w:t>
      </w:r>
      <w:r w:rsidR="00EF1779" w:rsidRPr="008725ED">
        <w:rPr>
          <w:lang w:val="fr-FR" w:eastAsia="ja-JP"/>
        </w:rPr>
        <w:t>’</w:t>
      </w:r>
      <w:r w:rsidR="00FB2CE7" w:rsidRPr="008725ED">
        <w:rPr>
          <w:lang w:val="fr-FR" w:eastAsia="ja-JP"/>
        </w:rPr>
        <w:t>étaient</w:t>
      </w:r>
      <w:r w:rsidRPr="008725ED">
        <w:rPr>
          <w:lang w:val="fr-FR" w:eastAsia="ja-JP"/>
        </w:rPr>
        <w:t xml:space="preserve"> responsables </w:t>
      </w:r>
      <w:r w:rsidRPr="008725ED">
        <w:rPr>
          <w:rFonts w:eastAsia="MS Mincho"/>
          <w:snapToGrid w:val="0"/>
          <w:lang w:val="fr-FR" w:eastAsia="ja-JP"/>
        </w:rPr>
        <w:t xml:space="preserve">de la performance des </w:t>
      </w:r>
      <w:r w:rsidRPr="008725ED">
        <w:rPr>
          <w:lang w:val="fr-FR" w:eastAsia="ja-JP"/>
        </w:rPr>
        <w:t>logiciels ou des équipements</w:t>
      </w:r>
      <w:r w:rsidRPr="008725ED">
        <w:rPr>
          <w:rFonts w:eastAsia="MS Mincho"/>
          <w:snapToGrid w:val="0"/>
          <w:lang w:val="fr-FR" w:eastAsia="ja-JP"/>
        </w:rPr>
        <w:t>.</w:t>
      </w:r>
    </w:p>
    <w:p w:rsidR="008C3126" w:rsidRPr="008725ED" w:rsidRDefault="008C3126" w:rsidP="00D87DB7">
      <w:pPr>
        <w:rPr>
          <w:rFonts w:eastAsia="MS Mincho"/>
          <w:snapToGrid w:val="0"/>
          <w:lang w:val="fr-FR" w:eastAsia="ja-JP"/>
        </w:rPr>
      </w:pPr>
    </w:p>
    <w:p w:rsidR="008C3126" w:rsidRPr="008725ED" w:rsidRDefault="00D87DB7" w:rsidP="00D87DB7">
      <w:pPr>
        <w:rPr>
          <w:rFonts w:eastAsia="MS Mincho"/>
          <w:snapToGrid w:val="0"/>
          <w:lang w:val="fr-FR" w:eastAsia="ja-JP"/>
        </w:rPr>
      </w:pPr>
      <w:r w:rsidRPr="008725ED">
        <w:rPr>
          <w:rFonts w:eastAsia="MS Mincho"/>
          <w:lang w:val="fr-FR"/>
        </w:rPr>
        <w:fldChar w:fldCharType="begin"/>
      </w:r>
      <w:r w:rsidRPr="008725ED">
        <w:rPr>
          <w:rFonts w:eastAsia="MS Mincho"/>
          <w:lang w:val="fr-FR"/>
        </w:rPr>
        <w:instrText xml:space="preserve"> AUTONUM  </w:instrText>
      </w:r>
      <w:r w:rsidRPr="008725ED">
        <w:rPr>
          <w:rFonts w:eastAsia="MS Mincho"/>
          <w:lang w:val="fr-FR"/>
        </w:rPr>
        <w:fldChar w:fldCharType="end"/>
      </w:r>
      <w:r w:rsidRPr="008725ED">
        <w:rPr>
          <w:rFonts w:eastAsia="MS Mincho"/>
          <w:lang w:val="fr-FR"/>
        </w:rPr>
        <w:tab/>
        <w:t>Le</w:t>
      </w:r>
      <w:r w:rsidR="00EF1779" w:rsidRPr="008725ED">
        <w:rPr>
          <w:rFonts w:eastAsia="MS Mincho"/>
          <w:lang w:val="fr-FR"/>
        </w:rPr>
        <w:t> TC</w:t>
      </w:r>
      <w:r w:rsidR="00FB2CE7" w:rsidRPr="008725ED">
        <w:rPr>
          <w:rFonts w:eastAsia="MS Mincho"/>
          <w:snapToGrid w:val="0"/>
          <w:lang w:val="fr-FR" w:eastAsia="ja-JP"/>
        </w:rPr>
        <w:t xml:space="preserve"> s</w:t>
      </w:r>
      <w:r w:rsidR="00EF1779" w:rsidRPr="008725ED">
        <w:rPr>
          <w:rFonts w:eastAsia="MS Mincho"/>
          <w:snapToGrid w:val="0"/>
          <w:lang w:val="fr-FR" w:eastAsia="ja-JP"/>
        </w:rPr>
        <w:t>’</w:t>
      </w:r>
      <w:r w:rsidR="00FB2CE7" w:rsidRPr="008725ED">
        <w:rPr>
          <w:rFonts w:eastAsia="MS Mincho"/>
          <w:snapToGrid w:val="0"/>
          <w:lang w:val="fr-FR" w:eastAsia="ja-JP"/>
        </w:rPr>
        <w:t>est demandé</w:t>
      </w:r>
      <w:r w:rsidRPr="008725ED">
        <w:rPr>
          <w:rFonts w:eastAsia="MS Mincho"/>
          <w:snapToGrid w:val="0"/>
          <w:lang w:val="fr-FR" w:eastAsia="ja-JP"/>
        </w:rPr>
        <w:t xml:space="preserve"> si les informations contenues dans le document UPOV/INF/22 </w:t>
      </w:r>
      <w:r w:rsidR="00FB2CE7" w:rsidRPr="008725ED">
        <w:rPr>
          <w:rFonts w:eastAsia="MS Mincho"/>
          <w:snapToGrid w:val="0"/>
          <w:lang w:val="fr-FR" w:eastAsia="ja-JP"/>
        </w:rPr>
        <w:t>devaient</w:t>
      </w:r>
      <w:r w:rsidRPr="008725ED">
        <w:rPr>
          <w:rFonts w:eastAsia="MS Mincho"/>
          <w:snapToGrid w:val="0"/>
          <w:lang w:val="fr-FR" w:eastAsia="ja-JP"/>
        </w:rPr>
        <w:t xml:space="preserve"> être présentées sous une forme autre (par exemple, un format en ligne) qu</w:t>
      </w:r>
      <w:r w:rsidR="00EF1779" w:rsidRPr="008725ED">
        <w:rPr>
          <w:rFonts w:eastAsia="MS Mincho"/>
          <w:snapToGrid w:val="0"/>
          <w:lang w:val="fr-FR" w:eastAsia="ja-JP"/>
        </w:rPr>
        <w:t>’</w:t>
      </w:r>
      <w:r w:rsidRPr="008725ED">
        <w:rPr>
          <w:rFonts w:eastAsia="MS Mincho"/>
          <w:snapToGrid w:val="0"/>
          <w:lang w:val="fr-FR" w:eastAsia="ja-JP"/>
        </w:rPr>
        <w:t xml:space="preserve">un document INF et </w:t>
      </w:r>
      <w:r w:rsidR="00344B0C" w:rsidRPr="008725ED">
        <w:rPr>
          <w:rFonts w:eastAsia="MS Mincho"/>
          <w:snapToGrid w:val="0"/>
          <w:lang w:val="fr-FR" w:eastAsia="ja-JP"/>
        </w:rPr>
        <w:t>est convenu</w:t>
      </w:r>
      <w:r w:rsidRPr="008725ED">
        <w:rPr>
          <w:rFonts w:eastAsia="MS Mincho"/>
          <w:snapToGrid w:val="0"/>
          <w:lang w:val="fr-FR" w:eastAsia="ja-JP"/>
        </w:rPr>
        <w:t xml:space="preserve"> que seul le format existant du document UPOV/INF/22 </w:t>
      </w:r>
      <w:r w:rsidR="00FB2CE7" w:rsidRPr="008725ED">
        <w:rPr>
          <w:rFonts w:eastAsia="MS Mincho"/>
          <w:snapToGrid w:val="0"/>
          <w:lang w:val="fr-FR" w:eastAsia="ja-JP"/>
        </w:rPr>
        <w:t xml:space="preserve">devait </w:t>
      </w:r>
      <w:r w:rsidRPr="008725ED">
        <w:rPr>
          <w:rFonts w:eastAsia="MS Mincho"/>
          <w:snapToGrid w:val="0"/>
          <w:lang w:val="fr-FR" w:eastAsia="ja-JP"/>
        </w:rPr>
        <w:t>être conservé.</w:t>
      </w:r>
    </w:p>
    <w:p w:rsidR="008C3126" w:rsidRPr="008725ED" w:rsidRDefault="008C3126" w:rsidP="00D87DB7">
      <w:pPr>
        <w:rPr>
          <w:rFonts w:eastAsia="MS Mincho"/>
          <w:snapToGrid w:val="0"/>
          <w:lang w:val="fr-FR" w:eastAsia="ja-JP"/>
        </w:rPr>
      </w:pPr>
    </w:p>
    <w:p w:rsidR="008C3126" w:rsidRPr="008725ED" w:rsidRDefault="00D87DB7" w:rsidP="00D87DB7">
      <w:pPr>
        <w:rPr>
          <w:rFonts w:eastAsia="MS Mincho"/>
          <w:snapToGrid w:val="0"/>
          <w:lang w:val="fr-FR" w:eastAsia="ja-JP"/>
        </w:rPr>
      </w:pPr>
      <w:r w:rsidRPr="008725ED">
        <w:rPr>
          <w:rFonts w:eastAsia="MS Mincho"/>
          <w:lang w:val="fr-FR"/>
        </w:rPr>
        <w:fldChar w:fldCharType="begin"/>
      </w:r>
      <w:r w:rsidRPr="008725ED">
        <w:rPr>
          <w:rFonts w:eastAsia="MS Mincho"/>
          <w:lang w:val="fr-FR"/>
        </w:rPr>
        <w:instrText xml:space="preserve"> AUTONUM  </w:instrText>
      </w:r>
      <w:r w:rsidRPr="008725ED">
        <w:rPr>
          <w:rFonts w:eastAsia="MS Mincho"/>
          <w:lang w:val="fr-FR"/>
        </w:rPr>
        <w:fldChar w:fldCharType="end"/>
      </w:r>
      <w:r w:rsidRPr="008725ED">
        <w:rPr>
          <w:rFonts w:eastAsia="MS Mincho"/>
          <w:lang w:val="fr-FR"/>
        </w:rPr>
        <w:tab/>
        <w:t>Le</w:t>
      </w:r>
      <w:r w:rsidR="00EF1779" w:rsidRPr="008725ED">
        <w:rPr>
          <w:rFonts w:eastAsia="MS Mincho"/>
          <w:lang w:val="fr-FR"/>
        </w:rPr>
        <w:t> TC</w:t>
      </w:r>
      <w:r w:rsidR="00344B0C" w:rsidRPr="008725ED">
        <w:rPr>
          <w:rFonts w:eastAsia="MS Mincho"/>
          <w:lang w:val="fr-FR"/>
        </w:rPr>
        <w:t xml:space="preserve"> a noté </w:t>
      </w:r>
      <w:r w:rsidRPr="008725ED">
        <w:rPr>
          <w:rFonts w:eastAsia="MS Mincho"/>
          <w:lang w:val="fr-FR"/>
        </w:rPr>
        <w:t>que les propositions formulées par le</w:t>
      </w:r>
      <w:r w:rsidR="00EF1779" w:rsidRPr="008725ED">
        <w:rPr>
          <w:rFonts w:eastAsia="MS Mincho"/>
          <w:lang w:val="fr-FR"/>
        </w:rPr>
        <w:t> TC</w:t>
      </w:r>
      <w:r w:rsidRPr="008725ED">
        <w:rPr>
          <w:rFonts w:eastAsia="MS Mincho"/>
          <w:lang w:val="fr-FR"/>
        </w:rPr>
        <w:t>, à sa cinquante</w:t>
      </w:r>
      <w:r w:rsidR="00EF1779" w:rsidRPr="008725ED">
        <w:rPr>
          <w:rFonts w:eastAsia="MS Mincho"/>
          <w:lang w:val="fr-FR"/>
        </w:rPr>
        <w:t>-</w:t>
      </w:r>
      <w:r w:rsidRPr="008725ED">
        <w:rPr>
          <w:rFonts w:eastAsia="MS Mincho"/>
          <w:lang w:val="fr-FR"/>
        </w:rPr>
        <w:t>trois</w:t>
      </w:r>
      <w:r w:rsidR="00EF1779" w:rsidRPr="008725ED">
        <w:rPr>
          <w:rFonts w:eastAsia="MS Mincho"/>
          <w:lang w:val="fr-FR"/>
        </w:rPr>
        <w:t>ième session</w:t>
      </w:r>
      <w:r w:rsidRPr="008725ED">
        <w:rPr>
          <w:rFonts w:eastAsia="MS Mincho"/>
          <w:lang w:val="fr-FR"/>
        </w:rPr>
        <w:t>, au sujet de la révis</w:t>
      </w:r>
      <w:r w:rsidR="00FB2CE7" w:rsidRPr="008725ED">
        <w:rPr>
          <w:rFonts w:eastAsia="MS Mincho"/>
          <w:lang w:val="fr-FR"/>
        </w:rPr>
        <w:t>ion du document UPOV/INF/22 seraie</w:t>
      </w:r>
      <w:r w:rsidRPr="008725ED">
        <w:rPr>
          <w:rFonts w:eastAsia="MS Mincho"/>
          <w:lang w:val="fr-FR"/>
        </w:rPr>
        <w:t>nt communiquées au CAJ à sa soixante</w:t>
      </w:r>
      <w:r w:rsidR="00EF1779" w:rsidRPr="008725ED">
        <w:rPr>
          <w:rFonts w:eastAsia="MS Mincho"/>
          <w:lang w:val="fr-FR"/>
        </w:rPr>
        <w:t>-</w:t>
      </w:r>
      <w:r w:rsidRPr="008725ED">
        <w:rPr>
          <w:rFonts w:eastAsia="MS Mincho"/>
          <w:lang w:val="fr-FR"/>
        </w:rPr>
        <w:t>quatorz</w:t>
      </w:r>
      <w:r w:rsidR="00EF1779" w:rsidRPr="008725ED">
        <w:rPr>
          <w:rFonts w:eastAsia="MS Mincho"/>
          <w:lang w:val="fr-FR"/>
        </w:rPr>
        <w:t>ième session</w:t>
      </w:r>
      <w:r w:rsidRPr="008725ED">
        <w:rPr>
          <w:rFonts w:eastAsia="MS Mincho"/>
          <w:lang w:val="fr-FR"/>
        </w:rPr>
        <w:t>, et que, sous réserve de l</w:t>
      </w:r>
      <w:r w:rsidR="00EF1779" w:rsidRPr="008725ED">
        <w:rPr>
          <w:rFonts w:eastAsia="MS Mincho"/>
          <w:lang w:val="fr-FR"/>
        </w:rPr>
        <w:t>’</w:t>
      </w:r>
      <w:r w:rsidRPr="008725ED">
        <w:rPr>
          <w:rFonts w:eastAsia="MS Mincho"/>
          <w:lang w:val="fr-FR"/>
        </w:rPr>
        <w:t>accord du CAJ, un projet du document UPOV/INF/22/4 sera</w:t>
      </w:r>
      <w:r w:rsidR="00FB2CE7" w:rsidRPr="008725ED">
        <w:rPr>
          <w:rFonts w:eastAsia="MS Mincho"/>
          <w:lang w:val="fr-FR"/>
        </w:rPr>
        <w:t>it</w:t>
      </w:r>
      <w:r w:rsidRPr="008725ED">
        <w:rPr>
          <w:rFonts w:eastAsia="MS Mincho"/>
          <w:lang w:val="fr-FR"/>
        </w:rPr>
        <w:t xml:space="preserve"> présenté au Conseil pour adoption à sa cinquante</w:t>
      </w:r>
      <w:r w:rsidR="00EF1779" w:rsidRPr="008725ED">
        <w:rPr>
          <w:rFonts w:eastAsia="MS Mincho"/>
          <w:lang w:val="fr-FR"/>
        </w:rPr>
        <w:t> et unième session</w:t>
      </w:r>
      <w:r w:rsidRPr="008725ED">
        <w:rPr>
          <w:rFonts w:eastAsia="MS Mincho"/>
          <w:lang w:val="fr-FR"/>
        </w:rPr>
        <w:t xml:space="preserve"> ordinaire, qui se tiendra</w:t>
      </w:r>
      <w:r w:rsidR="00FB2CE7" w:rsidRPr="008725ED">
        <w:rPr>
          <w:rFonts w:eastAsia="MS Mincho"/>
          <w:lang w:val="fr-FR"/>
        </w:rPr>
        <w:t>it</w:t>
      </w:r>
      <w:r w:rsidRPr="008725ED">
        <w:rPr>
          <w:rFonts w:eastAsia="MS Mincho"/>
          <w:lang w:val="fr-FR"/>
        </w:rPr>
        <w:t xml:space="preserve"> le 26 octobre 2017.</w:t>
      </w:r>
    </w:p>
    <w:p w:rsidR="008C3126" w:rsidRPr="008725ED" w:rsidRDefault="008C3126" w:rsidP="00D87DB7">
      <w:pPr>
        <w:spacing w:line="360" w:lineRule="auto"/>
        <w:rPr>
          <w:snapToGrid w:val="0"/>
          <w:lang w:val="fr-FR" w:eastAsia="ja-JP"/>
        </w:rPr>
      </w:pPr>
    </w:p>
    <w:p w:rsidR="008C3126" w:rsidRPr="008725ED" w:rsidRDefault="00D87DB7" w:rsidP="00D87DB7">
      <w:pPr>
        <w:pStyle w:val="Heading3"/>
      </w:pPr>
      <w:bookmarkStart w:id="16" w:name="_Toc494207954"/>
      <w:r w:rsidRPr="008725ED">
        <w:t>Bases de données sur les descriptions variétales</w:t>
      </w:r>
      <w:bookmarkEnd w:id="16"/>
    </w:p>
    <w:p w:rsidR="008C3126" w:rsidRPr="008725ED" w:rsidRDefault="008C3126" w:rsidP="00D87DB7">
      <w:pPr>
        <w:keepNext/>
        <w:ind w:left="567" w:hanging="567"/>
        <w:rPr>
          <w:lang w:val="fr-FR"/>
        </w:rPr>
      </w:pPr>
    </w:p>
    <w:p w:rsidR="008C3126" w:rsidRPr="008725ED" w:rsidRDefault="00D87DB7" w:rsidP="00D87DB7">
      <w:pPr>
        <w:rPr>
          <w:snapToGrid w:val="0"/>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examiné </w:t>
      </w:r>
      <w:r w:rsidRPr="008725ED">
        <w:rPr>
          <w:lang w:val="fr-FR"/>
        </w:rPr>
        <w:t xml:space="preserve">le </w:t>
      </w:r>
      <w:r w:rsidR="00EF1779" w:rsidRPr="008725ED">
        <w:rPr>
          <w:lang w:val="fr-FR"/>
        </w:rPr>
        <w:t>document TC</w:t>
      </w:r>
      <w:r w:rsidRPr="008725ED">
        <w:rPr>
          <w:snapToGrid w:val="0"/>
          <w:lang w:val="fr-FR"/>
        </w:rPr>
        <w:t>/53/9.</w:t>
      </w:r>
    </w:p>
    <w:p w:rsidR="008C3126" w:rsidRPr="008725ED" w:rsidRDefault="008C3126" w:rsidP="00D87DB7">
      <w:pPr>
        <w:rPr>
          <w:snapToGrid w:val="0"/>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pris note </w:t>
      </w:r>
      <w:r w:rsidRPr="008725ED">
        <w:rPr>
          <w:lang w:val="fr-FR"/>
        </w:rPr>
        <w:t xml:space="preserve">des exposés sur les bases de données présentées aux sessions </w:t>
      </w:r>
      <w:r w:rsidRPr="008725ED">
        <w:rPr>
          <w:rFonts w:eastAsia="Arial Unicode MS" w:cs="Arial Unicode MS"/>
          <w:lang w:val="fr-FR"/>
        </w:rPr>
        <w:t xml:space="preserve">de 2016 </w:t>
      </w:r>
      <w:r w:rsidRPr="008725ED">
        <w:rPr>
          <w:lang w:val="fr-FR"/>
        </w:rPr>
        <w:t>du</w:t>
      </w:r>
      <w:r w:rsidRPr="008725ED">
        <w:rPr>
          <w:rFonts w:eastAsia="Arial Unicode MS" w:cs="Arial Unicode MS"/>
          <w:lang w:val="fr-FR"/>
        </w:rPr>
        <w:t> </w:t>
      </w:r>
      <w:r w:rsidRPr="008725ED">
        <w:rPr>
          <w:lang w:val="fr-FR"/>
        </w:rPr>
        <w:t>BMT,</w:t>
      </w:r>
      <w:r w:rsidRPr="008725ED">
        <w:rPr>
          <w:rFonts w:eastAsia="Arial Unicode MS" w:cs="Arial Unicode MS"/>
          <w:lang w:val="fr-FR"/>
        </w:rPr>
        <w:t xml:space="preserve"> du TWC et du TWV, comme indiqué aux paragraphes 9 à 35 du </w:t>
      </w:r>
      <w:r w:rsidR="00EF1779" w:rsidRPr="008725ED">
        <w:rPr>
          <w:rFonts w:eastAsia="Arial Unicode MS" w:cs="Arial Unicode MS"/>
          <w:lang w:val="fr-FR"/>
        </w:rPr>
        <w:t>document TC</w:t>
      </w:r>
      <w:r w:rsidRPr="008725ED">
        <w:rPr>
          <w:snapToGrid w:val="0"/>
          <w:lang w:val="fr-FR"/>
        </w:rPr>
        <w:t>/53/9</w:t>
      </w:r>
      <w:r w:rsidRPr="008725ED">
        <w:rPr>
          <w:lang w:val="fr-FR"/>
        </w:rPr>
        <w:t>.</w:t>
      </w:r>
    </w:p>
    <w:p w:rsidR="008C3126" w:rsidRPr="008725ED" w:rsidRDefault="008C3126" w:rsidP="00D87DB7">
      <w:pPr>
        <w:rPr>
          <w:rFonts w:eastAsia="Arial Unicode MS" w:cs="Arial Unicode MS"/>
          <w:lang w:val="fr-FR"/>
        </w:rPr>
      </w:pPr>
    </w:p>
    <w:p w:rsidR="008C3126" w:rsidRPr="008725ED" w:rsidRDefault="00D87DB7" w:rsidP="00D87DB7">
      <w:pPr>
        <w:rPr>
          <w:rFonts w:eastAsia="Arial Unicode MS" w:cs="Arial Unicode MS"/>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00344B0C" w:rsidRPr="008725ED">
        <w:rPr>
          <w:lang w:val="fr-FR"/>
        </w:rPr>
        <w:t xml:space="preserve"> a noté </w:t>
      </w:r>
      <w:r w:rsidRPr="008725ED">
        <w:rPr>
          <w:lang w:val="fr-FR"/>
        </w:rPr>
        <w:t>que le TWC a appelé les membres à faire part de leurs expériences en matière de mise au point de bases de données, lors de sa trente</w:t>
      </w:r>
      <w:r w:rsidR="00EF1779" w:rsidRPr="008725ED">
        <w:rPr>
          <w:lang w:val="fr-FR"/>
        </w:rPr>
        <w:t>-</w:t>
      </w:r>
      <w:r w:rsidRPr="008725ED">
        <w:rPr>
          <w:lang w:val="fr-FR"/>
        </w:rPr>
        <w:t>cinqu</w:t>
      </w:r>
      <w:r w:rsidR="00EF1779" w:rsidRPr="008725ED">
        <w:rPr>
          <w:lang w:val="fr-FR"/>
        </w:rPr>
        <w:t>ième session</w:t>
      </w:r>
      <w:r w:rsidRPr="008725ED">
        <w:rPr>
          <w:lang w:val="fr-FR"/>
        </w:rPr>
        <w:t>.</w:t>
      </w:r>
    </w:p>
    <w:p w:rsidR="008C3126" w:rsidRPr="008725ED" w:rsidRDefault="008C3126" w:rsidP="00D87DB7">
      <w:pPr>
        <w:rPr>
          <w:lang w:val="fr-FR"/>
        </w:rPr>
      </w:pPr>
    </w:p>
    <w:p w:rsidR="008C3126" w:rsidRPr="008725ED" w:rsidRDefault="00D87DB7" w:rsidP="00D87DB7">
      <w:pPr>
        <w:rPr>
          <w:rFonts w:eastAsia="Arial Unicode MS" w:cs="Arial Unicode MS"/>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00344B0C" w:rsidRPr="008725ED">
        <w:rPr>
          <w:lang w:val="fr-FR"/>
        </w:rPr>
        <w:t xml:space="preserve"> a noté </w:t>
      </w:r>
      <w:r w:rsidRPr="008725ED">
        <w:rPr>
          <w:lang w:val="fr-FR"/>
        </w:rPr>
        <w:t xml:space="preserve">que le BMT </w:t>
      </w:r>
      <w:r w:rsidR="00FB2CE7" w:rsidRPr="008725ED">
        <w:rPr>
          <w:lang w:val="fr-FR"/>
        </w:rPr>
        <w:t>était</w:t>
      </w:r>
      <w:r w:rsidRPr="008725ED">
        <w:rPr>
          <w:lang w:val="fr-FR"/>
        </w:rPr>
        <w:t xml:space="preserve"> convenu qu</w:t>
      </w:r>
      <w:r w:rsidR="00EF1779" w:rsidRPr="008725ED">
        <w:rPr>
          <w:lang w:val="fr-FR"/>
        </w:rPr>
        <w:t>’</w:t>
      </w:r>
      <w:r w:rsidRPr="008725ED">
        <w:rPr>
          <w:lang w:val="fr-FR"/>
        </w:rPr>
        <w:t>il était important pour l</w:t>
      </w:r>
      <w:r w:rsidR="00EF1779" w:rsidRPr="008725ED">
        <w:rPr>
          <w:lang w:val="fr-FR"/>
        </w:rPr>
        <w:t>’</w:t>
      </w:r>
      <w:r w:rsidRPr="008725ED">
        <w:rPr>
          <w:lang w:val="fr-FR"/>
        </w:rPr>
        <w:t>UPOV de prendre en considération la facilitation de la coopération en vue de la mise en place de bases de données moléculaires communes, mais que celle</w:t>
      </w:r>
      <w:r w:rsidR="00EF1779" w:rsidRPr="008725ED">
        <w:rPr>
          <w:lang w:val="fr-FR"/>
        </w:rPr>
        <w:t>-</w:t>
      </w:r>
      <w:r w:rsidRPr="008725ED">
        <w:rPr>
          <w:lang w:val="fr-FR"/>
        </w:rPr>
        <w:t>ci devait être amorcée en premier lieu entre les membres de l</w:t>
      </w:r>
      <w:r w:rsidR="00EF1779" w:rsidRPr="008725ED">
        <w:rPr>
          <w:lang w:val="fr-FR"/>
        </w:rPr>
        <w:t>’</w:t>
      </w:r>
      <w:r w:rsidRPr="008725ED">
        <w:rPr>
          <w:lang w:val="fr-FR"/>
        </w:rPr>
        <w:t>UPOV, tel qu</w:t>
      </w:r>
      <w:r w:rsidR="00EF1779" w:rsidRPr="008725ED">
        <w:rPr>
          <w:lang w:val="fr-FR"/>
        </w:rPr>
        <w:t>’</w:t>
      </w:r>
      <w:r w:rsidRPr="008725ED">
        <w:rPr>
          <w:lang w:val="fr-FR"/>
        </w:rPr>
        <w:t xml:space="preserve">indiqué au paragraphe 10 du </w:t>
      </w:r>
      <w:r w:rsidR="00EF1779" w:rsidRPr="008725ED">
        <w:rPr>
          <w:lang w:val="fr-FR"/>
        </w:rPr>
        <w:t>document TC</w:t>
      </w:r>
      <w:r w:rsidRPr="008725ED">
        <w:rPr>
          <w:lang w:val="fr-FR"/>
        </w:rPr>
        <w:t>/53/9.</w:t>
      </w:r>
    </w:p>
    <w:p w:rsidR="008C3126" w:rsidRPr="008725ED" w:rsidRDefault="008C3126" w:rsidP="00D87DB7">
      <w:pPr>
        <w:rPr>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pris note </w:t>
      </w:r>
      <w:r w:rsidRPr="008725ED">
        <w:rPr>
          <w:lang w:val="fr-FR"/>
        </w:rPr>
        <w:t>de la série d</w:t>
      </w:r>
      <w:r w:rsidR="00EF1779" w:rsidRPr="008725ED">
        <w:rPr>
          <w:lang w:val="fr-FR"/>
        </w:rPr>
        <w:t>’</w:t>
      </w:r>
      <w:r w:rsidRPr="008725ED">
        <w:rPr>
          <w:lang w:val="fr-FR"/>
        </w:rPr>
        <w:t xml:space="preserve">enjeux relatifs à la création de bases de données communes contenant des informations moléculaires et </w:t>
      </w:r>
      <w:r w:rsidR="00344B0C" w:rsidRPr="008725ED">
        <w:rPr>
          <w:lang w:val="fr-FR"/>
        </w:rPr>
        <w:t>est convenu</w:t>
      </w:r>
      <w:r w:rsidR="00FB2CE7" w:rsidRPr="008725ED">
        <w:rPr>
          <w:lang w:val="fr-FR"/>
        </w:rPr>
        <w:t xml:space="preserve"> que l</w:t>
      </w:r>
      <w:r w:rsidR="00EF1779" w:rsidRPr="008725ED">
        <w:rPr>
          <w:lang w:val="fr-FR"/>
        </w:rPr>
        <w:t>’</w:t>
      </w:r>
      <w:r w:rsidR="00FB2CE7" w:rsidRPr="008725ED">
        <w:rPr>
          <w:lang w:val="fr-FR"/>
        </w:rPr>
        <w:t>UPOV dev</w:t>
      </w:r>
      <w:r w:rsidRPr="008725ED">
        <w:rPr>
          <w:lang w:val="fr-FR"/>
        </w:rPr>
        <w:t>ait être en mesure de faciliter la coopération dans ce domaine en fournissant une formation et en partageant les informations.</w:t>
      </w:r>
    </w:p>
    <w:p w:rsidR="008C3126" w:rsidRPr="008725ED" w:rsidRDefault="008C3126" w:rsidP="00D87DB7">
      <w:pPr>
        <w:ind w:left="567" w:hanging="567"/>
        <w:rPr>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est convenu</w:t>
      </w:r>
      <w:r w:rsidRPr="008725ED">
        <w:rPr>
          <w:lang w:val="fr-FR"/>
        </w:rPr>
        <w:t xml:space="preserve"> de demander au Bureau de l</w:t>
      </w:r>
      <w:r w:rsidR="00EF1779" w:rsidRPr="008725ED">
        <w:rPr>
          <w:lang w:val="fr-FR"/>
        </w:rPr>
        <w:t>’</w:t>
      </w:r>
      <w:r w:rsidRPr="008725ED">
        <w:rPr>
          <w:lang w:val="fr-FR"/>
        </w:rPr>
        <w:t>Union de recueillir des données sur les bases de données existantes contenant des données morphologiques ou moléculair</w:t>
      </w:r>
      <w:r w:rsidR="00D43219" w:rsidRPr="008725ED">
        <w:rPr>
          <w:lang w:val="fr-FR"/>
        </w:rPr>
        <w:t>es.  Le</w:t>
      </w:r>
      <w:r w:rsidR="00EF1779" w:rsidRPr="008725ED">
        <w:rPr>
          <w:lang w:val="fr-FR"/>
        </w:rPr>
        <w:t> TC</w:t>
      </w:r>
      <w:r w:rsidRPr="008725ED">
        <w:rPr>
          <w:lang w:val="fr-FR"/>
        </w:rPr>
        <w:t xml:space="preserve"> </w:t>
      </w:r>
      <w:r w:rsidR="00344B0C" w:rsidRPr="008725ED">
        <w:rPr>
          <w:lang w:val="fr-FR"/>
        </w:rPr>
        <w:t>est convenu</w:t>
      </w:r>
      <w:r w:rsidRPr="008725ED">
        <w:rPr>
          <w:lang w:val="fr-FR"/>
        </w:rPr>
        <w:t xml:space="preserve"> que les informations recueillies </w:t>
      </w:r>
      <w:r w:rsidR="00FB2CE7" w:rsidRPr="008725ED">
        <w:rPr>
          <w:lang w:val="fr-FR"/>
        </w:rPr>
        <w:t>devaient</w:t>
      </w:r>
      <w:r w:rsidRPr="008725ED">
        <w:rPr>
          <w:lang w:val="fr-FR"/>
        </w:rPr>
        <w:t xml:space="preserve"> être intégrées dans la base de données GENIE et </w:t>
      </w:r>
      <w:r w:rsidR="00FB2CE7" w:rsidRPr="008725ED">
        <w:rPr>
          <w:lang w:val="fr-FR"/>
        </w:rPr>
        <w:t>a demandé</w:t>
      </w:r>
      <w:r w:rsidRPr="008725ED">
        <w:rPr>
          <w:lang w:val="fr-FR"/>
        </w:rPr>
        <w:t xml:space="preserve"> au Bureau de l</w:t>
      </w:r>
      <w:r w:rsidR="00EF1779" w:rsidRPr="008725ED">
        <w:rPr>
          <w:lang w:val="fr-FR"/>
        </w:rPr>
        <w:t>’</w:t>
      </w:r>
      <w:r w:rsidRPr="008725ED">
        <w:rPr>
          <w:lang w:val="fr-FR"/>
        </w:rPr>
        <w:t>Union de planifier la modification de la base de données GENIE conformément aux ressources disponibles.</w:t>
      </w:r>
    </w:p>
    <w:p w:rsidR="008C3126" w:rsidRPr="008725ED" w:rsidRDefault="008C3126" w:rsidP="00D87DB7">
      <w:pPr>
        <w:ind w:left="567" w:hanging="567"/>
        <w:rPr>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00344B0C" w:rsidRPr="008725ED">
        <w:rPr>
          <w:lang w:val="fr-FR"/>
        </w:rPr>
        <w:t xml:space="preserve"> a noté </w:t>
      </w:r>
      <w:r w:rsidRPr="008725ED">
        <w:rPr>
          <w:lang w:val="fr-FR"/>
        </w:rPr>
        <w:t>que les obtenteurs et les institutions universitaires dispos</w:t>
      </w:r>
      <w:r w:rsidR="00FB2CE7" w:rsidRPr="008725ED">
        <w:rPr>
          <w:lang w:val="fr-FR"/>
        </w:rPr>
        <w:t>ai</w:t>
      </w:r>
      <w:r w:rsidRPr="008725ED">
        <w:rPr>
          <w:lang w:val="fr-FR"/>
        </w:rPr>
        <w:t>ent d</w:t>
      </w:r>
      <w:r w:rsidR="00EF1779" w:rsidRPr="008725ED">
        <w:rPr>
          <w:lang w:val="fr-FR"/>
        </w:rPr>
        <w:t>’</w:t>
      </w:r>
      <w:r w:rsidRPr="008725ED">
        <w:rPr>
          <w:lang w:val="fr-FR"/>
        </w:rPr>
        <w:t xml:space="preserve">une vaste expérience en matière de constitution et de tenue à jour de bases de données et </w:t>
      </w:r>
      <w:r w:rsidR="00FB2CE7" w:rsidRPr="008725ED">
        <w:rPr>
          <w:lang w:val="fr-FR"/>
        </w:rPr>
        <w:t>a reconnu</w:t>
      </w:r>
      <w:r w:rsidRPr="008725ED">
        <w:rPr>
          <w:lang w:val="fr-FR"/>
        </w:rPr>
        <w:t xml:space="preserve"> l</w:t>
      </w:r>
      <w:r w:rsidR="00EF1779" w:rsidRPr="008725ED">
        <w:rPr>
          <w:lang w:val="fr-FR"/>
        </w:rPr>
        <w:t>’</w:t>
      </w:r>
      <w:r w:rsidRPr="008725ED">
        <w:rPr>
          <w:lang w:val="fr-FR"/>
        </w:rPr>
        <w:t>intérêt de les inviter à contribuer aux travaux de l</w:t>
      </w:r>
      <w:r w:rsidR="00EF1779" w:rsidRPr="008725ED">
        <w:rPr>
          <w:lang w:val="fr-FR"/>
        </w:rPr>
        <w:t>’</w:t>
      </w:r>
      <w:r w:rsidRPr="008725ED">
        <w:rPr>
          <w:lang w:val="fr-FR"/>
        </w:rPr>
        <w:t>UPOV à ce sujet.</w:t>
      </w:r>
    </w:p>
    <w:p w:rsidR="008C3126" w:rsidRPr="008725ED" w:rsidRDefault="008C3126" w:rsidP="00D87DB7">
      <w:pPr>
        <w:ind w:left="567" w:hanging="567"/>
        <w:rPr>
          <w:lang w:val="fr-FR"/>
        </w:rPr>
      </w:pPr>
    </w:p>
    <w:p w:rsidR="008C3126" w:rsidRPr="008725ED" w:rsidRDefault="00D87DB7" w:rsidP="00D87DB7">
      <w:pPr>
        <w:rPr>
          <w:rFonts w:eastAsia="Arial Unicode MS" w:cs="Arial Unicode MS"/>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rFonts w:eastAsia="Arial Unicode MS" w:cs="Arial Unicode MS"/>
          <w:lang w:val="fr-FR"/>
        </w:rPr>
        <w:t>est convenu</w:t>
      </w:r>
      <w:r w:rsidRPr="008725ED">
        <w:rPr>
          <w:rFonts w:eastAsia="Arial Unicode MS" w:cs="Arial Unicode MS"/>
          <w:lang w:val="fr-FR"/>
        </w:rPr>
        <w:t xml:space="preserve"> que les orientations sur le matériel végétal figurant dans la sectio</w:t>
      </w:r>
      <w:r w:rsidR="00AD0F5A" w:rsidRPr="008725ED">
        <w:rPr>
          <w:rFonts w:eastAsia="Arial Unicode MS" w:cs="Arial Unicode MS"/>
          <w:lang w:val="fr-FR"/>
        </w:rPr>
        <w:t>n 1 du document UPOV/TGP/5 pouv</w:t>
      </w:r>
      <w:r w:rsidRPr="008725ED">
        <w:rPr>
          <w:rFonts w:eastAsia="Arial Unicode MS" w:cs="Arial Unicode MS"/>
          <w:lang w:val="fr-FR"/>
        </w:rPr>
        <w:t xml:space="preserve">aient aussi constituer une base appropriée pour les données moléculaires et </w:t>
      </w:r>
      <w:r w:rsidR="00AD0F5A" w:rsidRPr="008725ED">
        <w:rPr>
          <w:rFonts w:eastAsia="Arial Unicode MS" w:cs="Arial Unicode MS"/>
          <w:lang w:val="fr-FR"/>
        </w:rPr>
        <w:t xml:space="preserve">a </w:t>
      </w:r>
      <w:r w:rsidRPr="008725ED">
        <w:rPr>
          <w:rFonts w:eastAsia="Arial Unicode MS" w:cs="Arial Unicode MS"/>
          <w:lang w:val="fr-FR"/>
        </w:rPr>
        <w:t>demand</w:t>
      </w:r>
      <w:r w:rsidR="00AD0F5A" w:rsidRPr="008725ED">
        <w:rPr>
          <w:rFonts w:eastAsia="Arial Unicode MS" w:cs="Arial Unicode MS"/>
          <w:lang w:val="fr-FR"/>
        </w:rPr>
        <w:t>é</w:t>
      </w:r>
      <w:r w:rsidRPr="008725ED">
        <w:rPr>
          <w:rFonts w:eastAsia="Arial Unicode MS" w:cs="Arial Unicode MS"/>
          <w:lang w:val="fr-FR"/>
        </w:rPr>
        <w:t xml:space="preserve"> au Bureau de l</w:t>
      </w:r>
      <w:r w:rsidR="00EF1779" w:rsidRPr="008725ED">
        <w:rPr>
          <w:rFonts w:eastAsia="Arial Unicode MS" w:cs="Arial Unicode MS"/>
          <w:lang w:val="fr-FR"/>
        </w:rPr>
        <w:t>’</w:t>
      </w:r>
      <w:r w:rsidRPr="008725ED">
        <w:rPr>
          <w:rFonts w:eastAsia="Arial Unicode MS" w:cs="Arial Unicode MS"/>
          <w:lang w:val="fr-FR"/>
        </w:rPr>
        <w:t>Union de proposer des orientations sur la confidentialité des informations moléculaires aux fins de leur inclusion dans la section 1 du document UPOV/TGP/5, sur cette base.</w:t>
      </w:r>
    </w:p>
    <w:p w:rsidR="008C3126" w:rsidRPr="008725ED" w:rsidRDefault="008C3126" w:rsidP="00D87DB7">
      <w:pPr>
        <w:ind w:left="567" w:hanging="567"/>
        <w:rPr>
          <w:lang w:val="fr-FR"/>
        </w:rPr>
      </w:pPr>
    </w:p>
    <w:p w:rsidR="008C3126" w:rsidRPr="008725ED" w:rsidRDefault="008C3126" w:rsidP="00D87DB7">
      <w:pPr>
        <w:ind w:left="567" w:hanging="567"/>
        <w:rPr>
          <w:lang w:val="fr-FR"/>
        </w:rPr>
      </w:pPr>
    </w:p>
    <w:p w:rsidR="008C3126" w:rsidRPr="008725ED" w:rsidRDefault="00D87DB7" w:rsidP="00D87DB7">
      <w:pPr>
        <w:pStyle w:val="Heading2"/>
        <w:rPr>
          <w:lang w:val="fr-FR"/>
        </w:rPr>
      </w:pPr>
      <w:bookmarkStart w:id="17" w:name="_Toc494207955"/>
      <w:r w:rsidRPr="008725ED">
        <w:rPr>
          <w:lang w:val="fr-FR"/>
        </w:rPr>
        <w:t>Nombre de cycles de végétation</w:t>
      </w:r>
      <w:bookmarkEnd w:id="17"/>
    </w:p>
    <w:p w:rsidR="008C3126" w:rsidRPr="008725ED" w:rsidRDefault="008C3126" w:rsidP="00D87DB7">
      <w:pPr>
        <w:keepNext/>
        <w:ind w:left="567" w:hanging="567"/>
        <w:rPr>
          <w:lang w:val="fr-FR"/>
        </w:rPr>
      </w:pPr>
    </w:p>
    <w:p w:rsidR="008C3126" w:rsidRPr="008725ED" w:rsidRDefault="00D87DB7" w:rsidP="00D87DB7">
      <w:pPr>
        <w:keepNext/>
        <w:rPr>
          <w:snapToGrid w:val="0"/>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examiné </w:t>
      </w:r>
      <w:r w:rsidRPr="008725ED">
        <w:rPr>
          <w:lang w:val="fr-FR"/>
        </w:rPr>
        <w:t xml:space="preserve">le </w:t>
      </w:r>
      <w:r w:rsidR="00EF1779" w:rsidRPr="008725ED">
        <w:rPr>
          <w:lang w:val="fr-FR"/>
        </w:rPr>
        <w:t>document TC</w:t>
      </w:r>
      <w:r w:rsidRPr="008725ED">
        <w:rPr>
          <w:snapToGrid w:val="0"/>
          <w:lang w:val="fr-FR"/>
        </w:rPr>
        <w:t>/53/21.</w:t>
      </w:r>
    </w:p>
    <w:p w:rsidR="008C3126" w:rsidRPr="008725ED" w:rsidRDefault="008C3126" w:rsidP="00D87DB7">
      <w:pPr>
        <w:rPr>
          <w:snapToGrid w:val="0"/>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r>
      <w:r w:rsidRPr="008725ED">
        <w:rPr>
          <w:rFonts w:cs="Arial"/>
          <w:lang w:val="fr-FR"/>
        </w:rPr>
        <w:t>Le</w:t>
      </w:r>
      <w:r w:rsidR="00EF1779" w:rsidRPr="008725ED">
        <w:rPr>
          <w:rFonts w:cs="Arial"/>
          <w:lang w:val="fr-FR"/>
        </w:rPr>
        <w:t> TC</w:t>
      </w:r>
      <w:r w:rsidRPr="008725ED">
        <w:rPr>
          <w:rFonts w:cs="Arial"/>
          <w:lang w:val="fr-FR"/>
        </w:rPr>
        <w:t xml:space="preserve"> </w:t>
      </w:r>
      <w:r w:rsidR="00344B0C" w:rsidRPr="008725ED">
        <w:rPr>
          <w:rFonts w:cs="Arial"/>
          <w:lang w:val="fr-FR"/>
        </w:rPr>
        <w:t xml:space="preserve">a examiné </w:t>
      </w:r>
      <w:r w:rsidRPr="008725ED">
        <w:rPr>
          <w:rFonts w:cs="Arial"/>
          <w:lang w:val="fr-FR"/>
        </w:rPr>
        <w:t xml:space="preserve">les exposés présentés par les experts aux </w:t>
      </w:r>
      <w:r w:rsidR="00AD0F5A" w:rsidRPr="008725ED">
        <w:rPr>
          <w:rFonts w:cs="Arial"/>
          <w:lang w:val="fr-FR"/>
        </w:rPr>
        <w:t>sessions du TWP en 2016, simulant</w:t>
      </w:r>
      <w:r w:rsidRPr="008725ED">
        <w:rPr>
          <w:rFonts w:cs="Arial"/>
          <w:lang w:val="fr-FR"/>
        </w:rPr>
        <w:t xml:space="preserve"> l</w:t>
      </w:r>
      <w:r w:rsidR="00EF1779" w:rsidRPr="008725ED">
        <w:rPr>
          <w:rFonts w:cs="Arial"/>
          <w:lang w:val="fr-FR"/>
        </w:rPr>
        <w:t>’</w:t>
      </w:r>
      <w:r w:rsidRPr="008725ED">
        <w:rPr>
          <w:rFonts w:cs="Arial"/>
          <w:lang w:val="fr-FR"/>
        </w:rPr>
        <w:t xml:space="preserve">incidence du recours à différents nombres de cycles de végétation sur les décisions DHS sur la base de données réelles, comme indiqué aux annexes du </w:t>
      </w:r>
      <w:r w:rsidR="00EF1779" w:rsidRPr="008725ED">
        <w:rPr>
          <w:rFonts w:cs="Arial"/>
          <w:lang w:val="fr-FR"/>
        </w:rPr>
        <w:t>document TC</w:t>
      </w:r>
      <w:r w:rsidRPr="008725ED">
        <w:rPr>
          <w:rFonts w:cs="Arial"/>
          <w:lang w:val="fr-FR"/>
        </w:rPr>
        <w:t>/53/21.</w:t>
      </w:r>
    </w:p>
    <w:p w:rsidR="008C3126" w:rsidRPr="008725ED" w:rsidRDefault="008C3126" w:rsidP="00D87DB7">
      <w:pPr>
        <w:rPr>
          <w:rFonts w:cs="Arial"/>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r>
      <w:r w:rsidRPr="008725ED">
        <w:rPr>
          <w:rFonts w:cs="Arial"/>
          <w:lang w:val="fr-FR"/>
        </w:rPr>
        <w:t>Le</w:t>
      </w:r>
      <w:r w:rsidR="00EF1779" w:rsidRPr="008725ED">
        <w:rPr>
          <w:rFonts w:cs="Arial"/>
          <w:lang w:val="fr-FR"/>
        </w:rPr>
        <w:t> TC</w:t>
      </w:r>
      <w:r w:rsidRPr="008725ED">
        <w:rPr>
          <w:rFonts w:cs="Arial"/>
          <w:lang w:val="fr-FR"/>
        </w:rPr>
        <w:t xml:space="preserve"> </w:t>
      </w:r>
      <w:r w:rsidR="00344B0C" w:rsidRPr="008725ED">
        <w:rPr>
          <w:lang w:val="fr-FR"/>
        </w:rPr>
        <w:t xml:space="preserve">a pris note </w:t>
      </w:r>
      <w:r w:rsidRPr="008725ED">
        <w:rPr>
          <w:lang w:val="fr-FR"/>
        </w:rPr>
        <w:t xml:space="preserve">des propositions faites par les </w:t>
      </w:r>
      <w:r w:rsidRPr="008725ED">
        <w:rPr>
          <w:rFonts w:cs="Arial"/>
          <w:lang w:val="fr-FR"/>
        </w:rPr>
        <w:t>membres de l</w:t>
      </w:r>
      <w:r w:rsidR="00EF1779" w:rsidRPr="008725ED">
        <w:rPr>
          <w:rFonts w:cs="Arial"/>
          <w:lang w:val="fr-FR"/>
        </w:rPr>
        <w:t>’</w:t>
      </w:r>
      <w:r w:rsidRPr="008725ED">
        <w:rPr>
          <w:rFonts w:cs="Arial"/>
          <w:lang w:val="fr-FR"/>
        </w:rPr>
        <w:t xml:space="preserve">Union de présenter des exposés aux </w:t>
      </w:r>
      <w:r w:rsidRPr="008725ED">
        <w:rPr>
          <w:lang w:val="fr-FR"/>
        </w:rPr>
        <w:t>groupes de travail techniques</w:t>
      </w:r>
      <w:r w:rsidRPr="008725ED">
        <w:rPr>
          <w:rFonts w:cs="Arial"/>
          <w:lang w:val="fr-FR"/>
        </w:rPr>
        <w:t xml:space="preserve">, à leurs sessions de 2017, </w:t>
      </w:r>
      <w:r w:rsidRPr="008725ED">
        <w:rPr>
          <w:lang w:val="fr-FR"/>
        </w:rPr>
        <w:t xml:space="preserve">sur </w:t>
      </w:r>
      <w:r w:rsidRPr="008725ED">
        <w:rPr>
          <w:rFonts w:cs="Arial"/>
          <w:lang w:val="fr-FR"/>
        </w:rPr>
        <w:t>l</w:t>
      </w:r>
      <w:r w:rsidR="00EF1779" w:rsidRPr="008725ED">
        <w:rPr>
          <w:rFonts w:cs="Arial"/>
          <w:lang w:val="fr-FR"/>
        </w:rPr>
        <w:t>’</w:t>
      </w:r>
      <w:r w:rsidRPr="008725ED">
        <w:rPr>
          <w:rFonts w:cs="Arial"/>
          <w:lang w:val="fr-FR"/>
        </w:rPr>
        <w:t>incidence du recours à différents nombres de cycles de végétation sur les décisions DHS sur la base de données réelles</w:t>
      </w:r>
      <w:r w:rsidRPr="008725ED">
        <w:rPr>
          <w:lang w:val="fr-FR"/>
        </w:rPr>
        <w:t xml:space="preserve"> et </w:t>
      </w:r>
      <w:r w:rsidR="00344B0C" w:rsidRPr="008725ED">
        <w:rPr>
          <w:lang w:val="fr-FR"/>
        </w:rPr>
        <w:t>est convenu</w:t>
      </w:r>
      <w:r w:rsidRPr="008725ED">
        <w:rPr>
          <w:lang w:val="fr-FR"/>
        </w:rPr>
        <w:t xml:space="preserve"> d</w:t>
      </w:r>
      <w:r w:rsidR="00EF1779" w:rsidRPr="008725ED">
        <w:rPr>
          <w:lang w:val="fr-FR"/>
        </w:rPr>
        <w:t>’</w:t>
      </w:r>
      <w:r w:rsidRPr="008725ED">
        <w:rPr>
          <w:lang w:val="fr-FR"/>
        </w:rPr>
        <w:t>inviter les groupes de travail techniques à rendre compte au</w:t>
      </w:r>
      <w:r w:rsidR="00EF1779" w:rsidRPr="008725ED">
        <w:rPr>
          <w:lang w:val="fr-FR"/>
        </w:rPr>
        <w:t> TC</w:t>
      </w:r>
      <w:r w:rsidRPr="008725ED">
        <w:rPr>
          <w:lang w:val="fr-FR"/>
        </w:rPr>
        <w:t xml:space="preserve"> à sa session de 2018.</w:t>
      </w:r>
    </w:p>
    <w:p w:rsidR="008C3126" w:rsidRPr="008725ED" w:rsidRDefault="008C3126" w:rsidP="00D87DB7">
      <w:pPr>
        <w:rPr>
          <w:lang w:val="fr-FR"/>
        </w:rPr>
      </w:pPr>
    </w:p>
    <w:p w:rsidR="008C3126" w:rsidRPr="008725ED" w:rsidRDefault="00D87DB7" w:rsidP="00D87DB7">
      <w:pPr>
        <w:rPr>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Le</w:t>
      </w:r>
      <w:r w:rsidR="00EF1779" w:rsidRPr="008725ED">
        <w:rPr>
          <w:rFonts w:cs="Arial"/>
          <w:lang w:val="fr-FR"/>
        </w:rPr>
        <w:t> TC</w:t>
      </w:r>
      <w:r w:rsidRPr="008725ED">
        <w:rPr>
          <w:rFonts w:cs="Arial"/>
          <w:lang w:val="fr-FR"/>
        </w:rPr>
        <w:t xml:space="preserve"> </w:t>
      </w:r>
      <w:r w:rsidR="00344B0C" w:rsidRPr="008725ED">
        <w:rPr>
          <w:lang w:val="fr-FR"/>
        </w:rPr>
        <w:t xml:space="preserve">a pris note </w:t>
      </w:r>
      <w:r w:rsidRPr="008725ED">
        <w:rPr>
          <w:lang w:val="fr-FR"/>
        </w:rPr>
        <w:t>de l</w:t>
      </w:r>
      <w:r w:rsidR="00EF1779" w:rsidRPr="008725ED">
        <w:rPr>
          <w:lang w:val="fr-FR"/>
        </w:rPr>
        <w:t>’</w:t>
      </w:r>
      <w:r w:rsidRPr="008725ED">
        <w:rPr>
          <w:lang w:val="fr-FR"/>
        </w:rPr>
        <w:t>intérêt manifesté par les services vis</w:t>
      </w:r>
      <w:r w:rsidR="00EF1779" w:rsidRPr="008725ED">
        <w:rPr>
          <w:lang w:val="fr-FR"/>
        </w:rPr>
        <w:t>-</w:t>
      </w:r>
      <w:r w:rsidRPr="008725ED">
        <w:rPr>
          <w:lang w:val="fr-FR"/>
        </w:rPr>
        <w:t>à</w:t>
      </w:r>
      <w:r w:rsidR="00EF1779" w:rsidRPr="008725ED">
        <w:rPr>
          <w:lang w:val="fr-FR"/>
        </w:rPr>
        <w:t>-</w:t>
      </w:r>
      <w:r w:rsidRPr="008725ED">
        <w:rPr>
          <w:lang w:val="fr-FR"/>
        </w:rPr>
        <w:t>vis d</w:t>
      </w:r>
      <w:r w:rsidR="00EF1779" w:rsidRPr="008725ED">
        <w:rPr>
          <w:lang w:val="fr-FR"/>
        </w:rPr>
        <w:t>’</w:t>
      </w:r>
      <w:r w:rsidRPr="008725ED">
        <w:rPr>
          <w:lang w:val="fr-FR"/>
        </w:rPr>
        <w:t>une réduction des coûts associée à l</w:t>
      </w:r>
      <w:r w:rsidR="00EF1779" w:rsidRPr="008725ED">
        <w:rPr>
          <w:lang w:val="fr-FR"/>
        </w:rPr>
        <w:t>’</w:t>
      </w:r>
      <w:r w:rsidRPr="008725ED">
        <w:rPr>
          <w:lang w:val="fr-FR"/>
        </w:rPr>
        <w:t xml:space="preserve">examen DHS et </w:t>
      </w:r>
      <w:r w:rsidR="00344B0C" w:rsidRPr="008725ED">
        <w:rPr>
          <w:lang w:val="fr-FR"/>
        </w:rPr>
        <w:t>est convenu</w:t>
      </w:r>
      <w:r w:rsidRPr="008725ED">
        <w:rPr>
          <w:lang w:val="fr-FR"/>
        </w:rPr>
        <w:t xml:space="preserve"> que le nombre</w:t>
      </w:r>
      <w:r w:rsidRPr="008725ED">
        <w:rPr>
          <w:rFonts w:cs="Arial"/>
          <w:lang w:val="fr-FR"/>
        </w:rPr>
        <w:t xml:space="preserve"> de cycles de végétation pour l</w:t>
      </w:r>
      <w:r w:rsidR="00EF1779" w:rsidRPr="008725ED">
        <w:rPr>
          <w:rFonts w:cs="Arial"/>
          <w:lang w:val="fr-FR"/>
        </w:rPr>
        <w:t>’</w:t>
      </w:r>
      <w:r w:rsidRPr="008725ED">
        <w:rPr>
          <w:rFonts w:cs="Arial"/>
          <w:lang w:val="fr-FR"/>
        </w:rPr>
        <w:t xml:space="preserve">examen DHS </w:t>
      </w:r>
      <w:r w:rsidR="00AD0F5A" w:rsidRPr="008725ED">
        <w:rPr>
          <w:rFonts w:cs="Arial"/>
          <w:lang w:val="fr-FR"/>
        </w:rPr>
        <w:t>devait</w:t>
      </w:r>
      <w:r w:rsidRPr="008725ED">
        <w:rPr>
          <w:rFonts w:cs="Arial"/>
          <w:lang w:val="fr-FR"/>
        </w:rPr>
        <w:t xml:space="preserve"> être le minimum nécessaire à une décision DHS rigoureuse et à l</w:t>
      </w:r>
      <w:r w:rsidR="00EF1779" w:rsidRPr="008725ED">
        <w:rPr>
          <w:rFonts w:cs="Arial"/>
          <w:lang w:val="fr-FR"/>
        </w:rPr>
        <w:t>’</w:t>
      </w:r>
      <w:r w:rsidRPr="008725ED">
        <w:rPr>
          <w:rFonts w:cs="Arial"/>
          <w:lang w:val="fr-FR"/>
        </w:rPr>
        <w:t>établissement d</w:t>
      </w:r>
      <w:r w:rsidR="00EF1779" w:rsidRPr="008725ED">
        <w:rPr>
          <w:rFonts w:cs="Arial"/>
          <w:lang w:val="fr-FR"/>
        </w:rPr>
        <w:t>’</w:t>
      </w:r>
      <w:r w:rsidRPr="008725ED">
        <w:rPr>
          <w:lang w:val="fr-FR"/>
        </w:rPr>
        <w:t>une description variétale fiable.</w:t>
      </w:r>
    </w:p>
    <w:p w:rsidR="008C3126" w:rsidRPr="008725ED" w:rsidRDefault="008C3126" w:rsidP="00D87DB7">
      <w:pPr>
        <w:rPr>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est convenu</w:t>
      </w:r>
      <w:r w:rsidRPr="008725ED">
        <w:rPr>
          <w:lang w:val="fr-FR"/>
        </w:rPr>
        <w:t xml:space="preserve"> qu</w:t>
      </w:r>
      <w:r w:rsidR="00EF1779" w:rsidRPr="008725ED">
        <w:rPr>
          <w:lang w:val="fr-FR"/>
        </w:rPr>
        <w:t>’</w:t>
      </w:r>
      <w:r w:rsidRPr="008725ED">
        <w:rPr>
          <w:lang w:val="fr-FR"/>
        </w:rPr>
        <w:t>il n</w:t>
      </w:r>
      <w:r w:rsidR="00EF1779" w:rsidRPr="008725ED">
        <w:rPr>
          <w:lang w:val="fr-FR"/>
        </w:rPr>
        <w:t>’</w:t>
      </w:r>
      <w:r w:rsidR="00AD0F5A" w:rsidRPr="008725ED">
        <w:rPr>
          <w:lang w:val="fr-FR"/>
        </w:rPr>
        <w:t xml:space="preserve">était </w:t>
      </w:r>
      <w:r w:rsidRPr="008725ED">
        <w:rPr>
          <w:lang w:val="fr-FR"/>
        </w:rPr>
        <w:t xml:space="preserve">pas approprié de généraliser en disant que les variétés ornementales </w:t>
      </w:r>
      <w:r w:rsidR="00AD0F5A" w:rsidRPr="008725ED">
        <w:rPr>
          <w:lang w:val="fr-FR"/>
        </w:rPr>
        <w:t>devaient</w:t>
      </w:r>
      <w:r w:rsidRPr="008725ED">
        <w:rPr>
          <w:lang w:val="fr-FR"/>
        </w:rPr>
        <w:t xml:space="preserve"> être examinées dans le cadre d</w:t>
      </w:r>
      <w:r w:rsidR="00EF1779" w:rsidRPr="008725ED">
        <w:rPr>
          <w:lang w:val="fr-FR"/>
        </w:rPr>
        <w:t>’</w:t>
      </w:r>
      <w:r w:rsidRPr="008725ED">
        <w:rPr>
          <w:lang w:val="fr-FR"/>
        </w:rPr>
        <w:t>un seul essai en culture alors que d</w:t>
      </w:r>
      <w:r w:rsidR="00EF1779" w:rsidRPr="008725ED">
        <w:rPr>
          <w:lang w:val="fr-FR"/>
        </w:rPr>
        <w:t>’</w:t>
      </w:r>
      <w:r w:rsidRPr="008725ED">
        <w:rPr>
          <w:lang w:val="fr-FR"/>
        </w:rPr>
        <w:t xml:space="preserve">autres divers types de plantes </w:t>
      </w:r>
      <w:r w:rsidR="00AD0F5A" w:rsidRPr="008725ED">
        <w:rPr>
          <w:lang w:val="fr-FR"/>
        </w:rPr>
        <w:t>devaient</w:t>
      </w:r>
      <w:r w:rsidRPr="008725ED">
        <w:rPr>
          <w:lang w:val="fr-FR"/>
        </w:rPr>
        <w:t xml:space="preserve"> être examinées dans le cadre de deux cycles de végétation</w:t>
      </w:r>
      <w:r w:rsidR="0000589A" w:rsidRPr="008725ED">
        <w:rPr>
          <w:lang w:val="fr-FR"/>
        </w:rPr>
        <w:t>,</w:t>
      </w:r>
      <w:r w:rsidRPr="008725ED">
        <w:rPr>
          <w:lang w:val="fr-FR"/>
        </w:rPr>
        <w:t xml:space="preserve"> et que le nombre de cycles de végétation </w:t>
      </w:r>
      <w:r w:rsidR="00AD0F5A" w:rsidRPr="008725ED">
        <w:rPr>
          <w:lang w:val="fr-FR"/>
        </w:rPr>
        <w:t xml:space="preserve">devait </w:t>
      </w:r>
      <w:r w:rsidRPr="008725ED">
        <w:rPr>
          <w:lang w:val="fr-FR"/>
        </w:rPr>
        <w:t>être déterminé au cas par cas pour chaque plante.</w:t>
      </w:r>
    </w:p>
    <w:p w:rsidR="008C3126" w:rsidRPr="008725ED" w:rsidRDefault="008C3126" w:rsidP="00D87DB7">
      <w:pPr>
        <w:ind w:left="567" w:hanging="567"/>
        <w:rPr>
          <w:lang w:val="fr-FR"/>
        </w:rPr>
      </w:pPr>
    </w:p>
    <w:p w:rsidR="008C3126" w:rsidRPr="008725ED" w:rsidRDefault="008C3126" w:rsidP="00D87DB7">
      <w:pPr>
        <w:ind w:left="567" w:hanging="567"/>
        <w:rPr>
          <w:lang w:val="fr-FR"/>
        </w:rPr>
      </w:pPr>
    </w:p>
    <w:p w:rsidR="008C3126" w:rsidRPr="008725ED" w:rsidRDefault="00D87DB7" w:rsidP="00D87DB7">
      <w:pPr>
        <w:pStyle w:val="Heading2"/>
        <w:rPr>
          <w:lang w:val="fr-FR"/>
        </w:rPr>
      </w:pPr>
      <w:bookmarkStart w:id="18" w:name="_Toc494207956"/>
      <w:r w:rsidRPr="008725ED">
        <w:rPr>
          <w:lang w:val="fr-FR"/>
        </w:rPr>
        <w:t>Questions concernant les descriptions variétales</w:t>
      </w:r>
      <w:bookmarkEnd w:id="18"/>
    </w:p>
    <w:p w:rsidR="008C3126" w:rsidRPr="008725ED" w:rsidRDefault="008C3126" w:rsidP="00D87DB7">
      <w:pPr>
        <w:keepNext/>
        <w:ind w:left="567" w:hanging="567"/>
        <w:rPr>
          <w:lang w:val="fr-FR"/>
        </w:rPr>
      </w:pPr>
    </w:p>
    <w:p w:rsidR="008C3126" w:rsidRPr="008725ED" w:rsidRDefault="00D87DB7" w:rsidP="00D87DB7">
      <w:pPr>
        <w:rPr>
          <w:snapToGrid w:val="0"/>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examiné </w:t>
      </w:r>
      <w:r w:rsidRPr="008725ED">
        <w:rPr>
          <w:lang w:val="fr-FR"/>
        </w:rPr>
        <w:t xml:space="preserve">le </w:t>
      </w:r>
      <w:r w:rsidR="00EF1779" w:rsidRPr="008725ED">
        <w:rPr>
          <w:lang w:val="fr-FR"/>
        </w:rPr>
        <w:t>document TC</w:t>
      </w:r>
      <w:r w:rsidRPr="008725ED">
        <w:rPr>
          <w:snapToGrid w:val="0"/>
          <w:lang w:val="fr-FR"/>
        </w:rPr>
        <w:t>/53/22.</w:t>
      </w:r>
    </w:p>
    <w:p w:rsidR="008C3126" w:rsidRPr="008725ED" w:rsidRDefault="008C3126" w:rsidP="00D87DB7">
      <w:pPr>
        <w:rPr>
          <w:snapToGrid w:val="0"/>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pris note </w:t>
      </w:r>
      <w:r w:rsidRPr="008725ED">
        <w:rPr>
          <w:lang w:val="fr-FR"/>
        </w:rPr>
        <w:t>de l</w:t>
      </w:r>
      <w:r w:rsidR="00EF1779" w:rsidRPr="008725ED">
        <w:rPr>
          <w:lang w:val="fr-FR"/>
        </w:rPr>
        <w:t>’</w:t>
      </w:r>
      <w:r w:rsidRPr="008725ED">
        <w:rPr>
          <w:lang w:val="fr-FR"/>
        </w:rPr>
        <w:t>existence de différents éléments susceptibles d</w:t>
      </w:r>
      <w:r w:rsidR="00EF1779" w:rsidRPr="008725ED">
        <w:rPr>
          <w:lang w:val="fr-FR"/>
        </w:rPr>
        <w:t>’</w:t>
      </w:r>
      <w:r w:rsidRPr="008725ED">
        <w:rPr>
          <w:lang w:val="fr-FR"/>
        </w:rPr>
        <w:t>appuyer l</w:t>
      </w:r>
      <w:r w:rsidR="00EF1779" w:rsidRPr="008725ED">
        <w:rPr>
          <w:lang w:val="fr-FR"/>
        </w:rPr>
        <w:t>’</w:t>
      </w:r>
      <w:r w:rsidRPr="008725ED">
        <w:rPr>
          <w:lang w:val="fr-FR"/>
        </w:rPr>
        <w:t xml:space="preserve">identification du matériel végétal, tels que les descriptions variétales originales et les autres descriptions variétales officielles, </w:t>
      </w:r>
      <w:r w:rsidR="00EF1779" w:rsidRPr="008725ED">
        <w:rPr>
          <w:lang w:val="fr-FR"/>
        </w:rPr>
        <w:t>y compris</w:t>
      </w:r>
      <w:r w:rsidRPr="008725ED">
        <w:rPr>
          <w:lang w:val="fr-FR"/>
        </w:rPr>
        <w:t xml:space="preserve"> les marqueurs moléculair</w:t>
      </w:r>
      <w:r w:rsidR="00D43219" w:rsidRPr="008725ED">
        <w:rPr>
          <w:lang w:val="fr-FR"/>
        </w:rPr>
        <w:t>es.  Le</w:t>
      </w:r>
      <w:r w:rsidR="00EF1779" w:rsidRPr="008725ED">
        <w:rPr>
          <w:lang w:val="fr-FR"/>
        </w:rPr>
        <w:t> TC</w:t>
      </w:r>
      <w:r w:rsidRPr="008725ED">
        <w:rPr>
          <w:lang w:val="fr-FR"/>
        </w:rPr>
        <w:t xml:space="preserve"> </w:t>
      </w:r>
      <w:r w:rsidR="00344B0C" w:rsidRPr="008725ED">
        <w:rPr>
          <w:rFonts w:cs="Arial"/>
          <w:lang w:val="fr-FR"/>
        </w:rPr>
        <w:t>est convenu</w:t>
      </w:r>
      <w:r w:rsidRPr="008725ED">
        <w:rPr>
          <w:rFonts w:cs="Arial"/>
          <w:lang w:val="fr-FR"/>
        </w:rPr>
        <w:t xml:space="preserve"> d</w:t>
      </w:r>
      <w:r w:rsidR="00EF1779" w:rsidRPr="008725ED">
        <w:rPr>
          <w:rFonts w:cs="Arial"/>
          <w:lang w:val="fr-FR"/>
        </w:rPr>
        <w:t>’</w:t>
      </w:r>
      <w:r w:rsidRPr="008725ED">
        <w:rPr>
          <w:rFonts w:eastAsia="SimSun"/>
          <w:lang w:val="fr-FR"/>
        </w:rPr>
        <w:t>inviter l</w:t>
      </w:r>
      <w:r w:rsidR="00EF1779" w:rsidRPr="008725ED">
        <w:rPr>
          <w:rFonts w:eastAsia="SimSun"/>
          <w:lang w:val="fr-FR"/>
        </w:rPr>
        <w:t>’</w:t>
      </w:r>
      <w:r w:rsidRPr="008725ED">
        <w:rPr>
          <w:rFonts w:eastAsia="SimSun"/>
          <w:lang w:val="fr-FR"/>
        </w:rPr>
        <w:t xml:space="preserve">Union </w:t>
      </w:r>
      <w:r w:rsidRPr="008725ED">
        <w:rPr>
          <w:rFonts w:cs="Arial"/>
          <w:lang w:val="fr-FR"/>
        </w:rPr>
        <w:t>européenne à élaborer de nouvelles orientations sur le rôle de la</w:t>
      </w:r>
      <w:r w:rsidRPr="008725ED">
        <w:rPr>
          <w:lang w:val="fr-FR"/>
        </w:rPr>
        <w:t xml:space="preserve"> description variétale et le rôle du matériel végétal utilisé comme fondement de </w:t>
      </w:r>
      <w:r w:rsidRPr="008725ED">
        <w:rPr>
          <w:rFonts w:cs="Arial"/>
          <w:lang w:val="fr-FR"/>
        </w:rPr>
        <w:t>l</w:t>
      </w:r>
      <w:r w:rsidR="00EF1779" w:rsidRPr="008725ED">
        <w:rPr>
          <w:rFonts w:cs="Arial"/>
          <w:lang w:val="fr-FR"/>
        </w:rPr>
        <w:t>’</w:t>
      </w:r>
      <w:r w:rsidRPr="008725ED">
        <w:rPr>
          <w:rFonts w:cs="Arial"/>
          <w:lang w:val="fr-FR"/>
        </w:rPr>
        <w:t>examen DHS</w:t>
      </w:r>
      <w:r w:rsidRPr="008725ED">
        <w:rPr>
          <w:lang w:val="fr-FR"/>
        </w:rPr>
        <w:t>, tout en intégrant le texte de l</w:t>
      </w:r>
      <w:r w:rsidR="00EF1779" w:rsidRPr="008725ED">
        <w:rPr>
          <w:lang w:val="fr-FR"/>
        </w:rPr>
        <w:t>’</w:t>
      </w:r>
      <w:r w:rsidRPr="008725ED">
        <w:rPr>
          <w:lang w:val="fr-FR"/>
        </w:rPr>
        <w:t xml:space="preserve">annexe du </w:t>
      </w:r>
      <w:r w:rsidR="00EF1779" w:rsidRPr="008725ED">
        <w:rPr>
          <w:lang w:val="fr-FR"/>
        </w:rPr>
        <w:t>document TC</w:t>
      </w:r>
      <w:r w:rsidRPr="008725ED">
        <w:rPr>
          <w:lang w:val="fr-FR"/>
        </w:rPr>
        <w:t>/53/22 sans le modifier et en tenant compte des aspects suivants</w:t>
      </w:r>
      <w:r w:rsidR="00EF1779" w:rsidRPr="008725ED">
        <w:rPr>
          <w:lang w:val="fr-FR"/>
        </w:rPr>
        <w:t> :</w:t>
      </w:r>
    </w:p>
    <w:p w:rsidR="008C3126" w:rsidRPr="008725ED" w:rsidRDefault="008C3126" w:rsidP="00D87DB7">
      <w:pPr>
        <w:rPr>
          <w:lang w:val="fr-FR"/>
        </w:rPr>
      </w:pPr>
    </w:p>
    <w:p w:rsidR="008C3126" w:rsidRPr="008725ED" w:rsidRDefault="00D87DB7" w:rsidP="00D87DB7">
      <w:pPr>
        <w:tabs>
          <w:tab w:val="left" w:pos="1134"/>
        </w:tabs>
        <w:ind w:left="1134" w:hanging="567"/>
        <w:rPr>
          <w:lang w:val="fr-FR"/>
        </w:rPr>
      </w:pPr>
      <w:r w:rsidRPr="008725ED">
        <w:rPr>
          <w:lang w:val="fr-FR"/>
        </w:rPr>
        <w:t>1)</w:t>
      </w:r>
      <w:r w:rsidRPr="008725ED">
        <w:rPr>
          <w:lang w:val="fr-FR"/>
        </w:rPr>
        <w:tab/>
        <w:t>le but de la description variétale élaborée au moment de l</w:t>
      </w:r>
      <w:r w:rsidR="00EF1779" w:rsidRPr="008725ED">
        <w:rPr>
          <w:lang w:val="fr-FR"/>
        </w:rPr>
        <w:t>’</w:t>
      </w:r>
      <w:r w:rsidRPr="008725ED">
        <w:rPr>
          <w:lang w:val="fr-FR"/>
        </w:rPr>
        <w:t>octroi du droit d</w:t>
      </w:r>
      <w:r w:rsidR="00EF1779" w:rsidRPr="008725ED">
        <w:rPr>
          <w:lang w:val="fr-FR"/>
        </w:rPr>
        <w:t>’</w:t>
      </w:r>
      <w:r w:rsidRPr="008725ED">
        <w:rPr>
          <w:lang w:val="fr-FR"/>
        </w:rPr>
        <w:t>obtenteur;</w:t>
      </w:r>
    </w:p>
    <w:p w:rsidR="008C3126" w:rsidRPr="008725ED" w:rsidRDefault="00D87DB7" w:rsidP="00D87DB7">
      <w:pPr>
        <w:tabs>
          <w:tab w:val="left" w:pos="1134"/>
        </w:tabs>
        <w:ind w:left="1134" w:hanging="567"/>
        <w:rPr>
          <w:lang w:val="fr-FR"/>
        </w:rPr>
      </w:pPr>
      <w:r w:rsidRPr="008725ED">
        <w:rPr>
          <w:lang w:val="fr-FR"/>
        </w:rPr>
        <w:t>2)</w:t>
      </w:r>
      <w:r w:rsidRPr="008725ED">
        <w:rPr>
          <w:lang w:val="fr-FR"/>
        </w:rPr>
        <w:tab/>
        <w:t>le statut de la description variétale initiale, au regard de la vérification de la conformité du matériel végétal à une variété protégée aux fins de la défense des droits d</w:t>
      </w:r>
      <w:r w:rsidR="00EF1779" w:rsidRPr="008725ED">
        <w:rPr>
          <w:lang w:val="fr-FR"/>
        </w:rPr>
        <w:t>’</w:t>
      </w:r>
      <w:r w:rsidRPr="008725ED">
        <w:rPr>
          <w:lang w:val="fr-FR"/>
        </w:rPr>
        <w:t>obtenteur;  et</w:t>
      </w:r>
    </w:p>
    <w:p w:rsidR="008C3126" w:rsidRPr="008725ED" w:rsidRDefault="00D87DB7" w:rsidP="00D87DB7">
      <w:pPr>
        <w:tabs>
          <w:tab w:val="left" w:pos="1134"/>
        </w:tabs>
        <w:ind w:left="1134" w:hanging="567"/>
        <w:rPr>
          <w:rFonts w:cs="Arial"/>
          <w:lang w:val="fr-FR"/>
        </w:rPr>
      </w:pPr>
      <w:r w:rsidRPr="008725ED">
        <w:rPr>
          <w:lang w:val="fr-FR"/>
        </w:rPr>
        <w:t>3)</w:t>
      </w:r>
      <w:r w:rsidRPr="008725ED">
        <w:rPr>
          <w:lang w:val="fr-FR"/>
        </w:rPr>
        <w:tab/>
        <w:t>les conclusions ci</w:t>
      </w:r>
      <w:r w:rsidR="00EF1779" w:rsidRPr="008725ED">
        <w:rPr>
          <w:lang w:val="fr-FR"/>
        </w:rPr>
        <w:t>-</w:t>
      </w:r>
      <w:r w:rsidRPr="008725ED">
        <w:rPr>
          <w:lang w:val="fr-FR"/>
        </w:rPr>
        <w:t>après fournies par l</w:t>
      </w:r>
      <w:r w:rsidR="00EF1779" w:rsidRPr="008725ED">
        <w:rPr>
          <w:lang w:val="fr-FR"/>
        </w:rPr>
        <w:t>’</w:t>
      </w:r>
      <w:r w:rsidRPr="008725ED">
        <w:rPr>
          <w:lang w:val="fr-FR"/>
        </w:rPr>
        <w:t xml:space="preserve">expert de </w:t>
      </w:r>
      <w:r w:rsidRPr="008725ED">
        <w:rPr>
          <w:rFonts w:eastAsia="SimSun"/>
          <w:lang w:val="fr-FR"/>
        </w:rPr>
        <w:t>l</w:t>
      </w:r>
      <w:r w:rsidR="00EF1779" w:rsidRPr="008725ED">
        <w:rPr>
          <w:rFonts w:eastAsia="SimSun"/>
          <w:lang w:val="fr-FR"/>
        </w:rPr>
        <w:t>’</w:t>
      </w:r>
      <w:r w:rsidRPr="008725ED">
        <w:rPr>
          <w:rFonts w:eastAsia="SimSun"/>
          <w:lang w:val="fr-FR"/>
        </w:rPr>
        <w:t xml:space="preserve">Union </w:t>
      </w:r>
      <w:r w:rsidRPr="008725ED">
        <w:rPr>
          <w:rFonts w:cs="Arial"/>
          <w:lang w:val="fr-FR"/>
        </w:rPr>
        <w:t>européenne dans le</w:t>
      </w:r>
      <w:r w:rsidRPr="008725ED">
        <w:rPr>
          <w:lang w:val="fr-FR"/>
        </w:rPr>
        <w:t xml:space="preserve"> document TWV/50/14 Add. (annexe II, diapositive 19)</w:t>
      </w:r>
      <w:r w:rsidR="00EF1779" w:rsidRPr="008725ED">
        <w:rPr>
          <w:lang w:val="fr-FR"/>
        </w:rPr>
        <w:t> :</w:t>
      </w:r>
    </w:p>
    <w:p w:rsidR="008C3126" w:rsidRPr="008725ED" w:rsidRDefault="00D87DB7" w:rsidP="00D87DB7">
      <w:pPr>
        <w:pStyle w:val="ListParagraph"/>
        <w:numPr>
          <w:ilvl w:val="0"/>
          <w:numId w:val="20"/>
        </w:numPr>
        <w:spacing w:after="0" w:line="240" w:lineRule="auto"/>
        <w:ind w:left="1701" w:hanging="567"/>
        <w:jc w:val="both"/>
        <w:rPr>
          <w:rFonts w:ascii="Arial" w:hAnsi="Arial" w:cs="Arial"/>
          <w:sz w:val="20"/>
          <w:szCs w:val="20"/>
          <w:lang w:val="fr-FR"/>
        </w:rPr>
      </w:pPr>
      <w:r w:rsidRPr="008725ED">
        <w:rPr>
          <w:rFonts w:ascii="Arial" w:hAnsi="Arial" w:cs="Arial"/>
          <w:sz w:val="20"/>
          <w:szCs w:val="20"/>
          <w:lang w:val="fr-FR"/>
        </w:rPr>
        <w:t>Les notes de variétés voisines proviendront du même essai en culture que celui de la variété candidate</w:t>
      </w:r>
    </w:p>
    <w:p w:rsidR="008C3126" w:rsidRPr="008725ED" w:rsidRDefault="00D87DB7" w:rsidP="00D87DB7">
      <w:pPr>
        <w:pStyle w:val="ListParagraph"/>
        <w:numPr>
          <w:ilvl w:val="0"/>
          <w:numId w:val="20"/>
        </w:numPr>
        <w:spacing w:after="0" w:line="240" w:lineRule="auto"/>
        <w:ind w:left="1701" w:hanging="567"/>
        <w:jc w:val="both"/>
        <w:rPr>
          <w:rFonts w:ascii="Arial" w:hAnsi="Arial" w:cs="Arial"/>
          <w:sz w:val="20"/>
          <w:szCs w:val="20"/>
          <w:lang w:val="fr-FR"/>
        </w:rPr>
      </w:pPr>
      <w:r w:rsidRPr="008725ED">
        <w:rPr>
          <w:rFonts w:ascii="Arial" w:hAnsi="Arial" w:cs="Arial"/>
          <w:sz w:val="20"/>
          <w:szCs w:val="20"/>
          <w:lang w:val="fr-FR"/>
        </w:rPr>
        <w:t>Informer les parties concernées des modifications de la description variétale officielle</w:t>
      </w:r>
    </w:p>
    <w:p w:rsidR="008C3126" w:rsidRPr="008725ED" w:rsidRDefault="00D87DB7" w:rsidP="00D87DB7">
      <w:pPr>
        <w:pStyle w:val="ListParagraph"/>
        <w:numPr>
          <w:ilvl w:val="0"/>
          <w:numId w:val="20"/>
        </w:numPr>
        <w:spacing w:after="0" w:line="240" w:lineRule="auto"/>
        <w:ind w:left="1701" w:hanging="567"/>
        <w:jc w:val="both"/>
        <w:rPr>
          <w:rFonts w:ascii="Arial" w:hAnsi="Arial" w:cs="Arial"/>
          <w:sz w:val="20"/>
          <w:szCs w:val="20"/>
          <w:lang w:val="fr-FR"/>
        </w:rPr>
      </w:pPr>
      <w:r w:rsidRPr="008725ED">
        <w:rPr>
          <w:rFonts w:ascii="Arial" w:hAnsi="Arial" w:cs="Arial"/>
          <w:sz w:val="20"/>
          <w:szCs w:val="20"/>
          <w:lang w:val="fr-FR"/>
        </w:rPr>
        <w:t>Accord sur les données appelées à figurer dans les bases de données partagées</w:t>
      </w:r>
    </w:p>
    <w:p w:rsidR="008C3126" w:rsidRPr="008725ED" w:rsidRDefault="008C3126" w:rsidP="00D87DB7">
      <w:pPr>
        <w:ind w:left="567" w:hanging="567"/>
        <w:rPr>
          <w:lang w:val="fr-FR"/>
        </w:rPr>
      </w:pPr>
    </w:p>
    <w:p w:rsidR="008C3126" w:rsidRPr="008725ED" w:rsidRDefault="008C3126" w:rsidP="00D87DB7">
      <w:pPr>
        <w:ind w:left="567" w:hanging="567"/>
        <w:rPr>
          <w:lang w:val="fr-FR"/>
        </w:rPr>
      </w:pPr>
    </w:p>
    <w:p w:rsidR="008C3126" w:rsidRPr="008725ED" w:rsidRDefault="00D87DB7" w:rsidP="00D87DB7">
      <w:pPr>
        <w:pStyle w:val="Heading2"/>
        <w:rPr>
          <w:lang w:val="fr-FR"/>
        </w:rPr>
      </w:pPr>
      <w:bookmarkStart w:id="19" w:name="_Toc494207957"/>
      <w:r w:rsidRPr="008725ED">
        <w:rPr>
          <w:lang w:val="fr-FR"/>
        </w:rPr>
        <w:t>Élaboration de seuils calculés aux fins d</w:t>
      </w:r>
      <w:r w:rsidR="00EF1779" w:rsidRPr="008725ED">
        <w:rPr>
          <w:lang w:val="fr-FR"/>
        </w:rPr>
        <w:t>’</w:t>
      </w:r>
      <w:r w:rsidRPr="008725ED">
        <w:rPr>
          <w:lang w:val="fr-FR"/>
        </w:rPr>
        <w:t>exclusion des variétés notoirement connues du second cycle de végétation lorsque l</w:t>
      </w:r>
      <w:r w:rsidR="00EF1779" w:rsidRPr="008725ED">
        <w:rPr>
          <w:lang w:val="fr-FR"/>
        </w:rPr>
        <w:t>’</w:t>
      </w:r>
      <w:r w:rsidRPr="008725ED">
        <w:rPr>
          <w:lang w:val="fr-FR"/>
        </w:rPr>
        <w:t>on applique la méthode COYD</w:t>
      </w:r>
      <w:bookmarkEnd w:id="19"/>
    </w:p>
    <w:p w:rsidR="008C3126" w:rsidRPr="008725ED" w:rsidRDefault="008C3126" w:rsidP="00D87DB7">
      <w:pPr>
        <w:pStyle w:val="Heading2"/>
        <w:rPr>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examiné </w:t>
      </w:r>
      <w:r w:rsidRPr="008725ED">
        <w:rPr>
          <w:lang w:val="fr-FR"/>
        </w:rPr>
        <w:t xml:space="preserve">le </w:t>
      </w:r>
      <w:r w:rsidR="00EF1779" w:rsidRPr="008725ED">
        <w:rPr>
          <w:lang w:val="fr-FR"/>
        </w:rPr>
        <w:t>document TC</w:t>
      </w:r>
      <w:r w:rsidRPr="008725ED">
        <w:rPr>
          <w:lang w:val="fr-FR"/>
        </w:rPr>
        <w:t>/53/23.</w:t>
      </w:r>
    </w:p>
    <w:p w:rsidR="008C3126" w:rsidRPr="008725ED" w:rsidRDefault="008C3126" w:rsidP="00D87DB7">
      <w:pPr>
        <w:rPr>
          <w:lang w:val="fr-FR" w:eastAsia="ja-JP"/>
        </w:rPr>
      </w:pPr>
    </w:p>
    <w:p w:rsidR="008C3126" w:rsidRPr="008725ED" w:rsidRDefault="00D87DB7" w:rsidP="00D87DB7">
      <w:pPr>
        <w:rPr>
          <w:lang w:val="fr-FR" w:eastAsia="ja-JP"/>
        </w:rPr>
      </w:pPr>
      <w:r w:rsidRPr="008725ED">
        <w:rPr>
          <w:lang w:val="fr-FR" w:eastAsia="ja-JP"/>
        </w:rPr>
        <w:fldChar w:fldCharType="begin"/>
      </w:r>
      <w:r w:rsidRPr="008725ED">
        <w:rPr>
          <w:lang w:val="fr-FR" w:eastAsia="ja-JP"/>
        </w:rPr>
        <w:instrText xml:space="preserve"> AUTONUM  </w:instrText>
      </w:r>
      <w:r w:rsidRPr="008725ED">
        <w:rPr>
          <w:lang w:val="fr-FR" w:eastAsia="ja-JP"/>
        </w:rPr>
        <w:fldChar w:fldCharType="end"/>
      </w:r>
      <w:r w:rsidRPr="008725ED">
        <w:rPr>
          <w:lang w:val="fr-FR" w:eastAsia="ja-JP"/>
        </w:rPr>
        <w:tab/>
        <w:t>Le</w:t>
      </w:r>
      <w:r w:rsidR="00EF1779" w:rsidRPr="008725ED">
        <w:rPr>
          <w:lang w:val="fr-FR" w:eastAsia="ja-JP"/>
        </w:rPr>
        <w:t> TC</w:t>
      </w:r>
      <w:r w:rsidRPr="008725ED">
        <w:rPr>
          <w:lang w:val="fr-FR" w:eastAsia="ja-JP"/>
        </w:rPr>
        <w:t xml:space="preserve"> </w:t>
      </w:r>
      <w:r w:rsidR="00AD0F5A" w:rsidRPr="008725ED">
        <w:rPr>
          <w:lang w:val="fr-FR" w:eastAsia="ja-JP"/>
        </w:rPr>
        <w:t>a suivi</w:t>
      </w:r>
      <w:r w:rsidRPr="008725ED">
        <w:rPr>
          <w:lang w:val="fr-FR" w:eastAsia="ja-JP"/>
        </w:rPr>
        <w:t xml:space="preserve"> un exposé présenté par les experts du </w:t>
      </w:r>
      <w:r w:rsidRPr="008725ED">
        <w:rPr>
          <w:rFonts w:cs="Arial"/>
          <w:lang w:val="fr-FR" w:eastAsia="en-GB"/>
        </w:rPr>
        <w:t>Royaume</w:t>
      </w:r>
      <w:r w:rsidR="00EF1779" w:rsidRPr="008725ED">
        <w:rPr>
          <w:rFonts w:cs="Arial"/>
          <w:lang w:val="fr-FR" w:eastAsia="en-GB"/>
        </w:rPr>
        <w:t>-</w:t>
      </w:r>
      <w:r w:rsidRPr="008725ED">
        <w:rPr>
          <w:rFonts w:cs="Arial"/>
          <w:lang w:val="fr-FR" w:eastAsia="en-GB"/>
        </w:rPr>
        <w:t xml:space="preserve">Uni </w:t>
      </w:r>
      <w:r w:rsidRPr="008725ED">
        <w:rPr>
          <w:lang w:val="fr-FR" w:eastAsia="ja-JP"/>
        </w:rPr>
        <w:t>sur l</w:t>
      </w:r>
      <w:r w:rsidR="00EF1779" w:rsidRPr="008725ED">
        <w:rPr>
          <w:lang w:val="fr-FR" w:eastAsia="ja-JP"/>
        </w:rPr>
        <w:t>’</w:t>
      </w:r>
      <w:r w:rsidRPr="008725ED">
        <w:rPr>
          <w:lang w:val="fr-FR" w:eastAsia="ja-JP"/>
        </w:rPr>
        <w:t xml:space="preserve">exclusion des variétés notoirement connues du second cycle de </w:t>
      </w:r>
      <w:r w:rsidR="0000589A" w:rsidRPr="008725ED">
        <w:rPr>
          <w:lang w:val="fr-FR" w:eastAsia="ja-JP"/>
        </w:rPr>
        <w:t>végétation lorsque l</w:t>
      </w:r>
      <w:r w:rsidR="00EF1779" w:rsidRPr="008725ED">
        <w:rPr>
          <w:lang w:val="fr-FR" w:eastAsia="ja-JP"/>
        </w:rPr>
        <w:t>’</w:t>
      </w:r>
      <w:r w:rsidR="0000589A" w:rsidRPr="008725ED">
        <w:rPr>
          <w:lang w:val="fr-FR" w:eastAsia="ja-JP"/>
        </w:rPr>
        <w:t>on appliquait</w:t>
      </w:r>
      <w:r w:rsidRPr="008725ED">
        <w:rPr>
          <w:lang w:val="fr-FR" w:eastAsia="ja-JP"/>
        </w:rPr>
        <w:t xml:space="preserve"> la méthode COYD, dont une copie</w:t>
      </w:r>
      <w:r w:rsidRPr="008725ED">
        <w:rPr>
          <w:lang w:val="fr-FR"/>
        </w:rPr>
        <w:t xml:space="preserve"> figur</w:t>
      </w:r>
      <w:r w:rsidR="00AD0F5A" w:rsidRPr="008725ED">
        <w:rPr>
          <w:lang w:val="fr-FR"/>
        </w:rPr>
        <w:t>ait</w:t>
      </w:r>
      <w:r w:rsidRPr="008725ED">
        <w:rPr>
          <w:lang w:val="fr-FR"/>
        </w:rPr>
        <w:t xml:space="preserve"> </w:t>
      </w:r>
      <w:r w:rsidRPr="008725ED">
        <w:rPr>
          <w:lang w:val="fr-FR" w:eastAsia="ja-JP"/>
        </w:rPr>
        <w:t>à l</w:t>
      </w:r>
      <w:r w:rsidR="00EF1779" w:rsidRPr="008725ED">
        <w:rPr>
          <w:lang w:val="fr-FR" w:eastAsia="ja-JP"/>
        </w:rPr>
        <w:t>’</w:t>
      </w:r>
      <w:r w:rsidRPr="008725ED">
        <w:rPr>
          <w:lang w:val="fr-FR" w:eastAsia="ja-JP"/>
        </w:rPr>
        <w:t xml:space="preserve">annexe du </w:t>
      </w:r>
      <w:r w:rsidR="00EF1779" w:rsidRPr="008725ED">
        <w:rPr>
          <w:lang w:val="fr-FR" w:eastAsia="ja-JP"/>
        </w:rPr>
        <w:t>document TC</w:t>
      </w:r>
      <w:r w:rsidRPr="008725ED">
        <w:rPr>
          <w:lang w:val="fr-FR" w:eastAsia="ja-JP"/>
        </w:rPr>
        <w:t>/53/23 Add.</w:t>
      </w:r>
    </w:p>
    <w:p w:rsidR="008C3126" w:rsidRPr="008725ED" w:rsidRDefault="008C3126" w:rsidP="00D87DB7">
      <w:pPr>
        <w:rPr>
          <w:lang w:val="fr-FR" w:eastAsia="ja-JP"/>
        </w:rPr>
      </w:pPr>
    </w:p>
    <w:p w:rsidR="008C3126" w:rsidRPr="008725ED" w:rsidRDefault="00D87DB7" w:rsidP="00D87DB7">
      <w:pPr>
        <w:rPr>
          <w:lang w:val="fr-FR" w:eastAsia="ja-JP"/>
        </w:rPr>
      </w:pPr>
      <w:r w:rsidRPr="008725ED">
        <w:rPr>
          <w:lang w:val="fr-FR" w:eastAsia="ja-JP"/>
        </w:rPr>
        <w:fldChar w:fldCharType="begin"/>
      </w:r>
      <w:r w:rsidRPr="008725ED">
        <w:rPr>
          <w:lang w:val="fr-FR" w:eastAsia="ja-JP"/>
        </w:rPr>
        <w:instrText xml:space="preserve"> AUTONUM  </w:instrText>
      </w:r>
      <w:r w:rsidRPr="008725ED">
        <w:rPr>
          <w:lang w:val="fr-FR" w:eastAsia="ja-JP"/>
        </w:rPr>
        <w:fldChar w:fldCharType="end"/>
      </w:r>
      <w:r w:rsidRPr="008725ED">
        <w:rPr>
          <w:lang w:val="fr-FR" w:eastAsia="ja-JP"/>
        </w:rPr>
        <w:tab/>
        <w:t>Le</w:t>
      </w:r>
      <w:r w:rsidR="00EF1779" w:rsidRPr="008725ED">
        <w:rPr>
          <w:lang w:val="fr-FR" w:eastAsia="ja-JP"/>
        </w:rPr>
        <w:t> TC</w:t>
      </w:r>
      <w:r w:rsidRPr="008725ED">
        <w:rPr>
          <w:lang w:val="fr-FR" w:eastAsia="ja-JP"/>
        </w:rPr>
        <w:t xml:space="preserve"> </w:t>
      </w:r>
      <w:r w:rsidR="00344B0C" w:rsidRPr="008725ED">
        <w:rPr>
          <w:lang w:val="fr-FR" w:eastAsia="ja-JP"/>
        </w:rPr>
        <w:t xml:space="preserve">a pris note </w:t>
      </w:r>
      <w:r w:rsidRPr="008725ED">
        <w:rPr>
          <w:lang w:val="fr-FR" w:eastAsia="ja-JP"/>
        </w:rPr>
        <w:t>qu</w:t>
      </w:r>
      <w:r w:rsidR="00EF1779" w:rsidRPr="008725ED">
        <w:rPr>
          <w:lang w:val="fr-FR" w:eastAsia="ja-JP"/>
        </w:rPr>
        <w:t>’</w:t>
      </w:r>
      <w:r w:rsidRPr="008725ED">
        <w:rPr>
          <w:lang w:val="fr-FR" w:eastAsia="ja-JP"/>
        </w:rPr>
        <w:t>il sera</w:t>
      </w:r>
      <w:r w:rsidR="0091609B" w:rsidRPr="008725ED">
        <w:rPr>
          <w:lang w:val="fr-FR" w:eastAsia="ja-JP"/>
        </w:rPr>
        <w:t>it</w:t>
      </w:r>
      <w:r w:rsidRPr="008725ED">
        <w:rPr>
          <w:lang w:val="fr-FR" w:eastAsia="ja-JP"/>
        </w:rPr>
        <w:t xml:space="preserve"> rendu compte de l</w:t>
      </w:r>
      <w:r w:rsidR="00EF1779" w:rsidRPr="008725ED">
        <w:rPr>
          <w:lang w:val="fr-FR" w:eastAsia="ja-JP"/>
        </w:rPr>
        <w:t>’</w:t>
      </w:r>
      <w:r w:rsidRPr="008725ED">
        <w:rPr>
          <w:lang w:val="fr-FR" w:eastAsia="ja-JP"/>
        </w:rPr>
        <w:t>évolution des travaux concernant les seuils calculés aux fins d</w:t>
      </w:r>
      <w:r w:rsidR="00EF1779" w:rsidRPr="008725ED">
        <w:rPr>
          <w:lang w:val="fr-FR" w:eastAsia="ja-JP"/>
        </w:rPr>
        <w:t>’</w:t>
      </w:r>
      <w:r w:rsidRPr="008725ED">
        <w:rPr>
          <w:lang w:val="fr-FR" w:eastAsia="ja-JP"/>
        </w:rPr>
        <w:t>exclusion des variétés notoirement connues du second cycle de végétation lorsque l</w:t>
      </w:r>
      <w:r w:rsidR="00EF1779" w:rsidRPr="008725ED">
        <w:rPr>
          <w:lang w:val="fr-FR" w:eastAsia="ja-JP"/>
        </w:rPr>
        <w:t>’</w:t>
      </w:r>
      <w:r w:rsidRPr="008725ED">
        <w:rPr>
          <w:lang w:val="fr-FR" w:eastAsia="ja-JP"/>
        </w:rPr>
        <w:t>on ap</w:t>
      </w:r>
      <w:r w:rsidR="0091609B" w:rsidRPr="008725ED">
        <w:rPr>
          <w:lang w:val="fr-FR" w:eastAsia="ja-JP"/>
        </w:rPr>
        <w:t>pliquait</w:t>
      </w:r>
      <w:r w:rsidRPr="008725ED">
        <w:rPr>
          <w:lang w:val="fr-FR" w:eastAsia="ja-JP"/>
        </w:rPr>
        <w:t xml:space="preserve"> la méthode COYD, à la trente</w:t>
      </w:r>
      <w:r w:rsidR="00EF1779" w:rsidRPr="008725ED">
        <w:rPr>
          <w:lang w:val="fr-FR" w:eastAsia="ja-JP"/>
        </w:rPr>
        <w:t>-</w:t>
      </w:r>
      <w:r w:rsidRPr="008725ED">
        <w:rPr>
          <w:lang w:val="fr-FR" w:eastAsia="ja-JP"/>
        </w:rPr>
        <w:t>cinqu</w:t>
      </w:r>
      <w:r w:rsidR="00EF1779" w:rsidRPr="008725ED">
        <w:rPr>
          <w:lang w:val="fr-FR" w:eastAsia="ja-JP"/>
        </w:rPr>
        <w:t>ième session</w:t>
      </w:r>
      <w:r w:rsidRPr="008725ED">
        <w:rPr>
          <w:lang w:val="fr-FR" w:eastAsia="ja-JP"/>
        </w:rPr>
        <w:t xml:space="preserve"> du TWC.</w:t>
      </w:r>
    </w:p>
    <w:p w:rsidR="008C3126" w:rsidRPr="008725ED" w:rsidRDefault="008C3126" w:rsidP="00D87DB7">
      <w:pPr>
        <w:rPr>
          <w:snapToGrid w:val="0"/>
          <w:lang w:val="fr-FR"/>
        </w:rPr>
      </w:pPr>
    </w:p>
    <w:p w:rsidR="008C3126" w:rsidRPr="008725ED" w:rsidRDefault="008C3126" w:rsidP="00D87DB7">
      <w:pPr>
        <w:ind w:left="567" w:hanging="567"/>
        <w:rPr>
          <w:rFonts w:cs="Arial"/>
          <w:snapToGrid w:val="0"/>
          <w:lang w:val="fr-FR"/>
        </w:rPr>
      </w:pPr>
    </w:p>
    <w:p w:rsidR="008C3126" w:rsidRPr="008725ED" w:rsidRDefault="00D87DB7" w:rsidP="00D87DB7">
      <w:pPr>
        <w:pStyle w:val="Heading2"/>
        <w:rPr>
          <w:snapToGrid w:val="0"/>
          <w:lang w:val="fr-FR"/>
        </w:rPr>
      </w:pPr>
      <w:bookmarkStart w:id="20" w:name="_Toc494207958"/>
      <w:r w:rsidRPr="008725ED">
        <w:rPr>
          <w:snapToGrid w:val="0"/>
          <w:lang w:val="fr-FR"/>
        </w:rPr>
        <w:t>Méthodes statistiques applicables aux caractères observés visuellement</w:t>
      </w:r>
      <w:bookmarkEnd w:id="20"/>
    </w:p>
    <w:p w:rsidR="008C3126" w:rsidRPr="008725ED" w:rsidRDefault="008C3126" w:rsidP="00D87DB7">
      <w:pPr>
        <w:ind w:left="567" w:hanging="567"/>
        <w:rPr>
          <w:rFonts w:cs="Arial"/>
          <w:snapToGrid w:val="0"/>
          <w:lang w:val="fr-FR"/>
        </w:rPr>
      </w:pPr>
    </w:p>
    <w:p w:rsidR="008C3126" w:rsidRPr="008725ED" w:rsidRDefault="00D87DB7" w:rsidP="00D87DB7">
      <w:pPr>
        <w:rPr>
          <w:snapToGrid w:val="0"/>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examiné </w:t>
      </w:r>
      <w:r w:rsidRPr="008725ED">
        <w:rPr>
          <w:lang w:val="fr-FR"/>
        </w:rPr>
        <w:t xml:space="preserve">le </w:t>
      </w:r>
      <w:r w:rsidR="00EF1779" w:rsidRPr="008725ED">
        <w:rPr>
          <w:lang w:val="fr-FR"/>
        </w:rPr>
        <w:t>document TC</w:t>
      </w:r>
      <w:r w:rsidRPr="008725ED">
        <w:rPr>
          <w:lang w:val="fr-FR"/>
        </w:rPr>
        <w:t>/53/24.</w:t>
      </w:r>
    </w:p>
    <w:p w:rsidR="008C3126" w:rsidRPr="008725ED" w:rsidRDefault="008C3126" w:rsidP="00D87DB7">
      <w:pPr>
        <w:rPr>
          <w:snapToGrid w:val="0"/>
          <w:lang w:val="fr-FR"/>
        </w:rPr>
      </w:pPr>
    </w:p>
    <w:p w:rsidR="0064330D" w:rsidRDefault="00D87DB7" w:rsidP="0064330D">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pris note </w:t>
      </w:r>
      <w:r w:rsidRPr="008725ED">
        <w:rPr>
          <w:lang w:val="fr-FR"/>
        </w:rPr>
        <w:t>qu</w:t>
      </w:r>
      <w:r w:rsidR="00EF1779" w:rsidRPr="008725ED">
        <w:rPr>
          <w:lang w:val="fr-FR"/>
        </w:rPr>
        <w:t>’</w:t>
      </w:r>
      <w:r w:rsidRPr="008725ED">
        <w:rPr>
          <w:lang w:val="fr-FR"/>
        </w:rPr>
        <w:t>un expert de la France rendra</w:t>
      </w:r>
      <w:r w:rsidR="0091609B" w:rsidRPr="008725ED">
        <w:rPr>
          <w:lang w:val="fr-FR"/>
        </w:rPr>
        <w:t>it</w:t>
      </w:r>
      <w:r w:rsidRPr="008725ED">
        <w:rPr>
          <w:lang w:val="fr-FR"/>
        </w:rPr>
        <w:t xml:space="preserve"> compte, à la trente</w:t>
      </w:r>
      <w:r w:rsidR="00EF1779" w:rsidRPr="008725ED">
        <w:rPr>
          <w:lang w:val="fr-FR"/>
        </w:rPr>
        <w:t>-</w:t>
      </w:r>
      <w:r w:rsidRPr="008725ED">
        <w:rPr>
          <w:lang w:val="fr-FR"/>
        </w:rPr>
        <w:t>cinqu</w:t>
      </w:r>
      <w:r w:rsidR="00EF1779" w:rsidRPr="008725ED">
        <w:rPr>
          <w:lang w:val="fr-FR"/>
        </w:rPr>
        <w:t>ième session</w:t>
      </w:r>
      <w:r w:rsidRPr="008725ED">
        <w:rPr>
          <w:lang w:val="fr-FR"/>
        </w:rPr>
        <w:t xml:space="preserve"> du TWC, qui se tiendra</w:t>
      </w:r>
      <w:r w:rsidR="0091609B" w:rsidRPr="008725ED">
        <w:rPr>
          <w:lang w:val="fr-FR"/>
        </w:rPr>
        <w:t>it</w:t>
      </w:r>
      <w:r w:rsidRPr="008725ED">
        <w:rPr>
          <w:lang w:val="fr-FR"/>
        </w:rPr>
        <w:t xml:space="preserve"> en 2017, des avancées concernant l</w:t>
      </w:r>
      <w:r w:rsidR="00EF1779" w:rsidRPr="008725ED">
        <w:rPr>
          <w:lang w:val="fr-FR"/>
        </w:rPr>
        <w:t>’</w:t>
      </w:r>
      <w:r w:rsidRPr="008725ED">
        <w:rPr>
          <w:lang w:val="fr-FR"/>
        </w:rPr>
        <w:t>étude visant à mettre au point un logiciel capable d</w:t>
      </w:r>
      <w:r w:rsidR="00EF1779" w:rsidRPr="008725ED">
        <w:rPr>
          <w:lang w:val="fr-FR"/>
        </w:rPr>
        <w:t>’</w:t>
      </w:r>
      <w:r w:rsidRPr="008725ED">
        <w:rPr>
          <w:lang w:val="fr-FR"/>
        </w:rPr>
        <w:t>appliquer la méthode élaborée par les experts du Danemark et de la Pologne.</w:t>
      </w:r>
    </w:p>
    <w:p w:rsidR="005E033E" w:rsidRPr="008725ED" w:rsidRDefault="005E033E" w:rsidP="0064330D">
      <w:pPr>
        <w:rPr>
          <w:lang w:val="fr-FR"/>
        </w:rPr>
      </w:pPr>
    </w:p>
    <w:p w:rsidR="008C3126" w:rsidRPr="008725ED" w:rsidRDefault="00D87DB7" w:rsidP="00D87DB7">
      <w:pPr>
        <w:rPr>
          <w:lang w:val="fr-FR" w:eastAsia="ja-JP"/>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est convenu de se pencher sur la désignation appropriée et les orientations en matière de rédaction de la méthode élaborée par des experts du Danemark et de la Pologne une fois que l</w:t>
      </w:r>
      <w:r w:rsidR="00EF1779" w:rsidRPr="008725ED">
        <w:rPr>
          <w:lang w:val="fr-FR"/>
        </w:rPr>
        <w:t>’</w:t>
      </w:r>
      <w:r w:rsidRPr="008725ED">
        <w:rPr>
          <w:lang w:val="fr-FR"/>
        </w:rPr>
        <w:t>on aurait acquis une plus grande expérience et disposerait d</w:t>
      </w:r>
      <w:r w:rsidR="00EF1779" w:rsidRPr="008725ED">
        <w:rPr>
          <w:lang w:val="fr-FR"/>
        </w:rPr>
        <w:t>’</w:t>
      </w:r>
      <w:r w:rsidRPr="008725ED">
        <w:rPr>
          <w:lang w:val="fr-FR"/>
        </w:rPr>
        <w:t>un logiciel capable de faciliter l</w:t>
      </w:r>
      <w:r w:rsidR="00EF1779" w:rsidRPr="008725ED">
        <w:rPr>
          <w:lang w:val="fr-FR"/>
        </w:rPr>
        <w:t>’</w:t>
      </w:r>
      <w:r w:rsidRPr="008725ED">
        <w:rPr>
          <w:lang w:val="fr-FR"/>
        </w:rPr>
        <w:t>utilisation de cette méthode dans le cadre de l</w:t>
      </w:r>
      <w:r w:rsidR="00EF1779" w:rsidRPr="008725ED">
        <w:rPr>
          <w:lang w:val="fr-FR"/>
        </w:rPr>
        <w:t>’</w:t>
      </w:r>
      <w:r w:rsidRPr="008725ED">
        <w:rPr>
          <w:lang w:val="fr-FR"/>
        </w:rPr>
        <w:t>examen DHS.</w:t>
      </w:r>
    </w:p>
    <w:p w:rsidR="008C3126" w:rsidRPr="008725ED" w:rsidRDefault="008C3126" w:rsidP="00D87DB7">
      <w:pPr>
        <w:rPr>
          <w:lang w:val="fr-FR" w:eastAsia="ja-JP"/>
        </w:rPr>
      </w:pPr>
    </w:p>
    <w:p w:rsidR="008C3126" w:rsidRPr="008725ED" w:rsidRDefault="00D87DB7" w:rsidP="00D87DB7">
      <w:pPr>
        <w:rPr>
          <w:lang w:val="fr-FR" w:eastAsia="ja-JP"/>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a indiqué que la Chine avait présenté un exposé à la trente</w:t>
      </w:r>
      <w:r w:rsidR="00EF1779" w:rsidRPr="008725ED">
        <w:rPr>
          <w:lang w:val="fr-FR"/>
        </w:rPr>
        <w:t>-</w:t>
      </w:r>
      <w:r w:rsidRPr="008725ED">
        <w:rPr>
          <w:lang w:val="fr-FR"/>
        </w:rPr>
        <w:t>quatr</w:t>
      </w:r>
      <w:r w:rsidR="00EF1779" w:rsidRPr="008725ED">
        <w:rPr>
          <w:lang w:val="fr-FR"/>
        </w:rPr>
        <w:t>ième session</w:t>
      </w:r>
      <w:r w:rsidRPr="008725ED">
        <w:rPr>
          <w:lang w:val="fr-FR"/>
        </w:rPr>
        <w:t xml:space="preserve"> du TWC, afin de décrire les méthodes statistiques utilisées dans le progiciel DUST China (DUSTC) pour l</w:t>
      </w:r>
      <w:r w:rsidR="00EF1779" w:rsidRPr="008725ED">
        <w:rPr>
          <w:lang w:val="fr-FR"/>
        </w:rPr>
        <w:t>’</w:t>
      </w:r>
      <w:r w:rsidRPr="008725ED">
        <w:rPr>
          <w:lang w:val="fr-FR"/>
        </w:rPr>
        <w:t>analyse de la distinction et de l</w:t>
      </w:r>
      <w:r w:rsidR="00EF1779" w:rsidRPr="008725ED">
        <w:rPr>
          <w:lang w:val="fr-FR"/>
        </w:rPr>
        <w:t>’</w:t>
      </w:r>
      <w:r w:rsidRPr="008725ED">
        <w:rPr>
          <w:lang w:val="fr-FR"/>
        </w:rPr>
        <w:t>homogénéité.</w:t>
      </w:r>
    </w:p>
    <w:p w:rsidR="008C3126" w:rsidRPr="008725ED" w:rsidRDefault="008C3126" w:rsidP="00D87DB7">
      <w:pPr>
        <w:tabs>
          <w:tab w:val="left" w:pos="2119"/>
        </w:tabs>
        <w:ind w:left="567" w:hanging="567"/>
        <w:rPr>
          <w:lang w:val="fr-FR"/>
        </w:rPr>
      </w:pPr>
    </w:p>
    <w:p w:rsidR="008C3126" w:rsidRPr="008725ED" w:rsidRDefault="008C3126" w:rsidP="00D87DB7">
      <w:pPr>
        <w:tabs>
          <w:tab w:val="left" w:pos="2119"/>
        </w:tabs>
        <w:ind w:left="567" w:hanging="567"/>
        <w:rPr>
          <w:rFonts w:cs="Arial"/>
          <w:snapToGrid w:val="0"/>
          <w:lang w:val="fr-FR"/>
        </w:rPr>
      </w:pPr>
    </w:p>
    <w:p w:rsidR="008C3126" w:rsidRPr="008725ED" w:rsidRDefault="00D87DB7" w:rsidP="00D87DB7">
      <w:pPr>
        <w:pStyle w:val="Heading2"/>
        <w:rPr>
          <w:snapToGrid w:val="0"/>
          <w:lang w:val="fr-FR"/>
        </w:rPr>
      </w:pPr>
      <w:bookmarkStart w:id="21" w:name="_Toc494207959"/>
      <w:r w:rsidRPr="008725ED">
        <w:rPr>
          <w:snapToGrid w:val="0"/>
          <w:lang w:val="fr-FR"/>
        </w:rPr>
        <w:t>Techniques moléculaires</w:t>
      </w:r>
      <w:bookmarkEnd w:id="21"/>
    </w:p>
    <w:p w:rsidR="008C3126" w:rsidRPr="008725ED" w:rsidRDefault="008C3126" w:rsidP="00D87DB7">
      <w:pPr>
        <w:ind w:left="567" w:hanging="567"/>
        <w:rPr>
          <w:lang w:val="fr-FR"/>
        </w:rPr>
      </w:pPr>
    </w:p>
    <w:p w:rsidR="008C3126" w:rsidRPr="008725ED" w:rsidRDefault="00D87DB7" w:rsidP="00D87DB7">
      <w:pPr>
        <w:rPr>
          <w:snapToGrid w:val="0"/>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examiné </w:t>
      </w:r>
      <w:r w:rsidRPr="008725ED">
        <w:rPr>
          <w:lang w:val="fr-FR"/>
        </w:rPr>
        <w:t xml:space="preserve">le </w:t>
      </w:r>
      <w:r w:rsidR="00EF1779" w:rsidRPr="008725ED">
        <w:rPr>
          <w:lang w:val="fr-FR"/>
        </w:rPr>
        <w:t>document TC</w:t>
      </w:r>
      <w:r w:rsidRPr="008725ED">
        <w:rPr>
          <w:lang w:val="fr-FR"/>
        </w:rPr>
        <w:t>/53/11.</w:t>
      </w:r>
    </w:p>
    <w:p w:rsidR="008C3126" w:rsidRPr="008725ED" w:rsidRDefault="008C3126" w:rsidP="00D87DB7">
      <w:pPr>
        <w:rPr>
          <w:snapToGrid w:val="0"/>
          <w:lang w:val="fr-FR" w:eastAsia="ja-JP"/>
        </w:rPr>
      </w:pPr>
    </w:p>
    <w:p w:rsidR="008C3126" w:rsidRPr="008725ED" w:rsidRDefault="00D87DB7" w:rsidP="00D87DB7">
      <w:pPr>
        <w:rPr>
          <w:lang w:val="fr-FR" w:eastAsia="ja-JP"/>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pris note </w:t>
      </w:r>
      <w:r w:rsidRPr="008725ED">
        <w:rPr>
          <w:lang w:val="fr-FR"/>
        </w:rPr>
        <w:t>du rapport sur les faits nouveaux relatifs aux travaux des groupes de travail techniques et du BMT, tel qu</w:t>
      </w:r>
      <w:r w:rsidR="00EF1779" w:rsidRPr="008725ED">
        <w:rPr>
          <w:lang w:val="fr-FR"/>
        </w:rPr>
        <w:t>’</w:t>
      </w:r>
      <w:r w:rsidRPr="008725ED">
        <w:rPr>
          <w:lang w:val="fr-FR"/>
        </w:rPr>
        <w:t>il figur</w:t>
      </w:r>
      <w:r w:rsidR="0091609B" w:rsidRPr="008725ED">
        <w:rPr>
          <w:lang w:val="fr-FR"/>
        </w:rPr>
        <w:t>ait</w:t>
      </w:r>
      <w:r w:rsidRPr="008725ED">
        <w:rPr>
          <w:lang w:val="fr-FR"/>
        </w:rPr>
        <w:t xml:space="preserve"> aux paragraphes 5 à 24 du </w:t>
      </w:r>
      <w:r w:rsidR="00EF1779" w:rsidRPr="008725ED">
        <w:rPr>
          <w:lang w:val="fr-FR"/>
        </w:rPr>
        <w:t>document TC</w:t>
      </w:r>
      <w:r w:rsidRPr="008725ED">
        <w:rPr>
          <w:lang w:val="fr-FR"/>
        </w:rPr>
        <w:t>/53/11.</w:t>
      </w:r>
    </w:p>
    <w:p w:rsidR="008C3126" w:rsidRPr="008725ED" w:rsidRDefault="008C3126" w:rsidP="00D87DB7">
      <w:pPr>
        <w:rPr>
          <w:lang w:val="fr-FR" w:eastAsia="ja-JP"/>
        </w:rPr>
      </w:pPr>
    </w:p>
    <w:p w:rsidR="008C3126" w:rsidRPr="008725ED" w:rsidRDefault="00D87DB7" w:rsidP="00D87DB7">
      <w:pPr>
        <w:rPr>
          <w:lang w:val="fr-FR" w:eastAsia="ja-JP"/>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pris note </w:t>
      </w:r>
      <w:r w:rsidRPr="008725ED">
        <w:rPr>
          <w:lang w:val="fr-FR"/>
        </w:rPr>
        <w:t>que l</w:t>
      </w:r>
      <w:r w:rsidR="00EF1779" w:rsidRPr="008725ED">
        <w:rPr>
          <w:lang w:val="fr-FR"/>
        </w:rPr>
        <w:t>’</w:t>
      </w:r>
      <w:r w:rsidRPr="008725ED">
        <w:rPr>
          <w:lang w:val="fr-FR"/>
        </w:rPr>
        <w:t>élaboration éventuelle d</w:t>
      </w:r>
      <w:r w:rsidR="00EF1779" w:rsidRPr="008725ED">
        <w:rPr>
          <w:lang w:val="fr-FR"/>
        </w:rPr>
        <w:t>’</w:t>
      </w:r>
      <w:r w:rsidRPr="008725ED">
        <w:rPr>
          <w:lang w:val="fr-FR"/>
        </w:rPr>
        <w:t>un document commun présentant les particularités des systèmes de l</w:t>
      </w:r>
      <w:r w:rsidR="00EF1779" w:rsidRPr="008725ED">
        <w:rPr>
          <w:lang w:val="fr-FR"/>
        </w:rPr>
        <w:t>’</w:t>
      </w:r>
      <w:r w:rsidRPr="008725ED">
        <w:rPr>
          <w:lang w:val="fr-FR"/>
        </w:rPr>
        <w:t>OCDE, de l</w:t>
      </w:r>
      <w:r w:rsidR="00EF1779" w:rsidRPr="008725ED">
        <w:rPr>
          <w:lang w:val="fr-FR"/>
        </w:rPr>
        <w:t>’</w:t>
      </w:r>
      <w:r w:rsidRPr="008725ED">
        <w:rPr>
          <w:lang w:val="fr-FR"/>
        </w:rPr>
        <w:t>UPOV et de l</w:t>
      </w:r>
      <w:r w:rsidR="00EF1779" w:rsidRPr="008725ED">
        <w:rPr>
          <w:lang w:val="fr-FR"/>
        </w:rPr>
        <w:t>’</w:t>
      </w:r>
      <w:r w:rsidRPr="008725ED">
        <w:rPr>
          <w:lang w:val="fr-FR"/>
        </w:rPr>
        <w:t>ISTA ne pou</w:t>
      </w:r>
      <w:r w:rsidR="0091609B" w:rsidRPr="008725ED">
        <w:rPr>
          <w:lang w:val="fr-FR"/>
        </w:rPr>
        <w:t>v</w:t>
      </w:r>
      <w:r w:rsidRPr="008725ED">
        <w:rPr>
          <w:lang w:val="fr-FR"/>
        </w:rPr>
        <w:t>ait commencer qu</w:t>
      </w:r>
      <w:r w:rsidR="00EF1779" w:rsidRPr="008725ED">
        <w:rPr>
          <w:lang w:val="fr-FR"/>
        </w:rPr>
        <w:t>’</w:t>
      </w:r>
      <w:r w:rsidRPr="008725ED">
        <w:rPr>
          <w:lang w:val="fr-FR"/>
        </w:rPr>
        <w:t>après obtention de l</w:t>
      </w:r>
      <w:r w:rsidR="00EF1779" w:rsidRPr="008725ED">
        <w:rPr>
          <w:lang w:val="fr-FR"/>
        </w:rPr>
        <w:t>’</w:t>
      </w:r>
      <w:r w:rsidRPr="008725ED">
        <w:rPr>
          <w:lang w:val="fr-FR"/>
        </w:rPr>
        <w:t>accord de l</w:t>
      </w:r>
      <w:r w:rsidR="00EF1779" w:rsidRPr="008725ED">
        <w:rPr>
          <w:lang w:val="fr-FR"/>
        </w:rPr>
        <w:t>’</w:t>
      </w:r>
      <w:r w:rsidRPr="008725ED">
        <w:rPr>
          <w:lang w:val="fr-FR"/>
        </w:rPr>
        <w:t>OCDE et de l</w:t>
      </w:r>
      <w:r w:rsidR="00EF1779" w:rsidRPr="008725ED">
        <w:rPr>
          <w:lang w:val="fr-FR"/>
        </w:rPr>
        <w:t>’</w:t>
      </w:r>
      <w:r w:rsidRPr="008725ED">
        <w:rPr>
          <w:lang w:val="fr-FR"/>
        </w:rPr>
        <w:t>ISTA.</w:t>
      </w:r>
    </w:p>
    <w:p w:rsidR="008C3126" w:rsidRPr="008725ED" w:rsidRDefault="008C3126" w:rsidP="00D87DB7">
      <w:pPr>
        <w:rPr>
          <w:lang w:val="fr-FR" w:eastAsia="ja-JP"/>
        </w:rPr>
      </w:pPr>
    </w:p>
    <w:p w:rsidR="008C3126" w:rsidRPr="008725ED" w:rsidRDefault="00D87DB7" w:rsidP="00D87DB7">
      <w:pPr>
        <w:rPr>
          <w:lang w:val="fr-FR" w:eastAsia="ja-JP"/>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pris note </w:t>
      </w:r>
      <w:r w:rsidRPr="008725ED">
        <w:rPr>
          <w:lang w:val="fr-FR"/>
        </w:rPr>
        <w:t>que l</w:t>
      </w:r>
      <w:r w:rsidR="00EF1779" w:rsidRPr="008725ED">
        <w:rPr>
          <w:lang w:val="fr-FR"/>
        </w:rPr>
        <w:t>’</w:t>
      </w:r>
      <w:r w:rsidRPr="008725ED">
        <w:rPr>
          <w:lang w:val="fr-FR"/>
        </w:rPr>
        <w:t>élaboration éventuelle d</w:t>
      </w:r>
      <w:r w:rsidR="00EF1779" w:rsidRPr="008725ED">
        <w:rPr>
          <w:lang w:val="fr-FR"/>
        </w:rPr>
        <w:t>’</w:t>
      </w:r>
      <w:r w:rsidRPr="008725ED">
        <w:rPr>
          <w:lang w:val="fr-FR"/>
        </w:rPr>
        <w:t>un document commun à l</w:t>
      </w:r>
      <w:r w:rsidR="00EF1779" w:rsidRPr="008725ED">
        <w:rPr>
          <w:lang w:val="fr-FR"/>
        </w:rPr>
        <w:t>’</w:t>
      </w:r>
      <w:r w:rsidRPr="008725ED">
        <w:rPr>
          <w:lang w:val="fr-FR"/>
        </w:rPr>
        <w:t>OCDE, à l</w:t>
      </w:r>
      <w:r w:rsidR="00EF1779" w:rsidRPr="008725ED">
        <w:rPr>
          <w:lang w:val="fr-FR"/>
        </w:rPr>
        <w:t>’</w:t>
      </w:r>
      <w:r w:rsidRPr="008725ED">
        <w:rPr>
          <w:lang w:val="fr-FR"/>
        </w:rPr>
        <w:t>UPOV et à l</w:t>
      </w:r>
      <w:r w:rsidR="00EF1779" w:rsidRPr="008725ED">
        <w:rPr>
          <w:lang w:val="fr-FR"/>
        </w:rPr>
        <w:t>’</w:t>
      </w:r>
      <w:r w:rsidRPr="008725ED">
        <w:rPr>
          <w:lang w:val="fr-FR"/>
        </w:rPr>
        <w:t>ISTA contenant un inventaire, par plante, de l</w:t>
      </w:r>
      <w:r w:rsidR="00EF1779" w:rsidRPr="008725ED">
        <w:rPr>
          <w:lang w:val="fr-FR"/>
        </w:rPr>
        <w:t>’</w:t>
      </w:r>
      <w:r w:rsidRPr="008725ED">
        <w:rPr>
          <w:lang w:val="fr-FR"/>
        </w:rPr>
        <w:t xml:space="preserve">utilisation qui </w:t>
      </w:r>
      <w:r w:rsidR="0000589A" w:rsidRPr="008725ED">
        <w:rPr>
          <w:lang w:val="fr-FR"/>
        </w:rPr>
        <w:t>était</w:t>
      </w:r>
      <w:r w:rsidRPr="008725ED">
        <w:rPr>
          <w:lang w:val="fr-FR"/>
        </w:rPr>
        <w:t xml:space="preserve"> faite des techniques faisant intervenir des</w:t>
      </w:r>
      <w:r w:rsidR="0091609B" w:rsidRPr="008725ED">
        <w:rPr>
          <w:lang w:val="fr-FR"/>
        </w:rPr>
        <w:t xml:space="preserve"> marqueurs moléculaires ne pouv</w:t>
      </w:r>
      <w:r w:rsidRPr="008725ED">
        <w:rPr>
          <w:lang w:val="fr-FR"/>
        </w:rPr>
        <w:t>ait démarrer qu</w:t>
      </w:r>
      <w:r w:rsidR="00EF1779" w:rsidRPr="008725ED">
        <w:rPr>
          <w:lang w:val="fr-FR"/>
        </w:rPr>
        <w:t>’</w:t>
      </w:r>
      <w:r w:rsidRPr="008725ED">
        <w:rPr>
          <w:lang w:val="fr-FR"/>
        </w:rPr>
        <w:t>après obtention de l</w:t>
      </w:r>
      <w:r w:rsidR="00EF1779" w:rsidRPr="008725ED">
        <w:rPr>
          <w:lang w:val="fr-FR"/>
        </w:rPr>
        <w:t>’</w:t>
      </w:r>
      <w:r w:rsidRPr="008725ED">
        <w:rPr>
          <w:lang w:val="fr-FR"/>
        </w:rPr>
        <w:t>accord de l</w:t>
      </w:r>
      <w:r w:rsidR="00EF1779" w:rsidRPr="008725ED">
        <w:rPr>
          <w:lang w:val="fr-FR"/>
        </w:rPr>
        <w:t>’</w:t>
      </w:r>
      <w:r w:rsidRPr="008725ED">
        <w:rPr>
          <w:lang w:val="fr-FR"/>
        </w:rPr>
        <w:t>OCDE et de l</w:t>
      </w:r>
      <w:r w:rsidR="00EF1779" w:rsidRPr="008725ED">
        <w:rPr>
          <w:lang w:val="fr-FR"/>
        </w:rPr>
        <w:t>’</w:t>
      </w:r>
      <w:r w:rsidRPr="008725ED">
        <w:rPr>
          <w:lang w:val="fr-FR"/>
        </w:rPr>
        <w:t>ISTA.</w:t>
      </w:r>
    </w:p>
    <w:p w:rsidR="008C3126" w:rsidRPr="008725ED" w:rsidRDefault="008C3126" w:rsidP="00D87DB7">
      <w:pPr>
        <w:rPr>
          <w:lang w:val="fr-FR" w:eastAsia="ja-JP"/>
        </w:rPr>
      </w:pPr>
    </w:p>
    <w:p w:rsidR="008C3126" w:rsidRPr="008725ED" w:rsidRDefault="00D87DB7" w:rsidP="00D87DB7">
      <w:pPr>
        <w:rPr>
          <w:lang w:val="fr-FR" w:eastAsia="ja-JP"/>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eastAsia="ja-JP"/>
        </w:rPr>
        <w:t>est convenu</w:t>
      </w:r>
      <w:r w:rsidRPr="008725ED">
        <w:rPr>
          <w:lang w:val="fr-FR" w:eastAsia="ja-JP"/>
        </w:rPr>
        <w:t xml:space="preserve"> que</w:t>
      </w:r>
      <w:r w:rsidRPr="008725ED">
        <w:rPr>
          <w:lang w:val="fr-FR"/>
        </w:rPr>
        <w:t xml:space="preserve"> </w:t>
      </w:r>
      <w:r w:rsidRPr="008725ED">
        <w:rPr>
          <w:lang w:val="fr-FR" w:eastAsia="ja-JP"/>
        </w:rPr>
        <w:t>les activités futures de collaboration entre l</w:t>
      </w:r>
      <w:r w:rsidR="00EF1779" w:rsidRPr="008725ED">
        <w:rPr>
          <w:lang w:val="fr-FR" w:eastAsia="ja-JP"/>
        </w:rPr>
        <w:t>’</w:t>
      </w:r>
      <w:r w:rsidRPr="008725ED">
        <w:rPr>
          <w:lang w:val="fr-FR" w:eastAsia="ja-JP"/>
        </w:rPr>
        <w:t>UPOV, l</w:t>
      </w:r>
      <w:r w:rsidR="00EF1779" w:rsidRPr="008725ED">
        <w:rPr>
          <w:lang w:val="fr-FR" w:eastAsia="ja-JP"/>
        </w:rPr>
        <w:t>’</w:t>
      </w:r>
      <w:r w:rsidRPr="008725ED">
        <w:rPr>
          <w:lang w:val="fr-FR" w:eastAsia="ja-JP"/>
        </w:rPr>
        <w:t>OCDE et l</w:t>
      </w:r>
      <w:r w:rsidR="00EF1779" w:rsidRPr="008725ED">
        <w:rPr>
          <w:lang w:val="fr-FR" w:eastAsia="ja-JP"/>
        </w:rPr>
        <w:t>’</w:t>
      </w:r>
      <w:r w:rsidRPr="008725ED">
        <w:rPr>
          <w:lang w:val="fr-FR" w:eastAsia="ja-JP"/>
        </w:rPr>
        <w:t>ISTA pou</w:t>
      </w:r>
      <w:r w:rsidR="0091609B" w:rsidRPr="008725ED">
        <w:rPr>
          <w:lang w:val="fr-FR" w:eastAsia="ja-JP"/>
        </w:rPr>
        <w:t>v</w:t>
      </w:r>
      <w:r w:rsidRPr="008725ED">
        <w:rPr>
          <w:lang w:val="fr-FR" w:eastAsia="ja-JP"/>
        </w:rPr>
        <w:t>aient inclure l</w:t>
      </w:r>
      <w:r w:rsidR="00EF1779" w:rsidRPr="008725ED">
        <w:rPr>
          <w:lang w:val="fr-FR" w:eastAsia="ja-JP"/>
        </w:rPr>
        <w:t>’</w:t>
      </w:r>
      <w:r w:rsidRPr="008725ED">
        <w:rPr>
          <w:lang w:val="fr-FR" w:eastAsia="ja-JP"/>
        </w:rPr>
        <w:t>harmonisation des conditions et méthodes appliquées pour les différentes plantes et l</w:t>
      </w:r>
      <w:r w:rsidR="00EF1779" w:rsidRPr="008725ED">
        <w:rPr>
          <w:lang w:val="fr-FR" w:eastAsia="ja-JP"/>
        </w:rPr>
        <w:t>’</w:t>
      </w:r>
      <w:r w:rsidRPr="008725ED">
        <w:rPr>
          <w:lang w:val="fr-FR" w:eastAsia="ja-JP"/>
        </w:rPr>
        <w:t>éventuelle élaboration de normes, après obtention de l</w:t>
      </w:r>
      <w:r w:rsidR="00EF1779" w:rsidRPr="008725ED">
        <w:rPr>
          <w:lang w:val="fr-FR" w:eastAsia="ja-JP"/>
        </w:rPr>
        <w:t>’</w:t>
      </w:r>
      <w:r w:rsidRPr="008725ED">
        <w:rPr>
          <w:lang w:val="fr-FR" w:eastAsia="ja-JP"/>
        </w:rPr>
        <w:t>accord de ces organisations.</w:t>
      </w:r>
    </w:p>
    <w:p w:rsidR="008C3126" w:rsidRPr="008725ED" w:rsidRDefault="008C3126" w:rsidP="00D87DB7">
      <w:pPr>
        <w:rPr>
          <w:lang w:val="fr-FR" w:eastAsia="ja-JP"/>
        </w:rPr>
      </w:pPr>
    </w:p>
    <w:p w:rsidR="008C3126" w:rsidRPr="008725ED" w:rsidRDefault="00D87DB7" w:rsidP="00D87DB7">
      <w:pPr>
        <w:rPr>
          <w:lang w:val="fr-FR" w:eastAsia="ja-JP"/>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91609B" w:rsidRPr="008725ED">
        <w:rPr>
          <w:lang w:val="fr-FR"/>
        </w:rPr>
        <w:t xml:space="preserve">a </w:t>
      </w:r>
      <w:r w:rsidR="0091609B" w:rsidRPr="008725ED">
        <w:rPr>
          <w:lang w:val="fr-FR" w:eastAsia="ja-JP"/>
        </w:rPr>
        <w:t>envisagé</w:t>
      </w:r>
      <w:r w:rsidRPr="008725ED">
        <w:rPr>
          <w:lang w:val="fr-FR" w:eastAsia="ja-JP"/>
        </w:rPr>
        <w:t xml:space="preserve"> d</w:t>
      </w:r>
      <w:r w:rsidR="00EF1779" w:rsidRPr="008725ED">
        <w:rPr>
          <w:lang w:val="fr-FR" w:eastAsia="ja-JP"/>
        </w:rPr>
        <w:t>’</w:t>
      </w:r>
      <w:r w:rsidRPr="008725ED">
        <w:rPr>
          <w:lang w:val="fr-FR" w:eastAsia="ja-JP"/>
        </w:rPr>
        <w:t>examiner les circonstances dans lesquelles les mêmes techniques et informations pou</w:t>
      </w:r>
      <w:r w:rsidR="0091609B" w:rsidRPr="008725ED">
        <w:rPr>
          <w:lang w:val="fr-FR" w:eastAsia="ja-JP"/>
        </w:rPr>
        <w:t>v</w:t>
      </w:r>
      <w:r w:rsidRPr="008725ED">
        <w:rPr>
          <w:lang w:val="fr-FR" w:eastAsia="ja-JP"/>
        </w:rPr>
        <w:t>aient être utilisées par l</w:t>
      </w:r>
      <w:r w:rsidR="00EF1779" w:rsidRPr="008725ED">
        <w:rPr>
          <w:lang w:val="fr-FR" w:eastAsia="ja-JP"/>
        </w:rPr>
        <w:t>’</w:t>
      </w:r>
      <w:r w:rsidRPr="008725ED">
        <w:rPr>
          <w:lang w:val="fr-FR" w:eastAsia="ja-JP"/>
        </w:rPr>
        <w:t>OCDE, l</w:t>
      </w:r>
      <w:r w:rsidR="00EF1779" w:rsidRPr="008725ED">
        <w:rPr>
          <w:lang w:val="fr-FR" w:eastAsia="ja-JP"/>
        </w:rPr>
        <w:t>’</w:t>
      </w:r>
      <w:r w:rsidRPr="008725ED">
        <w:rPr>
          <w:lang w:val="fr-FR" w:eastAsia="ja-JP"/>
        </w:rPr>
        <w:t>ISTA et l</w:t>
      </w:r>
      <w:r w:rsidR="00EF1779" w:rsidRPr="008725ED">
        <w:rPr>
          <w:lang w:val="fr-FR" w:eastAsia="ja-JP"/>
        </w:rPr>
        <w:t>’</w:t>
      </w:r>
      <w:r w:rsidRPr="008725ED">
        <w:rPr>
          <w:lang w:val="fr-FR" w:eastAsia="ja-JP"/>
        </w:rPr>
        <w:t xml:space="preserve">UPOV, compte tenu des objectifs différents poursuivis par les organisations, et </w:t>
      </w:r>
      <w:r w:rsidR="00344B0C" w:rsidRPr="008725ED">
        <w:rPr>
          <w:lang w:val="fr-FR" w:eastAsia="ja-JP"/>
        </w:rPr>
        <w:t>est convenu</w:t>
      </w:r>
      <w:r w:rsidRPr="008725ED">
        <w:rPr>
          <w:lang w:val="fr-FR" w:eastAsia="ja-JP"/>
        </w:rPr>
        <w:t xml:space="preserve"> que l</w:t>
      </w:r>
      <w:r w:rsidR="00EF1779" w:rsidRPr="008725ED">
        <w:rPr>
          <w:lang w:val="fr-FR" w:eastAsia="ja-JP"/>
        </w:rPr>
        <w:t>’</w:t>
      </w:r>
      <w:r w:rsidRPr="008725ED">
        <w:rPr>
          <w:lang w:val="fr-FR" w:eastAsia="ja-JP"/>
        </w:rPr>
        <w:t>organisation par Naktuinbouw d</w:t>
      </w:r>
      <w:r w:rsidR="00EF1779" w:rsidRPr="008725ED">
        <w:rPr>
          <w:lang w:val="fr-FR" w:eastAsia="ja-JP"/>
        </w:rPr>
        <w:t>’</w:t>
      </w:r>
      <w:r w:rsidRPr="008725ED">
        <w:rPr>
          <w:lang w:val="fr-FR" w:eastAsia="ja-JP"/>
        </w:rPr>
        <w:t>un atelier pratique en 2017, à Roelofarendsveen (Pays</w:t>
      </w:r>
      <w:r w:rsidR="00EF1779" w:rsidRPr="008725ED">
        <w:rPr>
          <w:lang w:val="fr-FR" w:eastAsia="ja-JP"/>
        </w:rPr>
        <w:t>-</w:t>
      </w:r>
      <w:r w:rsidRPr="008725ED">
        <w:rPr>
          <w:lang w:val="fr-FR" w:eastAsia="ja-JP"/>
        </w:rPr>
        <w:t>Bas) du 8 au 10 mai 2017, permettrait d</w:t>
      </w:r>
      <w:r w:rsidR="00EF1779" w:rsidRPr="008725ED">
        <w:rPr>
          <w:lang w:val="fr-FR" w:eastAsia="ja-JP"/>
        </w:rPr>
        <w:t>’</w:t>
      </w:r>
      <w:r w:rsidRPr="008725ED">
        <w:rPr>
          <w:lang w:val="fr-FR" w:eastAsia="ja-JP"/>
        </w:rPr>
        <w:t>examiner ces</w:t>
      </w:r>
      <w:r w:rsidRPr="008725ED">
        <w:rPr>
          <w:rFonts w:cs="Arial"/>
          <w:lang w:val="fr-FR" w:eastAsia="ja-JP"/>
        </w:rPr>
        <w:t xml:space="preserve"> possibilités sur la base de situations concrètes</w:t>
      </w:r>
      <w:r w:rsidRPr="008725ED">
        <w:rPr>
          <w:lang w:val="fr-FR" w:eastAsia="ja-JP"/>
        </w:rPr>
        <w:t>.</w:t>
      </w:r>
    </w:p>
    <w:p w:rsidR="008C3126" w:rsidRPr="008725ED" w:rsidRDefault="008C3126" w:rsidP="00D87DB7">
      <w:pPr>
        <w:rPr>
          <w:lang w:val="fr-FR" w:eastAsia="ja-JP"/>
        </w:rPr>
      </w:pPr>
    </w:p>
    <w:p w:rsidR="008C3126" w:rsidRPr="008725ED" w:rsidRDefault="00D87DB7" w:rsidP="00D87DB7">
      <w:pPr>
        <w:rPr>
          <w:lang w:val="fr-FR" w:eastAsia="ja-JP"/>
        </w:rPr>
      </w:pPr>
      <w:r w:rsidRPr="008725ED">
        <w:rPr>
          <w:lang w:val="fr-FR" w:eastAsia="ja-JP"/>
        </w:rPr>
        <w:fldChar w:fldCharType="begin"/>
      </w:r>
      <w:r w:rsidRPr="008725ED">
        <w:rPr>
          <w:lang w:val="fr-FR" w:eastAsia="ja-JP"/>
        </w:rPr>
        <w:instrText xml:space="preserve"> AUTONUM  </w:instrText>
      </w:r>
      <w:r w:rsidRPr="008725ED">
        <w:rPr>
          <w:lang w:val="fr-FR" w:eastAsia="ja-JP"/>
        </w:rPr>
        <w:fldChar w:fldCharType="end"/>
      </w:r>
      <w:r w:rsidRPr="008725ED">
        <w:rPr>
          <w:lang w:val="fr-FR" w:eastAsia="ja-JP"/>
        </w:rPr>
        <w:tab/>
        <w:t>Le</w:t>
      </w:r>
      <w:r w:rsidR="00EF1779" w:rsidRPr="008725ED">
        <w:rPr>
          <w:lang w:val="fr-FR" w:eastAsia="ja-JP"/>
        </w:rPr>
        <w:t> TC</w:t>
      </w:r>
      <w:r w:rsidRPr="008725ED">
        <w:rPr>
          <w:lang w:val="fr-FR" w:eastAsia="ja-JP"/>
        </w:rPr>
        <w:t xml:space="preserve"> </w:t>
      </w:r>
      <w:r w:rsidR="00344B0C" w:rsidRPr="008725ED">
        <w:rPr>
          <w:lang w:val="fr-FR" w:eastAsia="ja-JP"/>
        </w:rPr>
        <w:t>est convenu</w:t>
      </w:r>
      <w:r w:rsidR="0091609B" w:rsidRPr="008725ED">
        <w:rPr>
          <w:lang w:val="fr-FR" w:eastAsia="ja-JP"/>
        </w:rPr>
        <w:t xml:space="preserve"> que l</w:t>
      </w:r>
      <w:r w:rsidR="00EF1779" w:rsidRPr="008725ED">
        <w:rPr>
          <w:lang w:val="fr-FR" w:eastAsia="ja-JP"/>
        </w:rPr>
        <w:t>’</w:t>
      </w:r>
      <w:r w:rsidR="0091609B" w:rsidRPr="008725ED">
        <w:rPr>
          <w:lang w:val="fr-FR" w:eastAsia="ja-JP"/>
        </w:rPr>
        <w:t>UPOV et l</w:t>
      </w:r>
      <w:r w:rsidR="00EF1779" w:rsidRPr="008725ED">
        <w:rPr>
          <w:lang w:val="fr-FR" w:eastAsia="ja-JP"/>
        </w:rPr>
        <w:t>’</w:t>
      </w:r>
      <w:r w:rsidR="0091609B" w:rsidRPr="008725ED">
        <w:rPr>
          <w:lang w:val="fr-FR" w:eastAsia="ja-JP"/>
        </w:rPr>
        <w:t>OCDE dev</w:t>
      </w:r>
      <w:r w:rsidRPr="008725ED">
        <w:rPr>
          <w:lang w:val="fr-FR" w:eastAsia="ja-JP"/>
        </w:rPr>
        <w:t>aient envisager de faire avancer les questions menti</w:t>
      </w:r>
      <w:r w:rsidR="0091609B" w:rsidRPr="008725ED">
        <w:rPr>
          <w:lang w:val="fr-FR" w:eastAsia="ja-JP"/>
        </w:rPr>
        <w:t>onnées ci</w:t>
      </w:r>
      <w:r w:rsidR="00EF1779" w:rsidRPr="008725ED">
        <w:rPr>
          <w:lang w:val="fr-FR" w:eastAsia="ja-JP"/>
        </w:rPr>
        <w:t>-</w:t>
      </w:r>
      <w:r w:rsidR="0091609B" w:rsidRPr="008725ED">
        <w:rPr>
          <w:lang w:val="fr-FR" w:eastAsia="ja-JP"/>
        </w:rPr>
        <w:t>dessus si l</w:t>
      </w:r>
      <w:r w:rsidR="00EF1779" w:rsidRPr="008725ED">
        <w:rPr>
          <w:lang w:val="fr-FR" w:eastAsia="ja-JP"/>
        </w:rPr>
        <w:t>’</w:t>
      </w:r>
      <w:r w:rsidR="0091609B" w:rsidRPr="008725ED">
        <w:rPr>
          <w:lang w:val="fr-FR" w:eastAsia="ja-JP"/>
        </w:rPr>
        <w:t>ISTA n</w:t>
      </w:r>
      <w:r w:rsidR="00EF1779" w:rsidRPr="008725ED">
        <w:rPr>
          <w:lang w:val="fr-FR" w:eastAsia="ja-JP"/>
        </w:rPr>
        <w:t>’</w:t>
      </w:r>
      <w:r w:rsidR="0091609B" w:rsidRPr="008725ED">
        <w:rPr>
          <w:lang w:val="fr-FR" w:eastAsia="ja-JP"/>
        </w:rPr>
        <w:t>était</w:t>
      </w:r>
      <w:r w:rsidRPr="008725ED">
        <w:rPr>
          <w:lang w:val="fr-FR" w:eastAsia="ja-JP"/>
        </w:rPr>
        <w:t xml:space="preserve"> plus en mesure de participer dans un futur proche.</w:t>
      </w:r>
    </w:p>
    <w:p w:rsidR="008C3126" w:rsidRPr="008725ED" w:rsidRDefault="008C3126" w:rsidP="00D87DB7">
      <w:pPr>
        <w:rPr>
          <w:lang w:val="fr-FR" w:eastAsia="ja-JP"/>
        </w:rPr>
      </w:pPr>
    </w:p>
    <w:p w:rsidR="008C3126" w:rsidRPr="008725ED" w:rsidRDefault="00D87DB7" w:rsidP="00D87DB7">
      <w:pPr>
        <w:rPr>
          <w:lang w:val="fr-FR" w:eastAsia="ja-JP"/>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pris note </w:t>
      </w:r>
      <w:r w:rsidRPr="008725ED">
        <w:rPr>
          <w:lang w:val="fr-FR"/>
        </w:rPr>
        <w:t>de la proposition des Pays</w:t>
      </w:r>
      <w:r w:rsidR="00EF1779" w:rsidRPr="008725ED">
        <w:rPr>
          <w:lang w:val="fr-FR"/>
        </w:rPr>
        <w:t>-</w:t>
      </w:r>
      <w:r w:rsidRPr="008725ED">
        <w:rPr>
          <w:lang w:val="fr-FR"/>
        </w:rPr>
        <w:t>Bas de présenter au TWC un compte rendu des projets sur l</w:t>
      </w:r>
      <w:r w:rsidR="00EF1779" w:rsidRPr="008725ED">
        <w:rPr>
          <w:lang w:val="fr-FR"/>
        </w:rPr>
        <w:t>’</w:t>
      </w:r>
      <w:r w:rsidRPr="008725ED">
        <w:rPr>
          <w:lang w:val="fr-FR"/>
        </w:rPr>
        <w:t>utilisation des techniques moléculaires dans le cadre de l</w:t>
      </w:r>
      <w:r w:rsidR="00EF1779" w:rsidRPr="008725ED">
        <w:rPr>
          <w:lang w:val="fr-FR"/>
        </w:rPr>
        <w:t>’</w:t>
      </w:r>
      <w:r w:rsidRPr="008725ED">
        <w:rPr>
          <w:lang w:val="fr-FR"/>
        </w:rPr>
        <w:t>examen DHS.</w:t>
      </w:r>
    </w:p>
    <w:p w:rsidR="008C3126" w:rsidRPr="008725ED" w:rsidRDefault="008C3126" w:rsidP="00D87DB7">
      <w:pPr>
        <w:rPr>
          <w:lang w:val="fr-FR" w:eastAsia="ja-JP"/>
        </w:rPr>
      </w:pPr>
    </w:p>
    <w:p w:rsidR="008C3126" w:rsidRPr="008725ED" w:rsidRDefault="00D87DB7" w:rsidP="00D87DB7">
      <w:pPr>
        <w:rPr>
          <w:lang w:val="fr-FR" w:eastAsia="ja-JP"/>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pris note </w:t>
      </w:r>
      <w:r w:rsidRPr="008725ED">
        <w:rPr>
          <w:lang w:val="fr-FR"/>
        </w:rPr>
        <w:t>de la proposition de la Chine de faire part au TWC de son expérience dans l</w:t>
      </w:r>
      <w:r w:rsidR="00EF1779" w:rsidRPr="008725ED">
        <w:rPr>
          <w:lang w:val="fr-FR"/>
        </w:rPr>
        <w:t>’</w:t>
      </w:r>
      <w:r w:rsidRPr="008725ED">
        <w:rPr>
          <w:lang w:val="fr-FR"/>
        </w:rPr>
        <w:t>utilisation des bases de données sur l</w:t>
      </w:r>
      <w:r w:rsidR="00EF1779" w:rsidRPr="008725ED">
        <w:rPr>
          <w:lang w:val="fr-FR"/>
        </w:rPr>
        <w:t>’</w:t>
      </w:r>
      <w:r w:rsidRPr="008725ED">
        <w:rPr>
          <w:lang w:val="fr-FR"/>
        </w:rPr>
        <w:t>ADN pour le maïs, le riz et le blé pour la sélection de variétés similaires aux fins de l</w:t>
      </w:r>
      <w:r w:rsidR="00EF1779" w:rsidRPr="008725ED">
        <w:rPr>
          <w:lang w:val="fr-FR"/>
        </w:rPr>
        <w:t>’</w:t>
      </w:r>
      <w:r w:rsidRPr="008725ED">
        <w:rPr>
          <w:lang w:val="fr-FR"/>
        </w:rPr>
        <w:t>examen de la distinction.</w:t>
      </w:r>
    </w:p>
    <w:p w:rsidR="008C3126" w:rsidRPr="008725ED" w:rsidRDefault="008C3126" w:rsidP="00D87DB7">
      <w:pPr>
        <w:rPr>
          <w:lang w:val="fr-FR" w:eastAsia="ja-JP"/>
        </w:rPr>
      </w:pPr>
    </w:p>
    <w:p w:rsidR="008C3126" w:rsidRPr="008725ED" w:rsidRDefault="00D87DB7" w:rsidP="00D87DB7">
      <w:pPr>
        <w:rPr>
          <w:lang w:val="fr-FR" w:eastAsia="ja-JP"/>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pris note </w:t>
      </w:r>
      <w:r w:rsidRPr="008725ED">
        <w:rPr>
          <w:lang w:val="fr-FR"/>
        </w:rPr>
        <w:t>que le TWC était convenu d</w:t>
      </w:r>
      <w:r w:rsidR="00EF1779" w:rsidRPr="008725ED">
        <w:rPr>
          <w:lang w:val="fr-FR"/>
        </w:rPr>
        <w:t>’</w:t>
      </w:r>
      <w:r w:rsidRPr="008725ED">
        <w:rPr>
          <w:lang w:val="fr-FR"/>
        </w:rPr>
        <w:t>inviter les membres à présenter des exposés sur les aspects statistiques dans l</w:t>
      </w:r>
      <w:r w:rsidR="00EF1779" w:rsidRPr="008725ED">
        <w:rPr>
          <w:lang w:val="fr-FR"/>
        </w:rPr>
        <w:t>’</w:t>
      </w:r>
      <w:r w:rsidRPr="008725ED">
        <w:rPr>
          <w:lang w:val="fr-FR"/>
        </w:rPr>
        <w:t>utilisation de marqueurs moléculaires dans l</w:t>
      </w:r>
      <w:r w:rsidR="00EF1779" w:rsidRPr="008725ED">
        <w:rPr>
          <w:lang w:val="fr-FR"/>
        </w:rPr>
        <w:t>’</w:t>
      </w:r>
      <w:r w:rsidRPr="008725ED">
        <w:rPr>
          <w:lang w:val="fr-FR"/>
        </w:rPr>
        <w:t xml:space="preserve">examen DHS, </w:t>
      </w:r>
      <w:r w:rsidR="00EF1779" w:rsidRPr="008725ED">
        <w:rPr>
          <w:lang w:val="fr-FR"/>
        </w:rPr>
        <w:t>y compris</w:t>
      </w:r>
      <w:r w:rsidRPr="008725ED">
        <w:rPr>
          <w:lang w:val="fr-FR"/>
        </w:rPr>
        <w:t xml:space="preserve"> la sélection de variétés similaires et l</w:t>
      </w:r>
      <w:r w:rsidR="00EF1779" w:rsidRPr="008725ED">
        <w:rPr>
          <w:lang w:val="fr-FR"/>
        </w:rPr>
        <w:t>’</w:t>
      </w:r>
      <w:r w:rsidRPr="008725ED">
        <w:rPr>
          <w:lang w:val="fr-FR"/>
        </w:rPr>
        <w:t>organisation d</w:t>
      </w:r>
      <w:r w:rsidR="00EF1779" w:rsidRPr="008725ED">
        <w:rPr>
          <w:lang w:val="fr-FR"/>
        </w:rPr>
        <w:t>’</w:t>
      </w:r>
      <w:r w:rsidRPr="008725ED">
        <w:rPr>
          <w:lang w:val="fr-FR"/>
        </w:rPr>
        <w:t>essais en culture.</w:t>
      </w:r>
    </w:p>
    <w:p w:rsidR="008C3126" w:rsidRPr="008725ED" w:rsidRDefault="008C3126" w:rsidP="00D87DB7">
      <w:pPr>
        <w:rPr>
          <w:lang w:val="fr-FR" w:eastAsia="ja-JP"/>
        </w:rPr>
      </w:pPr>
    </w:p>
    <w:p w:rsidR="008C3126" w:rsidRPr="008725ED" w:rsidRDefault="00D87DB7" w:rsidP="00D87DB7">
      <w:pPr>
        <w:rPr>
          <w:lang w:val="fr-FR" w:eastAsia="ja-JP"/>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pris note </w:t>
      </w:r>
      <w:r w:rsidRPr="008725ED">
        <w:rPr>
          <w:lang w:val="fr-FR"/>
        </w:rPr>
        <w:t>de la proposition de la France de présenter, à la trente</w:t>
      </w:r>
      <w:r w:rsidR="00EF1779" w:rsidRPr="008725ED">
        <w:rPr>
          <w:lang w:val="fr-FR"/>
        </w:rPr>
        <w:t>-</w:t>
      </w:r>
      <w:r w:rsidRPr="008725ED">
        <w:rPr>
          <w:lang w:val="fr-FR"/>
        </w:rPr>
        <w:t>cinqu</w:t>
      </w:r>
      <w:r w:rsidR="00EF1779" w:rsidRPr="008725ED">
        <w:rPr>
          <w:lang w:val="fr-FR"/>
        </w:rPr>
        <w:t>ième session</w:t>
      </w:r>
      <w:r w:rsidRPr="008725ED">
        <w:rPr>
          <w:lang w:val="fr-FR"/>
        </w:rPr>
        <w:t xml:space="preserve"> du TWC, un exposé sur les travaux en cours concernant les bases de données contenant des données moléculaires avec calcul des distances moléculaires au moyen du logiciel GAIA.</w:t>
      </w:r>
    </w:p>
    <w:p w:rsidR="008C3126" w:rsidRPr="008725ED" w:rsidRDefault="008C3126" w:rsidP="00D87DB7">
      <w:pPr>
        <w:rPr>
          <w:lang w:val="fr-FR" w:eastAsia="ja-JP"/>
        </w:rPr>
      </w:pPr>
    </w:p>
    <w:p w:rsidR="008C3126" w:rsidRPr="008725ED" w:rsidRDefault="00D87DB7" w:rsidP="00D87DB7">
      <w:pPr>
        <w:rPr>
          <w:lang w:val="fr-FR" w:eastAsia="ja-JP"/>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pris note </w:t>
      </w:r>
      <w:r w:rsidRPr="008725ED">
        <w:rPr>
          <w:lang w:val="fr-FR"/>
        </w:rPr>
        <w:t>que le TWC était convenu que les logiciels et les bases de données ainsi que les méthodes statistiques associées étaient des éléments importants de l</w:t>
      </w:r>
      <w:r w:rsidR="00EF1779" w:rsidRPr="008725ED">
        <w:rPr>
          <w:lang w:val="fr-FR"/>
        </w:rPr>
        <w:t>’</w:t>
      </w:r>
      <w:r w:rsidRPr="008725ED">
        <w:rPr>
          <w:lang w:val="fr-FR"/>
        </w:rPr>
        <w:t>examen DHS et qu</w:t>
      </w:r>
      <w:r w:rsidR="00EF1779" w:rsidRPr="008725ED">
        <w:rPr>
          <w:lang w:val="fr-FR"/>
        </w:rPr>
        <w:t>’</w:t>
      </w:r>
      <w:r w:rsidRPr="008725ED">
        <w:rPr>
          <w:lang w:val="fr-FR"/>
        </w:rPr>
        <w:t>ils présentaient un intérêt croissant pour la protection des obtentions végétales,</w:t>
      </w:r>
      <w:r w:rsidR="0091609B" w:rsidRPr="008725ED">
        <w:rPr>
          <w:lang w:val="fr-FR"/>
        </w:rPr>
        <w:t xml:space="preserve"> et que le président du TWC dev</w:t>
      </w:r>
      <w:r w:rsidRPr="008725ED">
        <w:rPr>
          <w:lang w:val="fr-FR"/>
        </w:rPr>
        <w:t>ait présenter au</w:t>
      </w:r>
      <w:r w:rsidR="00EF1779" w:rsidRPr="008725ED">
        <w:rPr>
          <w:lang w:val="fr-FR"/>
        </w:rPr>
        <w:t> TC</w:t>
      </w:r>
      <w:r w:rsidRPr="008725ED">
        <w:rPr>
          <w:lang w:val="fr-FR"/>
        </w:rPr>
        <w:t xml:space="preserve"> un compte rendu sur ces éléments particuliers.</w:t>
      </w:r>
    </w:p>
    <w:p w:rsidR="008C3126" w:rsidRPr="008725ED" w:rsidRDefault="008C3126" w:rsidP="00D87DB7">
      <w:pPr>
        <w:rPr>
          <w:lang w:val="fr-FR" w:eastAsia="ja-JP"/>
        </w:rPr>
      </w:pPr>
    </w:p>
    <w:p w:rsidR="005E033E" w:rsidRDefault="00D87DB7" w:rsidP="0064330D">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pris note </w:t>
      </w:r>
      <w:r w:rsidRPr="008725ED">
        <w:rPr>
          <w:lang w:val="fr-FR"/>
        </w:rPr>
        <w:t>qu</w:t>
      </w:r>
      <w:r w:rsidR="00EF1779" w:rsidRPr="008725ED">
        <w:rPr>
          <w:lang w:val="fr-FR"/>
        </w:rPr>
        <w:t>’</w:t>
      </w:r>
      <w:r w:rsidRPr="008725ED">
        <w:rPr>
          <w:lang w:val="fr-FR"/>
        </w:rPr>
        <w:t>un Atelier conjoint de l</w:t>
      </w:r>
      <w:r w:rsidR="00EF1779" w:rsidRPr="008725ED">
        <w:rPr>
          <w:lang w:val="fr-FR"/>
        </w:rPr>
        <w:t>’</w:t>
      </w:r>
      <w:r w:rsidRPr="008725ED">
        <w:rPr>
          <w:lang w:val="fr-FR"/>
        </w:rPr>
        <w:t>OCDE, de l</w:t>
      </w:r>
      <w:r w:rsidR="00EF1779" w:rsidRPr="008725ED">
        <w:rPr>
          <w:lang w:val="fr-FR"/>
        </w:rPr>
        <w:t>’</w:t>
      </w:r>
      <w:r w:rsidRPr="008725ED">
        <w:rPr>
          <w:lang w:val="fr-FR"/>
        </w:rPr>
        <w:t>UPOV, de l</w:t>
      </w:r>
      <w:r w:rsidR="00EF1779" w:rsidRPr="008725ED">
        <w:rPr>
          <w:lang w:val="fr-FR"/>
        </w:rPr>
        <w:t>’</w:t>
      </w:r>
      <w:r w:rsidRPr="008725ED">
        <w:rPr>
          <w:lang w:val="fr-FR"/>
        </w:rPr>
        <w:t>ISTA et de l</w:t>
      </w:r>
      <w:r w:rsidR="00EF1779" w:rsidRPr="008725ED">
        <w:rPr>
          <w:lang w:val="fr-FR"/>
        </w:rPr>
        <w:t>’</w:t>
      </w:r>
      <w:r w:rsidRPr="008725ED">
        <w:rPr>
          <w:lang w:val="fr-FR"/>
        </w:rPr>
        <w:t>AOSA sur les méthodes biochimiques et moléculaires a</w:t>
      </w:r>
      <w:r w:rsidR="0091609B" w:rsidRPr="008725ED">
        <w:rPr>
          <w:lang w:val="fr-FR"/>
        </w:rPr>
        <w:t>vait</w:t>
      </w:r>
      <w:r w:rsidRPr="008725ED">
        <w:rPr>
          <w:lang w:val="fr-FR"/>
        </w:rPr>
        <w:t xml:space="preserve"> eu lieu à Paris le 8 juin 2016, et que les recommandations de l</w:t>
      </w:r>
      <w:r w:rsidR="00EF1779" w:rsidRPr="008725ED">
        <w:rPr>
          <w:lang w:val="fr-FR"/>
        </w:rPr>
        <w:t>’</w:t>
      </w:r>
      <w:r w:rsidRPr="008725ED">
        <w:rPr>
          <w:lang w:val="fr-FR"/>
        </w:rPr>
        <w:t>OCDE, de l</w:t>
      </w:r>
      <w:r w:rsidR="00EF1779" w:rsidRPr="008725ED">
        <w:rPr>
          <w:lang w:val="fr-FR"/>
        </w:rPr>
        <w:t>’</w:t>
      </w:r>
      <w:r w:rsidRPr="008725ED">
        <w:rPr>
          <w:lang w:val="fr-FR"/>
        </w:rPr>
        <w:t>UPOV, de l</w:t>
      </w:r>
      <w:r w:rsidR="00EF1779" w:rsidRPr="008725ED">
        <w:rPr>
          <w:lang w:val="fr-FR"/>
        </w:rPr>
        <w:t>’</w:t>
      </w:r>
      <w:r w:rsidRPr="008725ED">
        <w:rPr>
          <w:lang w:val="fr-FR"/>
        </w:rPr>
        <w:t>ISTA et de l</w:t>
      </w:r>
      <w:r w:rsidR="00EF1779" w:rsidRPr="008725ED">
        <w:rPr>
          <w:lang w:val="fr-FR"/>
        </w:rPr>
        <w:t>’</w:t>
      </w:r>
      <w:r w:rsidRPr="008725ED">
        <w:rPr>
          <w:lang w:val="fr-FR"/>
        </w:rPr>
        <w:t xml:space="preserve">AOSA, présentées au paragraphe 25 du </w:t>
      </w:r>
      <w:r w:rsidR="00EF1779" w:rsidRPr="008725ED">
        <w:rPr>
          <w:lang w:val="fr-FR"/>
        </w:rPr>
        <w:t>document TC</w:t>
      </w:r>
      <w:r w:rsidRPr="008725ED">
        <w:rPr>
          <w:lang w:val="fr-FR"/>
        </w:rPr>
        <w:t xml:space="preserve">/53/11, </w:t>
      </w:r>
      <w:r w:rsidR="0091609B" w:rsidRPr="008725ED">
        <w:rPr>
          <w:lang w:val="fr-FR"/>
        </w:rPr>
        <w:t>avaient</w:t>
      </w:r>
      <w:r w:rsidRPr="008725ED">
        <w:rPr>
          <w:lang w:val="fr-FR"/>
        </w:rPr>
        <w:t xml:space="preserve"> été approuvées lors de la réunion annuelle sur les Systèmes des semences de l</w:t>
      </w:r>
      <w:r w:rsidR="00EF1779" w:rsidRPr="008725ED">
        <w:rPr>
          <w:lang w:val="fr-FR"/>
        </w:rPr>
        <w:t>’</w:t>
      </w:r>
      <w:r w:rsidRPr="008725ED">
        <w:rPr>
          <w:lang w:val="fr-FR"/>
        </w:rPr>
        <w:t>OCDE qui s</w:t>
      </w:r>
      <w:r w:rsidR="00EF1779" w:rsidRPr="008725ED">
        <w:rPr>
          <w:lang w:val="fr-FR"/>
        </w:rPr>
        <w:t>’</w:t>
      </w:r>
      <w:r w:rsidRPr="008725ED">
        <w:rPr>
          <w:lang w:val="fr-FR"/>
        </w:rPr>
        <w:t>est tenue à Paris les 9 et 10 juin 2016.</w:t>
      </w:r>
    </w:p>
    <w:p w:rsidR="005E033E" w:rsidRDefault="005E033E" w:rsidP="0064330D">
      <w:pPr>
        <w:rPr>
          <w:lang w:val="fr-FR"/>
        </w:rPr>
      </w:pPr>
    </w:p>
    <w:p w:rsidR="008C3126" w:rsidRPr="008725ED" w:rsidRDefault="00D87DB7" w:rsidP="00D87DB7">
      <w:pPr>
        <w:rPr>
          <w:lang w:val="fr-FR" w:eastAsia="ja-JP"/>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pris note </w:t>
      </w:r>
      <w:r w:rsidRPr="008725ED">
        <w:rPr>
          <w:lang w:val="fr-FR"/>
        </w:rPr>
        <w:t>que le projet de questions et réponses concernant la diffusion d</w:t>
      </w:r>
      <w:r w:rsidR="00EF1779" w:rsidRPr="008725ED">
        <w:rPr>
          <w:lang w:val="fr-FR"/>
        </w:rPr>
        <w:t>’</w:t>
      </w:r>
      <w:r w:rsidRPr="008725ED">
        <w:rPr>
          <w:lang w:val="fr-FR"/>
        </w:rPr>
        <w:t xml:space="preserve">informations à un large public, </w:t>
      </w:r>
      <w:r w:rsidR="00EF1779" w:rsidRPr="008725ED">
        <w:rPr>
          <w:lang w:val="fr-FR"/>
        </w:rPr>
        <w:t>y compris</w:t>
      </w:r>
      <w:r w:rsidRPr="008725ED">
        <w:rPr>
          <w:lang w:val="fr-FR"/>
        </w:rPr>
        <w:t xml:space="preserve"> le public en général, sur la situation à l</w:t>
      </w:r>
      <w:r w:rsidR="00EF1779" w:rsidRPr="008725ED">
        <w:rPr>
          <w:lang w:val="fr-FR"/>
        </w:rPr>
        <w:t>’</w:t>
      </w:r>
      <w:r w:rsidRPr="008725ED">
        <w:rPr>
          <w:lang w:val="fr-FR"/>
        </w:rPr>
        <w:t>UPOV concernant l</w:t>
      </w:r>
      <w:r w:rsidR="00EF1779" w:rsidRPr="008725ED">
        <w:rPr>
          <w:lang w:val="fr-FR"/>
        </w:rPr>
        <w:t>’</w:t>
      </w:r>
      <w:r w:rsidRPr="008725ED">
        <w:rPr>
          <w:lang w:val="fr-FR"/>
        </w:rPr>
        <w:t>utilisation de techniques moléculaires, a</w:t>
      </w:r>
      <w:r w:rsidR="0091609B" w:rsidRPr="008725ED">
        <w:rPr>
          <w:lang w:val="fr-FR"/>
        </w:rPr>
        <w:t>vait</w:t>
      </w:r>
      <w:r w:rsidRPr="008725ED">
        <w:rPr>
          <w:lang w:val="fr-FR"/>
        </w:rPr>
        <w:t xml:space="preserve"> été approuvé par le Conseil à sa cinquant</w:t>
      </w:r>
      <w:r w:rsidR="00EF1779" w:rsidRPr="008725ED">
        <w:rPr>
          <w:lang w:val="fr-FR"/>
        </w:rPr>
        <w:t>ième session</w:t>
      </w:r>
      <w:r w:rsidRPr="008725ED">
        <w:rPr>
          <w:lang w:val="fr-FR"/>
        </w:rPr>
        <w:t>.</w:t>
      </w:r>
    </w:p>
    <w:p w:rsidR="008C3126" w:rsidRPr="008725ED" w:rsidRDefault="008C3126" w:rsidP="00D87DB7">
      <w:pPr>
        <w:ind w:left="567" w:hanging="567"/>
        <w:rPr>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est convenu</w:t>
      </w:r>
      <w:r w:rsidRPr="008725ED">
        <w:rPr>
          <w:lang w:val="fr-FR"/>
        </w:rPr>
        <w:t xml:space="preserve"> de proposer que les réunions du BMT se tiennent chaque année et d</w:t>
      </w:r>
      <w:r w:rsidR="00EF1779" w:rsidRPr="008725ED">
        <w:rPr>
          <w:lang w:val="fr-FR"/>
        </w:rPr>
        <w:t>’</w:t>
      </w:r>
      <w:r w:rsidRPr="008725ED">
        <w:rPr>
          <w:lang w:val="fr-FR"/>
        </w:rPr>
        <w:t>envisager l</w:t>
      </w:r>
      <w:r w:rsidR="00EF1779" w:rsidRPr="008725ED">
        <w:rPr>
          <w:lang w:val="fr-FR"/>
        </w:rPr>
        <w:t>’</w:t>
      </w:r>
      <w:r w:rsidRPr="008725ED">
        <w:rPr>
          <w:lang w:val="fr-FR"/>
        </w:rPr>
        <w:t>organisation consécutive des sessions du TWC et du BMT dans la même localité afin de faciliter les échanges d</w:t>
      </w:r>
      <w:r w:rsidR="00EF1779" w:rsidRPr="008725ED">
        <w:rPr>
          <w:lang w:val="fr-FR"/>
        </w:rPr>
        <w:t>’</w:t>
      </w:r>
      <w:r w:rsidRPr="008725ED">
        <w:rPr>
          <w:lang w:val="fr-FR"/>
        </w:rPr>
        <w:t>informations.</w:t>
      </w:r>
    </w:p>
    <w:p w:rsidR="008C3126" w:rsidRPr="008725ED" w:rsidRDefault="008C3126" w:rsidP="00D87DB7">
      <w:pPr>
        <w:ind w:left="567" w:hanging="567"/>
        <w:rPr>
          <w:lang w:val="fr-FR"/>
        </w:rPr>
      </w:pPr>
    </w:p>
    <w:p w:rsidR="008C3126" w:rsidRPr="008725ED" w:rsidRDefault="008C3126" w:rsidP="00D87DB7">
      <w:pPr>
        <w:ind w:left="567" w:hanging="567"/>
        <w:rPr>
          <w:lang w:val="fr-FR"/>
        </w:rPr>
      </w:pPr>
    </w:p>
    <w:p w:rsidR="008C3126" w:rsidRPr="008725ED" w:rsidRDefault="00D87DB7" w:rsidP="00D87DB7">
      <w:pPr>
        <w:pStyle w:val="Heading2"/>
        <w:rPr>
          <w:lang w:val="fr-FR"/>
        </w:rPr>
      </w:pPr>
      <w:bookmarkStart w:id="22" w:name="_Toc494207960"/>
      <w:r w:rsidRPr="008725ED">
        <w:rPr>
          <w:lang w:val="fr-FR"/>
        </w:rPr>
        <w:t>Séance de débat</w:t>
      </w:r>
      <w:bookmarkEnd w:id="22"/>
    </w:p>
    <w:p w:rsidR="008C3126" w:rsidRPr="008725ED" w:rsidRDefault="008C3126" w:rsidP="00D87DB7">
      <w:pPr>
        <w:keepNext/>
        <w:autoSpaceDE w:val="0"/>
        <w:autoSpaceDN w:val="0"/>
        <w:adjustRightInd w:val="0"/>
        <w:rPr>
          <w:rFonts w:cs="Arial"/>
          <w:lang w:val="fr-FR"/>
        </w:rPr>
      </w:pPr>
    </w:p>
    <w:p w:rsidR="008C3126" w:rsidRPr="008725ED" w:rsidRDefault="00D87DB7" w:rsidP="00D87DB7">
      <w:pPr>
        <w:pStyle w:val="Heading3"/>
      </w:pPr>
      <w:bookmarkStart w:id="23" w:name="_Toc494207961"/>
      <w:r w:rsidRPr="008725ED">
        <w:t>a)</w:t>
      </w:r>
      <w:r w:rsidRPr="008725ED">
        <w:tab/>
        <w:t>Utilisation de caractéristiques de résistance aux maladies et aux insectes dans l</w:t>
      </w:r>
      <w:r w:rsidR="00EF1779" w:rsidRPr="008725ED">
        <w:t>’</w:t>
      </w:r>
      <w:r w:rsidRPr="008725ED">
        <w:t>examen DHS</w:t>
      </w:r>
      <w:bookmarkEnd w:id="23"/>
    </w:p>
    <w:p w:rsidR="008C3126" w:rsidRPr="008725ED" w:rsidRDefault="008C3126" w:rsidP="00D87DB7">
      <w:pPr>
        <w:keepNext/>
        <w:ind w:left="1134" w:hanging="567"/>
        <w:rPr>
          <w:lang w:val="fr-FR"/>
        </w:rPr>
      </w:pPr>
    </w:p>
    <w:p w:rsidR="008C3126" w:rsidRPr="008725ED" w:rsidRDefault="00D87DB7" w:rsidP="00D87DB7">
      <w:pPr>
        <w:keepNext/>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00589A" w:rsidRPr="008725ED">
        <w:rPr>
          <w:lang w:val="fr-FR"/>
        </w:rPr>
        <w:t>a suivi</w:t>
      </w:r>
      <w:r w:rsidRPr="008725ED">
        <w:rPr>
          <w:lang w:val="fr-FR"/>
        </w:rPr>
        <w:t xml:space="preserve"> les exposés ci</w:t>
      </w:r>
      <w:r w:rsidR="00EF1779" w:rsidRPr="008725ED">
        <w:rPr>
          <w:lang w:val="fr-FR"/>
        </w:rPr>
        <w:t>-</w:t>
      </w:r>
      <w:r w:rsidRPr="008725ED">
        <w:rPr>
          <w:lang w:val="fr-FR"/>
        </w:rPr>
        <w:t>après sur l</w:t>
      </w:r>
      <w:r w:rsidR="00EF1779" w:rsidRPr="008725ED">
        <w:rPr>
          <w:lang w:val="fr-FR"/>
        </w:rPr>
        <w:t>’</w:t>
      </w:r>
      <w:r w:rsidRPr="008725ED">
        <w:rPr>
          <w:lang w:val="fr-FR"/>
        </w:rPr>
        <w:t>utilisation des caractères de résistance aux maladies et aux insectes dans le cadre de l</w:t>
      </w:r>
      <w:r w:rsidR="00EF1779" w:rsidRPr="008725ED">
        <w:rPr>
          <w:lang w:val="fr-FR"/>
        </w:rPr>
        <w:t>’</w:t>
      </w:r>
      <w:r w:rsidRPr="008725ED">
        <w:rPr>
          <w:lang w:val="fr-FR"/>
        </w:rPr>
        <w:t>examen DHS (dans l</w:t>
      </w:r>
      <w:r w:rsidR="00EF1779" w:rsidRPr="008725ED">
        <w:rPr>
          <w:lang w:val="fr-FR"/>
        </w:rPr>
        <w:t>’</w:t>
      </w:r>
      <w:r w:rsidRPr="008725ED">
        <w:rPr>
          <w:lang w:val="fr-FR"/>
        </w:rPr>
        <w:t>ordre chronologique)</w:t>
      </w:r>
      <w:r w:rsidR="00EF1779" w:rsidRPr="008725ED">
        <w:rPr>
          <w:lang w:val="fr-FR"/>
        </w:rPr>
        <w:t> :</w:t>
      </w:r>
    </w:p>
    <w:p w:rsidR="00D87DB7" w:rsidRPr="008725ED" w:rsidRDefault="00D87DB7" w:rsidP="00D87DB7">
      <w:pPr>
        <w:rPr>
          <w:highlight w:val="lightGray"/>
          <w:lang w:val="fr-FR"/>
        </w:rPr>
      </w:pP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5670"/>
        <w:gridCol w:w="4111"/>
      </w:tblGrid>
      <w:tr w:rsidR="008725ED" w:rsidRPr="005E033E" w:rsidTr="001D6A9B">
        <w:tc>
          <w:tcPr>
            <w:tcW w:w="5670" w:type="dxa"/>
            <w:vAlign w:val="center"/>
          </w:tcPr>
          <w:p w:rsidR="00D87DB7" w:rsidRPr="005E033E" w:rsidRDefault="00D87DB7" w:rsidP="001D6A9B">
            <w:pPr>
              <w:keepNext/>
              <w:jc w:val="left"/>
              <w:rPr>
                <w:sz w:val="18"/>
                <w:lang w:val="fr-FR"/>
              </w:rPr>
            </w:pPr>
            <w:r w:rsidRPr="005E033E">
              <w:rPr>
                <w:sz w:val="18"/>
                <w:lang w:val="fr-FR"/>
              </w:rPr>
              <w:t>Utilisation de caractères de résistance aux maladies et aux insectes dans l</w:t>
            </w:r>
            <w:r w:rsidR="00EF1779" w:rsidRPr="005E033E">
              <w:rPr>
                <w:sz w:val="18"/>
                <w:lang w:val="fr-FR"/>
              </w:rPr>
              <w:t>’</w:t>
            </w:r>
            <w:r w:rsidRPr="005E033E">
              <w:rPr>
                <w:sz w:val="18"/>
                <w:lang w:val="fr-FR"/>
              </w:rPr>
              <w:t>examen DHS</w:t>
            </w:r>
          </w:p>
        </w:tc>
        <w:tc>
          <w:tcPr>
            <w:tcW w:w="4111" w:type="dxa"/>
          </w:tcPr>
          <w:p w:rsidR="00D87DB7" w:rsidRPr="005E033E" w:rsidRDefault="00D87DB7" w:rsidP="001D6A9B">
            <w:pPr>
              <w:keepNext/>
              <w:jc w:val="left"/>
              <w:rPr>
                <w:sz w:val="18"/>
                <w:lang w:val="fr-FR"/>
              </w:rPr>
            </w:pPr>
            <w:r w:rsidRPr="005E033E">
              <w:rPr>
                <w:sz w:val="18"/>
                <w:lang w:val="fr-FR"/>
              </w:rPr>
              <w:t>France (M. Richard Brand)</w:t>
            </w:r>
          </w:p>
        </w:tc>
      </w:tr>
      <w:tr w:rsidR="008725ED" w:rsidRPr="005E033E" w:rsidTr="001D6A9B">
        <w:tc>
          <w:tcPr>
            <w:tcW w:w="5670" w:type="dxa"/>
            <w:vAlign w:val="center"/>
          </w:tcPr>
          <w:p w:rsidR="00D87DB7" w:rsidRPr="005E033E" w:rsidRDefault="00D87DB7" w:rsidP="001D6A9B">
            <w:pPr>
              <w:keepNext/>
              <w:jc w:val="left"/>
              <w:rPr>
                <w:sz w:val="18"/>
                <w:lang w:val="fr-FR"/>
              </w:rPr>
            </w:pPr>
            <w:r w:rsidRPr="005E033E">
              <w:rPr>
                <w:sz w:val="18"/>
                <w:lang w:val="fr-FR"/>
              </w:rPr>
              <w:t>Harmonisation des essais de résistance pour l</w:t>
            </w:r>
            <w:r w:rsidR="00EF1779" w:rsidRPr="005E033E">
              <w:rPr>
                <w:sz w:val="18"/>
                <w:lang w:val="fr-FR"/>
              </w:rPr>
              <w:t>’</w:t>
            </w:r>
            <w:r w:rsidRPr="005E033E">
              <w:rPr>
                <w:sz w:val="18"/>
                <w:lang w:val="fr-FR"/>
              </w:rPr>
              <w:t>examen DHS</w:t>
            </w:r>
            <w:r w:rsidR="00EF1779" w:rsidRPr="005E033E">
              <w:rPr>
                <w:sz w:val="18"/>
                <w:lang w:val="fr-FR"/>
              </w:rPr>
              <w:t> :</w:t>
            </w:r>
            <w:r w:rsidRPr="005E033E">
              <w:rPr>
                <w:sz w:val="18"/>
                <w:lang w:val="fr-FR"/>
              </w:rPr>
              <w:t xml:space="preserve"> “Harmores 2”</w:t>
            </w:r>
          </w:p>
        </w:tc>
        <w:tc>
          <w:tcPr>
            <w:tcW w:w="4111" w:type="dxa"/>
          </w:tcPr>
          <w:p w:rsidR="00D87DB7" w:rsidRPr="005E033E" w:rsidRDefault="00D87DB7" w:rsidP="001D6A9B">
            <w:pPr>
              <w:keepNext/>
              <w:jc w:val="left"/>
              <w:rPr>
                <w:sz w:val="18"/>
                <w:lang w:val="fr-FR"/>
              </w:rPr>
            </w:pPr>
            <w:r w:rsidRPr="005E033E">
              <w:rPr>
                <w:sz w:val="18"/>
                <w:lang w:val="fr-FR"/>
              </w:rPr>
              <w:t>Union européenne (M. Sergio Semon)</w:t>
            </w:r>
          </w:p>
        </w:tc>
      </w:tr>
      <w:tr w:rsidR="008725ED" w:rsidRPr="005E033E" w:rsidTr="001D6A9B">
        <w:tc>
          <w:tcPr>
            <w:tcW w:w="5670" w:type="dxa"/>
            <w:vAlign w:val="center"/>
          </w:tcPr>
          <w:p w:rsidR="00D87DB7" w:rsidRPr="005E033E" w:rsidRDefault="00D87DB7" w:rsidP="001D6A9B">
            <w:pPr>
              <w:rPr>
                <w:sz w:val="18"/>
                <w:lang w:val="fr-FR"/>
              </w:rPr>
            </w:pPr>
            <w:r w:rsidRPr="005E033E">
              <w:rPr>
                <w:sz w:val="18"/>
                <w:lang w:val="fr-FR"/>
              </w:rPr>
              <w:t>Marqueurs moléculaires spécifiques de la résistance dans l</w:t>
            </w:r>
            <w:r w:rsidR="00EF1779" w:rsidRPr="005E033E">
              <w:rPr>
                <w:sz w:val="18"/>
                <w:lang w:val="fr-FR"/>
              </w:rPr>
              <w:t>’</w:t>
            </w:r>
            <w:r w:rsidRPr="005E033E">
              <w:rPr>
                <w:sz w:val="18"/>
                <w:lang w:val="fr-FR"/>
              </w:rPr>
              <w:t>examen DHS </w:t>
            </w:r>
          </w:p>
        </w:tc>
        <w:tc>
          <w:tcPr>
            <w:tcW w:w="4111" w:type="dxa"/>
          </w:tcPr>
          <w:p w:rsidR="00D87DB7" w:rsidRPr="005E033E" w:rsidRDefault="00D87DB7" w:rsidP="001D6A9B">
            <w:pPr>
              <w:keepNext/>
              <w:jc w:val="left"/>
              <w:rPr>
                <w:sz w:val="18"/>
                <w:lang w:val="fr-FR"/>
              </w:rPr>
            </w:pPr>
            <w:r w:rsidRPr="005E033E">
              <w:rPr>
                <w:sz w:val="18"/>
                <w:lang w:val="fr-FR"/>
              </w:rPr>
              <w:t>Pays</w:t>
            </w:r>
            <w:r w:rsidR="00EF1779" w:rsidRPr="005E033E">
              <w:rPr>
                <w:sz w:val="18"/>
                <w:lang w:val="fr-FR"/>
              </w:rPr>
              <w:t>-</w:t>
            </w:r>
            <w:r w:rsidRPr="005E033E">
              <w:rPr>
                <w:sz w:val="18"/>
                <w:lang w:val="fr-FR"/>
              </w:rPr>
              <w:t>Bas (M. Bert Scholte)</w:t>
            </w:r>
          </w:p>
        </w:tc>
      </w:tr>
      <w:tr w:rsidR="00D87DB7" w:rsidRPr="005E033E" w:rsidTr="001D6A9B">
        <w:tc>
          <w:tcPr>
            <w:tcW w:w="5670" w:type="dxa"/>
            <w:vAlign w:val="center"/>
          </w:tcPr>
          <w:p w:rsidR="00D87DB7" w:rsidRPr="005E033E" w:rsidRDefault="00D87DB7" w:rsidP="001D6A9B">
            <w:pPr>
              <w:rPr>
                <w:sz w:val="18"/>
                <w:lang w:val="fr-FR"/>
              </w:rPr>
            </w:pPr>
            <w:r w:rsidRPr="005E033E">
              <w:rPr>
                <w:sz w:val="18"/>
                <w:lang w:val="fr-FR"/>
              </w:rPr>
              <w:t>Utilisation des caractères de réaction aux maladies dans l</w:t>
            </w:r>
            <w:r w:rsidR="00EF1779" w:rsidRPr="005E033E">
              <w:rPr>
                <w:sz w:val="18"/>
                <w:lang w:val="fr-FR"/>
              </w:rPr>
              <w:t>’</w:t>
            </w:r>
            <w:r w:rsidRPr="005E033E">
              <w:rPr>
                <w:sz w:val="18"/>
                <w:lang w:val="fr-FR"/>
              </w:rPr>
              <w:t>examen DHS du soja dans le cadre de la protection des obtentions végétales aux États</w:t>
            </w:r>
            <w:r w:rsidR="00EF1779" w:rsidRPr="005E033E">
              <w:rPr>
                <w:sz w:val="18"/>
                <w:lang w:val="fr-FR"/>
              </w:rPr>
              <w:t>-</w:t>
            </w:r>
            <w:r w:rsidRPr="005E033E">
              <w:rPr>
                <w:sz w:val="18"/>
                <w:lang w:val="fr-FR"/>
              </w:rPr>
              <w:t>Unis d</w:t>
            </w:r>
            <w:r w:rsidR="00EF1779" w:rsidRPr="005E033E">
              <w:rPr>
                <w:sz w:val="18"/>
                <w:lang w:val="fr-FR"/>
              </w:rPr>
              <w:t>’</w:t>
            </w:r>
            <w:r w:rsidRPr="005E033E">
              <w:rPr>
                <w:sz w:val="18"/>
                <w:lang w:val="fr-FR"/>
              </w:rPr>
              <w:t>Amérique</w:t>
            </w:r>
          </w:p>
        </w:tc>
        <w:tc>
          <w:tcPr>
            <w:tcW w:w="4111" w:type="dxa"/>
          </w:tcPr>
          <w:p w:rsidR="00D87DB7" w:rsidRPr="005E033E" w:rsidRDefault="00D87DB7" w:rsidP="001D6A9B">
            <w:pPr>
              <w:keepNext/>
              <w:jc w:val="left"/>
              <w:rPr>
                <w:sz w:val="18"/>
                <w:lang w:val="fr-FR"/>
              </w:rPr>
            </w:pPr>
            <w:r w:rsidRPr="005E033E">
              <w:rPr>
                <w:sz w:val="18"/>
                <w:lang w:val="fr-FR"/>
              </w:rPr>
              <w:t>États</w:t>
            </w:r>
            <w:r w:rsidR="00EF1779" w:rsidRPr="005E033E">
              <w:rPr>
                <w:sz w:val="18"/>
                <w:lang w:val="fr-FR"/>
              </w:rPr>
              <w:t>-</w:t>
            </w:r>
            <w:r w:rsidRPr="005E033E">
              <w:rPr>
                <w:sz w:val="18"/>
                <w:lang w:val="fr-FR"/>
              </w:rPr>
              <w:t>Unis d</w:t>
            </w:r>
            <w:r w:rsidR="00EF1779" w:rsidRPr="005E033E">
              <w:rPr>
                <w:sz w:val="18"/>
                <w:lang w:val="fr-FR"/>
              </w:rPr>
              <w:t>’</w:t>
            </w:r>
            <w:r w:rsidRPr="005E033E">
              <w:rPr>
                <w:sz w:val="18"/>
                <w:lang w:val="fr-FR"/>
              </w:rPr>
              <w:t>Amérique (M. Paul Zankowski)</w:t>
            </w:r>
          </w:p>
        </w:tc>
      </w:tr>
    </w:tbl>
    <w:p w:rsidR="008C3126" w:rsidRPr="008725ED" w:rsidRDefault="008C3126" w:rsidP="005E033E">
      <w:pPr>
        <w:spacing w:line="360" w:lineRule="auto"/>
        <w:ind w:left="567" w:hanging="567"/>
        <w:rPr>
          <w:lang w:val="fr-FR"/>
        </w:rPr>
      </w:pPr>
    </w:p>
    <w:p w:rsidR="008C3126" w:rsidRPr="008725ED" w:rsidRDefault="00D87DB7" w:rsidP="00D87DB7">
      <w:pPr>
        <w:pStyle w:val="Heading3"/>
        <w:keepLines/>
      </w:pPr>
      <w:bookmarkStart w:id="24" w:name="_Toc494207962"/>
      <w:r w:rsidRPr="008725ED">
        <w:t>b)</w:t>
      </w:r>
      <w:r w:rsidRPr="008725ED">
        <w:tab/>
        <w:t>Gestion des collections de variétés</w:t>
      </w:r>
      <w:bookmarkEnd w:id="24"/>
    </w:p>
    <w:p w:rsidR="008C3126" w:rsidRPr="008725ED" w:rsidRDefault="008C3126" w:rsidP="00D87DB7">
      <w:pPr>
        <w:keepNext/>
        <w:keepLines/>
        <w:rPr>
          <w:lang w:val="fr-FR"/>
        </w:rPr>
      </w:pPr>
    </w:p>
    <w:p w:rsidR="008C3126" w:rsidRPr="008725ED" w:rsidRDefault="00D87DB7" w:rsidP="00D87DB7">
      <w:pPr>
        <w:keepNext/>
        <w:keepLines/>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91609B" w:rsidRPr="008725ED">
        <w:rPr>
          <w:lang w:val="fr-FR"/>
        </w:rPr>
        <w:t>a suivi</w:t>
      </w:r>
      <w:r w:rsidRPr="008725ED">
        <w:rPr>
          <w:lang w:val="fr-FR"/>
        </w:rPr>
        <w:t xml:space="preserve"> les exposés ci</w:t>
      </w:r>
      <w:r w:rsidR="00EF1779" w:rsidRPr="008725ED">
        <w:rPr>
          <w:lang w:val="fr-FR"/>
        </w:rPr>
        <w:t>-</w:t>
      </w:r>
      <w:r w:rsidRPr="008725ED">
        <w:rPr>
          <w:lang w:val="fr-FR"/>
        </w:rPr>
        <w:t>après sur la gestion des collections de variétés (dans l</w:t>
      </w:r>
      <w:r w:rsidR="00EF1779" w:rsidRPr="008725ED">
        <w:rPr>
          <w:lang w:val="fr-FR"/>
        </w:rPr>
        <w:t>’</w:t>
      </w:r>
      <w:r w:rsidRPr="008725ED">
        <w:rPr>
          <w:lang w:val="fr-FR"/>
        </w:rPr>
        <w:t>ordre chronologique)</w:t>
      </w:r>
      <w:r w:rsidR="00EF1779" w:rsidRPr="008725ED">
        <w:rPr>
          <w:lang w:val="fr-FR"/>
        </w:rPr>
        <w:t> :</w:t>
      </w:r>
    </w:p>
    <w:p w:rsidR="00D87DB7" w:rsidRPr="008725ED" w:rsidRDefault="00D87DB7" w:rsidP="00D87DB7">
      <w:pPr>
        <w:rPr>
          <w:lang w:val="fr-FR"/>
        </w:rPr>
      </w:pP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5670"/>
        <w:gridCol w:w="4111"/>
      </w:tblGrid>
      <w:tr w:rsidR="008725ED" w:rsidRPr="005E033E" w:rsidTr="001D6A9B">
        <w:tc>
          <w:tcPr>
            <w:tcW w:w="5670" w:type="dxa"/>
            <w:vAlign w:val="center"/>
          </w:tcPr>
          <w:p w:rsidR="00D87DB7" w:rsidRPr="005E033E" w:rsidRDefault="00D87DB7" w:rsidP="001D6A9B">
            <w:pPr>
              <w:keepNext/>
              <w:rPr>
                <w:sz w:val="18"/>
                <w:highlight w:val="yellow"/>
                <w:lang w:val="fr-FR"/>
              </w:rPr>
            </w:pPr>
            <w:r w:rsidRPr="005E033E">
              <w:rPr>
                <w:sz w:val="18"/>
                <w:lang w:val="fr-FR"/>
              </w:rPr>
              <w:t>Comment nous utilisons les techniques moléculaires en France</w:t>
            </w:r>
          </w:p>
        </w:tc>
        <w:tc>
          <w:tcPr>
            <w:tcW w:w="4111" w:type="dxa"/>
          </w:tcPr>
          <w:p w:rsidR="00D87DB7" w:rsidRPr="005E033E" w:rsidRDefault="00D87DB7" w:rsidP="001D6A9B">
            <w:pPr>
              <w:keepNext/>
              <w:jc w:val="left"/>
              <w:rPr>
                <w:sz w:val="18"/>
                <w:lang w:val="fr-FR"/>
              </w:rPr>
            </w:pPr>
            <w:r w:rsidRPr="005E033E">
              <w:rPr>
                <w:sz w:val="18"/>
                <w:lang w:val="fr-FR"/>
              </w:rPr>
              <w:t>France (Mme Clarisse Leclair)</w:t>
            </w:r>
          </w:p>
        </w:tc>
      </w:tr>
      <w:tr w:rsidR="008725ED" w:rsidRPr="005E033E" w:rsidTr="001D6A9B">
        <w:tc>
          <w:tcPr>
            <w:tcW w:w="5670" w:type="dxa"/>
            <w:vAlign w:val="center"/>
          </w:tcPr>
          <w:p w:rsidR="00D87DB7" w:rsidRPr="005E033E" w:rsidRDefault="00D87DB7" w:rsidP="001D6A9B">
            <w:pPr>
              <w:rPr>
                <w:sz w:val="18"/>
                <w:highlight w:val="yellow"/>
                <w:lang w:val="fr-FR"/>
              </w:rPr>
            </w:pPr>
            <w:r w:rsidRPr="005E033E">
              <w:rPr>
                <w:sz w:val="18"/>
                <w:lang w:val="fr-FR"/>
              </w:rPr>
              <w:t>Collections de variétés – bases de données d</w:t>
            </w:r>
            <w:r w:rsidR="00EF1779" w:rsidRPr="005E033E">
              <w:rPr>
                <w:sz w:val="18"/>
                <w:lang w:val="fr-FR"/>
              </w:rPr>
              <w:t>’</w:t>
            </w:r>
            <w:r w:rsidRPr="005E033E">
              <w:rPr>
                <w:sz w:val="18"/>
                <w:lang w:val="fr-FR"/>
              </w:rPr>
              <w:t>ADN harmonisées</w:t>
            </w:r>
          </w:p>
        </w:tc>
        <w:tc>
          <w:tcPr>
            <w:tcW w:w="4111" w:type="dxa"/>
          </w:tcPr>
          <w:p w:rsidR="00D87DB7" w:rsidRPr="005E033E" w:rsidRDefault="00D87DB7" w:rsidP="001D6A9B">
            <w:pPr>
              <w:keepNext/>
              <w:jc w:val="left"/>
              <w:rPr>
                <w:sz w:val="18"/>
                <w:lang w:val="fr-FR"/>
              </w:rPr>
            </w:pPr>
            <w:r w:rsidRPr="005E033E">
              <w:rPr>
                <w:sz w:val="18"/>
                <w:lang w:val="fr-FR"/>
              </w:rPr>
              <w:t>Pays</w:t>
            </w:r>
            <w:r w:rsidR="00EF1779" w:rsidRPr="005E033E">
              <w:rPr>
                <w:sz w:val="18"/>
                <w:lang w:val="fr-FR"/>
              </w:rPr>
              <w:t>-</w:t>
            </w:r>
            <w:r w:rsidRPr="005E033E">
              <w:rPr>
                <w:sz w:val="18"/>
                <w:lang w:val="fr-FR"/>
              </w:rPr>
              <w:t>Bas (M. Bert Scholte)</w:t>
            </w:r>
          </w:p>
        </w:tc>
      </w:tr>
      <w:tr w:rsidR="00D87DB7" w:rsidRPr="005E033E" w:rsidTr="001D6A9B">
        <w:tc>
          <w:tcPr>
            <w:tcW w:w="5670" w:type="dxa"/>
            <w:vAlign w:val="center"/>
          </w:tcPr>
          <w:p w:rsidR="00D87DB7" w:rsidRPr="005E033E" w:rsidRDefault="00D87DB7" w:rsidP="001D6A9B">
            <w:pPr>
              <w:rPr>
                <w:sz w:val="18"/>
                <w:highlight w:val="yellow"/>
                <w:lang w:val="fr-FR"/>
              </w:rPr>
            </w:pPr>
            <w:r w:rsidRPr="005E033E">
              <w:rPr>
                <w:sz w:val="18"/>
                <w:lang w:val="fr-FR"/>
              </w:rPr>
              <w:t>La gestion des collections de variétés au moyen de la mise en culture cyclique de variétés reconnues</w:t>
            </w:r>
          </w:p>
        </w:tc>
        <w:tc>
          <w:tcPr>
            <w:tcW w:w="4111" w:type="dxa"/>
          </w:tcPr>
          <w:p w:rsidR="00D87DB7" w:rsidRPr="005E033E" w:rsidRDefault="00D87DB7" w:rsidP="001D6A9B">
            <w:pPr>
              <w:keepNext/>
              <w:jc w:val="left"/>
              <w:rPr>
                <w:sz w:val="18"/>
                <w:lang w:val="fr-FR"/>
              </w:rPr>
            </w:pPr>
            <w:r w:rsidRPr="005E033E">
              <w:rPr>
                <w:sz w:val="18"/>
                <w:lang w:val="fr-FR"/>
              </w:rPr>
              <w:t>Royaume</w:t>
            </w:r>
            <w:r w:rsidR="00EF1779" w:rsidRPr="005E033E">
              <w:rPr>
                <w:sz w:val="18"/>
                <w:lang w:val="fr-FR"/>
              </w:rPr>
              <w:t>-</w:t>
            </w:r>
            <w:r w:rsidRPr="005E033E">
              <w:rPr>
                <w:sz w:val="18"/>
                <w:lang w:val="fr-FR"/>
              </w:rPr>
              <w:t>Uni (Mme Sally Watson)</w:t>
            </w:r>
          </w:p>
        </w:tc>
      </w:tr>
    </w:tbl>
    <w:p w:rsidR="008C3126" w:rsidRPr="008725ED" w:rsidRDefault="008C3126" w:rsidP="005E033E">
      <w:pPr>
        <w:spacing w:line="360" w:lineRule="auto"/>
        <w:rPr>
          <w:lang w:val="fr-FR"/>
        </w:rPr>
      </w:pPr>
    </w:p>
    <w:p w:rsidR="008C3126" w:rsidRPr="008725ED" w:rsidRDefault="00D87DB7" w:rsidP="00D87DB7">
      <w:pPr>
        <w:pStyle w:val="Heading3"/>
      </w:pPr>
      <w:bookmarkStart w:id="25" w:name="_Toc494207963"/>
      <w:r w:rsidRPr="008725ED">
        <w:t>c)</w:t>
      </w:r>
      <w:r w:rsidRPr="008725ED">
        <w:tab/>
        <w:t>Écart minimal entre les variétés</w:t>
      </w:r>
      <w:bookmarkEnd w:id="25"/>
    </w:p>
    <w:p w:rsidR="008C3126" w:rsidRPr="008725ED" w:rsidRDefault="008C3126" w:rsidP="00D87DB7">
      <w:pPr>
        <w:keepNext/>
        <w:rPr>
          <w:lang w:val="fr-FR"/>
        </w:rPr>
      </w:pPr>
    </w:p>
    <w:p w:rsidR="008C3126" w:rsidRPr="008725ED" w:rsidRDefault="00D87DB7" w:rsidP="00D87DB7">
      <w:pPr>
        <w:keepNext/>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91609B" w:rsidRPr="008725ED">
        <w:rPr>
          <w:lang w:val="fr-FR"/>
        </w:rPr>
        <w:t>a suivi</w:t>
      </w:r>
      <w:r w:rsidRPr="008725ED">
        <w:rPr>
          <w:lang w:val="fr-FR"/>
        </w:rPr>
        <w:t xml:space="preserve"> les exposés ci</w:t>
      </w:r>
      <w:r w:rsidR="00EF1779" w:rsidRPr="008725ED">
        <w:rPr>
          <w:lang w:val="fr-FR"/>
        </w:rPr>
        <w:t>-</w:t>
      </w:r>
      <w:r w:rsidRPr="008725ED">
        <w:rPr>
          <w:lang w:val="fr-FR"/>
        </w:rPr>
        <w:t>après sur l</w:t>
      </w:r>
      <w:r w:rsidR="00EF1779" w:rsidRPr="008725ED">
        <w:rPr>
          <w:lang w:val="fr-FR"/>
        </w:rPr>
        <w:t>’</w:t>
      </w:r>
      <w:r w:rsidRPr="008725ED">
        <w:rPr>
          <w:lang w:val="fr-FR"/>
        </w:rPr>
        <w:t>écart minimal entre les variétés</w:t>
      </w:r>
      <w:r w:rsidR="00EF1779" w:rsidRPr="008725ED">
        <w:rPr>
          <w:lang w:val="fr-FR"/>
        </w:rPr>
        <w:t> :</w:t>
      </w:r>
    </w:p>
    <w:p w:rsidR="00D87DB7" w:rsidRPr="008725ED" w:rsidRDefault="00D87DB7" w:rsidP="00D87DB7">
      <w:pPr>
        <w:keepNext/>
        <w:rPr>
          <w:lang w:val="fr-FR"/>
        </w:rPr>
      </w:pP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5670"/>
        <w:gridCol w:w="4111"/>
      </w:tblGrid>
      <w:tr w:rsidR="00D87DB7" w:rsidRPr="005E033E" w:rsidTr="001D6A9B">
        <w:tc>
          <w:tcPr>
            <w:tcW w:w="5670" w:type="dxa"/>
            <w:vAlign w:val="center"/>
          </w:tcPr>
          <w:p w:rsidR="00D87DB7" w:rsidRPr="005E033E" w:rsidRDefault="00D87DB7" w:rsidP="005E033E">
            <w:pPr>
              <w:rPr>
                <w:sz w:val="18"/>
                <w:lang w:val="fr-FR"/>
              </w:rPr>
            </w:pPr>
            <w:r w:rsidRPr="005E033E">
              <w:rPr>
                <w:sz w:val="18"/>
                <w:lang w:val="fr-FR"/>
              </w:rPr>
              <w:t>Actuellement, l</w:t>
            </w:r>
            <w:r w:rsidR="00EF1779" w:rsidRPr="005E033E">
              <w:rPr>
                <w:sz w:val="18"/>
                <w:lang w:val="fr-FR"/>
              </w:rPr>
              <w:t>’</w:t>
            </w:r>
            <w:r w:rsidRPr="005E033E">
              <w:rPr>
                <w:sz w:val="18"/>
                <w:lang w:val="fr-FR"/>
              </w:rPr>
              <w:t>agriculture est menacée par la diminution des écarts génétiques entre les variétés végétales</w:t>
            </w:r>
            <w:r w:rsidR="00EF1779" w:rsidRPr="005E033E">
              <w:rPr>
                <w:sz w:val="18"/>
                <w:lang w:val="fr-FR"/>
              </w:rPr>
              <w:t> :</w:t>
            </w:r>
            <w:r w:rsidRPr="005E033E">
              <w:rPr>
                <w:sz w:val="18"/>
                <w:lang w:val="fr-FR"/>
              </w:rPr>
              <w:t xml:space="preserve"> Mythe ou réalité?  – Étude de cas sur la tomate </w:t>
            </w:r>
          </w:p>
        </w:tc>
        <w:tc>
          <w:tcPr>
            <w:tcW w:w="4111" w:type="dxa"/>
          </w:tcPr>
          <w:p w:rsidR="00D87DB7" w:rsidRPr="005E033E" w:rsidRDefault="00D87DB7" w:rsidP="005E033E">
            <w:pPr>
              <w:jc w:val="left"/>
              <w:rPr>
                <w:sz w:val="18"/>
                <w:lang w:val="fr-FR"/>
              </w:rPr>
            </w:pPr>
            <w:r w:rsidRPr="005E033E">
              <w:rPr>
                <w:sz w:val="18"/>
                <w:lang w:val="fr-FR"/>
              </w:rPr>
              <w:t>Pays</w:t>
            </w:r>
            <w:r w:rsidR="00EF1779" w:rsidRPr="005E033E">
              <w:rPr>
                <w:sz w:val="18"/>
                <w:lang w:val="fr-FR"/>
              </w:rPr>
              <w:t>-</w:t>
            </w:r>
            <w:r w:rsidRPr="005E033E">
              <w:rPr>
                <w:sz w:val="18"/>
                <w:lang w:val="fr-FR"/>
              </w:rPr>
              <w:t>Bas (M. Henk Schouten)</w:t>
            </w:r>
          </w:p>
        </w:tc>
      </w:tr>
    </w:tbl>
    <w:p w:rsidR="008C3126" w:rsidRPr="008725ED" w:rsidRDefault="008C3126" w:rsidP="00D87DB7">
      <w:pPr>
        <w:pStyle w:val="Heading2"/>
        <w:rPr>
          <w:snapToGrid w:val="0"/>
          <w:lang w:val="fr-FR"/>
        </w:rPr>
      </w:pPr>
    </w:p>
    <w:p w:rsidR="008C3126" w:rsidRPr="008725ED" w:rsidRDefault="00D87DB7" w:rsidP="00D87DB7">
      <w:pPr>
        <w:rPr>
          <w:snapToGrid w:val="0"/>
          <w:lang w:val="fr-FR"/>
        </w:rPr>
      </w:pPr>
      <w:r w:rsidRPr="008725ED">
        <w:rPr>
          <w:snapToGrid w:val="0"/>
          <w:lang w:val="fr-FR"/>
        </w:rPr>
        <w:fldChar w:fldCharType="begin"/>
      </w:r>
      <w:r w:rsidRPr="008725ED">
        <w:rPr>
          <w:snapToGrid w:val="0"/>
          <w:lang w:val="fr-FR"/>
        </w:rPr>
        <w:instrText xml:space="preserve"> AUTONUM  </w:instrText>
      </w:r>
      <w:r w:rsidRPr="008725ED">
        <w:rPr>
          <w:snapToGrid w:val="0"/>
          <w:lang w:val="fr-FR"/>
        </w:rPr>
        <w:fldChar w:fldCharType="end"/>
      </w:r>
      <w:r w:rsidR="0091609B" w:rsidRPr="008725ED">
        <w:rPr>
          <w:snapToGrid w:val="0"/>
          <w:lang w:val="fr-FR"/>
        </w:rPr>
        <w:tab/>
        <w:t>Le</w:t>
      </w:r>
      <w:r w:rsidR="00EF1779" w:rsidRPr="008725ED">
        <w:rPr>
          <w:snapToGrid w:val="0"/>
          <w:lang w:val="fr-FR"/>
        </w:rPr>
        <w:t> TC</w:t>
      </w:r>
      <w:r w:rsidR="0091609B" w:rsidRPr="008725ED">
        <w:rPr>
          <w:snapToGrid w:val="0"/>
          <w:lang w:val="fr-FR"/>
        </w:rPr>
        <w:t xml:space="preserve"> s</w:t>
      </w:r>
      <w:r w:rsidR="00EF1779" w:rsidRPr="008725ED">
        <w:rPr>
          <w:snapToGrid w:val="0"/>
          <w:lang w:val="fr-FR"/>
        </w:rPr>
        <w:t>’</w:t>
      </w:r>
      <w:r w:rsidR="0091609B" w:rsidRPr="008725ED">
        <w:rPr>
          <w:snapToGrid w:val="0"/>
          <w:lang w:val="fr-FR"/>
        </w:rPr>
        <w:t>est félicité</w:t>
      </w:r>
      <w:r w:rsidRPr="008725ED">
        <w:rPr>
          <w:snapToGrid w:val="0"/>
          <w:lang w:val="fr-FR"/>
        </w:rPr>
        <w:t xml:space="preserve"> de l</w:t>
      </w:r>
      <w:r w:rsidR="00EF1779" w:rsidRPr="008725ED">
        <w:rPr>
          <w:snapToGrid w:val="0"/>
          <w:lang w:val="fr-FR"/>
        </w:rPr>
        <w:t>’</w:t>
      </w:r>
      <w:r w:rsidRPr="008725ED">
        <w:rPr>
          <w:snapToGrid w:val="0"/>
          <w:lang w:val="fr-FR"/>
        </w:rPr>
        <w:t>exposé présenté par les Pays</w:t>
      </w:r>
      <w:r w:rsidR="00EF1779" w:rsidRPr="008725ED">
        <w:rPr>
          <w:snapToGrid w:val="0"/>
          <w:lang w:val="fr-FR"/>
        </w:rPr>
        <w:t>-</w:t>
      </w:r>
      <w:r w:rsidRPr="008725ED">
        <w:rPr>
          <w:snapToGrid w:val="0"/>
          <w:lang w:val="fr-FR"/>
        </w:rPr>
        <w:t xml:space="preserve">Bas et </w:t>
      </w:r>
      <w:r w:rsidR="00344B0C" w:rsidRPr="008725ED">
        <w:rPr>
          <w:snapToGrid w:val="0"/>
          <w:lang w:val="fr-FR"/>
        </w:rPr>
        <w:t xml:space="preserve">a indiqué </w:t>
      </w:r>
      <w:r w:rsidRPr="008725ED">
        <w:rPr>
          <w:snapToGrid w:val="0"/>
          <w:lang w:val="fr-FR"/>
        </w:rPr>
        <w:t>qu</w:t>
      </w:r>
      <w:r w:rsidR="00EF1779" w:rsidRPr="008725ED">
        <w:rPr>
          <w:snapToGrid w:val="0"/>
          <w:lang w:val="fr-FR"/>
        </w:rPr>
        <w:t>’</w:t>
      </w:r>
      <w:r w:rsidRPr="008725ED">
        <w:rPr>
          <w:snapToGrid w:val="0"/>
          <w:lang w:val="fr-FR"/>
        </w:rPr>
        <w:t>un rapport complet sur l</w:t>
      </w:r>
      <w:r w:rsidR="00EF1779" w:rsidRPr="008725ED">
        <w:rPr>
          <w:snapToGrid w:val="0"/>
          <w:lang w:val="fr-FR"/>
        </w:rPr>
        <w:t>’</w:t>
      </w:r>
      <w:r w:rsidRPr="008725ED">
        <w:rPr>
          <w:snapToGrid w:val="0"/>
          <w:lang w:val="fr-FR"/>
        </w:rPr>
        <w:t>étude sera</w:t>
      </w:r>
      <w:r w:rsidR="0091609B" w:rsidRPr="008725ED">
        <w:rPr>
          <w:snapToGrid w:val="0"/>
          <w:lang w:val="fr-FR"/>
        </w:rPr>
        <w:t>it</w:t>
      </w:r>
      <w:r w:rsidRPr="008725ED">
        <w:rPr>
          <w:snapToGrid w:val="0"/>
          <w:lang w:val="fr-FR"/>
        </w:rPr>
        <w:t xml:space="preserve"> publ</w:t>
      </w:r>
      <w:r w:rsidR="00D43219" w:rsidRPr="008725ED">
        <w:rPr>
          <w:snapToGrid w:val="0"/>
          <w:lang w:val="fr-FR"/>
        </w:rPr>
        <w:t>ié.  Le</w:t>
      </w:r>
      <w:r w:rsidR="00EF1779" w:rsidRPr="008725ED">
        <w:rPr>
          <w:snapToGrid w:val="0"/>
          <w:lang w:val="fr-FR"/>
        </w:rPr>
        <w:t> TC</w:t>
      </w:r>
      <w:r w:rsidR="00344B0C" w:rsidRPr="008725ED">
        <w:rPr>
          <w:snapToGrid w:val="0"/>
          <w:lang w:val="fr-FR"/>
        </w:rPr>
        <w:t xml:space="preserve"> a noté </w:t>
      </w:r>
      <w:r w:rsidRPr="008725ED">
        <w:rPr>
          <w:snapToGrid w:val="0"/>
          <w:lang w:val="fr-FR"/>
        </w:rPr>
        <w:t>que le Bureau de l</w:t>
      </w:r>
      <w:r w:rsidR="00EF1779" w:rsidRPr="008725ED">
        <w:rPr>
          <w:snapToGrid w:val="0"/>
          <w:lang w:val="fr-FR"/>
        </w:rPr>
        <w:t>’</w:t>
      </w:r>
      <w:r w:rsidRPr="008725ED">
        <w:rPr>
          <w:snapToGrid w:val="0"/>
          <w:lang w:val="fr-FR"/>
        </w:rPr>
        <w:t>Union cherchera</w:t>
      </w:r>
      <w:r w:rsidR="0091609B" w:rsidRPr="008725ED">
        <w:rPr>
          <w:snapToGrid w:val="0"/>
          <w:lang w:val="fr-FR"/>
        </w:rPr>
        <w:t>it</w:t>
      </w:r>
      <w:r w:rsidRPr="008725ED">
        <w:rPr>
          <w:snapToGrid w:val="0"/>
          <w:lang w:val="fr-FR"/>
        </w:rPr>
        <w:t xml:space="preserve"> à créer un court enregistrement vidéo sur l</w:t>
      </w:r>
      <w:r w:rsidR="00EF1779" w:rsidRPr="008725ED">
        <w:rPr>
          <w:snapToGrid w:val="0"/>
          <w:lang w:val="fr-FR"/>
        </w:rPr>
        <w:t>’</w:t>
      </w:r>
      <w:r w:rsidRPr="008725ED">
        <w:rPr>
          <w:snapToGrid w:val="0"/>
          <w:lang w:val="fr-FR"/>
        </w:rPr>
        <w:t>étude réalisée par les Pays</w:t>
      </w:r>
      <w:r w:rsidR="00EF1779" w:rsidRPr="008725ED">
        <w:rPr>
          <w:snapToGrid w:val="0"/>
          <w:lang w:val="fr-FR"/>
        </w:rPr>
        <w:t>-</w:t>
      </w:r>
      <w:r w:rsidRPr="008725ED">
        <w:rPr>
          <w:snapToGrid w:val="0"/>
          <w:lang w:val="fr-FR"/>
        </w:rPr>
        <w:t>Bas, qui sera</w:t>
      </w:r>
      <w:r w:rsidR="0091609B" w:rsidRPr="008725ED">
        <w:rPr>
          <w:snapToGrid w:val="0"/>
          <w:lang w:val="fr-FR"/>
        </w:rPr>
        <w:t>it</w:t>
      </w:r>
      <w:r w:rsidRPr="008725ED">
        <w:rPr>
          <w:snapToGrid w:val="0"/>
          <w:lang w:val="fr-FR"/>
        </w:rPr>
        <w:t xml:space="preserve"> publié sur le site Web de l</w:t>
      </w:r>
      <w:r w:rsidR="00EF1779" w:rsidRPr="008725ED">
        <w:rPr>
          <w:snapToGrid w:val="0"/>
          <w:lang w:val="fr-FR"/>
        </w:rPr>
        <w:t>’</w:t>
      </w:r>
      <w:r w:rsidRPr="008725ED">
        <w:rPr>
          <w:snapToGrid w:val="0"/>
          <w:lang w:val="fr-FR"/>
        </w:rPr>
        <w:t>UPOV.</w:t>
      </w:r>
    </w:p>
    <w:p w:rsidR="008C3126" w:rsidRPr="008725ED" w:rsidRDefault="008C3126" w:rsidP="005E033E">
      <w:pPr>
        <w:spacing w:line="360" w:lineRule="auto"/>
        <w:rPr>
          <w:lang w:val="fr-FR"/>
        </w:rPr>
      </w:pPr>
    </w:p>
    <w:p w:rsidR="008C3126" w:rsidRPr="008725ED" w:rsidRDefault="00D87DB7" w:rsidP="005E033E">
      <w:pPr>
        <w:pStyle w:val="Heading3"/>
        <w:ind w:left="567" w:hanging="567"/>
      </w:pPr>
      <w:bookmarkStart w:id="26" w:name="_Toc494207964"/>
      <w:r w:rsidRPr="008725ED">
        <w:t>d)</w:t>
      </w:r>
      <w:r w:rsidRPr="008725ED">
        <w:tab/>
        <w:t>Renforcement de la participation de nouveaux membres de l</w:t>
      </w:r>
      <w:r w:rsidR="00EF1779" w:rsidRPr="008725ED">
        <w:t>’</w:t>
      </w:r>
      <w:r w:rsidRPr="008725ED">
        <w:t>Union au travail du</w:t>
      </w:r>
      <w:r w:rsidR="00EF1779" w:rsidRPr="008725ED">
        <w:t> TC</w:t>
      </w:r>
      <w:r w:rsidRPr="008725ED">
        <w:t xml:space="preserve"> et des groupes de travail techniques</w:t>
      </w:r>
      <w:bookmarkEnd w:id="26"/>
    </w:p>
    <w:p w:rsidR="008C3126" w:rsidRPr="008725ED" w:rsidRDefault="008C3126" w:rsidP="0064330D">
      <w:pPr>
        <w:keepNext/>
        <w:ind w:left="567" w:hanging="567"/>
        <w:rPr>
          <w:rFonts w:cs="Arial"/>
          <w:snapToGrid w:val="0"/>
          <w:lang w:val="fr-FR"/>
        </w:rPr>
      </w:pPr>
    </w:p>
    <w:p w:rsidR="008C3126" w:rsidRPr="008725ED" w:rsidRDefault="00D87DB7" w:rsidP="00D87DB7">
      <w:pPr>
        <w:keepNext/>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91609B" w:rsidRPr="008725ED">
        <w:rPr>
          <w:lang w:val="fr-FR"/>
        </w:rPr>
        <w:t>a suivi</w:t>
      </w:r>
      <w:r w:rsidRPr="008725ED">
        <w:rPr>
          <w:lang w:val="fr-FR"/>
        </w:rPr>
        <w:t xml:space="preserve"> les exposés ci</w:t>
      </w:r>
      <w:r w:rsidR="00EF1779" w:rsidRPr="008725ED">
        <w:rPr>
          <w:lang w:val="fr-FR"/>
        </w:rPr>
        <w:t>-</w:t>
      </w:r>
      <w:r w:rsidRPr="008725ED">
        <w:rPr>
          <w:lang w:val="fr-FR"/>
        </w:rPr>
        <w:t>après sur le renforcement de la participation des nouveaux membres de l</w:t>
      </w:r>
      <w:r w:rsidR="00EF1779" w:rsidRPr="008725ED">
        <w:rPr>
          <w:lang w:val="fr-FR"/>
        </w:rPr>
        <w:t>’</w:t>
      </w:r>
      <w:r w:rsidRPr="008725ED">
        <w:rPr>
          <w:lang w:val="fr-FR"/>
        </w:rPr>
        <w:t>Union aux travaux du</w:t>
      </w:r>
      <w:r w:rsidR="00EF1779" w:rsidRPr="008725ED">
        <w:rPr>
          <w:lang w:val="fr-FR"/>
        </w:rPr>
        <w:t> TC</w:t>
      </w:r>
      <w:r w:rsidRPr="008725ED">
        <w:rPr>
          <w:lang w:val="fr-FR"/>
        </w:rPr>
        <w:t xml:space="preserve"> et aux groupes de travail techniques (dans l</w:t>
      </w:r>
      <w:r w:rsidR="00EF1779" w:rsidRPr="008725ED">
        <w:rPr>
          <w:lang w:val="fr-FR"/>
        </w:rPr>
        <w:t>’</w:t>
      </w:r>
      <w:r w:rsidRPr="008725ED">
        <w:rPr>
          <w:lang w:val="fr-FR"/>
        </w:rPr>
        <w:t>ordre chronologique)</w:t>
      </w:r>
      <w:r w:rsidR="00EF1779" w:rsidRPr="008725ED">
        <w:rPr>
          <w:lang w:val="fr-FR"/>
        </w:rPr>
        <w:t> :</w:t>
      </w:r>
    </w:p>
    <w:p w:rsidR="00D87DB7" w:rsidRPr="008725ED" w:rsidRDefault="00D87DB7" w:rsidP="00D87DB7">
      <w:pPr>
        <w:rPr>
          <w:lang w:val="fr-FR"/>
        </w:rPr>
      </w:pP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5812"/>
        <w:gridCol w:w="3969"/>
      </w:tblGrid>
      <w:tr w:rsidR="008725ED" w:rsidRPr="005E033E" w:rsidTr="001D6A9B">
        <w:tc>
          <w:tcPr>
            <w:tcW w:w="5812" w:type="dxa"/>
            <w:vAlign w:val="center"/>
          </w:tcPr>
          <w:p w:rsidR="00D87DB7" w:rsidRPr="005E033E" w:rsidRDefault="00D87DB7" w:rsidP="001D6A9B">
            <w:pPr>
              <w:keepNext/>
              <w:rPr>
                <w:sz w:val="18"/>
                <w:lang w:val="fr-FR"/>
              </w:rPr>
            </w:pPr>
            <w:r w:rsidRPr="005E033E">
              <w:rPr>
                <w:sz w:val="18"/>
                <w:lang w:val="fr-FR"/>
              </w:rPr>
              <w:t xml:space="preserve">UPOV </w:t>
            </w:r>
            <w:r w:rsidRPr="005E033E">
              <w:rPr>
                <w:sz w:val="18"/>
                <w:cs/>
                <w:lang w:val="fr-FR" w:bidi="mr-IN"/>
              </w:rPr>
              <w:t>–</w:t>
            </w:r>
            <w:r w:rsidRPr="005E033E">
              <w:rPr>
                <w:sz w:val="18"/>
                <w:lang w:val="fr-FR"/>
              </w:rPr>
              <w:t xml:space="preserve"> Comment renforcer la participation des nouveaux membres</w:t>
            </w:r>
          </w:p>
        </w:tc>
        <w:tc>
          <w:tcPr>
            <w:tcW w:w="3969" w:type="dxa"/>
          </w:tcPr>
          <w:p w:rsidR="00D87DB7" w:rsidRPr="005E033E" w:rsidRDefault="00D87DB7" w:rsidP="001D6A9B">
            <w:pPr>
              <w:keepNext/>
              <w:jc w:val="left"/>
              <w:rPr>
                <w:sz w:val="18"/>
                <w:lang w:val="fr-FR"/>
              </w:rPr>
            </w:pPr>
            <w:r w:rsidRPr="005E033E">
              <w:rPr>
                <w:sz w:val="18"/>
                <w:lang w:val="fr-FR"/>
              </w:rPr>
              <w:t>Pays</w:t>
            </w:r>
            <w:r w:rsidR="00EF1779" w:rsidRPr="005E033E">
              <w:rPr>
                <w:sz w:val="18"/>
                <w:lang w:val="fr-FR"/>
              </w:rPr>
              <w:t>-</w:t>
            </w:r>
            <w:r w:rsidRPr="005E033E">
              <w:rPr>
                <w:sz w:val="18"/>
                <w:lang w:val="fr-FR"/>
              </w:rPr>
              <w:t>Bas (M. Marien Valstar)</w:t>
            </w:r>
          </w:p>
        </w:tc>
      </w:tr>
      <w:tr w:rsidR="00D87DB7" w:rsidRPr="005E033E" w:rsidTr="001D6A9B">
        <w:tc>
          <w:tcPr>
            <w:tcW w:w="5812" w:type="dxa"/>
            <w:shd w:val="clear" w:color="auto" w:fill="auto"/>
            <w:vAlign w:val="center"/>
          </w:tcPr>
          <w:p w:rsidR="00D87DB7" w:rsidRPr="005E033E" w:rsidRDefault="00D87DB7" w:rsidP="001D6A9B">
            <w:pPr>
              <w:rPr>
                <w:sz w:val="18"/>
                <w:lang w:val="fr-FR"/>
              </w:rPr>
            </w:pPr>
            <w:r w:rsidRPr="005E033E">
              <w:rPr>
                <w:sz w:val="18"/>
                <w:lang w:val="fr-FR"/>
              </w:rPr>
              <w:t>“Intervention du Pérou à la session du Comité technique de l</w:t>
            </w:r>
            <w:r w:rsidR="00EF1779" w:rsidRPr="005E033E">
              <w:rPr>
                <w:sz w:val="18"/>
                <w:lang w:val="fr-FR"/>
              </w:rPr>
              <w:t>’</w:t>
            </w:r>
            <w:r w:rsidRPr="005E033E">
              <w:rPr>
                <w:sz w:val="18"/>
                <w:lang w:val="fr-FR"/>
              </w:rPr>
              <w:t>UPOV”</w:t>
            </w:r>
          </w:p>
        </w:tc>
        <w:tc>
          <w:tcPr>
            <w:tcW w:w="3969" w:type="dxa"/>
            <w:shd w:val="clear" w:color="auto" w:fill="auto"/>
          </w:tcPr>
          <w:p w:rsidR="00D87DB7" w:rsidRPr="005E033E" w:rsidRDefault="00D87DB7" w:rsidP="001D6A9B">
            <w:pPr>
              <w:keepNext/>
              <w:jc w:val="left"/>
              <w:rPr>
                <w:sz w:val="18"/>
                <w:lang w:val="fr-FR"/>
              </w:rPr>
            </w:pPr>
            <w:r w:rsidRPr="005E033E">
              <w:rPr>
                <w:sz w:val="18"/>
                <w:lang w:val="fr-FR"/>
              </w:rPr>
              <w:t>Pérou (M. Roger Becerra)</w:t>
            </w:r>
          </w:p>
        </w:tc>
      </w:tr>
    </w:tbl>
    <w:p w:rsidR="008C3126" w:rsidRPr="008725ED" w:rsidRDefault="008C3126" w:rsidP="00D87DB7">
      <w:pPr>
        <w:rPr>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est convenu</w:t>
      </w:r>
      <w:r w:rsidRPr="008725ED">
        <w:rPr>
          <w:lang w:val="fr-FR"/>
        </w:rPr>
        <w:t xml:space="preserve"> d</w:t>
      </w:r>
      <w:r w:rsidR="00EF1779" w:rsidRPr="008725ED">
        <w:rPr>
          <w:lang w:val="fr-FR"/>
        </w:rPr>
        <w:t>’</w:t>
      </w:r>
      <w:r w:rsidRPr="008725ED">
        <w:rPr>
          <w:lang w:val="fr-FR"/>
        </w:rPr>
        <w:t xml:space="preserve">inviter les </w:t>
      </w:r>
      <w:r w:rsidRPr="008725ED">
        <w:rPr>
          <w:snapToGrid w:val="0"/>
          <w:lang w:val="fr-FR"/>
        </w:rPr>
        <w:t>Pays</w:t>
      </w:r>
      <w:r w:rsidR="00EF1779" w:rsidRPr="008725ED">
        <w:rPr>
          <w:snapToGrid w:val="0"/>
          <w:lang w:val="fr-FR"/>
        </w:rPr>
        <w:t>-</w:t>
      </w:r>
      <w:r w:rsidRPr="008725ED">
        <w:rPr>
          <w:snapToGrid w:val="0"/>
          <w:lang w:val="fr-FR"/>
        </w:rPr>
        <w:t xml:space="preserve">Bas </w:t>
      </w:r>
      <w:r w:rsidRPr="008725ED">
        <w:rPr>
          <w:lang w:val="fr-FR"/>
        </w:rPr>
        <w:t>à rédiger un document sur le renforcement de la participation des nouveaux membres de l</w:t>
      </w:r>
      <w:r w:rsidR="00EF1779" w:rsidRPr="008725ED">
        <w:rPr>
          <w:lang w:val="fr-FR"/>
        </w:rPr>
        <w:t>’</w:t>
      </w:r>
      <w:r w:rsidRPr="008725ED">
        <w:rPr>
          <w:lang w:val="fr-FR"/>
        </w:rPr>
        <w:t>Union aux travaux du</w:t>
      </w:r>
      <w:r w:rsidR="00EF1779" w:rsidRPr="008725ED">
        <w:rPr>
          <w:lang w:val="fr-FR"/>
        </w:rPr>
        <w:t> TC</w:t>
      </w:r>
      <w:r w:rsidRPr="008725ED">
        <w:rPr>
          <w:lang w:val="fr-FR"/>
        </w:rPr>
        <w:t xml:space="preserve"> et aux groupes de travail techniques, compte tenu de l</w:t>
      </w:r>
      <w:r w:rsidR="00EF1779" w:rsidRPr="008725ED">
        <w:rPr>
          <w:lang w:val="fr-FR"/>
        </w:rPr>
        <w:t>’</w:t>
      </w:r>
      <w:r w:rsidRPr="008725ED">
        <w:rPr>
          <w:lang w:val="fr-FR"/>
        </w:rPr>
        <w:t>étude réalisée par les membres de l</w:t>
      </w:r>
      <w:r w:rsidR="00EF1779" w:rsidRPr="008725ED">
        <w:rPr>
          <w:lang w:val="fr-FR"/>
        </w:rPr>
        <w:t>’</w:t>
      </w:r>
      <w:r w:rsidRPr="008725ED">
        <w:rPr>
          <w:lang w:val="fr-FR"/>
        </w:rPr>
        <w:t>UPOV présentées à la cinquant</w:t>
      </w:r>
      <w:r w:rsidR="00EF1779" w:rsidRPr="008725ED">
        <w:rPr>
          <w:lang w:val="fr-FR"/>
        </w:rPr>
        <w:t>ième session</w:t>
      </w:r>
      <w:r w:rsidRPr="008725ED">
        <w:rPr>
          <w:lang w:val="fr-FR"/>
        </w:rPr>
        <w:t xml:space="preserve"> du</w:t>
      </w:r>
      <w:r w:rsidR="00EF1779" w:rsidRPr="008725ED">
        <w:rPr>
          <w:lang w:val="fr-FR"/>
        </w:rPr>
        <w:t> TC</w:t>
      </w:r>
      <w:r w:rsidRPr="008725ED">
        <w:rPr>
          <w:lang w:val="fr-FR"/>
        </w:rPr>
        <w:t xml:space="preserve"> (voir le </w:t>
      </w:r>
      <w:r w:rsidR="00EF1779" w:rsidRPr="008725ED">
        <w:rPr>
          <w:lang w:val="fr-FR"/>
        </w:rPr>
        <w:t>document TC</w:t>
      </w:r>
      <w:r w:rsidRPr="008725ED">
        <w:rPr>
          <w:lang w:val="fr-FR"/>
        </w:rPr>
        <w:t>/50/35</w:t>
      </w:r>
      <w:r w:rsidR="00EF1779" w:rsidRPr="008725ED">
        <w:rPr>
          <w:lang w:val="fr-FR"/>
        </w:rPr>
        <w:t> :</w:t>
      </w:r>
      <w:r w:rsidRPr="008725ED">
        <w:rPr>
          <w:lang w:val="fr-FR"/>
        </w:rPr>
        <w:t xml:space="preserve"> “Amélioration de l</w:t>
      </w:r>
      <w:r w:rsidR="00EF1779" w:rsidRPr="008725ED">
        <w:rPr>
          <w:lang w:val="fr-FR"/>
        </w:rPr>
        <w:t>’</w:t>
      </w:r>
      <w:r w:rsidRPr="008725ED">
        <w:rPr>
          <w:lang w:val="fr-FR"/>
        </w:rPr>
        <w:t>efficacité du Comité technique, des groupes de travail techniques et des ateliers préparatoires”, disponible à l</w:t>
      </w:r>
      <w:r w:rsidR="00EF1779" w:rsidRPr="008725ED">
        <w:rPr>
          <w:lang w:val="fr-FR"/>
        </w:rPr>
        <w:t>’</w:t>
      </w:r>
      <w:r w:rsidRPr="008725ED">
        <w:rPr>
          <w:lang w:val="fr-FR"/>
        </w:rPr>
        <w:t>adresse</w:t>
      </w:r>
      <w:r w:rsidR="005E033E">
        <w:rPr>
          <w:lang w:val="fr-FR"/>
        </w:rPr>
        <w:t xml:space="preserve"> </w:t>
      </w:r>
      <w:hyperlink r:id="rId11" w:history="1">
        <w:r w:rsidR="005E033E" w:rsidRPr="00184CDD">
          <w:rPr>
            <w:rStyle w:val="Hyperlink"/>
            <w:lang w:val="fr-FR"/>
          </w:rPr>
          <w:t>http://www.upov.int/edocs/mdocs/upov/fr/tc_50/tc_50_35.pdf</w:t>
        </w:r>
      </w:hyperlink>
      <w:r w:rsidRPr="008725ED">
        <w:rPr>
          <w:lang w:val="fr-FR"/>
        </w:rPr>
        <w:t>).</w:t>
      </w:r>
    </w:p>
    <w:p w:rsidR="008C3126" w:rsidRPr="008725ED" w:rsidRDefault="008C3126" w:rsidP="00D87DB7">
      <w:pPr>
        <w:rPr>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est convenu</w:t>
      </w:r>
      <w:r w:rsidRPr="008725ED">
        <w:rPr>
          <w:lang w:val="fr-FR"/>
        </w:rPr>
        <w:t xml:space="preserve"> que le programme des groupes de travail techniques à leurs sessions de 2017 devait prévoir un point destiné aux exposés présentés par les nouveaux membres de l</w:t>
      </w:r>
      <w:r w:rsidR="00EF1779" w:rsidRPr="008725ED">
        <w:rPr>
          <w:lang w:val="fr-FR"/>
        </w:rPr>
        <w:t>’</w:t>
      </w:r>
      <w:r w:rsidRPr="008725ED">
        <w:rPr>
          <w:lang w:val="fr-FR"/>
        </w:rPr>
        <w:t>Union.</w:t>
      </w:r>
    </w:p>
    <w:p w:rsidR="008C3126" w:rsidRPr="008725ED" w:rsidRDefault="008C3126" w:rsidP="00D87DB7">
      <w:pPr>
        <w:rPr>
          <w:lang w:val="fr-FR"/>
        </w:rPr>
      </w:pPr>
    </w:p>
    <w:p w:rsidR="008C3126" w:rsidRPr="008725ED" w:rsidRDefault="008C3126" w:rsidP="00D87DB7">
      <w:pPr>
        <w:rPr>
          <w:lang w:val="fr-FR"/>
        </w:rPr>
      </w:pPr>
    </w:p>
    <w:p w:rsidR="008C3126" w:rsidRPr="008725ED" w:rsidRDefault="00D87DB7" w:rsidP="00D87DB7">
      <w:pPr>
        <w:pStyle w:val="Heading2"/>
        <w:rPr>
          <w:snapToGrid w:val="0"/>
          <w:lang w:val="fr-FR"/>
        </w:rPr>
      </w:pPr>
      <w:bookmarkStart w:id="27" w:name="_Toc494207965"/>
      <w:r w:rsidRPr="008725ED">
        <w:rPr>
          <w:snapToGrid w:val="0"/>
          <w:lang w:val="fr-FR"/>
        </w:rPr>
        <w:t>Dénominations variétales</w:t>
      </w:r>
      <w:bookmarkEnd w:id="27"/>
    </w:p>
    <w:p w:rsidR="008C3126" w:rsidRPr="008725ED" w:rsidRDefault="008C3126" w:rsidP="00D87DB7">
      <w:pPr>
        <w:ind w:left="567" w:hanging="567"/>
        <w:rPr>
          <w:rFonts w:cs="Arial"/>
          <w:snapToGrid w:val="0"/>
          <w:lang w:val="fr-FR"/>
        </w:rPr>
      </w:pPr>
    </w:p>
    <w:p w:rsidR="008C3126" w:rsidRPr="008725ED" w:rsidRDefault="00D87DB7" w:rsidP="00D87DB7">
      <w:pPr>
        <w:rPr>
          <w:snapToGrid w:val="0"/>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examiné </w:t>
      </w:r>
      <w:r w:rsidRPr="008725ED">
        <w:rPr>
          <w:lang w:val="fr-FR"/>
        </w:rPr>
        <w:t xml:space="preserve">le </w:t>
      </w:r>
      <w:r w:rsidR="00EF1779" w:rsidRPr="008725ED">
        <w:rPr>
          <w:lang w:val="fr-FR"/>
        </w:rPr>
        <w:t>document TC</w:t>
      </w:r>
      <w:r w:rsidRPr="008725ED">
        <w:rPr>
          <w:lang w:val="fr-FR"/>
        </w:rPr>
        <w:t>/53/12.</w:t>
      </w:r>
    </w:p>
    <w:p w:rsidR="008C3126" w:rsidRPr="008725ED" w:rsidRDefault="008C3126" w:rsidP="00D87DB7">
      <w:pPr>
        <w:rPr>
          <w:snapToGrid w:val="0"/>
          <w:lang w:val="fr-FR" w:eastAsia="ja-JP"/>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pris note </w:t>
      </w:r>
      <w:r w:rsidRPr="008725ED">
        <w:rPr>
          <w:lang w:val="fr-FR"/>
        </w:rPr>
        <w:t>des faits nouveaux</w:t>
      </w:r>
      <w:r w:rsidRPr="008725ED">
        <w:rPr>
          <w:lang w:val="fr-FR" w:eastAsia="ja-JP"/>
        </w:rPr>
        <w:t xml:space="preserve"> concernant</w:t>
      </w:r>
      <w:r w:rsidRPr="008725ED">
        <w:rPr>
          <w:lang w:val="fr-FR"/>
        </w:rPr>
        <w:t xml:space="preserve"> </w:t>
      </w:r>
      <w:r w:rsidRPr="008725ED">
        <w:rPr>
          <w:lang w:val="fr-FR" w:eastAsia="ja-JP"/>
        </w:rPr>
        <w:t xml:space="preserve">une révision éventuelle du document UPOV/INF/12 </w:t>
      </w:r>
      <w:r w:rsidRPr="008725ED">
        <w:rPr>
          <w:rFonts w:cs="Arial"/>
          <w:lang w:val="fr-FR" w:eastAsia="ja-JP"/>
        </w:rPr>
        <w:t xml:space="preserve">“Notes explicatives concernant les dénominations variétales en vertu de la </w:t>
      </w:r>
      <w:r w:rsidR="00EF1779" w:rsidRPr="008725ED">
        <w:rPr>
          <w:rFonts w:cs="Arial"/>
          <w:lang w:val="fr-FR" w:eastAsia="ja-JP"/>
        </w:rPr>
        <w:t>Convention UPOV</w:t>
      </w:r>
      <w:r w:rsidRPr="008725ED">
        <w:rPr>
          <w:rFonts w:cs="Arial"/>
          <w:lang w:val="fr-FR" w:eastAsia="ja-JP"/>
        </w:rPr>
        <w:t>”</w:t>
      </w:r>
      <w:r w:rsidRPr="008725ED">
        <w:rPr>
          <w:lang w:val="fr-FR"/>
        </w:rPr>
        <w:t xml:space="preserve">, comme indiqué aux paragraphes 6 à </w:t>
      </w:r>
      <w:r w:rsidRPr="008725ED">
        <w:rPr>
          <w:lang w:val="fr-FR" w:eastAsia="ja-JP"/>
        </w:rPr>
        <w:t xml:space="preserve">11 du </w:t>
      </w:r>
      <w:r w:rsidR="00EF1779" w:rsidRPr="008725ED">
        <w:rPr>
          <w:snapToGrid w:val="0"/>
          <w:lang w:val="fr-FR"/>
        </w:rPr>
        <w:t>document TC</w:t>
      </w:r>
      <w:r w:rsidRPr="008725ED">
        <w:rPr>
          <w:snapToGrid w:val="0"/>
          <w:lang w:val="fr-FR"/>
        </w:rPr>
        <w:t>/53/12</w:t>
      </w:r>
      <w:r w:rsidRPr="008725ED">
        <w:rPr>
          <w:rFonts w:eastAsia="MS Mincho"/>
          <w:snapToGrid w:val="0"/>
          <w:lang w:val="fr-FR" w:eastAsia="ja-JP"/>
        </w:rPr>
        <w:t>.</w:t>
      </w:r>
    </w:p>
    <w:p w:rsidR="008C3126" w:rsidRPr="008725ED" w:rsidRDefault="008C3126" w:rsidP="00D87DB7">
      <w:pPr>
        <w:rPr>
          <w:lang w:val="fr-FR" w:eastAsia="ja-JP"/>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pris note </w:t>
      </w:r>
      <w:r w:rsidRPr="008725ED">
        <w:rPr>
          <w:lang w:val="fr-FR"/>
        </w:rPr>
        <w:t>des faits nouveaux</w:t>
      </w:r>
      <w:r w:rsidRPr="008725ED">
        <w:rPr>
          <w:lang w:val="fr-FR" w:eastAsia="ja-JP"/>
        </w:rPr>
        <w:t xml:space="preserve"> concernant</w:t>
      </w:r>
      <w:r w:rsidRPr="008725ED">
        <w:rPr>
          <w:lang w:val="fr-FR"/>
        </w:rPr>
        <w:t xml:space="preserve"> un moteur de recherche de similitudes de l</w:t>
      </w:r>
      <w:r w:rsidR="00EF1779" w:rsidRPr="008725ED">
        <w:rPr>
          <w:lang w:val="fr-FR"/>
        </w:rPr>
        <w:t>’</w:t>
      </w:r>
      <w:r w:rsidRPr="008725ED">
        <w:rPr>
          <w:lang w:val="fr-FR"/>
        </w:rPr>
        <w:t>UPOV aux fins de la dénomination variétale, comme indiqué aux paragraphes 1</w:t>
      </w:r>
      <w:r w:rsidRPr="008725ED">
        <w:rPr>
          <w:lang w:val="fr-FR" w:eastAsia="ja-JP"/>
        </w:rPr>
        <w:t>3</w:t>
      </w:r>
      <w:r w:rsidRPr="008725ED">
        <w:rPr>
          <w:lang w:val="fr-FR"/>
        </w:rPr>
        <w:t xml:space="preserve"> à</w:t>
      </w:r>
      <w:r w:rsidRPr="008725ED">
        <w:rPr>
          <w:lang w:val="fr-FR" w:eastAsia="ja-JP"/>
        </w:rPr>
        <w:t xml:space="preserve"> 18</w:t>
      </w:r>
      <w:r w:rsidRPr="008725ED">
        <w:rPr>
          <w:lang w:val="fr-FR"/>
        </w:rPr>
        <w:t xml:space="preserve"> du </w:t>
      </w:r>
      <w:r w:rsidR="00EF1779" w:rsidRPr="008725ED">
        <w:rPr>
          <w:snapToGrid w:val="0"/>
          <w:lang w:val="fr-FR"/>
        </w:rPr>
        <w:t>document TC</w:t>
      </w:r>
      <w:r w:rsidRPr="008725ED">
        <w:rPr>
          <w:snapToGrid w:val="0"/>
          <w:lang w:val="fr-FR"/>
        </w:rPr>
        <w:t>/53/12</w:t>
      </w:r>
      <w:r w:rsidRPr="008725ED">
        <w:rPr>
          <w:rFonts w:eastAsia="MS Mincho"/>
          <w:snapToGrid w:val="0"/>
          <w:lang w:val="fr-FR" w:eastAsia="ja-JP"/>
        </w:rPr>
        <w:t>.</w:t>
      </w:r>
    </w:p>
    <w:p w:rsidR="008C3126" w:rsidRPr="008725ED" w:rsidRDefault="008C3126" w:rsidP="00D87DB7">
      <w:pPr>
        <w:rPr>
          <w:lang w:val="fr-FR" w:eastAsia="ja-JP"/>
        </w:rPr>
      </w:pPr>
    </w:p>
    <w:p w:rsidR="008C3126" w:rsidRPr="008725ED" w:rsidRDefault="00D87DB7" w:rsidP="00D87DB7">
      <w:pPr>
        <w:spacing w:after="240"/>
        <w:rPr>
          <w:lang w:val="fr-FR" w:eastAsia="ja-JP"/>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pris note </w:t>
      </w:r>
      <w:r w:rsidRPr="008725ED">
        <w:rPr>
          <w:lang w:val="fr-FR"/>
        </w:rPr>
        <w:t>des faits nouveaux</w:t>
      </w:r>
      <w:r w:rsidRPr="008725ED">
        <w:rPr>
          <w:lang w:val="fr-FR" w:eastAsia="ja-JP"/>
        </w:rPr>
        <w:t xml:space="preserve"> concernant</w:t>
      </w:r>
      <w:r w:rsidRPr="008725ED">
        <w:rPr>
          <w:lang w:val="fr-FR"/>
        </w:rPr>
        <w:t xml:space="preserve"> l</w:t>
      </w:r>
      <w:r w:rsidR="00EF1779" w:rsidRPr="008725ED">
        <w:rPr>
          <w:lang w:val="fr-FR"/>
        </w:rPr>
        <w:t>’</w:t>
      </w:r>
      <w:r w:rsidRPr="008725ED">
        <w:rPr>
          <w:lang w:val="fr-FR"/>
        </w:rPr>
        <w:t xml:space="preserve">éventuel élargissement du contenu de la </w:t>
      </w:r>
      <w:r w:rsidRPr="008725ED">
        <w:rPr>
          <w:lang w:val="fr-FR" w:eastAsia="ja-JP"/>
        </w:rPr>
        <w:t>base de données PLUTO</w:t>
      </w:r>
      <w:r w:rsidRPr="008725ED">
        <w:rPr>
          <w:lang w:val="fr-FR"/>
        </w:rPr>
        <w:t>, comme indiqué aux paragraphes </w:t>
      </w:r>
      <w:r w:rsidRPr="008725ED">
        <w:rPr>
          <w:lang w:val="fr-FR" w:eastAsia="ja-JP"/>
        </w:rPr>
        <w:t xml:space="preserve">19 </w:t>
      </w:r>
      <w:r w:rsidRPr="008725ED">
        <w:rPr>
          <w:lang w:val="fr-FR"/>
        </w:rPr>
        <w:t>à 2</w:t>
      </w:r>
      <w:r w:rsidRPr="008725ED">
        <w:rPr>
          <w:lang w:val="fr-FR" w:eastAsia="ja-JP"/>
        </w:rPr>
        <w:t xml:space="preserve">3 du </w:t>
      </w:r>
      <w:r w:rsidR="00EF1779" w:rsidRPr="008725ED">
        <w:rPr>
          <w:snapToGrid w:val="0"/>
          <w:lang w:val="fr-FR"/>
        </w:rPr>
        <w:t>document TC</w:t>
      </w:r>
      <w:r w:rsidRPr="008725ED">
        <w:rPr>
          <w:snapToGrid w:val="0"/>
          <w:lang w:val="fr-FR"/>
        </w:rPr>
        <w:t>/53/12</w:t>
      </w:r>
      <w:r w:rsidRPr="008725ED">
        <w:rPr>
          <w:lang w:val="fr-FR" w:eastAsia="ja-JP"/>
        </w:rPr>
        <w:t>.</w:t>
      </w:r>
    </w:p>
    <w:p w:rsidR="008C3126" w:rsidRPr="008725ED" w:rsidRDefault="00D87DB7" w:rsidP="00D87DB7">
      <w:pPr>
        <w:rPr>
          <w:rFonts w:eastAsia="MS Mincho"/>
          <w:snapToGrid w:val="0"/>
          <w:lang w:val="fr-FR" w:eastAsia="ja-JP"/>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pris note </w:t>
      </w:r>
      <w:r w:rsidRPr="008725ED">
        <w:rPr>
          <w:lang w:val="fr-FR"/>
        </w:rPr>
        <w:t>des faits nouveaux</w:t>
      </w:r>
      <w:r w:rsidRPr="008725ED">
        <w:rPr>
          <w:lang w:val="fr-FR" w:eastAsia="ja-JP"/>
        </w:rPr>
        <w:t xml:space="preserve"> concernant</w:t>
      </w:r>
      <w:r w:rsidRPr="008725ED">
        <w:rPr>
          <w:lang w:val="fr-FR"/>
        </w:rPr>
        <w:t xml:space="preserve"> </w:t>
      </w:r>
      <w:r w:rsidRPr="008725ED">
        <w:rPr>
          <w:spacing w:val="-2"/>
          <w:lang w:val="fr-FR" w:eastAsia="ja-JP"/>
        </w:rPr>
        <w:t>les termes non acceptables</w:t>
      </w:r>
      <w:r w:rsidRPr="008725ED">
        <w:rPr>
          <w:spacing w:val="-2"/>
          <w:lang w:val="fr-FR"/>
        </w:rPr>
        <w:t xml:space="preserve">, </w:t>
      </w:r>
      <w:r w:rsidRPr="008725ED">
        <w:rPr>
          <w:lang w:val="fr-FR"/>
        </w:rPr>
        <w:t>comme indiqué aux paragraphes </w:t>
      </w:r>
      <w:r w:rsidRPr="008725ED">
        <w:rPr>
          <w:spacing w:val="-2"/>
          <w:lang w:val="fr-FR"/>
        </w:rPr>
        <w:t>2</w:t>
      </w:r>
      <w:r w:rsidRPr="008725ED">
        <w:rPr>
          <w:spacing w:val="-2"/>
          <w:lang w:val="fr-FR" w:eastAsia="ja-JP"/>
        </w:rPr>
        <w:t xml:space="preserve">4 </w:t>
      </w:r>
      <w:r w:rsidRPr="008725ED">
        <w:rPr>
          <w:spacing w:val="-2"/>
          <w:lang w:val="fr-FR"/>
        </w:rPr>
        <w:t xml:space="preserve">à </w:t>
      </w:r>
      <w:r w:rsidRPr="008725ED">
        <w:rPr>
          <w:spacing w:val="-2"/>
          <w:lang w:val="fr-FR" w:eastAsia="ja-JP"/>
        </w:rPr>
        <w:t xml:space="preserve">28 du </w:t>
      </w:r>
      <w:r w:rsidR="00EF1779" w:rsidRPr="008725ED">
        <w:rPr>
          <w:snapToGrid w:val="0"/>
          <w:lang w:val="fr-FR"/>
        </w:rPr>
        <w:t>document TC</w:t>
      </w:r>
      <w:r w:rsidRPr="008725ED">
        <w:rPr>
          <w:snapToGrid w:val="0"/>
          <w:lang w:val="fr-FR"/>
        </w:rPr>
        <w:t>/53/12</w:t>
      </w:r>
      <w:r w:rsidRPr="008725ED">
        <w:rPr>
          <w:rFonts w:eastAsia="MS Mincho"/>
          <w:snapToGrid w:val="0"/>
          <w:spacing w:val="-2"/>
          <w:lang w:val="fr-FR" w:eastAsia="ja-JP"/>
        </w:rPr>
        <w:t>.</w:t>
      </w:r>
    </w:p>
    <w:p w:rsidR="008C3126" w:rsidRPr="008725ED" w:rsidRDefault="008C3126" w:rsidP="00D87DB7">
      <w:pPr>
        <w:rPr>
          <w:rFonts w:eastAsia="MS Mincho"/>
          <w:snapToGrid w:val="0"/>
          <w:lang w:val="fr-FR" w:eastAsia="ja-JP"/>
        </w:rPr>
      </w:pPr>
    </w:p>
    <w:p w:rsidR="008C3126" w:rsidRPr="008725ED" w:rsidRDefault="00D87DB7" w:rsidP="00D87DB7">
      <w:pPr>
        <w:rPr>
          <w:snapToGrid w:val="0"/>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pris note </w:t>
      </w:r>
      <w:r w:rsidRPr="008725ED">
        <w:rPr>
          <w:lang w:val="fr-FR"/>
        </w:rPr>
        <w:t>que la troisième réunion du WG</w:t>
      </w:r>
      <w:r w:rsidR="00EF1779" w:rsidRPr="008725ED">
        <w:rPr>
          <w:lang w:val="fr-FR"/>
        </w:rPr>
        <w:t>-</w:t>
      </w:r>
      <w:r w:rsidRPr="008725ED">
        <w:rPr>
          <w:lang w:val="fr-FR"/>
        </w:rPr>
        <w:t>DEN se tiendra</w:t>
      </w:r>
      <w:r w:rsidR="0091609B" w:rsidRPr="008725ED">
        <w:rPr>
          <w:lang w:val="fr-FR"/>
        </w:rPr>
        <w:t>it</w:t>
      </w:r>
      <w:r w:rsidRPr="008725ED">
        <w:rPr>
          <w:lang w:val="fr-FR"/>
        </w:rPr>
        <w:t xml:space="preserve"> à Genève le 7 avril 2017.</w:t>
      </w:r>
    </w:p>
    <w:p w:rsidR="008C3126" w:rsidRPr="008725ED" w:rsidRDefault="008C3126" w:rsidP="00D87DB7">
      <w:pPr>
        <w:rPr>
          <w:rFonts w:eastAsia="MS Mincho"/>
          <w:snapToGrid w:val="0"/>
          <w:lang w:val="fr-FR" w:eastAsia="ja-JP"/>
        </w:rPr>
      </w:pPr>
    </w:p>
    <w:p w:rsidR="008C3126" w:rsidRPr="008725ED" w:rsidRDefault="00D87DB7" w:rsidP="00D87DB7">
      <w:pPr>
        <w:rPr>
          <w:lang w:val="fr-FR" w:eastAsia="ja-JP"/>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du projet d</w:t>
      </w:r>
      <w:r w:rsidR="00EF1779" w:rsidRPr="008725ED">
        <w:rPr>
          <w:lang w:val="fr-FR"/>
        </w:rPr>
        <w:t>’</w:t>
      </w:r>
      <w:r w:rsidRPr="008725ED">
        <w:rPr>
          <w:lang w:val="fr-FR"/>
        </w:rPr>
        <w:t xml:space="preserve">ordre du jour </w:t>
      </w:r>
      <w:r w:rsidRPr="008725ED">
        <w:rPr>
          <w:rFonts w:eastAsia="MS Mincho"/>
          <w:snapToGrid w:val="0"/>
          <w:lang w:val="fr-FR" w:eastAsia="ja-JP"/>
        </w:rPr>
        <w:t>de la troisième réunion du WG</w:t>
      </w:r>
      <w:r w:rsidR="00EF1779" w:rsidRPr="008725ED">
        <w:rPr>
          <w:rFonts w:eastAsia="MS Mincho"/>
          <w:snapToGrid w:val="0"/>
          <w:lang w:val="fr-FR" w:eastAsia="ja-JP"/>
        </w:rPr>
        <w:t>-</w:t>
      </w:r>
      <w:r w:rsidRPr="008725ED">
        <w:rPr>
          <w:rFonts w:eastAsia="MS Mincho"/>
          <w:snapToGrid w:val="0"/>
          <w:lang w:val="fr-FR" w:eastAsia="ja-JP"/>
        </w:rPr>
        <w:t xml:space="preserve">DEN, </w:t>
      </w:r>
      <w:r w:rsidRPr="008725ED">
        <w:rPr>
          <w:lang w:val="fr-FR"/>
        </w:rPr>
        <w:t>comme indiqué au</w:t>
      </w:r>
      <w:r w:rsidRPr="008725ED">
        <w:rPr>
          <w:rFonts w:eastAsia="MS Mincho"/>
          <w:snapToGrid w:val="0"/>
          <w:lang w:val="fr-FR" w:eastAsia="ja-JP"/>
        </w:rPr>
        <w:t xml:space="preserve"> paragraphe 30</w:t>
      </w:r>
      <w:r w:rsidRPr="008725ED">
        <w:rPr>
          <w:lang w:val="fr-FR"/>
        </w:rPr>
        <w:t xml:space="preserve"> du </w:t>
      </w:r>
      <w:r w:rsidR="00EF1779" w:rsidRPr="008725ED">
        <w:rPr>
          <w:snapToGrid w:val="0"/>
          <w:lang w:val="fr-FR"/>
        </w:rPr>
        <w:t>document TC</w:t>
      </w:r>
      <w:r w:rsidRPr="008725ED">
        <w:rPr>
          <w:snapToGrid w:val="0"/>
          <w:lang w:val="fr-FR"/>
        </w:rPr>
        <w:t>/53/12</w:t>
      </w:r>
      <w:r w:rsidRPr="008725ED">
        <w:rPr>
          <w:rFonts w:eastAsia="MS Mincho"/>
          <w:snapToGrid w:val="0"/>
          <w:lang w:val="fr-FR" w:eastAsia="ja-JP"/>
        </w:rPr>
        <w:t>.</w:t>
      </w:r>
    </w:p>
    <w:p w:rsidR="008C3126" w:rsidRPr="008725ED" w:rsidRDefault="008C3126" w:rsidP="00D87DB7">
      <w:pPr>
        <w:rPr>
          <w:rFonts w:cs="Arial"/>
          <w:snapToGrid w:val="0"/>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w:t>
      </w:r>
      <w:r w:rsidR="00EF1779" w:rsidRPr="008725ED">
        <w:rPr>
          <w:lang w:val="fr-FR"/>
        </w:rPr>
        <w:t>’</w:t>
      </w:r>
      <w:r w:rsidRPr="008725ED">
        <w:rPr>
          <w:lang w:val="fr-FR"/>
        </w:rPr>
        <w:t xml:space="preserve">Union européenne </w:t>
      </w:r>
      <w:r w:rsidR="00344B0C" w:rsidRPr="008725ED">
        <w:rPr>
          <w:lang w:val="fr-FR"/>
        </w:rPr>
        <w:t xml:space="preserve">a rappelé </w:t>
      </w:r>
      <w:r w:rsidRPr="008725ED">
        <w:rPr>
          <w:lang w:val="fr-FR"/>
        </w:rPr>
        <w:t>l</w:t>
      </w:r>
      <w:r w:rsidR="00EF1779" w:rsidRPr="008725ED">
        <w:rPr>
          <w:lang w:val="fr-FR"/>
        </w:rPr>
        <w:t>’</w:t>
      </w:r>
      <w:r w:rsidRPr="008725ED">
        <w:rPr>
          <w:lang w:val="fr-FR"/>
        </w:rPr>
        <w:t>importance de comparer les résultats du nouvel algorithme avec les algorithmes existants afin de s</w:t>
      </w:r>
      <w:r w:rsidR="00EF1779" w:rsidRPr="008725ED">
        <w:rPr>
          <w:lang w:val="fr-FR"/>
        </w:rPr>
        <w:t>’</w:t>
      </w:r>
      <w:r w:rsidRPr="008725ED">
        <w:rPr>
          <w:lang w:val="fr-FR"/>
        </w:rPr>
        <w:t>assurer de l</w:t>
      </w:r>
      <w:r w:rsidR="00EF1779" w:rsidRPr="008725ED">
        <w:rPr>
          <w:lang w:val="fr-FR"/>
        </w:rPr>
        <w:t>’</w:t>
      </w:r>
      <w:r w:rsidRPr="008725ED">
        <w:rPr>
          <w:lang w:val="fr-FR"/>
        </w:rPr>
        <w:t xml:space="preserve">amélioration en termes de précision et de rappel et </w:t>
      </w:r>
      <w:r w:rsidR="0091609B" w:rsidRPr="008725ED">
        <w:rPr>
          <w:lang w:val="fr-FR"/>
        </w:rPr>
        <w:t>a souligné</w:t>
      </w:r>
      <w:r w:rsidRPr="008725ED">
        <w:rPr>
          <w:lang w:val="fr-FR"/>
        </w:rPr>
        <w:t xml:space="preserve"> la nécessité de traiter les “faux négatifs” et le traitement des données, par exemple les lettres doubles.</w:t>
      </w:r>
    </w:p>
    <w:p w:rsidR="008C3126" w:rsidRPr="008725ED" w:rsidRDefault="008C3126" w:rsidP="00D87DB7">
      <w:pPr>
        <w:rPr>
          <w:lang w:val="fr-FR"/>
        </w:rPr>
      </w:pPr>
    </w:p>
    <w:p w:rsidR="008C3126" w:rsidRPr="008725ED" w:rsidRDefault="008C3126" w:rsidP="00D87DB7">
      <w:pPr>
        <w:rPr>
          <w:rFonts w:cs="Arial"/>
          <w:snapToGrid w:val="0"/>
          <w:lang w:val="fr-FR"/>
        </w:rPr>
      </w:pPr>
    </w:p>
    <w:p w:rsidR="008C3126" w:rsidRPr="008725ED" w:rsidRDefault="00D87DB7" w:rsidP="00D87DB7">
      <w:pPr>
        <w:pStyle w:val="Heading2"/>
        <w:rPr>
          <w:snapToGrid w:val="0"/>
          <w:lang w:val="fr-FR"/>
        </w:rPr>
      </w:pPr>
      <w:bookmarkStart w:id="28" w:name="_Toc494207966"/>
      <w:r w:rsidRPr="008725ED">
        <w:rPr>
          <w:snapToGrid w:val="0"/>
          <w:lang w:val="fr-FR"/>
        </w:rPr>
        <w:t>Ateliers préparatoires</w:t>
      </w:r>
      <w:bookmarkEnd w:id="28"/>
    </w:p>
    <w:p w:rsidR="008C3126" w:rsidRPr="008725ED" w:rsidRDefault="008C3126" w:rsidP="00D87DB7">
      <w:pPr>
        <w:keepNext/>
        <w:rPr>
          <w:snapToGrid w:val="0"/>
          <w:lang w:val="fr-FR"/>
        </w:rPr>
      </w:pPr>
    </w:p>
    <w:p w:rsidR="008C3126" w:rsidRPr="008725ED" w:rsidRDefault="00D87DB7" w:rsidP="00D87DB7">
      <w:pPr>
        <w:rPr>
          <w:snapToGrid w:val="0"/>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examiné </w:t>
      </w:r>
      <w:r w:rsidRPr="008725ED">
        <w:rPr>
          <w:lang w:val="fr-FR"/>
        </w:rPr>
        <w:t xml:space="preserve">le </w:t>
      </w:r>
      <w:r w:rsidR="00EF1779" w:rsidRPr="008725ED">
        <w:rPr>
          <w:lang w:val="fr-FR"/>
        </w:rPr>
        <w:t>document TC</w:t>
      </w:r>
      <w:r w:rsidRPr="008725ED">
        <w:rPr>
          <w:lang w:val="fr-FR"/>
        </w:rPr>
        <w:t>/53/13.</w:t>
      </w:r>
    </w:p>
    <w:p w:rsidR="008C3126" w:rsidRPr="008725ED" w:rsidRDefault="008C3126" w:rsidP="00D87DB7">
      <w:pPr>
        <w:rPr>
          <w:snapToGrid w:val="0"/>
          <w:lang w:val="fr-FR" w:eastAsia="ja-JP"/>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pris note </w:t>
      </w:r>
      <w:r w:rsidRPr="008725ED">
        <w:rPr>
          <w:lang w:val="fr-FR"/>
        </w:rPr>
        <w:t>du compte rendu des ateliers préparatoires tenus en 2016.</w:t>
      </w:r>
    </w:p>
    <w:p w:rsidR="008C3126" w:rsidRPr="008725ED" w:rsidRDefault="008C3126" w:rsidP="00D87DB7">
      <w:pPr>
        <w:rPr>
          <w:lang w:val="fr-FR"/>
        </w:rPr>
      </w:pPr>
    </w:p>
    <w:p w:rsidR="008C3126" w:rsidRPr="008725ED" w:rsidRDefault="00D87DB7" w:rsidP="00D87DB7">
      <w:pPr>
        <w:rPr>
          <w:snapToGrid w:val="0"/>
          <w:lang w:val="fr-FR" w:eastAsia="ja-JP"/>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r>
      <w:r w:rsidRPr="008725ED">
        <w:rPr>
          <w:snapToGrid w:val="0"/>
          <w:lang w:val="fr-FR"/>
        </w:rPr>
        <w:t>Le</w:t>
      </w:r>
      <w:r w:rsidR="00EF1779" w:rsidRPr="008725ED">
        <w:rPr>
          <w:snapToGrid w:val="0"/>
          <w:lang w:val="fr-FR"/>
        </w:rPr>
        <w:t> TC</w:t>
      </w:r>
      <w:r w:rsidRPr="008725ED">
        <w:rPr>
          <w:snapToGrid w:val="0"/>
          <w:lang w:val="fr-FR"/>
        </w:rPr>
        <w:t xml:space="preserve"> </w:t>
      </w:r>
      <w:r w:rsidR="00344B0C" w:rsidRPr="008725ED">
        <w:rPr>
          <w:snapToGrid w:val="0"/>
          <w:lang w:val="fr-FR"/>
        </w:rPr>
        <w:t xml:space="preserve">a examiné </w:t>
      </w:r>
      <w:r w:rsidRPr="008725ED">
        <w:rPr>
          <w:snapToGrid w:val="0"/>
          <w:lang w:val="fr-FR"/>
        </w:rPr>
        <w:t xml:space="preserve">le programme proposé pour les </w:t>
      </w:r>
      <w:r w:rsidRPr="008725ED">
        <w:rPr>
          <w:lang w:val="fr-FR"/>
        </w:rPr>
        <w:t xml:space="preserve">ateliers préparatoires </w:t>
      </w:r>
      <w:r w:rsidRPr="008725ED">
        <w:rPr>
          <w:snapToGrid w:val="0"/>
          <w:lang w:val="fr-FR"/>
        </w:rPr>
        <w:t>prévus en </w:t>
      </w:r>
      <w:r w:rsidRPr="008725ED">
        <w:rPr>
          <w:lang w:val="fr-FR"/>
        </w:rPr>
        <w:t xml:space="preserve">2017, comme indiqué aux paragraphes 12 à 14 du </w:t>
      </w:r>
      <w:r w:rsidR="00EF1779" w:rsidRPr="008725ED">
        <w:rPr>
          <w:snapToGrid w:val="0"/>
          <w:lang w:val="fr-FR"/>
        </w:rPr>
        <w:t>document TC</w:t>
      </w:r>
      <w:r w:rsidRPr="008725ED">
        <w:rPr>
          <w:snapToGrid w:val="0"/>
          <w:lang w:val="fr-FR"/>
        </w:rPr>
        <w:t xml:space="preserve">/53/13 et </w:t>
      </w:r>
      <w:r w:rsidR="00344B0C" w:rsidRPr="008725ED">
        <w:rPr>
          <w:snapToGrid w:val="0"/>
          <w:lang w:val="fr-FR"/>
        </w:rPr>
        <w:t>est convenu</w:t>
      </w:r>
      <w:r w:rsidRPr="008725ED">
        <w:rPr>
          <w:snapToGrid w:val="0"/>
          <w:lang w:val="fr-FR"/>
        </w:rPr>
        <w:t xml:space="preserve"> </w:t>
      </w:r>
      <w:r w:rsidRPr="008725ED">
        <w:rPr>
          <w:lang w:val="fr-FR"/>
        </w:rPr>
        <w:t>que les ate</w:t>
      </w:r>
      <w:r w:rsidR="0091609B" w:rsidRPr="008725ED">
        <w:rPr>
          <w:lang w:val="fr-FR"/>
        </w:rPr>
        <w:t>liers préparatoires de 2017 dev</w:t>
      </w:r>
      <w:r w:rsidRPr="008725ED">
        <w:rPr>
          <w:lang w:val="fr-FR"/>
        </w:rPr>
        <w:t>aient démontrer l</w:t>
      </w:r>
      <w:r w:rsidR="00EF1779" w:rsidRPr="008725ED">
        <w:rPr>
          <w:lang w:val="fr-FR"/>
        </w:rPr>
        <w:t>’</w:t>
      </w:r>
      <w:r w:rsidRPr="008725ED">
        <w:rPr>
          <w:lang w:val="fr-FR"/>
        </w:rPr>
        <w:t xml:space="preserve">utilisation du </w:t>
      </w:r>
      <w:r w:rsidRPr="008725ED">
        <w:rPr>
          <w:snapToGrid w:val="0"/>
          <w:lang w:val="fr-FR" w:eastAsia="ja-JP"/>
        </w:rPr>
        <w:t>modèle de principes directeurs d</w:t>
      </w:r>
      <w:r w:rsidR="00EF1779" w:rsidRPr="008725ED">
        <w:rPr>
          <w:snapToGrid w:val="0"/>
          <w:lang w:val="fr-FR" w:eastAsia="ja-JP"/>
        </w:rPr>
        <w:t>’</w:t>
      </w:r>
      <w:r w:rsidRPr="008725ED">
        <w:rPr>
          <w:snapToGrid w:val="0"/>
          <w:lang w:val="fr-FR" w:eastAsia="ja-JP"/>
        </w:rPr>
        <w:t xml:space="preserve">examen fondé sur le Web et </w:t>
      </w:r>
      <w:r w:rsidRPr="008725ED">
        <w:rPr>
          <w:lang w:val="fr-FR"/>
        </w:rPr>
        <w:t>prévoir un point sur l</w:t>
      </w:r>
      <w:r w:rsidR="00EF1779" w:rsidRPr="008725ED">
        <w:rPr>
          <w:lang w:val="fr-FR"/>
        </w:rPr>
        <w:t>’</w:t>
      </w:r>
      <w:r w:rsidRPr="008725ED">
        <w:rPr>
          <w:lang w:val="fr-FR"/>
        </w:rPr>
        <w:t xml:space="preserve">utilisation </w:t>
      </w:r>
      <w:r w:rsidRPr="008725ED">
        <w:rPr>
          <w:snapToGrid w:val="0"/>
          <w:lang w:val="fr-FR" w:eastAsia="ja-JP"/>
        </w:rPr>
        <w:t>des techniques moléculaire dans l</w:t>
      </w:r>
      <w:r w:rsidR="00EF1779" w:rsidRPr="008725ED">
        <w:rPr>
          <w:snapToGrid w:val="0"/>
          <w:lang w:val="fr-FR" w:eastAsia="ja-JP"/>
        </w:rPr>
        <w:t>’</w:t>
      </w:r>
      <w:r w:rsidRPr="008725ED">
        <w:rPr>
          <w:snapToGrid w:val="0"/>
          <w:lang w:val="fr-FR" w:eastAsia="ja-JP"/>
        </w:rPr>
        <w:t>examen DHS.</w:t>
      </w:r>
    </w:p>
    <w:p w:rsidR="008C3126" w:rsidRPr="008725ED" w:rsidRDefault="008C3126" w:rsidP="00D87DB7">
      <w:pPr>
        <w:rPr>
          <w:snapToGrid w:val="0"/>
          <w:lang w:val="fr-FR" w:eastAsia="ja-JP"/>
        </w:rPr>
      </w:pPr>
    </w:p>
    <w:p w:rsidR="008C3126" w:rsidRPr="008725ED" w:rsidRDefault="00D87DB7" w:rsidP="00D87DB7">
      <w:pPr>
        <w:rPr>
          <w:snapToGrid w:val="0"/>
          <w:lang w:val="fr-FR" w:eastAsia="ja-JP"/>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r>
      <w:r w:rsidRPr="008725ED">
        <w:rPr>
          <w:snapToGrid w:val="0"/>
          <w:lang w:val="fr-FR" w:eastAsia="ja-JP"/>
        </w:rPr>
        <w:t>Le</w:t>
      </w:r>
      <w:r w:rsidR="00EF1779" w:rsidRPr="008725ED">
        <w:rPr>
          <w:snapToGrid w:val="0"/>
          <w:lang w:val="fr-FR" w:eastAsia="ja-JP"/>
        </w:rPr>
        <w:t> TC</w:t>
      </w:r>
      <w:r w:rsidRPr="008725ED">
        <w:rPr>
          <w:snapToGrid w:val="0"/>
          <w:lang w:val="fr-FR" w:eastAsia="ja-JP"/>
        </w:rPr>
        <w:t xml:space="preserve"> </w:t>
      </w:r>
      <w:r w:rsidR="00344B0C" w:rsidRPr="008725ED">
        <w:rPr>
          <w:snapToGrid w:val="0"/>
          <w:lang w:val="fr-FR" w:eastAsia="ja-JP"/>
        </w:rPr>
        <w:t xml:space="preserve">a indiqué </w:t>
      </w:r>
      <w:r w:rsidRPr="008725ED">
        <w:rPr>
          <w:snapToGrid w:val="0"/>
          <w:lang w:val="fr-FR" w:eastAsia="ja-JP"/>
        </w:rPr>
        <w:t xml:space="preserve">que les groupes </w:t>
      </w:r>
      <w:r w:rsidR="0091609B" w:rsidRPr="008725ED">
        <w:rPr>
          <w:snapToGrid w:val="0"/>
          <w:lang w:val="fr-FR" w:eastAsia="ja-JP"/>
        </w:rPr>
        <w:t>de travail techniques se réuniraie</w:t>
      </w:r>
      <w:r w:rsidRPr="008725ED">
        <w:rPr>
          <w:snapToGrid w:val="0"/>
          <w:lang w:val="fr-FR" w:eastAsia="ja-JP"/>
        </w:rPr>
        <w:t xml:space="preserve">nt deux fois avant la </w:t>
      </w:r>
      <w:r w:rsidR="0091609B" w:rsidRPr="008725ED">
        <w:rPr>
          <w:snapToGrid w:val="0"/>
          <w:lang w:val="fr-FR" w:eastAsia="ja-JP"/>
        </w:rPr>
        <w:t>session de 2018 du</w:t>
      </w:r>
      <w:r w:rsidR="00EF1779" w:rsidRPr="008725ED">
        <w:rPr>
          <w:snapToGrid w:val="0"/>
          <w:lang w:val="fr-FR" w:eastAsia="ja-JP"/>
        </w:rPr>
        <w:t> TC</w:t>
      </w:r>
      <w:r w:rsidR="0091609B" w:rsidRPr="008725ED">
        <w:rPr>
          <w:snapToGrid w:val="0"/>
          <w:lang w:val="fr-FR" w:eastAsia="ja-JP"/>
        </w:rPr>
        <w:t>, qui pouv</w:t>
      </w:r>
      <w:r w:rsidRPr="008725ED">
        <w:rPr>
          <w:snapToGrid w:val="0"/>
          <w:lang w:val="fr-FR" w:eastAsia="ja-JP"/>
        </w:rPr>
        <w:t>ait aboutir à une réduction du nombre de questions à examin</w:t>
      </w:r>
      <w:r w:rsidR="00D43219" w:rsidRPr="008725ED">
        <w:rPr>
          <w:snapToGrid w:val="0"/>
          <w:lang w:val="fr-FR" w:eastAsia="ja-JP"/>
        </w:rPr>
        <w:t>er.  Le</w:t>
      </w:r>
      <w:r w:rsidR="00EF1779" w:rsidRPr="008725ED">
        <w:rPr>
          <w:snapToGrid w:val="0"/>
          <w:lang w:val="fr-FR" w:eastAsia="ja-JP"/>
        </w:rPr>
        <w:t> TC</w:t>
      </w:r>
      <w:r w:rsidRPr="008725ED">
        <w:rPr>
          <w:snapToGrid w:val="0"/>
          <w:lang w:val="fr-FR" w:eastAsia="ja-JP"/>
        </w:rPr>
        <w:t xml:space="preserve"> </w:t>
      </w:r>
      <w:r w:rsidR="00344B0C" w:rsidRPr="008725ED">
        <w:rPr>
          <w:snapToGrid w:val="0"/>
          <w:lang w:val="fr-FR" w:eastAsia="ja-JP"/>
        </w:rPr>
        <w:t>est convenu</w:t>
      </w:r>
      <w:r w:rsidRPr="008725ED">
        <w:rPr>
          <w:snapToGrid w:val="0"/>
          <w:lang w:val="fr-FR" w:eastAsia="ja-JP"/>
        </w:rPr>
        <w:t xml:space="preserve"> que les ateliers préparatoires de 2018 </w:t>
      </w:r>
      <w:r w:rsidR="0091609B" w:rsidRPr="008725ED">
        <w:rPr>
          <w:snapToGrid w:val="0"/>
          <w:lang w:val="fr-FR" w:eastAsia="ja-JP"/>
        </w:rPr>
        <w:t>devaient</w:t>
      </w:r>
      <w:r w:rsidRPr="008725ED">
        <w:rPr>
          <w:snapToGrid w:val="0"/>
          <w:lang w:val="fr-FR" w:eastAsia="ja-JP"/>
        </w:rPr>
        <w:t xml:space="preserve"> se tenir le lundi/mardi de la session des groupes de travail technique afin d</w:t>
      </w:r>
      <w:r w:rsidR="00EF1779" w:rsidRPr="008725ED">
        <w:rPr>
          <w:snapToGrid w:val="0"/>
          <w:lang w:val="fr-FR" w:eastAsia="ja-JP"/>
        </w:rPr>
        <w:t>’</w:t>
      </w:r>
      <w:r w:rsidRPr="008725ED">
        <w:rPr>
          <w:snapToGrid w:val="0"/>
          <w:lang w:val="fr-FR" w:eastAsia="ja-JP"/>
        </w:rPr>
        <w:t>encourager la participation de tous les participants aux TWP.</w:t>
      </w:r>
    </w:p>
    <w:p w:rsidR="008C3126" w:rsidRPr="008725ED" w:rsidRDefault="008C3126" w:rsidP="00D87DB7">
      <w:pPr>
        <w:rPr>
          <w:snapToGrid w:val="0"/>
          <w:lang w:val="fr-FR" w:eastAsia="ja-JP"/>
        </w:rPr>
      </w:pPr>
    </w:p>
    <w:p w:rsidR="008C3126" w:rsidRPr="008725ED" w:rsidRDefault="00D87DB7" w:rsidP="00D87DB7">
      <w:pPr>
        <w:rPr>
          <w:snapToGrid w:val="0"/>
          <w:lang w:val="fr-FR" w:eastAsia="ja-JP"/>
        </w:rPr>
      </w:pPr>
      <w:r w:rsidRPr="008725ED">
        <w:rPr>
          <w:snapToGrid w:val="0"/>
          <w:lang w:val="fr-FR" w:eastAsia="ja-JP"/>
        </w:rPr>
        <w:fldChar w:fldCharType="begin"/>
      </w:r>
      <w:r w:rsidRPr="008725ED">
        <w:rPr>
          <w:snapToGrid w:val="0"/>
          <w:lang w:val="fr-FR" w:eastAsia="ja-JP"/>
        </w:rPr>
        <w:instrText xml:space="preserve"> AUTONUM  </w:instrText>
      </w:r>
      <w:r w:rsidRPr="008725ED">
        <w:rPr>
          <w:snapToGrid w:val="0"/>
          <w:lang w:val="fr-FR" w:eastAsia="ja-JP"/>
        </w:rPr>
        <w:fldChar w:fldCharType="end"/>
      </w:r>
      <w:r w:rsidRPr="008725ED">
        <w:rPr>
          <w:snapToGrid w:val="0"/>
          <w:lang w:val="fr-FR" w:eastAsia="ja-JP"/>
        </w:rPr>
        <w:tab/>
        <w:t>Le</w:t>
      </w:r>
      <w:r w:rsidR="00EF1779" w:rsidRPr="008725ED">
        <w:rPr>
          <w:snapToGrid w:val="0"/>
          <w:lang w:val="fr-FR" w:eastAsia="ja-JP"/>
        </w:rPr>
        <w:t> TC</w:t>
      </w:r>
      <w:r w:rsidRPr="008725ED">
        <w:rPr>
          <w:snapToGrid w:val="0"/>
          <w:lang w:val="fr-FR" w:eastAsia="ja-JP"/>
        </w:rPr>
        <w:t xml:space="preserve"> </w:t>
      </w:r>
      <w:r w:rsidR="00344B0C" w:rsidRPr="008725ED">
        <w:rPr>
          <w:snapToGrid w:val="0"/>
          <w:lang w:val="fr-FR" w:eastAsia="ja-JP"/>
        </w:rPr>
        <w:t>est convenu</w:t>
      </w:r>
      <w:r w:rsidRPr="008725ED">
        <w:rPr>
          <w:snapToGrid w:val="0"/>
          <w:lang w:val="fr-FR" w:eastAsia="ja-JP"/>
        </w:rPr>
        <w:t xml:space="preserve"> que les exercices prévus pour les ateliers préparatoires dev</w:t>
      </w:r>
      <w:r w:rsidR="0091609B" w:rsidRPr="008725ED">
        <w:rPr>
          <w:snapToGrid w:val="0"/>
          <w:lang w:val="fr-FR" w:eastAsia="ja-JP"/>
        </w:rPr>
        <w:t>aie</w:t>
      </w:r>
      <w:r w:rsidRPr="008725ED">
        <w:rPr>
          <w:snapToGrid w:val="0"/>
          <w:lang w:val="fr-FR" w:eastAsia="ja-JP"/>
        </w:rPr>
        <w:t xml:space="preserve">nt être renouvelés et </w:t>
      </w:r>
      <w:r w:rsidR="0091609B" w:rsidRPr="008725ED">
        <w:rPr>
          <w:snapToGrid w:val="0"/>
          <w:lang w:val="fr-FR" w:eastAsia="ja-JP"/>
        </w:rPr>
        <w:t>a invité</w:t>
      </w:r>
      <w:r w:rsidRPr="008725ED">
        <w:rPr>
          <w:snapToGrid w:val="0"/>
          <w:lang w:val="fr-FR" w:eastAsia="ja-JP"/>
        </w:rPr>
        <w:t xml:space="preserve"> les membres de l</w:t>
      </w:r>
      <w:r w:rsidR="00EF1779" w:rsidRPr="008725ED">
        <w:rPr>
          <w:snapToGrid w:val="0"/>
          <w:lang w:val="fr-FR" w:eastAsia="ja-JP"/>
        </w:rPr>
        <w:t>’</w:t>
      </w:r>
      <w:r w:rsidRPr="008725ED">
        <w:rPr>
          <w:snapToGrid w:val="0"/>
          <w:lang w:val="fr-FR" w:eastAsia="ja-JP"/>
        </w:rPr>
        <w:t>Union à faire des suggestions sur les questions ayant un intérêt particulier qui seront traitées dans les exercices.</w:t>
      </w:r>
    </w:p>
    <w:p w:rsidR="008C3126" w:rsidRPr="008725ED" w:rsidRDefault="008C3126" w:rsidP="00D87DB7">
      <w:pPr>
        <w:rPr>
          <w:lang w:val="fr-FR"/>
        </w:rPr>
      </w:pPr>
    </w:p>
    <w:p w:rsidR="008C3126" w:rsidRPr="008725ED" w:rsidRDefault="008C3126" w:rsidP="00D87DB7">
      <w:pPr>
        <w:ind w:left="567" w:hanging="567"/>
        <w:rPr>
          <w:rFonts w:cs="Arial"/>
          <w:snapToGrid w:val="0"/>
          <w:lang w:val="fr-FR"/>
        </w:rPr>
      </w:pPr>
    </w:p>
    <w:p w:rsidR="008C3126" w:rsidRPr="008725ED" w:rsidRDefault="00D87DB7" w:rsidP="00D87DB7">
      <w:pPr>
        <w:pStyle w:val="Heading2"/>
        <w:rPr>
          <w:lang w:val="fr-FR"/>
        </w:rPr>
      </w:pPr>
      <w:bookmarkStart w:id="29" w:name="_Toc494207967"/>
      <w:r w:rsidRPr="008725ED">
        <w:rPr>
          <w:lang w:val="fr-FR"/>
        </w:rPr>
        <w:t>Modèle de principes directeurs d</w:t>
      </w:r>
      <w:r w:rsidR="00EF1779" w:rsidRPr="008725ED">
        <w:rPr>
          <w:lang w:val="fr-FR"/>
        </w:rPr>
        <w:t>’</w:t>
      </w:r>
      <w:r w:rsidRPr="008725ED">
        <w:rPr>
          <w:lang w:val="fr-FR"/>
        </w:rPr>
        <w:t>examen fondé sur le Web</w:t>
      </w:r>
      <w:bookmarkEnd w:id="29"/>
    </w:p>
    <w:p w:rsidR="008C3126" w:rsidRPr="008725ED" w:rsidRDefault="008C3126" w:rsidP="005E033E">
      <w:pPr>
        <w:keepNext/>
        <w:ind w:left="567" w:hanging="567"/>
        <w:rPr>
          <w:rFonts w:cs="Arial"/>
          <w:snapToGrid w:val="0"/>
          <w:lang w:val="fr-FR"/>
        </w:rPr>
      </w:pPr>
    </w:p>
    <w:p w:rsidR="008C3126" w:rsidRPr="008725ED" w:rsidRDefault="00D87DB7" w:rsidP="005E033E">
      <w:pPr>
        <w:keepNext/>
        <w:rPr>
          <w:snapToGrid w:val="0"/>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examiné </w:t>
      </w:r>
      <w:r w:rsidRPr="008725ED">
        <w:rPr>
          <w:lang w:val="fr-FR"/>
        </w:rPr>
        <w:t xml:space="preserve">le </w:t>
      </w:r>
      <w:r w:rsidR="00EF1779" w:rsidRPr="008725ED">
        <w:rPr>
          <w:lang w:val="fr-FR"/>
        </w:rPr>
        <w:t>document TC</w:t>
      </w:r>
      <w:r w:rsidRPr="008725ED">
        <w:rPr>
          <w:lang w:val="fr-FR"/>
        </w:rPr>
        <w:t>/53/29.</w:t>
      </w:r>
    </w:p>
    <w:p w:rsidR="008C3126" w:rsidRPr="008725ED" w:rsidRDefault="008C3126" w:rsidP="005E033E">
      <w:pPr>
        <w:keepNext/>
        <w:ind w:left="567" w:hanging="567"/>
        <w:rPr>
          <w:rFonts w:cs="Arial"/>
          <w:snapToGrid w:val="0"/>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pris note </w:t>
      </w:r>
      <w:r w:rsidRPr="008725ED">
        <w:rPr>
          <w:lang w:val="fr-FR"/>
        </w:rPr>
        <w:t xml:space="preserve">des commentaires formulés par les groupes de travail techniques, à leurs sessions de 2016, comme indiqué aux paragraphes 7 à 17 du </w:t>
      </w:r>
      <w:r w:rsidR="00EF1779" w:rsidRPr="008725ED">
        <w:rPr>
          <w:snapToGrid w:val="0"/>
          <w:lang w:val="fr-FR"/>
        </w:rPr>
        <w:t>document TC</w:t>
      </w:r>
      <w:r w:rsidRPr="008725ED">
        <w:rPr>
          <w:snapToGrid w:val="0"/>
          <w:lang w:val="fr-FR"/>
        </w:rPr>
        <w:t>/53/29</w:t>
      </w:r>
      <w:r w:rsidRPr="008725ED">
        <w:rPr>
          <w:lang w:val="fr-FR"/>
        </w:rPr>
        <w:t>.</w:t>
      </w:r>
    </w:p>
    <w:p w:rsidR="008C3126" w:rsidRPr="008725ED" w:rsidRDefault="008C3126" w:rsidP="00D87DB7">
      <w:pPr>
        <w:rPr>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indiqué </w:t>
      </w:r>
      <w:r w:rsidRPr="008725ED">
        <w:rPr>
          <w:lang w:val="fr-FR"/>
        </w:rPr>
        <w:t>que les points ci</w:t>
      </w:r>
      <w:r w:rsidR="00EF1779" w:rsidRPr="008725ED">
        <w:rPr>
          <w:lang w:val="fr-FR"/>
        </w:rPr>
        <w:t>-</w:t>
      </w:r>
      <w:r w:rsidRPr="008725ED">
        <w:rPr>
          <w:lang w:val="fr-FR"/>
        </w:rPr>
        <w:t xml:space="preserve">après </w:t>
      </w:r>
      <w:r w:rsidR="0091609B" w:rsidRPr="008725ED">
        <w:rPr>
          <w:lang w:val="fr-FR"/>
        </w:rPr>
        <w:t>avaient</w:t>
      </w:r>
      <w:r w:rsidRPr="008725ED">
        <w:rPr>
          <w:lang w:val="fr-FR"/>
        </w:rPr>
        <w:t xml:space="preserve"> été résolus dans la version n° 1 du modèle de principes directeurs d</w:t>
      </w:r>
      <w:r w:rsidR="00EF1779" w:rsidRPr="008725ED">
        <w:rPr>
          <w:lang w:val="fr-FR"/>
        </w:rPr>
        <w:t>’</w:t>
      </w:r>
      <w:r w:rsidRPr="008725ED">
        <w:rPr>
          <w:lang w:val="fr-FR"/>
        </w:rPr>
        <w:t>examen fondé sur le Web</w:t>
      </w:r>
      <w:r w:rsidR="00EF1779" w:rsidRPr="008725ED">
        <w:rPr>
          <w:lang w:val="fr-FR"/>
        </w:rPr>
        <w:t> :</w:t>
      </w:r>
    </w:p>
    <w:p w:rsidR="008C3126" w:rsidRPr="008725ED" w:rsidRDefault="008C3126" w:rsidP="00D87DB7">
      <w:pPr>
        <w:rPr>
          <w:lang w:val="fr-FR"/>
        </w:rPr>
      </w:pPr>
    </w:p>
    <w:p w:rsidR="008C3126" w:rsidRPr="008725ED" w:rsidRDefault="00D87DB7" w:rsidP="00D87DB7">
      <w:pPr>
        <w:pStyle w:val="ListParagraph"/>
        <w:numPr>
          <w:ilvl w:val="0"/>
          <w:numId w:val="16"/>
        </w:numPr>
        <w:spacing w:line="240" w:lineRule="auto"/>
        <w:ind w:left="1134" w:hanging="567"/>
        <w:jc w:val="both"/>
        <w:rPr>
          <w:rFonts w:ascii="Arial" w:hAnsi="Arial" w:cs="Arial"/>
          <w:sz w:val="20"/>
          <w:szCs w:val="20"/>
          <w:lang w:val="fr-FR"/>
        </w:rPr>
      </w:pPr>
      <w:r w:rsidRPr="008725ED">
        <w:rPr>
          <w:rFonts w:ascii="Arial" w:hAnsi="Arial" w:cs="Arial"/>
          <w:sz w:val="20"/>
          <w:szCs w:val="20"/>
          <w:lang w:val="fr-FR"/>
        </w:rPr>
        <w:t>visualisation immédiate des mises à jour faites par l</w:t>
      </w:r>
      <w:r w:rsidR="00EF1779" w:rsidRPr="008725ED">
        <w:rPr>
          <w:rFonts w:ascii="Arial" w:hAnsi="Arial" w:cs="Arial"/>
          <w:sz w:val="20"/>
          <w:szCs w:val="20"/>
          <w:lang w:val="fr-FR"/>
        </w:rPr>
        <w:t>’</w:t>
      </w:r>
      <w:r w:rsidRPr="008725ED">
        <w:rPr>
          <w:rFonts w:ascii="Arial" w:hAnsi="Arial" w:cs="Arial"/>
          <w:sz w:val="20"/>
          <w:szCs w:val="20"/>
          <w:lang w:val="fr-FR"/>
        </w:rPr>
        <w:t>expert principal dans le fichier d</w:t>
      </w:r>
      <w:r w:rsidR="00EF1779" w:rsidRPr="008725ED">
        <w:rPr>
          <w:rFonts w:ascii="Arial" w:hAnsi="Arial" w:cs="Arial"/>
          <w:sz w:val="20"/>
          <w:szCs w:val="20"/>
          <w:lang w:val="fr-FR"/>
        </w:rPr>
        <w:t>’</w:t>
      </w:r>
      <w:r w:rsidRPr="008725ED">
        <w:rPr>
          <w:rFonts w:ascii="Arial" w:hAnsi="Arial" w:cs="Arial"/>
          <w:sz w:val="20"/>
          <w:szCs w:val="20"/>
          <w:lang w:val="fr-FR"/>
        </w:rPr>
        <w:t>exportation;</w:t>
      </w:r>
    </w:p>
    <w:p w:rsidR="008C3126" w:rsidRPr="008725ED" w:rsidRDefault="00D87DB7" w:rsidP="00D87DB7">
      <w:pPr>
        <w:pStyle w:val="ListParagraph"/>
        <w:numPr>
          <w:ilvl w:val="0"/>
          <w:numId w:val="16"/>
        </w:numPr>
        <w:spacing w:line="240" w:lineRule="auto"/>
        <w:ind w:left="1134" w:hanging="567"/>
        <w:jc w:val="both"/>
        <w:rPr>
          <w:rFonts w:ascii="Arial" w:hAnsi="Arial" w:cs="Arial"/>
          <w:sz w:val="20"/>
          <w:szCs w:val="20"/>
          <w:lang w:val="fr-FR"/>
        </w:rPr>
      </w:pPr>
      <w:r w:rsidRPr="008725ED">
        <w:rPr>
          <w:rFonts w:ascii="Arial" w:hAnsi="Arial" w:cs="Arial"/>
          <w:sz w:val="20"/>
          <w:szCs w:val="20"/>
          <w:lang w:val="fr-FR"/>
        </w:rPr>
        <w:t>disponibilité en ligne des didacticiels (page Web consacrée aux rédacteurs de principes directeurs d</w:t>
      </w:r>
      <w:r w:rsidR="00EF1779" w:rsidRPr="008725ED">
        <w:rPr>
          <w:rFonts w:ascii="Arial" w:hAnsi="Arial" w:cs="Arial"/>
          <w:sz w:val="20"/>
          <w:szCs w:val="20"/>
          <w:lang w:val="fr-FR"/>
        </w:rPr>
        <w:t>’</w:t>
      </w:r>
      <w:r w:rsidRPr="008725ED">
        <w:rPr>
          <w:rFonts w:ascii="Arial" w:hAnsi="Arial" w:cs="Arial"/>
          <w:sz w:val="20"/>
          <w:szCs w:val="20"/>
          <w:lang w:val="fr-FR"/>
        </w:rPr>
        <w:t>examen et modèle de principes directeurs d</w:t>
      </w:r>
      <w:r w:rsidR="00EF1779" w:rsidRPr="008725ED">
        <w:rPr>
          <w:rFonts w:ascii="Arial" w:hAnsi="Arial" w:cs="Arial"/>
          <w:sz w:val="20"/>
          <w:szCs w:val="20"/>
          <w:lang w:val="fr-FR"/>
        </w:rPr>
        <w:t>’</w:t>
      </w:r>
      <w:r w:rsidRPr="008725ED">
        <w:rPr>
          <w:rFonts w:ascii="Arial" w:hAnsi="Arial" w:cs="Arial"/>
          <w:sz w:val="20"/>
          <w:szCs w:val="20"/>
          <w:lang w:val="fr-FR"/>
        </w:rPr>
        <w:t>examen fondé sur le Web);</w:t>
      </w:r>
    </w:p>
    <w:p w:rsidR="008C3126" w:rsidRPr="008725ED" w:rsidRDefault="00D87DB7" w:rsidP="00D87DB7">
      <w:pPr>
        <w:pStyle w:val="ListParagraph"/>
        <w:numPr>
          <w:ilvl w:val="0"/>
          <w:numId w:val="16"/>
        </w:numPr>
        <w:spacing w:line="240" w:lineRule="auto"/>
        <w:ind w:left="1134" w:hanging="567"/>
        <w:jc w:val="both"/>
        <w:rPr>
          <w:rFonts w:ascii="Arial" w:hAnsi="Arial" w:cs="Arial"/>
          <w:sz w:val="20"/>
          <w:szCs w:val="20"/>
          <w:lang w:val="fr-FR"/>
        </w:rPr>
      </w:pPr>
      <w:r w:rsidRPr="008725ED">
        <w:rPr>
          <w:rFonts w:ascii="Arial" w:hAnsi="Arial" w:cs="Arial"/>
          <w:sz w:val="20"/>
          <w:szCs w:val="20"/>
          <w:lang w:val="fr-FR"/>
        </w:rPr>
        <w:t>insertion d</w:t>
      </w:r>
      <w:r w:rsidR="00EF1779" w:rsidRPr="008725ED">
        <w:rPr>
          <w:rFonts w:ascii="Arial" w:hAnsi="Arial" w:cs="Arial"/>
          <w:sz w:val="20"/>
          <w:szCs w:val="20"/>
          <w:lang w:val="fr-FR"/>
        </w:rPr>
        <w:t>’</w:t>
      </w:r>
      <w:r w:rsidRPr="008725ED">
        <w:rPr>
          <w:rFonts w:ascii="Arial" w:hAnsi="Arial" w:cs="Arial"/>
          <w:sz w:val="20"/>
          <w:szCs w:val="20"/>
          <w:lang w:val="fr-FR"/>
        </w:rPr>
        <w:t>observations formulées par un expert intéressé sans que le texte précédemment rédigé soit remplacé;</w:t>
      </w:r>
    </w:p>
    <w:p w:rsidR="008C3126" w:rsidRPr="008725ED" w:rsidRDefault="00D87DB7" w:rsidP="00D87DB7">
      <w:pPr>
        <w:pStyle w:val="ListParagraph"/>
        <w:numPr>
          <w:ilvl w:val="0"/>
          <w:numId w:val="16"/>
        </w:numPr>
        <w:spacing w:line="240" w:lineRule="auto"/>
        <w:ind w:left="1134" w:hanging="567"/>
        <w:jc w:val="both"/>
        <w:rPr>
          <w:rFonts w:ascii="Arial" w:hAnsi="Arial" w:cs="Arial"/>
          <w:sz w:val="20"/>
          <w:szCs w:val="20"/>
          <w:lang w:val="fr-FR"/>
        </w:rPr>
      </w:pPr>
      <w:r w:rsidRPr="008725ED">
        <w:rPr>
          <w:rFonts w:ascii="Arial" w:hAnsi="Arial" w:cs="Arial"/>
          <w:sz w:val="20"/>
          <w:szCs w:val="20"/>
          <w:lang w:val="fr-FR"/>
        </w:rPr>
        <w:t>message de confirmation lorsque des observations formulées par un expert intéressé ont été insérées avec succès;</w:t>
      </w:r>
    </w:p>
    <w:p w:rsidR="008C3126" w:rsidRPr="008725ED" w:rsidRDefault="00D87DB7" w:rsidP="00D87DB7">
      <w:pPr>
        <w:pStyle w:val="ListParagraph"/>
        <w:numPr>
          <w:ilvl w:val="0"/>
          <w:numId w:val="16"/>
        </w:numPr>
        <w:spacing w:after="0" w:line="240" w:lineRule="auto"/>
        <w:ind w:left="1134" w:hanging="567"/>
        <w:jc w:val="both"/>
        <w:rPr>
          <w:rFonts w:ascii="Arial" w:hAnsi="Arial" w:cs="Arial"/>
          <w:sz w:val="20"/>
          <w:szCs w:val="20"/>
          <w:lang w:val="fr-FR"/>
        </w:rPr>
      </w:pPr>
      <w:r w:rsidRPr="008725ED">
        <w:rPr>
          <w:rFonts w:ascii="Arial" w:hAnsi="Arial" w:cs="Arial"/>
          <w:sz w:val="20"/>
          <w:szCs w:val="20"/>
          <w:lang w:val="fr-FR"/>
        </w:rPr>
        <w:t>ajout d</w:t>
      </w:r>
      <w:r w:rsidR="00EF1779" w:rsidRPr="008725ED">
        <w:rPr>
          <w:rFonts w:ascii="Arial" w:hAnsi="Arial" w:cs="Arial"/>
          <w:sz w:val="20"/>
          <w:szCs w:val="20"/>
          <w:lang w:val="fr-FR"/>
        </w:rPr>
        <w:t>’</w:t>
      </w:r>
      <w:r w:rsidRPr="008725ED">
        <w:rPr>
          <w:rFonts w:ascii="Arial" w:hAnsi="Arial" w:cs="Arial"/>
          <w:sz w:val="20"/>
          <w:szCs w:val="20"/>
          <w:lang w:val="fr-FR"/>
        </w:rPr>
        <w:t>une zone de texte libre pour le texte concernant le “matériel végétal à fournir” (par exemple “Le matériel doit être fourni sous forme de cormes capables de produire des plantes pour montrer tous les caractères durant la première année d</w:t>
      </w:r>
      <w:r w:rsidR="00EF1779" w:rsidRPr="008725ED">
        <w:rPr>
          <w:rFonts w:ascii="Arial" w:hAnsi="Arial" w:cs="Arial"/>
          <w:sz w:val="20"/>
          <w:szCs w:val="20"/>
          <w:lang w:val="fr-FR"/>
        </w:rPr>
        <w:t>’</w:t>
      </w:r>
      <w:r w:rsidRPr="008725ED">
        <w:rPr>
          <w:rFonts w:ascii="Arial" w:hAnsi="Arial" w:cs="Arial"/>
          <w:sz w:val="20"/>
          <w:szCs w:val="20"/>
          <w:lang w:val="fr-FR"/>
        </w:rPr>
        <w:t>examen.”).</w:t>
      </w:r>
    </w:p>
    <w:p w:rsidR="008C3126" w:rsidRPr="008725ED" w:rsidRDefault="008C3126" w:rsidP="00D87DB7">
      <w:pPr>
        <w:rPr>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indiqué </w:t>
      </w:r>
      <w:r w:rsidRPr="008725ED">
        <w:rPr>
          <w:lang w:val="fr-FR"/>
        </w:rPr>
        <w:t>qu</w:t>
      </w:r>
      <w:r w:rsidR="00EF1779" w:rsidRPr="008725ED">
        <w:rPr>
          <w:lang w:val="fr-FR"/>
        </w:rPr>
        <w:t>’</w:t>
      </w:r>
      <w:r w:rsidRPr="008725ED">
        <w:rPr>
          <w:lang w:val="fr-FR"/>
        </w:rPr>
        <w:t xml:space="preserve">une révision générale du code logiciel </w:t>
      </w:r>
      <w:r w:rsidR="0091609B" w:rsidRPr="008725ED">
        <w:rPr>
          <w:lang w:val="fr-FR"/>
        </w:rPr>
        <w:t>était</w:t>
      </w:r>
      <w:r w:rsidRPr="008725ED">
        <w:rPr>
          <w:lang w:val="fr-FR"/>
        </w:rPr>
        <w:t xml:space="preserve"> en cours afin d</w:t>
      </w:r>
      <w:r w:rsidR="00EF1779" w:rsidRPr="008725ED">
        <w:rPr>
          <w:lang w:val="fr-FR"/>
        </w:rPr>
        <w:t>’</w:t>
      </w:r>
      <w:r w:rsidRPr="008725ED">
        <w:rPr>
          <w:lang w:val="fr-FR"/>
        </w:rPr>
        <w:t>éliminer les derniers dysfonctionnements rapportés et de stabiliser le systè</w:t>
      </w:r>
      <w:r w:rsidR="00D43219" w:rsidRPr="008725ED">
        <w:rPr>
          <w:lang w:val="fr-FR"/>
        </w:rPr>
        <w:t>me.  Le</w:t>
      </w:r>
      <w:r w:rsidR="00EF1779" w:rsidRPr="008725ED">
        <w:rPr>
          <w:lang w:val="fr-FR"/>
        </w:rPr>
        <w:t> TC</w:t>
      </w:r>
      <w:r w:rsidRPr="008725ED">
        <w:rPr>
          <w:lang w:val="fr-FR"/>
        </w:rPr>
        <w:t xml:space="preserve"> </w:t>
      </w:r>
      <w:r w:rsidR="00344B0C" w:rsidRPr="008725ED">
        <w:rPr>
          <w:lang w:val="fr-FR"/>
        </w:rPr>
        <w:t xml:space="preserve">a indiqué </w:t>
      </w:r>
      <w:r w:rsidRPr="008725ED">
        <w:rPr>
          <w:lang w:val="fr-FR"/>
        </w:rPr>
        <w:t>que le Bureau de l</w:t>
      </w:r>
      <w:r w:rsidR="00EF1779" w:rsidRPr="008725ED">
        <w:rPr>
          <w:lang w:val="fr-FR"/>
        </w:rPr>
        <w:t>’</w:t>
      </w:r>
      <w:r w:rsidRPr="008725ED">
        <w:rPr>
          <w:lang w:val="fr-FR"/>
        </w:rPr>
        <w:t>Union a</w:t>
      </w:r>
      <w:r w:rsidR="0091609B" w:rsidRPr="008725ED">
        <w:rPr>
          <w:lang w:val="fr-FR"/>
        </w:rPr>
        <w:t>vait</w:t>
      </w:r>
      <w:r w:rsidRPr="008725ED">
        <w:rPr>
          <w:lang w:val="fr-FR"/>
        </w:rPr>
        <w:t xml:space="preserve"> créé une interface pour les traducteurs pour l</w:t>
      </w:r>
      <w:r w:rsidR="00EF1779" w:rsidRPr="008725ED">
        <w:rPr>
          <w:lang w:val="fr-FR"/>
        </w:rPr>
        <w:t>’</w:t>
      </w:r>
      <w:r w:rsidRPr="008725ED">
        <w:rPr>
          <w:lang w:val="fr-FR"/>
        </w:rPr>
        <w:t>établissement des principes directeurs d</w:t>
      </w:r>
      <w:r w:rsidR="00EF1779" w:rsidRPr="008725ED">
        <w:rPr>
          <w:lang w:val="fr-FR"/>
        </w:rPr>
        <w:t>’</w:t>
      </w:r>
      <w:r w:rsidRPr="008725ED">
        <w:rPr>
          <w:lang w:val="fr-FR"/>
        </w:rPr>
        <w:t>examen dans les langues officielles de l</w:t>
      </w:r>
      <w:r w:rsidR="00EF1779" w:rsidRPr="008725ED">
        <w:rPr>
          <w:lang w:val="fr-FR"/>
        </w:rPr>
        <w:t>’</w:t>
      </w:r>
      <w:r w:rsidRPr="008725ED">
        <w:rPr>
          <w:lang w:val="fr-FR"/>
        </w:rPr>
        <w:t>UPOV mais que des améliorations supplémentaires dev</w:t>
      </w:r>
      <w:r w:rsidR="0091609B" w:rsidRPr="008725ED">
        <w:rPr>
          <w:lang w:val="fr-FR"/>
        </w:rPr>
        <w:t>aie</w:t>
      </w:r>
      <w:r w:rsidRPr="008725ED">
        <w:rPr>
          <w:lang w:val="fr-FR"/>
        </w:rPr>
        <w:t>nt être apportées à l</w:t>
      </w:r>
      <w:r w:rsidR="00EF1779" w:rsidRPr="008725ED">
        <w:rPr>
          <w:lang w:val="fr-FR"/>
        </w:rPr>
        <w:t>’</w:t>
      </w:r>
      <w:r w:rsidRPr="008725ED">
        <w:rPr>
          <w:lang w:val="fr-FR"/>
        </w:rPr>
        <w:t>interface avant qu</w:t>
      </w:r>
      <w:r w:rsidR="00EF1779" w:rsidRPr="008725ED">
        <w:rPr>
          <w:lang w:val="fr-FR"/>
        </w:rPr>
        <w:t>’</w:t>
      </w:r>
      <w:r w:rsidRPr="008725ED">
        <w:rPr>
          <w:lang w:val="fr-FR"/>
        </w:rPr>
        <w:t>elle puisse être utilisée efficacement par les traducteurs.</w:t>
      </w:r>
    </w:p>
    <w:p w:rsidR="008C3126" w:rsidRPr="008725ED" w:rsidRDefault="008C3126" w:rsidP="00D87DB7">
      <w:pPr>
        <w:tabs>
          <w:tab w:val="left" w:pos="2321"/>
        </w:tabs>
        <w:rPr>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rappelé </w:t>
      </w:r>
      <w:r w:rsidRPr="008725ED">
        <w:rPr>
          <w:lang w:val="fr-FR"/>
        </w:rPr>
        <w:t>que l</w:t>
      </w:r>
      <w:r w:rsidR="00EF1779" w:rsidRPr="008725ED">
        <w:rPr>
          <w:lang w:val="fr-FR"/>
        </w:rPr>
        <w:t>’</w:t>
      </w:r>
      <w:r w:rsidRPr="008725ED">
        <w:rPr>
          <w:lang w:val="fr-FR"/>
        </w:rPr>
        <w:t>élaboration de la version n° 2 du modèle de principes directeurs d</w:t>
      </w:r>
      <w:r w:rsidR="00EF1779" w:rsidRPr="008725ED">
        <w:rPr>
          <w:lang w:val="fr-FR"/>
        </w:rPr>
        <w:t>’</w:t>
      </w:r>
      <w:r w:rsidRPr="008725ED">
        <w:rPr>
          <w:lang w:val="fr-FR"/>
        </w:rPr>
        <w:t>examen fondé sur le Web ne commencera</w:t>
      </w:r>
      <w:r w:rsidR="0091609B" w:rsidRPr="008725ED">
        <w:rPr>
          <w:lang w:val="fr-FR"/>
        </w:rPr>
        <w:t>it</w:t>
      </w:r>
      <w:r w:rsidRPr="008725ED">
        <w:rPr>
          <w:lang w:val="fr-FR"/>
        </w:rPr>
        <w:t xml:space="preserve"> pas avant 2018, sous réserve de ressources disponibles, une fois que la version n° 1 aura</w:t>
      </w:r>
      <w:r w:rsidR="0091609B" w:rsidRPr="008725ED">
        <w:rPr>
          <w:lang w:val="fr-FR"/>
        </w:rPr>
        <w:t>it</w:t>
      </w:r>
      <w:r w:rsidRPr="008725ED">
        <w:rPr>
          <w:lang w:val="fr-FR"/>
        </w:rPr>
        <w:t xml:space="preserve"> été entièrement stabilisée et testée.</w:t>
      </w:r>
    </w:p>
    <w:p w:rsidR="008C3126" w:rsidRPr="008725ED" w:rsidRDefault="008C3126" w:rsidP="00D87DB7">
      <w:pPr>
        <w:rPr>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indiqué </w:t>
      </w:r>
      <w:r w:rsidR="0091609B" w:rsidRPr="008725ED">
        <w:rPr>
          <w:lang w:val="fr-FR"/>
        </w:rPr>
        <w:t>que les questions ci</w:t>
      </w:r>
      <w:r w:rsidR="00EF1779" w:rsidRPr="008725ED">
        <w:rPr>
          <w:lang w:val="fr-FR"/>
        </w:rPr>
        <w:t>-</w:t>
      </w:r>
      <w:r w:rsidR="0091609B" w:rsidRPr="008725ED">
        <w:rPr>
          <w:lang w:val="fr-FR"/>
        </w:rPr>
        <w:t>après seraie</w:t>
      </w:r>
      <w:r w:rsidRPr="008725ED">
        <w:rPr>
          <w:lang w:val="fr-FR"/>
        </w:rPr>
        <w:t>nt examinées aux fins de leur inclusion dans la version n° 2 du modèle de principes directeurs d</w:t>
      </w:r>
      <w:r w:rsidR="00EF1779" w:rsidRPr="008725ED">
        <w:rPr>
          <w:lang w:val="fr-FR"/>
        </w:rPr>
        <w:t>’</w:t>
      </w:r>
      <w:r w:rsidRPr="008725ED">
        <w:rPr>
          <w:lang w:val="fr-FR"/>
        </w:rPr>
        <w:t xml:space="preserve">examen fondé sur le Web, comme indiqué aux paragraphes 21 et 22 du </w:t>
      </w:r>
      <w:r w:rsidR="00EF1779" w:rsidRPr="008725ED">
        <w:rPr>
          <w:snapToGrid w:val="0"/>
          <w:lang w:val="fr-FR"/>
        </w:rPr>
        <w:t>document TC</w:t>
      </w:r>
      <w:r w:rsidRPr="008725ED">
        <w:rPr>
          <w:snapToGrid w:val="0"/>
          <w:lang w:val="fr-FR"/>
        </w:rPr>
        <w:t>/53/29</w:t>
      </w:r>
      <w:r w:rsidR="00EF1779" w:rsidRPr="008725ED">
        <w:rPr>
          <w:snapToGrid w:val="0"/>
          <w:lang w:val="fr-FR"/>
        </w:rPr>
        <w:t> :</w:t>
      </w:r>
    </w:p>
    <w:p w:rsidR="008C3126" w:rsidRPr="008725ED" w:rsidRDefault="008C3126" w:rsidP="00D87DB7">
      <w:pPr>
        <w:rPr>
          <w:sz w:val="16"/>
          <w:lang w:val="fr-FR"/>
        </w:rPr>
      </w:pPr>
    </w:p>
    <w:p w:rsidR="008C3126" w:rsidRPr="008725ED" w:rsidRDefault="00D87DB7" w:rsidP="00D87DB7">
      <w:pPr>
        <w:pStyle w:val="ListParagraph"/>
        <w:numPr>
          <w:ilvl w:val="0"/>
          <w:numId w:val="16"/>
        </w:numPr>
        <w:spacing w:line="240" w:lineRule="auto"/>
        <w:ind w:left="1134" w:hanging="567"/>
        <w:jc w:val="both"/>
        <w:rPr>
          <w:rFonts w:ascii="Arial" w:hAnsi="Arial" w:cs="Arial"/>
          <w:sz w:val="20"/>
          <w:szCs w:val="20"/>
          <w:lang w:val="fr-FR"/>
        </w:rPr>
      </w:pPr>
      <w:r w:rsidRPr="008725ED">
        <w:rPr>
          <w:rFonts w:ascii="Arial" w:hAnsi="Arial" w:cs="Arial"/>
          <w:sz w:val="20"/>
          <w:szCs w:val="20"/>
          <w:lang w:val="fr-FR"/>
        </w:rPr>
        <w:t>ajout, dans les documents exportés, d</w:t>
      </w:r>
      <w:r w:rsidR="00EF1779" w:rsidRPr="008725ED">
        <w:rPr>
          <w:rFonts w:ascii="Arial" w:hAnsi="Arial" w:cs="Arial"/>
          <w:sz w:val="20"/>
          <w:szCs w:val="20"/>
          <w:lang w:val="fr-FR"/>
        </w:rPr>
        <w:t>’</w:t>
      </w:r>
      <w:r w:rsidRPr="008725ED">
        <w:rPr>
          <w:rFonts w:ascii="Arial" w:hAnsi="Arial" w:cs="Arial"/>
          <w:sz w:val="20"/>
          <w:szCs w:val="20"/>
          <w:lang w:val="fr-FR"/>
        </w:rPr>
        <w:t>hyperliens pointant vers les symboles indiquant qu</w:t>
      </w:r>
      <w:r w:rsidR="00EF1779" w:rsidRPr="008725ED">
        <w:rPr>
          <w:rFonts w:ascii="Arial" w:hAnsi="Arial" w:cs="Arial"/>
          <w:sz w:val="20"/>
          <w:szCs w:val="20"/>
          <w:lang w:val="fr-FR"/>
        </w:rPr>
        <w:t>’</w:t>
      </w:r>
      <w:r w:rsidRPr="008725ED">
        <w:rPr>
          <w:rFonts w:ascii="Arial" w:hAnsi="Arial" w:cs="Arial"/>
          <w:sz w:val="20"/>
          <w:szCs w:val="20"/>
          <w:lang w:val="fr-FR"/>
        </w:rPr>
        <w:t>un caractère est accompagné d</w:t>
      </w:r>
      <w:r w:rsidR="00EF1779" w:rsidRPr="008725ED">
        <w:rPr>
          <w:rFonts w:ascii="Arial" w:hAnsi="Arial" w:cs="Arial"/>
          <w:sz w:val="20"/>
          <w:szCs w:val="20"/>
          <w:lang w:val="fr-FR"/>
        </w:rPr>
        <w:t>’</w:t>
      </w:r>
      <w:r w:rsidRPr="008725ED">
        <w:rPr>
          <w:rFonts w:ascii="Arial" w:hAnsi="Arial" w:cs="Arial"/>
          <w:sz w:val="20"/>
          <w:szCs w:val="20"/>
          <w:lang w:val="fr-FR"/>
        </w:rPr>
        <w:t>explications couvrant un caractère individuel ou plusieurs caractères dans le tableau des caractères afin de faciliter la navigation dans le document;</w:t>
      </w:r>
    </w:p>
    <w:p w:rsidR="008C3126" w:rsidRPr="008725ED" w:rsidRDefault="00D87DB7" w:rsidP="00D87DB7">
      <w:pPr>
        <w:pStyle w:val="ListParagraph"/>
        <w:numPr>
          <w:ilvl w:val="0"/>
          <w:numId w:val="16"/>
        </w:numPr>
        <w:spacing w:line="240" w:lineRule="auto"/>
        <w:ind w:left="1134" w:hanging="567"/>
        <w:jc w:val="both"/>
        <w:rPr>
          <w:rFonts w:ascii="Arial" w:hAnsi="Arial" w:cs="Arial"/>
          <w:sz w:val="20"/>
          <w:szCs w:val="20"/>
          <w:lang w:val="fr-FR"/>
        </w:rPr>
      </w:pPr>
      <w:r w:rsidRPr="008725ED">
        <w:rPr>
          <w:rFonts w:ascii="Arial" w:hAnsi="Arial" w:cs="Arial"/>
          <w:sz w:val="20"/>
          <w:szCs w:val="20"/>
          <w:lang w:val="fr-FR"/>
        </w:rPr>
        <w:t>possibilité d</w:t>
      </w:r>
      <w:r w:rsidR="00EF1779" w:rsidRPr="008725ED">
        <w:rPr>
          <w:rFonts w:ascii="Arial" w:hAnsi="Arial" w:cs="Arial"/>
          <w:sz w:val="20"/>
          <w:szCs w:val="20"/>
          <w:lang w:val="fr-FR"/>
        </w:rPr>
        <w:t>’</w:t>
      </w:r>
      <w:r w:rsidRPr="008725ED">
        <w:rPr>
          <w:rFonts w:ascii="Arial" w:hAnsi="Arial" w:cs="Arial"/>
          <w:sz w:val="20"/>
          <w:szCs w:val="20"/>
          <w:lang w:val="fr-FR"/>
        </w:rPr>
        <w:t>afficher des tableaux de grandes dimensions en format paysage, pour les types de croissance, par exemple;</w:t>
      </w:r>
    </w:p>
    <w:p w:rsidR="008C3126" w:rsidRPr="008725ED" w:rsidRDefault="00D87DB7" w:rsidP="00D87DB7">
      <w:pPr>
        <w:pStyle w:val="ListParagraph"/>
        <w:numPr>
          <w:ilvl w:val="0"/>
          <w:numId w:val="16"/>
        </w:numPr>
        <w:spacing w:after="0" w:line="240" w:lineRule="auto"/>
        <w:ind w:left="1134" w:hanging="567"/>
        <w:jc w:val="both"/>
        <w:rPr>
          <w:rFonts w:ascii="Arial" w:hAnsi="Arial" w:cs="Arial"/>
          <w:sz w:val="20"/>
          <w:szCs w:val="20"/>
          <w:lang w:val="fr-FR"/>
        </w:rPr>
      </w:pPr>
      <w:r w:rsidRPr="008725ED">
        <w:rPr>
          <w:rFonts w:ascii="Arial" w:hAnsi="Arial" w:cs="Arial"/>
          <w:sz w:val="20"/>
          <w:szCs w:val="20"/>
          <w:lang w:val="fr-FR"/>
        </w:rPr>
        <w:t>insérer les observations formulées par le Bureau de l</w:t>
      </w:r>
      <w:r w:rsidR="00EF1779" w:rsidRPr="008725ED">
        <w:rPr>
          <w:rFonts w:ascii="Arial" w:hAnsi="Arial" w:cs="Arial"/>
          <w:sz w:val="20"/>
          <w:szCs w:val="20"/>
          <w:lang w:val="fr-FR"/>
        </w:rPr>
        <w:t>’</w:t>
      </w:r>
      <w:r w:rsidRPr="008725ED">
        <w:rPr>
          <w:rFonts w:ascii="Arial" w:hAnsi="Arial" w:cs="Arial"/>
          <w:sz w:val="20"/>
          <w:szCs w:val="20"/>
          <w:lang w:val="fr-FR"/>
        </w:rPr>
        <w:t>Union concernant les projets de principes directeurs dans le modèle de principes directeurs d</w:t>
      </w:r>
      <w:r w:rsidR="00EF1779" w:rsidRPr="008725ED">
        <w:rPr>
          <w:rFonts w:ascii="Arial" w:hAnsi="Arial" w:cs="Arial"/>
          <w:sz w:val="20"/>
          <w:szCs w:val="20"/>
          <w:lang w:val="fr-FR"/>
        </w:rPr>
        <w:t>’</w:t>
      </w:r>
      <w:r w:rsidRPr="008725ED">
        <w:rPr>
          <w:rFonts w:ascii="Arial" w:hAnsi="Arial" w:cs="Arial"/>
          <w:sz w:val="20"/>
          <w:szCs w:val="20"/>
          <w:lang w:val="fr-FR"/>
        </w:rPr>
        <w:t>examen fondé sur le Web.</w:t>
      </w:r>
    </w:p>
    <w:p w:rsidR="008C3126" w:rsidRPr="008725ED" w:rsidRDefault="008C3126" w:rsidP="00D87DB7">
      <w:pPr>
        <w:jc w:val="left"/>
        <w:rPr>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Sous réserve de la conclusion des discussions sur les modifications qu</w:t>
      </w:r>
      <w:r w:rsidR="00EF1779" w:rsidRPr="008725ED">
        <w:rPr>
          <w:lang w:val="fr-FR"/>
        </w:rPr>
        <w:t>’</w:t>
      </w:r>
      <w:r w:rsidRPr="008725ED">
        <w:rPr>
          <w:lang w:val="fr-FR"/>
        </w:rPr>
        <w:t xml:space="preserve">il </w:t>
      </w:r>
      <w:r w:rsidR="00375D7B" w:rsidRPr="008725ED">
        <w:rPr>
          <w:lang w:val="fr-FR"/>
        </w:rPr>
        <w:t>était</w:t>
      </w:r>
      <w:r w:rsidRPr="008725ED">
        <w:rPr>
          <w:lang w:val="fr-FR"/>
        </w:rPr>
        <w:t xml:space="preserve"> proposé d</w:t>
      </w:r>
      <w:r w:rsidR="00EF1779" w:rsidRPr="008725ED">
        <w:rPr>
          <w:lang w:val="fr-FR"/>
        </w:rPr>
        <w:t>’</w:t>
      </w:r>
      <w:r w:rsidRPr="008725ED">
        <w:rPr>
          <w:lang w:val="fr-FR"/>
        </w:rPr>
        <w:t>apporter au document TGP/7 “Élaboration des principes directeurs d</w:t>
      </w:r>
      <w:r w:rsidR="00EF1779" w:rsidRPr="008725ED">
        <w:rPr>
          <w:lang w:val="fr-FR"/>
        </w:rPr>
        <w:t>’</w:t>
      </w:r>
      <w:r w:rsidRPr="008725ED">
        <w:rPr>
          <w:lang w:val="fr-FR"/>
        </w:rPr>
        <w:t>examen”, des mo</w:t>
      </w:r>
      <w:r w:rsidR="0000589A" w:rsidRPr="008725ED">
        <w:rPr>
          <w:lang w:val="fr-FR"/>
        </w:rPr>
        <w:t>difications supplémentaires dev</w:t>
      </w:r>
      <w:r w:rsidR="00375D7B" w:rsidRPr="008725ED">
        <w:rPr>
          <w:lang w:val="fr-FR"/>
        </w:rPr>
        <w:t>aie</w:t>
      </w:r>
      <w:r w:rsidRPr="008725ED">
        <w:rPr>
          <w:lang w:val="fr-FR"/>
        </w:rPr>
        <w:t>nt être apportées au modèle de principes directeurs d</w:t>
      </w:r>
      <w:r w:rsidR="00EF1779" w:rsidRPr="008725ED">
        <w:rPr>
          <w:lang w:val="fr-FR"/>
        </w:rPr>
        <w:t>’</w:t>
      </w:r>
      <w:r w:rsidRPr="008725ED">
        <w:rPr>
          <w:lang w:val="fr-FR"/>
        </w:rPr>
        <w:t xml:space="preserve">examen fondé sur le Web (voir le </w:t>
      </w:r>
      <w:r w:rsidR="00EF1779" w:rsidRPr="008725ED">
        <w:rPr>
          <w:lang w:val="fr-FR"/>
        </w:rPr>
        <w:t>document TC</w:t>
      </w:r>
      <w:r w:rsidRPr="008725ED">
        <w:rPr>
          <w:lang w:val="fr-FR"/>
        </w:rPr>
        <w:t>/53/5 “TGP documents”).</w:t>
      </w:r>
    </w:p>
    <w:p w:rsidR="008C3126" w:rsidRPr="008725ED" w:rsidRDefault="008C3126" w:rsidP="00D87DB7">
      <w:pPr>
        <w:rPr>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est convenu</w:t>
      </w:r>
      <w:r w:rsidRPr="008725ED">
        <w:rPr>
          <w:lang w:val="fr-FR"/>
        </w:rPr>
        <w:t xml:space="preserve"> qu</w:t>
      </w:r>
      <w:r w:rsidR="00EF1779" w:rsidRPr="008725ED">
        <w:rPr>
          <w:lang w:val="fr-FR"/>
        </w:rPr>
        <w:t>’</w:t>
      </w:r>
      <w:r w:rsidRPr="008725ED">
        <w:rPr>
          <w:lang w:val="fr-FR"/>
        </w:rPr>
        <w:t>une formation à l</w:t>
      </w:r>
      <w:r w:rsidR="00EF1779" w:rsidRPr="008725ED">
        <w:rPr>
          <w:lang w:val="fr-FR"/>
        </w:rPr>
        <w:t>’</w:t>
      </w:r>
      <w:r w:rsidRPr="008725ED">
        <w:rPr>
          <w:lang w:val="fr-FR"/>
        </w:rPr>
        <w:t>utilisation du modèle de principes directeur</w:t>
      </w:r>
      <w:r w:rsidR="00375D7B" w:rsidRPr="008725ED">
        <w:rPr>
          <w:lang w:val="fr-FR"/>
        </w:rPr>
        <w:t>s d</w:t>
      </w:r>
      <w:r w:rsidR="00EF1779" w:rsidRPr="008725ED">
        <w:rPr>
          <w:lang w:val="fr-FR"/>
        </w:rPr>
        <w:t>’</w:t>
      </w:r>
      <w:r w:rsidR="00375D7B" w:rsidRPr="008725ED">
        <w:rPr>
          <w:lang w:val="fr-FR"/>
        </w:rPr>
        <w:t>examen fondé sur le Web dev</w:t>
      </w:r>
      <w:r w:rsidRPr="008725ED">
        <w:rPr>
          <w:lang w:val="fr-FR"/>
        </w:rPr>
        <w:t>a</w:t>
      </w:r>
      <w:r w:rsidR="00375D7B" w:rsidRPr="008725ED">
        <w:rPr>
          <w:lang w:val="fr-FR"/>
        </w:rPr>
        <w:t>it</w:t>
      </w:r>
      <w:r w:rsidRPr="008725ED">
        <w:rPr>
          <w:lang w:val="fr-FR"/>
        </w:rPr>
        <w:t xml:space="preserve"> être proposée aux groupes de travail techniques pendant les ateliers préparatoires de la session ou pendant les débats sur le point de l</w:t>
      </w:r>
      <w:r w:rsidR="00EF1779" w:rsidRPr="008725ED">
        <w:rPr>
          <w:lang w:val="fr-FR"/>
        </w:rPr>
        <w:t>’</w:t>
      </w:r>
      <w:r w:rsidRPr="008725ED">
        <w:rPr>
          <w:lang w:val="fr-FR"/>
        </w:rPr>
        <w:t>ordre du jour relatif aux orientations pour les rédacteurs de principes directeurs d</w:t>
      </w:r>
      <w:r w:rsidR="00EF1779" w:rsidRPr="008725ED">
        <w:rPr>
          <w:lang w:val="fr-FR"/>
        </w:rPr>
        <w:t>’</w:t>
      </w:r>
      <w:r w:rsidRPr="008725ED">
        <w:rPr>
          <w:lang w:val="fr-FR"/>
        </w:rPr>
        <w:t>exam</w:t>
      </w:r>
      <w:r w:rsidR="00D43219" w:rsidRPr="008725ED">
        <w:rPr>
          <w:lang w:val="fr-FR"/>
        </w:rPr>
        <w:t>en.  Le</w:t>
      </w:r>
      <w:r w:rsidR="00EF1779" w:rsidRPr="008725ED">
        <w:rPr>
          <w:lang w:val="fr-FR"/>
        </w:rPr>
        <w:t> TC</w:t>
      </w:r>
      <w:r w:rsidRPr="008725ED">
        <w:rPr>
          <w:lang w:val="fr-FR"/>
        </w:rPr>
        <w:t xml:space="preserve"> </w:t>
      </w:r>
      <w:r w:rsidR="00344B0C" w:rsidRPr="008725ED">
        <w:rPr>
          <w:lang w:val="fr-FR"/>
        </w:rPr>
        <w:t>est convenu</w:t>
      </w:r>
      <w:r w:rsidR="00375D7B" w:rsidRPr="008725ED">
        <w:rPr>
          <w:lang w:val="fr-FR"/>
        </w:rPr>
        <w:t xml:space="preserve"> que la formation devait</w:t>
      </w:r>
      <w:r w:rsidRPr="008725ED">
        <w:rPr>
          <w:lang w:val="fr-FR"/>
        </w:rPr>
        <w:t xml:space="preserve"> également comprendre des Questions fréquemment posées et des didacticiels destinés aux utilisateurs du modèle de principes directeurs d</w:t>
      </w:r>
      <w:r w:rsidR="00EF1779" w:rsidRPr="008725ED">
        <w:rPr>
          <w:lang w:val="fr-FR"/>
        </w:rPr>
        <w:t>’</w:t>
      </w:r>
      <w:r w:rsidRPr="008725ED">
        <w:rPr>
          <w:lang w:val="fr-FR"/>
        </w:rPr>
        <w:t>examen fondé sur le Web.</w:t>
      </w:r>
    </w:p>
    <w:p w:rsidR="008C3126" w:rsidRPr="008725ED" w:rsidRDefault="008C3126" w:rsidP="00D87DB7">
      <w:pPr>
        <w:jc w:val="left"/>
        <w:rPr>
          <w:u w:val="single"/>
          <w:lang w:val="fr-FR"/>
        </w:rPr>
      </w:pPr>
    </w:p>
    <w:p w:rsidR="008C3126" w:rsidRPr="008725ED" w:rsidRDefault="008C3126" w:rsidP="00D87DB7">
      <w:pPr>
        <w:rPr>
          <w:lang w:val="fr-FR"/>
        </w:rPr>
      </w:pPr>
    </w:p>
    <w:p w:rsidR="008C3126" w:rsidRPr="008725ED" w:rsidRDefault="00D87DB7" w:rsidP="00D87DB7">
      <w:pPr>
        <w:pStyle w:val="Heading2"/>
        <w:rPr>
          <w:snapToGrid w:val="0"/>
          <w:lang w:val="fr-FR"/>
        </w:rPr>
      </w:pPr>
      <w:bookmarkStart w:id="30" w:name="_Toc494207968"/>
      <w:r w:rsidRPr="008725ED">
        <w:rPr>
          <w:snapToGrid w:val="0"/>
          <w:lang w:val="fr-FR"/>
        </w:rPr>
        <w:t>Liste des genres et espèces pour lesquels les services ont une expérience pratique en matière d</w:t>
      </w:r>
      <w:r w:rsidR="00EF1779" w:rsidRPr="008725ED">
        <w:rPr>
          <w:snapToGrid w:val="0"/>
          <w:lang w:val="fr-FR"/>
        </w:rPr>
        <w:t>’</w:t>
      </w:r>
      <w:r w:rsidRPr="008725ED">
        <w:rPr>
          <w:snapToGrid w:val="0"/>
          <w:lang w:val="fr-FR"/>
        </w:rPr>
        <w:t>examen de la distinction, de l</w:t>
      </w:r>
      <w:r w:rsidR="00EF1779" w:rsidRPr="008725ED">
        <w:rPr>
          <w:snapToGrid w:val="0"/>
          <w:lang w:val="fr-FR"/>
        </w:rPr>
        <w:t>’</w:t>
      </w:r>
      <w:r w:rsidRPr="008725ED">
        <w:rPr>
          <w:snapToGrid w:val="0"/>
          <w:lang w:val="fr-FR"/>
        </w:rPr>
        <w:t>homogénéité et de la stabilité</w:t>
      </w:r>
      <w:bookmarkEnd w:id="30"/>
    </w:p>
    <w:p w:rsidR="008C3126" w:rsidRPr="008725ED" w:rsidRDefault="008C3126" w:rsidP="00D87DB7">
      <w:pPr>
        <w:keepNext/>
        <w:ind w:left="567" w:hanging="567"/>
        <w:rPr>
          <w:rFonts w:cs="Arial"/>
          <w:snapToGrid w:val="0"/>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examiné </w:t>
      </w:r>
      <w:r w:rsidRPr="008725ED">
        <w:rPr>
          <w:lang w:val="fr-FR"/>
        </w:rPr>
        <w:t xml:space="preserve">le </w:t>
      </w:r>
      <w:r w:rsidR="00EF1779" w:rsidRPr="008725ED">
        <w:rPr>
          <w:lang w:val="fr-FR"/>
        </w:rPr>
        <w:t>document TC</w:t>
      </w:r>
      <w:r w:rsidRPr="008725ED">
        <w:rPr>
          <w:lang w:val="fr-FR"/>
        </w:rPr>
        <w:t xml:space="preserve">/53/4 et </w:t>
      </w:r>
      <w:r w:rsidR="00344B0C" w:rsidRPr="008725ED">
        <w:rPr>
          <w:lang w:val="fr-FR"/>
        </w:rPr>
        <w:t xml:space="preserve">a pris note </w:t>
      </w:r>
      <w:r w:rsidRPr="008725ED">
        <w:rPr>
          <w:lang w:val="fr-FR"/>
        </w:rPr>
        <w:t>que le nombre de taxons pour lesquels les membres de l</w:t>
      </w:r>
      <w:r w:rsidR="00EF1779" w:rsidRPr="008725ED">
        <w:rPr>
          <w:lang w:val="fr-FR"/>
        </w:rPr>
        <w:t>’</w:t>
      </w:r>
      <w:r w:rsidRPr="008725ED">
        <w:rPr>
          <w:lang w:val="fr-FR"/>
        </w:rPr>
        <w:t>Union faisaient part d</w:t>
      </w:r>
      <w:r w:rsidR="00EF1779" w:rsidRPr="008725ED">
        <w:rPr>
          <w:lang w:val="fr-FR"/>
        </w:rPr>
        <w:t>’</w:t>
      </w:r>
      <w:r w:rsidRPr="008725ED">
        <w:rPr>
          <w:lang w:val="fr-FR"/>
        </w:rPr>
        <w:t>une expérience dans l</w:t>
      </w:r>
      <w:r w:rsidR="00EF1779" w:rsidRPr="008725ED">
        <w:rPr>
          <w:lang w:val="fr-FR"/>
        </w:rPr>
        <w:t>’</w:t>
      </w:r>
      <w:r w:rsidRPr="008725ED">
        <w:rPr>
          <w:lang w:val="fr-FR"/>
        </w:rPr>
        <w:t>examen DHS était passé de 3462 en 2016 à 3561 en 2017 (+ 2,9%).  Le nombre de genres et d</w:t>
      </w:r>
      <w:r w:rsidR="00EF1779" w:rsidRPr="008725ED">
        <w:rPr>
          <w:lang w:val="fr-FR"/>
        </w:rPr>
        <w:t>’</w:t>
      </w:r>
      <w:r w:rsidRPr="008725ED">
        <w:rPr>
          <w:lang w:val="fr-FR"/>
        </w:rPr>
        <w:t>espèces pour lesquels des membres de l</w:t>
      </w:r>
      <w:r w:rsidR="00EF1779" w:rsidRPr="008725ED">
        <w:rPr>
          <w:lang w:val="fr-FR"/>
        </w:rPr>
        <w:t>’</w:t>
      </w:r>
      <w:r w:rsidRPr="008725ED">
        <w:rPr>
          <w:lang w:val="fr-FR"/>
        </w:rPr>
        <w:t xml:space="preserve">Union </w:t>
      </w:r>
      <w:r w:rsidR="00D43219" w:rsidRPr="008725ED">
        <w:rPr>
          <w:lang w:val="fr-FR"/>
        </w:rPr>
        <w:t>ont</w:t>
      </w:r>
      <w:r w:rsidRPr="008725ED">
        <w:rPr>
          <w:lang w:val="fr-FR"/>
        </w:rPr>
        <w:t xml:space="preserve"> indiqué avoir une expérience pratique en matière d</w:t>
      </w:r>
      <w:r w:rsidR="00EF1779" w:rsidRPr="008725ED">
        <w:rPr>
          <w:lang w:val="fr-FR"/>
        </w:rPr>
        <w:t>’</w:t>
      </w:r>
      <w:r w:rsidRPr="008725ED">
        <w:rPr>
          <w:lang w:val="fr-FR"/>
        </w:rPr>
        <w:t>examen DHS a</w:t>
      </w:r>
      <w:r w:rsidR="00375D7B" w:rsidRPr="008725ED">
        <w:rPr>
          <w:lang w:val="fr-FR"/>
        </w:rPr>
        <w:t>vait</w:t>
      </w:r>
      <w:r w:rsidRPr="008725ED">
        <w:rPr>
          <w:lang w:val="fr-FR"/>
        </w:rPr>
        <w:t xml:space="preserve"> augmenté, passant à 3416.  Les informations sur les membres de l</w:t>
      </w:r>
      <w:r w:rsidR="00EF1779" w:rsidRPr="008725ED">
        <w:rPr>
          <w:lang w:val="fr-FR"/>
        </w:rPr>
        <w:t>’</w:t>
      </w:r>
      <w:r w:rsidRPr="008725ED">
        <w:rPr>
          <w:lang w:val="fr-FR"/>
        </w:rPr>
        <w:t>Union ayant une expérience pratique en matière d</w:t>
      </w:r>
      <w:r w:rsidR="00EF1779" w:rsidRPr="008725ED">
        <w:rPr>
          <w:lang w:val="fr-FR"/>
        </w:rPr>
        <w:t>’</w:t>
      </w:r>
      <w:r w:rsidRPr="008725ED">
        <w:rPr>
          <w:lang w:val="fr-FR"/>
        </w:rPr>
        <w:t xml:space="preserve">examen DHS </w:t>
      </w:r>
      <w:r w:rsidR="00375D7B" w:rsidRPr="008725ED">
        <w:rPr>
          <w:lang w:val="fr-FR"/>
        </w:rPr>
        <w:t>étaient</w:t>
      </w:r>
      <w:r w:rsidRPr="008725ED">
        <w:rPr>
          <w:lang w:val="fr-FR"/>
        </w:rPr>
        <w:t xml:space="preserve"> librement accessibles au moyen de la base de données GENIE.</w:t>
      </w:r>
    </w:p>
    <w:p w:rsidR="008C3126" w:rsidRPr="008725ED" w:rsidRDefault="008C3126" w:rsidP="00D87DB7">
      <w:pPr>
        <w:ind w:left="567" w:hanging="567"/>
        <w:rPr>
          <w:rFonts w:cs="Arial"/>
          <w:snapToGrid w:val="0"/>
          <w:lang w:val="fr-FR"/>
        </w:rPr>
      </w:pPr>
    </w:p>
    <w:p w:rsidR="008C3126" w:rsidRPr="008725ED" w:rsidRDefault="008C3126" w:rsidP="00D87DB7">
      <w:pPr>
        <w:ind w:left="567" w:hanging="567"/>
        <w:rPr>
          <w:rFonts w:cs="Arial"/>
          <w:snapToGrid w:val="0"/>
          <w:lang w:val="fr-FR"/>
        </w:rPr>
      </w:pPr>
    </w:p>
    <w:p w:rsidR="008C3126" w:rsidRPr="008725ED" w:rsidRDefault="00D87DB7" w:rsidP="00D87DB7">
      <w:pPr>
        <w:pStyle w:val="Heading2"/>
        <w:rPr>
          <w:snapToGrid w:val="0"/>
          <w:lang w:val="fr-FR"/>
        </w:rPr>
      </w:pPr>
      <w:bookmarkStart w:id="31" w:name="_Toc494207969"/>
      <w:r w:rsidRPr="008725ED">
        <w:rPr>
          <w:snapToGrid w:val="0"/>
          <w:lang w:val="fr-FR"/>
        </w:rPr>
        <w:t>Principes directeurs d</w:t>
      </w:r>
      <w:r w:rsidR="00EF1779" w:rsidRPr="008725ED">
        <w:rPr>
          <w:snapToGrid w:val="0"/>
          <w:lang w:val="fr-FR"/>
        </w:rPr>
        <w:t>’</w:t>
      </w:r>
      <w:r w:rsidRPr="008725ED">
        <w:rPr>
          <w:snapToGrid w:val="0"/>
          <w:lang w:val="fr-FR"/>
        </w:rPr>
        <w:t>examen</w:t>
      </w:r>
      <w:bookmarkEnd w:id="31"/>
    </w:p>
    <w:p w:rsidR="008C3126" w:rsidRPr="008725ED" w:rsidRDefault="008C3126" w:rsidP="00D87DB7">
      <w:pPr>
        <w:keepNext/>
        <w:ind w:left="567" w:hanging="567"/>
        <w:rPr>
          <w:rFonts w:cs="Arial"/>
          <w:snapToGrid w:val="0"/>
          <w:lang w:val="fr-FR"/>
        </w:rPr>
      </w:pPr>
    </w:p>
    <w:p w:rsidR="008C3126" w:rsidRPr="008725ED" w:rsidRDefault="00D87DB7" w:rsidP="00D87DB7">
      <w:pPr>
        <w:rPr>
          <w:snapToGrid w:val="0"/>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examiné </w:t>
      </w:r>
      <w:r w:rsidRPr="008725ED">
        <w:rPr>
          <w:lang w:val="fr-FR"/>
        </w:rPr>
        <w:t xml:space="preserve">les </w:t>
      </w:r>
      <w:r w:rsidR="00EF1779" w:rsidRPr="008725ED">
        <w:rPr>
          <w:lang w:val="fr-FR"/>
        </w:rPr>
        <w:t>documents TC</w:t>
      </w:r>
      <w:r w:rsidRPr="008725ED">
        <w:rPr>
          <w:lang w:val="fr-FR"/>
        </w:rPr>
        <w:t>/53/2</w:t>
      </w:r>
      <w:r w:rsidR="00EF1779" w:rsidRPr="008725ED">
        <w:rPr>
          <w:lang w:val="fr-FR"/>
        </w:rPr>
        <w:t>, TC</w:t>
      </w:r>
      <w:r w:rsidRPr="008725ED">
        <w:rPr>
          <w:lang w:val="fr-FR"/>
        </w:rPr>
        <w:t>/53/25</w:t>
      </w:r>
      <w:r w:rsidR="00EF1779" w:rsidRPr="008725ED">
        <w:rPr>
          <w:lang w:val="fr-FR"/>
        </w:rPr>
        <w:t>, TC</w:t>
      </w:r>
      <w:r w:rsidRPr="008725ED">
        <w:rPr>
          <w:lang w:val="fr-FR"/>
        </w:rPr>
        <w:t>/53/26</w:t>
      </w:r>
      <w:r w:rsidR="00EF1779" w:rsidRPr="008725ED">
        <w:rPr>
          <w:lang w:val="fr-FR"/>
        </w:rPr>
        <w:t>, TC</w:t>
      </w:r>
      <w:r w:rsidRPr="008725ED">
        <w:rPr>
          <w:lang w:val="fr-FR"/>
        </w:rPr>
        <w:t>/53/27</w:t>
      </w:r>
      <w:r w:rsidR="00EF1779" w:rsidRPr="008725ED">
        <w:rPr>
          <w:lang w:val="fr-FR"/>
        </w:rPr>
        <w:t>, TC</w:t>
      </w:r>
      <w:r w:rsidRPr="008725ED">
        <w:rPr>
          <w:lang w:val="fr-FR"/>
        </w:rPr>
        <w:t>/53/28 et</w:t>
      </w:r>
      <w:r w:rsidR="00EF1779" w:rsidRPr="008725ED">
        <w:rPr>
          <w:lang w:val="fr-FR"/>
        </w:rPr>
        <w:t> TC</w:t>
      </w:r>
      <w:r w:rsidRPr="008725ED">
        <w:rPr>
          <w:lang w:val="fr-FR"/>
        </w:rPr>
        <w:t>/53/30 Rev.</w:t>
      </w:r>
    </w:p>
    <w:p w:rsidR="008C3126" w:rsidRPr="008725ED" w:rsidRDefault="008C3126" w:rsidP="00D87DB7">
      <w:pPr>
        <w:rPr>
          <w:snapToGrid w:val="0"/>
          <w:lang w:val="fr-FR"/>
        </w:rPr>
      </w:pPr>
    </w:p>
    <w:p w:rsidR="008C3126" w:rsidRPr="008725ED" w:rsidRDefault="00D87DB7" w:rsidP="00D87DB7">
      <w:pPr>
        <w:rPr>
          <w:rFonts w:cs="Arial"/>
          <w:snapToGrid w:val="0"/>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Conformément aux procédures établies dans le document TGP/7, le</w:t>
      </w:r>
      <w:r w:rsidR="00EF1779" w:rsidRPr="008725ED">
        <w:rPr>
          <w:lang w:val="fr-FR"/>
        </w:rPr>
        <w:t> TC</w:t>
      </w:r>
      <w:r w:rsidRPr="008725ED">
        <w:rPr>
          <w:lang w:val="fr-FR"/>
        </w:rPr>
        <w:t xml:space="preserve"> </w:t>
      </w:r>
      <w:r w:rsidR="00375D7B" w:rsidRPr="008725ED">
        <w:rPr>
          <w:lang w:val="fr-FR"/>
        </w:rPr>
        <w:t xml:space="preserve">a </w:t>
      </w:r>
      <w:r w:rsidRPr="008725ED">
        <w:rPr>
          <w:lang w:val="fr-FR"/>
        </w:rPr>
        <w:t>adopt</w:t>
      </w:r>
      <w:r w:rsidR="00375D7B" w:rsidRPr="008725ED">
        <w:rPr>
          <w:lang w:val="fr-FR"/>
        </w:rPr>
        <w:t>é</w:t>
      </w:r>
      <w:r w:rsidRPr="008725ED">
        <w:rPr>
          <w:lang w:val="fr-FR"/>
        </w:rPr>
        <w:t xml:space="preserve"> cinq nouveaux principes directeurs d</w:t>
      </w:r>
      <w:r w:rsidR="00EF1779" w:rsidRPr="008725ED">
        <w:rPr>
          <w:lang w:val="fr-FR"/>
        </w:rPr>
        <w:t>’</w:t>
      </w:r>
      <w:r w:rsidRPr="008725ED">
        <w:rPr>
          <w:lang w:val="fr-FR"/>
        </w:rPr>
        <w:t>examen pour la conduite de l</w:t>
      </w:r>
      <w:r w:rsidR="00EF1779" w:rsidRPr="008725ED">
        <w:rPr>
          <w:lang w:val="fr-FR"/>
        </w:rPr>
        <w:t>’</w:t>
      </w:r>
      <w:r w:rsidRPr="008725ED">
        <w:rPr>
          <w:lang w:val="fr-FR"/>
        </w:rPr>
        <w:t>examen de la distinction, de l</w:t>
      </w:r>
      <w:r w:rsidR="00EF1779" w:rsidRPr="008725ED">
        <w:rPr>
          <w:lang w:val="fr-FR"/>
        </w:rPr>
        <w:t>’</w:t>
      </w:r>
      <w:r w:rsidRPr="008725ED">
        <w:rPr>
          <w:lang w:val="fr-FR"/>
        </w:rPr>
        <w:t>homogénéité et de la stabilité, neuf principes directeurs d</w:t>
      </w:r>
      <w:r w:rsidR="00EF1779" w:rsidRPr="008725ED">
        <w:rPr>
          <w:lang w:val="fr-FR"/>
        </w:rPr>
        <w:t>’</w:t>
      </w:r>
      <w:r w:rsidRPr="008725ED">
        <w:rPr>
          <w:lang w:val="fr-FR"/>
        </w:rPr>
        <w:t>examen révisés et quatre principes directeurs d</w:t>
      </w:r>
      <w:r w:rsidR="00EF1779" w:rsidRPr="008725ED">
        <w:rPr>
          <w:lang w:val="fr-FR"/>
        </w:rPr>
        <w:t>’</w:t>
      </w:r>
      <w:r w:rsidRPr="008725ED">
        <w:rPr>
          <w:lang w:val="fr-FR"/>
        </w:rPr>
        <w:t>examen partiellement révisés, énumérés dans le tableau ci</w:t>
      </w:r>
      <w:r w:rsidR="00EF1779" w:rsidRPr="008725ED">
        <w:rPr>
          <w:lang w:val="fr-FR"/>
        </w:rPr>
        <w:t>-</w:t>
      </w:r>
      <w:r w:rsidRPr="008725ED">
        <w:rPr>
          <w:lang w:val="fr-FR"/>
        </w:rPr>
        <w:t>dessous, sur la base des modifications figurant dans l</w:t>
      </w:r>
      <w:r w:rsidR="00EF1779" w:rsidRPr="008725ED">
        <w:rPr>
          <w:lang w:val="fr-FR"/>
        </w:rPr>
        <w:t>’</w:t>
      </w:r>
      <w:r w:rsidRPr="008725ED">
        <w:rPr>
          <w:lang w:val="fr-FR"/>
        </w:rPr>
        <w:t>annexe II du présent document et des modifications rédactionnelles recommandées par le</w:t>
      </w:r>
      <w:r w:rsidR="00EF1779" w:rsidRPr="008725ED">
        <w:rPr>
          <w:lang w:val="fr-FR"/>
        </w:rPr>
        <w:t> TC-EDC</w:t>
      </w:r>
      <w:r w:rsidRPr="008725ED">
        <w:rPr>
          <w:lang w:val="fr-FR"/>
        </w:rPr>
        <w:t xml:space="preserve"> et </w:t>
      </w:r>
      <w:r w:rsidR="00344B0C" w:rsidRPr="008725ED">
        <w:rPr>
          <w:lang w:val="fr-FR"/>
        </w:rPr>
        <w:t>est convenu</w:t>
      </w:r>
      <w:r w:rsidRPr="008725ED">
        <w:rPr>
          <w:lang w:val="fr-FR"/>
        </w:rPr>
        <w:t xml:space="preserve"> qu</w:t>
      </w:r>
      <w:r w:rsidR="00EF1779" w:rsidRPr="008725ED">
        <w:rPr>
          <w:lang w:val="fr-FR"/>
        </w:rPr>
        <w:t>’</w:t>
      </w:r>
      <w:r w:rsidRPr="008725ED">
        <w:rPr>
          <w:lang w:val="fr-FR"/>
        </w:rPr>
        <w:t xml:space="preserve">ils </w:t>
      </w:r>
      <w:r w:rsidR="00375D7B" w:rsidRPr="008725ED">
        <w:rPr>
          <w:lang w:val="fr-FR"/>
        </w:rPr>
        <w:t>devaient</w:t>
      </w:r>
      <w:r w:rsidRPr="008725ED">
        <w:rPr>
          <w:lang w:val="fr-FR"/>
        </w:rPr>
        <w:t xml:space="preserve"> être publiés sur le site Web de l</w:t>
      </w:r>
      <w:r w:rsidR="00EF1779" w:rsidRPr="008725ED">
        <w:rPr>
          <w:lang w:val="fr-FR"/>
        </w:rPr>
        <w:t>’</w:t>
      </w:r>
      <w:r w:rsidRPr="008725ED">
        <w:rPr>
          <w:lang w:val="fr-FR"/>
        </w:rPr>
        <w:t>UPOV le plus tôt possible</w:t>
      </w:r>
      <w:r w:rsidR="00EF1779" w:rsidRPr="008725ED">
        <w:rPr>
          <w:lang w:val="fr-FR"/>
        </w:rPr>
        <w:t> :</w:t>
      </w:r>
    </w:p>
    <w:p w:rsidR="00D87DB7" w:rsidRPr="008725ED" w:rsidRDefault="00D87DB7" w:rsidP="00D87DB7">
      <w:pPr>
        <w:rPr>
          <w:rFonts w:cs="Arial"/>
          <w:snapToGrid w:val="0"/>
          <w:lang w:val="fr-FR"/>
        </w:rPr>
      </w:pPr>
    </w:p>
    <w:tbl>
      <w:tblPr>
        <w:tblW w:w="10207" w:type="dxa"/>
        <w:tblInd w:w="-85" w:type="dxa"/>
        <w:tblLayout w:type="fixed"/>
        <w:tblCellMar>
          <w:top w:w="28" w:type="dxa"/>
          <w:left w:w="57" w:type="dxa"/>
          <w:bottom w:w="28" w:type="dxa"/>
          <w:right w:w="57" w:type="dxa"/>
        </w:tblCellMar>
        <w:tblLook w:val="0020" w:firstRow="1" w:lastRow="0" w:firstColumn="0" w:lastColumn="0" w:noHBand="0" w:noVBand="0"/>
      </w:tblPr>
      <w:tblGrid>
        <w:gridCol w:w="603"/>
        <w:gridCol w:w="546"/>
        <w:gridCol w:w="1596"/>
        <w:gridCol w:w="1416"/>
        <w:gridCol w:w="1417"/>
        <w:gridCol w:w="1416"/>
        <w:gridCol w:w="1417"/>
        <w:gridCol w:w="1796"/>
      </w:tblGrid>
      <w:tr w:rsidR="008725ED" w:rsidRPr="008725ED" w:rsidTr="001D6A9B">
        <w:trPr>
          <w:cantSplit/>
          <w:tblHeader/>
        </w:trPr>
        <w:tc>
          <w:tcPr>
            <w:tcW w:w="603" w:type="dxa"/>
            <w:tcBorders>
              <w:top w:val="single" w:sz="4" w:space="0" w:color="auto"/>
              <w:left w:val="nil"/>
              <w:bottom w:val="single" w:sz="4" w:space="0" w:color="auto"/>
              <w:right w:val="nil"/>
            </w:tcBorders>
            <w:shd w:val="clear" w:color="auto" w:fill="D9D9D9"/>
            <w:noWrap/>
            <w:vAlign w:val="center"/>
            <w:hideMark/>
          </w:tcPr>
          <w:p w:rsidR="00D87DB7" w:rsidRPr="008725ED" w:rsidRDefault="00D87DB7" w:rsidP="001D6A9B">
            <w:pPr>
              <w:keepNext/>
              <w:jc w:val="left"/>
              <w:rPr>
                <w:rFonts w:eastAsia="MS Mincho"/>
                <w:sz w:val="16"/>
                <w:lang w:val="fr-FR"/>
              </w:rPr>
            </w:pPr>
            <w:r w:rsidRPr="008725ED">
              <w:rPr>
                <w:sz w:val="16"/>
                <w:lang w:val="fr-FR"/>
              </w:rPr>
              <w:t>**</w:t>
            </w:r>
          </w:p>
        </w:tc>
        <w:tc>
          <w:tcPr>
            <w:tcW w:w="546" w:type="dxa"/>
            <w:tcBorders>
              <w:top w:val="single" w:sz="4" w:space="0" w:color="auto"/>
              <w:left w:val="nil"/>
              <w:bottom w:val="single" w:sz="4" w:space="0" w:color="auto"/>
              <w:right w:val="nil"/>
            </w:tcBorders>
            <w:shd w:val="clear" w:color="auto" w:fill="D9D9D9"/>
            <w:vAlign w:val="center"/>
            <w:hideMark/>
          </w:tcPr>
          <w:p w:rsidR="00D87DB7" w:rsidRPr="008725ED" w:rsidRDefault="00D87DB7" w:rsidP="001D6A9B">
            <w:pPr>
              <w:keepNext/>
              <w:jc w:val="left"/>
              <w:rPr>
                <w:rFonts w:eastAsia="MS Mincho"/>
                <w:sz w:val="16"/>
                <w:lang w:val="fr-FR"/>
              </w:rPr>
            </w:pPr>
            <w:r w:rsidRPr="008725ED">
              <w:rPr>
                <w:sz w:val="16"/>
                <w:lang w:val="fr-FR"/>
              </w:rPr>
              <w:t>TWP</w:t>
            </w:r>
          </w:p>
        </w:tc>
        <w:tc>
          <w:tcPr>
            <w:tcW w:w="1596" w:type="dxa"/>
            <w:tcBorders>
              <w:top w:val="single" w:sz="4" w:space="0" w:color="auto"/>
              <w:left w:val="nil"/>
              <w:bottom w:val="single" w:sz="4" w:space="0" w:color="auto"/>
              <w:right w:val="nil"/>
            </w:tcBorders>
            <w:shd w:val="clear" w:color="auto" w:fill="D9D9D9"/>
            <w:vAlign w:val="center"/>
            <w:hideMark/>
          </w:tcPr>
          <w:p w:rsidR="00D87DB7" w:rsidRPr="008725ED" w:rsidRDefault="00D87DB7" w:rsidP="001D6A9B">
            <w:pPr>
              <w:keepNext/>
              <w:jc w:val="left"/>
              <w:rPr>
                <w:rFonts w:eastAsia="MS Mincho"/>
                <w:sz w:val="16"/>
                <w:lang w:val="fr-FR"/>
              </w:rPr>
            </w:pPr>
            <w:r w:rsidRPr="008725ED">
              <w:rPr>
                <w:sz w:val="16"/>
                <w:lang w:val="fr-FR"/>
              </w:rPr>
              <w:t xml:space="preserve">Document No. </w:t>
            </w:r>
            <w:r w:rsidRPr="008725ED">
              <w:rPr>
                <w:rFonts w:eastAsia="MS Mincho"/>
                <w:sz w:val="16"/>
                <w:lang w:val="fr-FR"/>
              </w:rPr>
              <w:br/>
            </w:r>
            <w:r w:rsidRPr="008725ED">
              <w:rPr>
                <w:sz w:val="16"/>
                <w:lang w:val="fr-FR"/>
              </w:rPr>
              <w:t xml:space="preserve">No. du document </w:t>
            </w:r>
            <w:r w:rsidRPr="008725ED">
              <w:rPr>
                <w:rFonts w:eastAsia="MS Mincho"/>
                <w:sz w:val="16"/>
                <w:lang w:val="fr-FR"/>
              </w:rPr>
              <w:br/>
            </w:r>
            <w:r w:rsidRPr="008725ED">
              <w:rPr>
                <w:sz w:val="16"/>
                <w:lang w:val="fr-FR"/>
              </w:rPr>
              <w:t>Dokument</w:t>
            </w:r>
            <w:r w:rsidR="00EF1779" w:rsidRPr="008725ED">
              <w:rPr>
                <w:sz w:val="16"/>
                <w:lang w:val="fr-FR"/>
              </w:rPr>
              <w:t>-</w:t>
            </w:r>
            <w:r w:rsidRPr="008725ED">
              <w:rPr>
                <w:sz w:val="16"/>
                <w:lang w:val="fr-FR"/>
              </w:rPr>
              <w:t xml:space="preserve">Nr. </w:t>
            </w:r>
            <w:r w:rsidRPr="008725ED">
              <w:rPr>
                <w:rFonts w:eastAsia="MS Mincho"/>
                <w:sz w:val="16"/>
                <w:lang w:val="fr-FR"/>
              </w:rPr>
              <w:br/>
            </w:r>
            <w:r w:rsidRPr="008725ED">
              <w:rPr>
                <w:sz w:val="16"/>
                <w:lang w:val="fr-FR"/>
              </w:rPr>
              <w:t>Nº del documento</w:t>
            </w:r>
          </w:p>
        </w:tc>
        <w:tc>
          <w:tcPr>
            <w:tcW w:w="1416" w:type="dxa"/>
            <w:tcBorders>
              <w:top w:val="single" w:sz="4" w:space="0" w:color="auto"/>
              <w:left w:val="nil"/>
              <w:bottom w:val="single" w:sz="4" w:space="0" w:color="auto"/>
              <w:right w:val="nil"/>
            </w:tcBorders>
            <w:shd w:val="clear" w:color="auto" w:fill="D9D9D9"/>
            <w:vAlign w:val="center"/>
            <w:hideMark/>
          </w:tcPr>
          <w:p w:rsidR="00D87DB7" w:rsidRPr="008725ED" w:rsidRDefault="00D87DB7" w:rsidP="001D6A9B">
            <w:pPr>
              <w:keepNext/>
              <w:jc w:val="left"/>
              <w:rPr>
                <w:rFonts w:eastAsia="MS Mincho"/>
                <w:sz w:val="16"/>
                <w:lang w:val="fr-FR"/>
              </w:rPr>
            </w:pPr>
            <w:r w:rsidRPr="008725ED">
              <w:rPr>
                <w:sz w:val="16"/>
                <w:lang w:val="fr-FR"/>
              </w:rPr>
              <w:t>English</w:t>
            </w:r>
          </w:p>
        </w:tc>
        <w:tc>
          <w:tcPr>
            <w:tcW w:w="1417" w:type="dxa"/>
            <w:tcBorders>
              <w:top w:val="single" w:sz="4" w:space="0" w:color="auto"/>
              <w:left w:val="nil"/>
              <w:bottom w:val="single" w:sz="4" w:space="0" w:color="auto"/>
              <w:right w:val="nil"/>
            </w:tcBorders>
            <w:shd w:val="clear" w:color="auto" w:fill="D9D9D9"/>
            <w:vAlign w:val="center"/>
            <w:hideMark/>
          </w:tcPr>
          <w:p w:rsidR="00D87DB7" w:rsidRPr="008725ED" w:rsidRDefault="00D87DB7" w:rsidP="001D6A9B">
            <w:pPr>
              <w:keepNext/>
              <w:jc w:val="left"/>
              <w:rPr>
                <w:rFonts w:eastAsia="MS Mincho"/>
                <w:sz w:val="16"/>
                <w:lang w:val="fr-FR"/>
              </w:rPr>
            </w:pPr>
            <w:r w:rsidRPr="008725ED">
              <w:rPr>
                <w:sz w:val="16"/>
                <w:lang w:val="fr-FR"/>
              </w:rPr>
              <w:t>Français</w:t>
            </w:r>
          </w:p>
        </w:tc>
        <w:tc>
          <w:tcPr>
            <w:tcW w:w="1416" w:type="dxa"/>
            <w:tcBorders>
              <w:top w:val="single" w:sz="4" w:space="0" w:color="auto"/>
              <w:left w:val="nil"/>
              <w:bottom w:val="single" w:sz="4" w:space="0" w:color="auto"/>
              <w:right w:val="nil"/>
            </w:tcBorders>
            <w:shd w:val="clear" w:color="auto" w:fill="D9D9D9"/>
            <w:vAlign w:val="center"/>
            <w:hideMark/>
          </w:tcPr>
          <w:p w:rsidR="00D87DB7" w:rsidRPr="008725ED" w:rsidRDefault="00D87DB7" w:rsidP="001D6A9B">
            <w:pPr>
              <w:keepNext/>
              <w:jc w:val="left"/>
              <w:rPr>
                <w:rFonts w:eastAsia="MS Mincho"/>
                <w:sz w:val="16"/>
                <w:lang w:val="fr-FR"/>
              </w:rPr>
            </w:pPr>
            <w:r w:rsidRPr="008725ED">
              <w:rPr>
                <w:sz w:val="16"/>
                <w:lang w:val="fr-FR"/>
              </w:rPr>
              <w:t>Deutsch</w:t>
            </w:r>
          </w:p>
        </w:tc>
        <w:tc>
          <w:tcPr>
            <w:tcW w:w="1417" w:type="dxa"/>
            <w:tcBorders>
              <w:top w:val="single" w:sz="4" w:space="0" w:color="auto"/>
              <w:left w:val="nil"/>
              <w:bottom w:val="single" w:sz="4" w:space="0" w:color="auto"/>
              <w:right w:val="nil"/>
            </w:tcBorders>
            <w:shd w:val="clear" w:color="auto" w:fill="D9D9D9"/>
            <w:vAlign w:val="center"/>
            <w:hideMark/>
          </w:tcPr>
          <w:p w:rsidR="00D87DB7" w:rsidRPr="008725ED" w:rsidRDefault="00D87DB7" w:rsidP="001D6A9B">
            <w:pPr>
              <w:keepNext/>
              <w:jc w:val="left"/>
              <w:rPr>
                <w:rFonts w:eastAsia="MS Mincho"/>
                <w:sz w:val="16"/>
                <w:lang w:val="fr-FR"/>
              </w:rPr>
            </w:pPr>
            <w:r w:rsidRPr="008725ED">
              <w:rPr>
                <w:sz w:val="16"/>
                <w:lang w:val="fr-FR"/>
              </w:rPr>
              <w:t>Español</w:t>
            </w:r>
          </w:p>
        </w:tc>
        <w:tc>
          <w:tcPr>
            <w:tcW w:w="1796" w:type="dxa"/>
            <w:tcBorders>
              <w:top w:val="single" w:sz="4" w:space="0" w:color="auto"/>
              <w:left w:val="nil"/>
              <w:bottom w:val="single" w:sz="4" w:space="0" w:color="auto"/>
              <w:right w:val="nil"/>
            </w:tcBorders>
            <w:shd w:val="clear" w:color="auto" w:fill="D9D9D9"/>
            <w:vAlign w:val="center"/>
            <w:hideMark/>
          </w:tcPr>
          <w:p w:rsidR="00D87DB7" w:rsidRPr="008725ED" w:rsidRDefault="00D87DB7" w:rsidP="001D6A9B">
            <w:pPr>
              <w:keepNext/>
              <w:jc w:val="left"/>
              <w:rPr>
                <w:rFonts w:eastAsia="MS Mincho"/>
                <w:sz w:val="16"/>
                <w:lang w:val="fr-FR"/>
              </w:rPr>
            </w:pPr>
            <w:r w:rsidRPr="008725ED">
              <w:rPr>
                <w:sz w:val="16"/>
                <w:lang w:val="fr-FR"/>
              </w:rPr>
              <w:t>Nombre botánico</w:t>
            </w:r>
          </w:p>
        </w:tc>
      </w:tr>
      <w:tr w:rsidR="008725ED" w:rsidRPr="008725ED" w:rsidTr="001D6A9B">
        <w:trPr>
          <w:cantSplit/>
        </w:trPr>
        <w:tc>
          <w:tcPr>
            <w:tcW w:w="10207" w:type="dxa"/>
            <w:gridSpan w:val="8"/>
            <w:tcBorders>
              <w:top w:val="single" w:sz="4" w:space="0" w:color="auto"/>
              <w:left w:val="single" w:sz="4" w:space="0" w:color="auto"/>
              <w:bottom w:val="single" w:sz="4" w:space="0" w:color="auto"/>
              <w:right w:val="single" w:sz="4" w:space="0" w:color="auto"/>
            </w:tcBorders>
            <w:noWrap/>
            <w:hideMark/>
          </w:tcPr>
          <w:p w:rsidR="00D87DB7" w:rsidRPr="008725ED" w:rsidRDefault="00D87DB7" w:rsidP="001D6A9B">
            <w:pPr>
              <w:keepNext/>
              <w:spacing w:before="40" w:after="40"/>
              <w:jc w:val="left"/>
              <w:rPr>
                <w:rFonts w:eastAsia="MS Mincho"/>
                <w:sz w:val="16"/>
                <w:u w:val="single"/>
                <w:lang w:val="fr-FR"/>
              </w:rPr>
            </w:pPr>
            <w:r w:rsidRPr="008725ED">
              <w:rPr>
                <w:sz w:val="16"/>
                <w:u w:val="single"/>
                <w:lang w:val="fr-FR"/>
              </w:rPr>
              <w:t>NEW TEST GUIDELINES / NOUVEAUX PRINCIPES DIRECTEURS D</w:t>
            </w:r>
            <w:r w:rsidR="00EF1779" w:rsidRPr="008725ED">
              <w:rPr>
                <w:sz w:val="16"/>
                <w:u w:val="single"/>
                <w:lang w:val="fr-FR"/>
              </w:rPr>
              <w:t>’</w:t>
            </w:r>
            <w:r w:rsidRPr="008725ED">
              <w:rPr>
                <w:sz w:val="16"/>
                <w:u w:val="single"/>
                <w:lang w:val="fr-FR"/>
              </w:rPr>
              <w:t>EXAMEN / NEUE PRÜFUNGSRICHTILINIEN /</w:t>
            </w:r>
            <w:r w:rsidRPr="008725ED">
              <w:rPr>
                <w:sz w:val="16"/>
                <w:u w:val="single"/>
                <w:lang w:val="fr-FR"/>
              </w:rPr>
              <w:br/>
              <w:t>NUEVAS DIRECTRICES DE EXAMEN</w:t>
            </w:r>
          </w:p>
        </w:tc>
      </w:tr>
      <w:tr w:rsidR="008725ED" w:rsidRPr="008725ED" w:rsidTr="001D6A9B">
        <w:trPr>
          <w:cantSplit/>
        </w:trPr>
        <w:tc>
          <w:tcPr>
            <w:tcW w:w="603" w:type="dxa"/>
            <w:tcBorders>
              <w:top w:val="single" w:sz="4" w:space="0" w:color="auto"/>
              <w:left w:val="single" w:sz="4" w:space="0" w:color="auto"/>
              <w:bottom w:val="single" w:sz="4" w:space="0" w:color="auto"/>
              <w:right w:val="single" w:sz="4" w:space="0" w:color="auto"/>
            </w:tcBorders>
            <w:noWrap/>
            <w:hideMark/>
          </w:tcPr>
          <w:p w:rsidR="00D87DB7" w:rsidRPr="008725ED" w:rsidRDefault="00D87DB7" w:rsidP="001D6A9B">
            <w:pPr>
              <w:keepNext/>
              <w:rPr>
                <w:sz w:val="16"/>
                <w:lang w:val="fr-FR"/>
              </w:rPr>
            </w:pPr>
            <w:r w:rsidRPr="008725ED">
              <w:rPr>
                <w:sz w:val="16"/>
                <w:lang w:val="fr-FR"/>
              </w:rPr>
              <w:t>FR</w:t>
            </w:r>
          </w:p>
        </w:tc>
        <w:tc>
          <w:tcPr>
            <w:tcW w:w="546" w:type="dxa"/>
            <w:tcBorders>
              <w:top w:val="single" w:sz="4" w:space="0" w:color="auto"/>
              <w:left w:val="nil"/>
              <w:bottom w:val="single" w:sz="4" w:space="0" w:color="auto"/>
              <w:right w:val="single" w:sz="4" w:space="0" w:color="auto"/>
            </w:tcBorders>
            <w:hideMark/>
          </w:tcPr>
          <w:p w:rsidR="00D87DB7" w:rsidRPr="008725ED" w:rsidRDefault="00D87DB7" w:rsidP="001D6A9B">
            <w:pPr>
              <w:keepNext/>
              <w:jc w:val="center"/>
              <w:rPr>
                <w:sz w:val="16"/>
                <w:lang w:val="fr-FR"/>
              </w:rPr>
            </w:pPr>
            <w:r w:rsidRPr="008725ED">
              <w:rPr>
                <w:sz w:val="16"/>
                <w:lang w:val="fr-FR"/>
              </w:rPr>
              <w:t>TWO</w:t>
            </w:r>
          </w:p>
        </w:tc>
        <w:tc>
          <w:tcPr>
            <w:tcW w:w="1596" w:type="dxa"/>
            <w:tcBorders>
              <w:top w:val="single" w:sz="4" w:space="0" w:color="auto"/>
              <w:left w:val="nil"/>
              <w:bottom w:val="single" w:sz="4" w:space="0" w:color="auto"/>
              <w:right w:val="single" w:sz="4" w:space="0" w:color="auto"/>
            </w:tcBorders>
            <w:hideMark/>
          </w:tcPr>
          <w:p w:rsidR="00D87DB7" w:rsidRPr="008725ED" w:rsidRDefault="00D87DB7" w:rsidP="001D6A9B">
            <w:pPr>
              <w:keepNext/>
              <w:jc w:val="left"/>
              <w:rPr>
                <w:sz w:val="16"/>
                <w:lang w:val="fr-FR"/>
              </w:rPr>
            </w:pPr>
            <w:r w:rsidRPr="008725ED">
              <w:rPr>
                <w:sz w:val="16"/>
                <w:lang w:val="fr-FR"/>
              </w:rPr>
              <w:t>TG/ABELI(proj.6)</w:t>
            </w:r>
          </w:p>
        </w:tc>
        <w:tc>
          <w:tcPr>
            <w:tcW w:w="1416" w:type="dxa"/>
            <w:tcBorders>
              <w:top w:val="single" w:sz="4" w:space="0" w:color="auto"/>
              <w:left w:val="nil"/>
              <w:bottom w:val="single" w:sz="4" w:space="0" w:color="auto"/>
              <w:right w:val="single" w:sz="4" w:space="0" w:color="auto"/>
            </w:tcBorders>
            <w:hideMark/>
          </w:tcPr>
          <w:p w:rsidR="00D87DB7" w:rsidRPr="008725ED" w:rsidRDefault="00D87DB7" w:rsidP="001D6A9B">
            <w:pPr>
              <w:keepNext/>
              <w:jc w:val="left"/>
              <w:rPr>
                <w:sz w:val="16"/>
                <w:lang w:val="fr-FR"/>
              </w:rPr>
            </w:pPr>
            <w:r w:rsidRPr="008725ED">
              <w:rPr>
                <w:sz w:val="16"/>
                <w:lang w:val="fr-FR"/>
              </w:rPr>
              <w:t>Abelia</w:t>
            </w:r>
          </w:p>
        </w:tc>
        <w:tc>
          <w:tcPr>
            <w:tcW w:w="1417" w:type="dxa"/>
            <w:tcBorders>
              <w:top w:val="single" w:sz="4" w:space="0" w:color="auto"/>
              <w:left w:val="nil"/>
              <w:bottom w:val="single" w:sz="4" w:space="0" w:color="auto"/>
              <w:right w:val="single" w:sz="4" w:space="0" w:color="auto"/>
            </w:tcBorders>
            <w:hideMark/>
          </w:tcPr>
          <w:p w:rsidR="00D87DB7" w:rsidRPr="008725ED" w:rsidRDefault="00D87DB7" w:rsidP="001D6A9B">
            <w:pPr>
              <w:keepNext/>
              <w:jc w:val="left"/>
              <w:rPr>
                <w:sz w:val="16"/>
                <w:lang w:val="fr-FR"/>
              </w:rPr>
            </w:pPr>
            <w:r w:rsidRPr="008725ED">
              <w:rPr>
                <w:sz w:val="16"/>
                <w:lang w:val="fr-FR"/>
              </w:rPr>
              <w:t>Abelia</w:t>
            </w:r>
          </w:p>
        </w:tc>
        <w:tc>
          <w:tcPr>
            <w:tcW w:w="1416" w:type="dxa"/>
            <w:tcBorders>
              <w:top w:val="single" w:sz="4" w:space="0" w:color="auto"/>
              <w:left w:val="nil"/>
              <w:bottom w:val="single" w:sz="4" w:space="0" w:color="auto"/>
              <w:right w:val="single" w:sz="4" w:space="0" w:color="auto"/>
            </w:tcBorders>
            <w:hideMark/>
          </w:tcPr>
          <w:p w:rsidR="00D87DB7" w:rsidRPr="008725ED" w:rsidRDefault="00D87DB7" w:rsidP="001D6A9B">
            <w:pPr>
              <w:keepNext/>
              <w:jc w:val="left"/>
              <w:rPr>
                <w:sz w:val="16"/>
                <w:lang w:val="fr-FR"/>
              </w:rPr>
            </w:pPr>
            <w:r w:rsidRPr="008725ED">
              <w:rPr>
                <w:sz w:val="16"/>
                <w:lang w:val="fr-FR"/>
              </w:rPr>
              <w:t>Abelia</w:t>
            </w:r>
          </w:p>
        </w:tc>
        <w:tc>
          <w:tcPr>
            <w:tcW w:w="1417" w:type="dxa"/>
            <w:tcBorders>
              <w:top w:val="single" w:sz="4" w:space="0" w:color="auto"/>
              <w:left w:val="nil"/>
              <w:bottom w:val="single" w:sz="4" w:space="0" w:color="auto"/>
              <w:right w:val="single" w:sz="4" w:space="0" w:color="auto"/>
            </w:tcBorders>
            <w:hideMark/>
          </w:tcPr>
          <w:p w:rsidR="00D87DB7" w:rsidRPr="008725ED" w:rsidRDefault="00D87DB7" w:rsidP="001D6A9B">
            <w:pPr>
              <w:keepNext/>
              <w:jc w:val="left"/>
              <w:rPr>
                <w:sz w:val="16"/>
                <w:lang w:val="fr-FR"/>
              </w:rPr>
            </w:pPr>
            <w:r w:rsidRPr="008725ED">
              <w:rPr>
                <w:sz w:val="16"/>
                <w:lang w:val="fr-FR"/>
              </w:rPr>
              <w:t>Abelia</w:t>
            </w:r>
          </w:p>
        </w:tc>
        <w:tc>
          <w:tcPr>
            <w:tcW w:w="1796" w:type="dxa"/>
            <w:tcBorders>
              <w:top w:val="single" w:sz="4" w:space="0" w:color="auto"/>
              <w:left w:val="nil"/>
              <w:bottom w:val="single" w:sz="4" w:space="0" w:color="auto"/>
              <w:right w:val="single" w:sz="4" w:space="0" w:color="auto"/>
            </w:tcBorders>
            <w:hideMark/>
          </w:tcPr>
          <w:p w:rsidR="00D87DB7" w:rsidRPr="008725ED" w:rsidRDefault="00D87DB7" w:rsidP="001D6A9B">
            <w:pPr>
              <w:keepNext/>
              <w:jc w:val="left"/>
              <w:rPr>
                <w:sz w:val="16"/>
                <w:lang w:val="fr-FR"/>
              </w:rPr>
            </w:pPr>
            <w:r w:rsidRPr="008725ED">
              <w:rPr>
                <w:i/>
                <w:sz w:val="16"/>
                <w:lang w:val="fr-FR"/>
              </w:rPr>
              <w:t>Abelia</w:t>
            </w:r>
            <w:r w:rsidRPr="008725ED">
              <w:rPr>
                <w:sz w:val="16"/>
                <w:lang w:val="fr-FR"/>
              </w:rPr>
              <w:t xml:space="preserve"> R. Br.</w:t>
            </w:r>
          </w:p>
        </w:tc>
      </w:tr>
      <w:tr w:rsidR="008725ED" w:rsidRPr="008725ED" w:rsidTr="001D6A9B">
        <w:trPr>
          <w:cantSplit/>
        </w:trPr>
        <w:tc>
          <w:tcPr>
            <w:tcW w:w="603" w:type="dxa"/>
            <w:tcBorders>
              <w:top w:val="single" w:sz="4" w:space="0" w:color="auto"/>
              <w:left w:val="single" w:sz="4" w:space="0" w:color="auto"/>
              <w:bottom w:val="single" w:sz="4" w:space="0" w:color="auto"/>
              <w:right w:val="single" w:sz="4" w:space="0" w:color="auto"/>
            </w:tcBorders>
            <w:noWrap/>
            <w:hideMark/>
          </w:tcPr>
          <w:p w:rsidR="00D87DB7" w:rsidRPr="008725ED" w:rsidRDefault="00D87DB7" w:rsidP="001D6A9B">
            <w:pPr>
              <w:keepNext/>
              <w:rPr>
                <w:sz w:val="16"/>
                <w:lang w:val="fr-FR"/>
              </w:rPr>
            </w:pPr>
            <w:r w:rsidRPr="008725ED">
              <w:rPr>
                <w:sz w:val="16"/>
                <w:lang w:val="fr-FR"/>
              </w:rPr>
              <w:t>JP</w:t>
            </w:r>
          </w:p>
        </w:tc>
        <w:tc>
          <w:tcPr>
            <w:tcW w:w="546" w:type="dxa"/>
            <w:tcBorders>
              <w:top w:val="single" w:sz="4" w:space="0" w:color="auto"/>
              <w:left w:val="nil"/>
              <w:bottom w:val="single" w:sz="4" w:space="0" w:color="auto"/>
              <w:right w:val="single" w:sz="4" w:space="0" w:color="auto"/>
            </w:tcBorders>
            <w:hideMark/>
          </w:tcPr>
          <w:p w:rsidR="00D87DB7" w:rsidRPr="008725ED" w:rsidRDefault="00D87DB7" w:rsidP="001D6A9B">
            <w:pPr>
              <w:keepNext/>
              <w:jc w:val="center"/>
              <w:rPr>
                <w:sz w:val="16"/>
                <w:lang w:val="fr-FR"/>
              </w:rPr>
            </w:pPr>
            <w:r w:rsidRPr="008725ED">
              <w:rPr>
                <w:sz w:val="16"/>
                <w:lang w:val="fr-FR"/>
              </w:rPr>
              <w:t>TWO</w:t>
            </w:r>
          </w:p>
        </w:tc>
        <w:tc>
          <w:tcPr>
            <w:tcW w:w="1596" w:type="dxa"/>
            <w:tcBorders>
              <w:top w:val="single" w:sz="4" w:space="0" w:color="auto"/>
              <w:left w:val="nil"/>
              <w:bottom w:val="single" w:sz="4" w:space="0" w:color="auto"/>
              <w:right w:val="single" w:sz="4" w:space="0" w:color="auto"/>
            </w:tcBorders>
            <w:hideMark/>
          </w:tcPr>
          <w:p w:rsidR="00D87DB7" w:rsidRPr="008725ED" w:rsidRDefault="00D87DB7" w:rsidP="001D6A9B">
            <w:pPr>
              <w:keepNext/>
              <w:jc w:val="left"/>
              <w:rPr>
                <w:sz w:val="16"/>
                <w:lang w:val="fr-FR"/>
              </w:rPr>
            </w:pPr>
            <w:r w:rsidRPr="008725ED">
              <w:rPr>
                <w:sz w:val="16"/>
                <w:lang w:val="fr-FR"/>
              </w:rPr>
              <w:t>TG/AGLAO(proj.9)</w:t>
            </w:r>
          </w:p>
        </w:tc>
        <w:tc>
          <w:tcPr>
            <w:tcW w:w="1416" w:type="dxa"/>
            <w:tcBorders>
              <w:top w:val="single" w:sz="4" w:space="0" w:color="auto"/>
              <w:left w:val="nil"/>
              <w:bottom w:val="single" w:sz="4" w:space="0" w:color="auto"/>
              <w:right w:val="single" w:sz="4" w:space="0" w:color="auto"/>
            </w:tcBorders>
            <w:hideMark/>
          </w:tcPr>
          <w:p w:rsidR="00D87DB7" w:rsidRPr="008725ED" w:rsidRDefault="00D87DB7" w:rsidP="001D6A9B">
            <w:pPr>
              <w:keepNext/>
              <w:jc w:val="left"/>
              <w:rPr>
                <w:sz w:val="16"/>
                <w:lang w:val="fr-FR"/>
              </w:rPr>
            </w:pPr>
            <w:r w:rsidRPr="008725ED">
              <w:rPr>
                <w:sz w:val="16"/>
                <w:lang w:val="fr-FR"/>
              </w:rPr>
              <w:t>Chinese Evergreen</w:t>
            </w:r>
          </w:p>
        </w:tc>
        <w:tc>
          <w:tcPr>
            <w:tcW w:w="1417" w:type="dxa"/>
            <w:tcBorders>
              <w:top w:val="single" w:sz="4" w:space="0" w:color="auto"/>
              <w:left w:val="nil"/>
              <w:bottom w:val="single" w:sz="4" w:space="0" w:color="auto"/>
              <w:right w:val="single" w:sz="4" w:space="0" w:color="auto"/>
            </w:tcBorders>
            <w:hideMark/>
          </w:tcPr>
          <w:p w:rsidR="00D87DB7" w:rsidRPr="008725ED" w:rsidRDefault="00D87DB7" w:rsidP="001D6A9B">
            <w:pPr>
              <w:keepNext/>
              <w:jc w:val="left"/>
              <w:rPr>
                <w:sz w:val="16"/>
                <w:lang w:val="fr-FR"/>
              </w:rPr>
            </w:pPr>
            <w:r w:rsidRPr="008725ED">
              <w:rPr>
                <w:sz w:val="16"/>
                <w:lang w:val="fr-FR"/>
              </w:rPr>
              <w:t>Aglaonema</w:t>
            </w:r>
          </w:p>
        </w:tc>
        <w:tc>
          <w:tcPr>
            <w:tcW w:w="1416" w:type="dxa"/>
            <w:tcBorders>
              <w:top w:val="single" w:sz="4" w:space="0" w:color="auto"/>
              <w:left w:val="nil"/>
              <w:bottom w:val="single" w:sz="4" w:space="0" w:color="auto"/>
              <w:right w:val="single" w:sz="4" w:space="0" w:color="auto"/>
            </w:tcBorders>
            <w:hideMark/>
          </w:tcPr>
          <w:p w:rsidR="00D87DB7" w:rsidRPr="008725ED" w:rsidRDefault="00D87DB7" w:rsidP="001D6A9B">
            <w:pPr>
              <w:keepNext/>
              <w:jc w:val="left"/>
              <w:rPr>
                <w:sz w:val="16"/>
                <w:lang w:val="fr-FR"/>
              </w:rPr>
            </w:pPr>
            <w:r w:rsidRPr="008725ED">
              <w:rPr>
                <w:sz w:val="16"/>
                <w:lang w:val="fr-FR"/>
              </w:rPr>
              <w:t>Aglaonema</w:t>
            </w:r>
          </w:p>
        </w:tc>
        <w:tc>
          <w:tcPr>
            <w:tcW w:w="1417" w:type="dxa"/>
            <w:tcBorders>
              <w:top w:val="single" w:sz="4" w:space="0" w:color="auto"/>
              <w:left w:val="nil"/>
              <w:bottom w:val="single" w:sz="4" w:space="0" w:color="auto"/>
              <w:right w:val="single" w:sz="4" w:space="0" w:color="auto"/>
            </w:tcBorders>
            <w:hideMark/>
          </w:tcPr>
          <w:p w:rsidR="00D87DB7" w:rsidRPr="008725ED" w:rsidRDefault="00D87DB7" w:rsidP="001D6A9B">
            <w:pPr>
              <w:keepNext/>
              <w:jc w:val="left"/>
              <w:rPr>
                <w:sz w:val="16"/>
                <w:lang w:val="fr-FR"/>
              </w:rPr>
            </w:pPr>
            <w:r w:rsidRPr="008725ED">
              <w:rPr>
                <w:sz w:val="16"/>
                <w:lang w:val="fr-FR"/>
              </w:rPr>
              <w:t>Aglaonema</w:t>
            </w:r>
          </w:p>
        </w:tc>
        <w:tc>
          <w:tcPr>
            <w:tcW w:w="1796" w:type="dxa"/>
            <w:tcBorders>
              <w:top w:val="single" w:sz="4" w:space="0" w:color="auto"/>
              <w:left w:val="nil"/>
              <w:bottom w:val="single" w:sz="4" w:space="0" w:color="auto"/>
              <w:right w:val="single" w:sz="4" w:space="0" w:color="auto"/>
            </w:tcBorders>
            <w:hideMark/>
          </w:tcPr>
          <w:p w:rsidR="00D87DB7" w:rsidRPr="008725ED" w:rsidRDefault="00D87DB7" w:rsidP="001D6A9B">
            <w:pPr>
              <w:keepNext/>
              <w:jc w:val="left"/>
              <w:rPr>
                <w:sz w:val="16"/>
                <w:lang w:val="fr-FR"/>
              </w:rPr>
            </w:pPr>
            <w:r w:rsidRPr="008725ED">
              <w:rPr>
                <w:i/>
                <w:sz w:val="16"/>
                <w:lang w:val="fr-FR"/>
              </w:rPr>
              <w:t>Aglaonema</w:t>
            </w:r>
            <w:r w:rsidRPr="008725ED">
              <w:rPr>
                <w:sz w:val="16"/>
                <w:lang w:val="fr-FR"/>
              </w:rPr>
              <w:t xml:space="preserve"> Schott.</w:t>
            </w:r>
          </w:p>
        </w:tc>
      </w:tr>
      <w:tr w:rsidR="008725ED" w:rsidRPr="008725ED" w:rsidTr="001D6A9B">
        <w:trPr>
          <w:cantSplit/>
        </w:trPr>
        <w:tc>
          <w:tcPr>
            <w:tcW w:w="603" w:type="dxa"/>
            <w:tcBorders>
              <w:top w:val="single" w:sz="4" w:space="0" w:color="auto"/>
              <w:left w:val="single" w:sz="4" w:space="0" w:color="auto"/>
              <w:bottom w:val="single" w:sz="4" w:space="0" w:color="auto"/>
              <w:right w:val="single" w:sz="4" w:space="0" w:color="auto"/>
            </w:tcBorders>
            <w:noWrap/>
            <w:hideMark/>
          </w:tcPr>
          <w:p w:rsidR="00D87DB7" w:rsidRPr="008725ED" w:rsidRDefault="00D87DB7" w:rsidP="001D6A9B">
            <w:pPr>
              <w:keepNext/>
              <w:rPr>
                <w:sz w:val="16"/>
                <w:lang w:val="fr-FR"/>
              </w:rPr>
            </w:pPr>
            <w:r w:rsidRPr="008725ED">
              <w:rPr>
                <w:sz w:val="16"/>
                <w:lang w:val="fr-FR"/>
              </w:rPr>
              <w:t>KE/BR</w:t>
            </w:r>
          </w:p>
        </w:tc>
        <w:tc>
          <w:tcPr>
            <w:tcW w:w="546" w:type="dxa"/>
            <w:tcBorders>
              <w:top w:val="single" w:sz="4" w:space="0" w:color="auto"/>
              <w:left w:val="nil"/>
              <w:bottom w:val="single" w:sz="4" w:space="0" w:color="auto"/>
              <w:right w:val="single" w:sz="4" w:space="0" w:color="auto"/>
            </w:tcBorders>
            <w:hideMark/>
          </w:tcPr>
          <w:p w:rsidR="00D87DB7" w:rsidRPr="008725ED" w:rsidRDefault="00D87DB7" w:rsidP="001D6A9B">
            <w:pPr>
              <w:keepNext/>
              <w:jc w:val="center"/>
              <w:rPr>
                <w:sz w:val="16"/>
                <w:lang w:val="fr-FR"/>
              </w:rPr>
            </w:pPr>
            <w:r w:rsidRPr="008725ED">
              <w:rPr>
                <w:sz w:val="16"/>
                <w:lang w:val="fr-FR"/>
              </w:rPr>
              <w:t>TWA/ TWV</w:t>
            </w:r>
          </w:p>
        </w:tc>
        <w:tc>
          <w:tcPr>
            <w:tcW w:w="1596" w:type="dxa"/>
            <w:tcBorders>
              <w:top w:val="single" w:sz="4" w:space="0" w:color="auto"/>
              <w:left w:val="nil"/>
              <w:bottom w:val="single" w:sz="4" w:space="0" w:color="auto"/>
              <w:right w:val="single" w:sz="4" w:space="0" w:color="auto"/>
            </w:tcBorders>
            <w:hideMark/>
          </w:tcPr>
          <w:p w:rsidR="00D87DB7" w:rsidRPr="008725ED" w:rsidRDefault="00D87DB7" w:rsidP="001D6A9B">
            <w:pPr>
              <w:keepNext/>
              <w:jc w:val="left"/>
              <w:rPr>
                <w:sz w:val="16"/>
                <w:lang w:val="fr-FR"/>
              </w:rPr>
            </w:pPr>
            <w:r w:rsidRPr="008725ED">
              <w:rPr>
                <w:sz w:val="16"/>
                <w:lang w:val="fr-FR"/>
              </w:rPr>
              <w:t>TG/CASSAV(proj.8)</w:t>
            </w:r>
          </w:p>
        </w:tc>
        <w:tc>
          <w:tcPr>
            <w:tcW w:w="1416" w:type="dxa"/>
            <w:tcBorders>
              <w:top w:val="single" w:sz="4" w:space="0" w:color="auto"/>
              <w:left w:val="nil"/>
              <w:bottom w:val="single" w:sz="4" w:space="0" w:color="auto"/>
              <w:right w:val="single" w:sz="4" w:space="0" w:color="auto"/>
            </w:tcBorders>
            <w:hideMark/>
          </w:tcPr>
          <w:p w:rsidR="00D87DB7" w:rsidRPr="008725ED" w:rsidRDefault="00D87DB7" w:rsidP="001D6A9B">
            <w:pPr>
              <w:keepNext/>
              <w:jc w:val="left"/>
              <w:rPr>
                <w:sz w:val="16"/>
                <w:lang w:val="fr-FR"/>
              </w:rPr>
            </w:pPr>
            <w:r w:rsidRPr="008725ED">
              <w:rPr>
                <w:sz w:val="16"/>
                <w:lang w:val="fr-FR"/>
              </w:rPr>
              <w:t>Cassava</w:t>
            </w:r>
          </w:p>
        </w:tc>
        <w:tc>
          <w:tcPr>
            <w:tcW w:w="1417" w:type="dxa"/>
            <w:tcBorders>
              <w:top w:val="single" w:sz="4" w:space="0" w:color="auto"/>
              <w:left w:val="nil"/>
              <w:bottom w:val="single" w:sz="4" w:space="0" w:color="auto"/>
              <w:right w:val="single" w:sz="4" w:space="0" w:color="auto"/>
            </w:tcBorders>
            <w:hideMark/>
          </w:tcPr>
          <w:p w:rsidR="00D87DB7" w:rsidRPr="008725ED" w:rsidRDefault="00D87DB7" w:rsidP="001D6A9B">
            <w:pPr>
              <w:keepNext/>
              <w:jc w:val="left"/>
              <w:rPr>
                <w:sz w:val="16"/>
                <w:lang w:val="fr-FR"/>
              </w:rPr>
            </w:pPr>
            <w:r w:rsidRPr="008725ED">
              <w:rPr>
                <w:sz w:val="16"/>
                <w:lang w:val="fr-FR"/>
              </w:rPr>
              <w:t>Manioc</w:t>
            </w:r>
          </w:p>
        </w:tc>
        <w:tc>
          <w:tcPr>
            <w:tcW w:w="1416" w:type="dxa"/>
            <w:tcBorders>
              <w:top w:val="single" w:sz="4" w:space="0" w:color="auto"/>
              <w:left w:val="nil"/>
              <w:bottom w:val="single" w:sz="4" w:space="0" w:color="auto"/>
              <w:right w:val="single" w:sz="4" w:space="0" w:color="auto"/>
            </w:tcBorders>
            <w:hideMark/>
          </w:tcPr>
          <w:p w:rsidR="00D87DB7" w:rsidRPr="008725ED" w:rsidRDefault="00D87DB7" w:rsidP="001D6A9B">
            <w:pPr>
              <w:keepNext/>
              <w:jc w:val="left"/>
              <w:rPr>
                <w:sz w:val="16"/>
                <w:lang w:val="fr-FR"/>
              </w:rPr>
            </w:pPr>
            <w:r w:rsidRPr="008725ED">
              <w:rPr>
                <w:sz w:val="16"/>
                <w:lang w:val="fr-FR"/>
              </w:rPr>
              <w:t>Maniok</w:t>
            </w:r>
          </w:p>
        </w:tc>
        <w:tc>
          <w:tcPr>
            <w:tcW w:w="1417" w:type="dxa"/>
            <w:tcBorders>
              <w:top w:val="single" w:sz="4" w:space="0" w:color="auto"/>
              <w:left w:val="nil"/>
              <w:bottom w:val="single" w:sz="4" w:space="0" w:color="auto"/>
              <w:right w:val="single" w:sz="4" w:space="0" w:color="auto"/>
            </w:tcBorders>
            <w:hideMark/>
          </w:tcPr>
          <w:p w:rsidR="00D87DB7" w:rsidRPr="008725ED" w:rsidRDefault="00D87DB7" w:rsidP="001D6A9B">
            <w:pPr>
              <w:keepNext/>
              <w:jc w:val="left"/>
              <w:rPr>
                <w:sz w:val="16"/>
                <w:lang w:val="fr-FR"/>
              </w:rPr>
            </w:pPr>
            <w:r w:rsidRPr="008725ED">
              <w:rPr>
                <w:sz w:val="16"/>
                <w:lang w:val="fr-FR"/>
              </w:rPr>
              <w:t>Mandioca, Yuca</w:t>
            </w:r>
          </w:p>
        </w:tc>
        <w:tc>
          <w:tcPr>
            <w:tcW w:w="1796" w:type="dxa"/>
            <w:tcBorders>
              <w:top w:val="single" w:sz="4" w:space="0" w:color="auto"/>
              <w:left w:val="nil"/>
              <w:bottom w:val="single" w:sz="4" w:space="0" w:color="auto"/>
              <w:right w:val="single" w:sz="4" w:space="0" w:color="auto"/>
            </w:tcBorders>
            <w:hideMark/>
          </w:tcPr>
          <w:p w:rsidR="00D87DB7" w:rsidRPr="008725ED" w:rsidRDefault="00D87DB7" w:rsidP="001D6A9B">
            <w:pPr>
              <w:keepNext/>
              <w:jc w:val="left"/>
              <w:rPr>
                <w:sz w:val="16"/>
                <w:lang w:val="fr-FR"/>
              </w:rPr>
            </w:pPr>
            <w:r w:rsidRPr="008725ED">
              <w:rPr>
                <w:i/>
                <w:sz w:val="16"/>
                <w:lang w:val="fr-FR"/>
              </w:rPr>
              <w:t>Manihot esculenta</w:t>
            </w:r>
            <w:r w:rsidRPr="008725ED">
              <w:rPr>
                <w:sz w:val="16"/>
                <w:lang w:val="fr-FR"/>
              </w:rPr>
              <w:t xml:space="preserve"> Crantz</w:t>
            </w:r>
          </w:p>
        </w:tc>
      </w:tr>
      <w:tr w:rsidR="008725ED" w:rsidRPr="008725ED" w:rsidTr="001D6A9B">
        <w:trPr>
          <w:cantSplit/>
        </w:trPr>
        <w:tc>
          <w:tcPr>
            <w:tcW w:w="603" w:type="dxa"/>
            <w:tcBorders>
              <w:top w:val="single" w:sz="4" w:space="0" w:color="auto"/>
              <w:left w:val="single" w:sz="4" w:space="0" w:color="auto"/>
              <w:bottom w:val="single" w:sz="4" w:space="0" w:color="auto"/>
              <w:right w:val="single" w:sz="4" w:space="0" w:color="auto"/>
            </w:tcBorders>
            <w:noWrap/>
            <w:hideMark/>
          </w:tcPr>
          <w:p w:rsidR="00D87DB7" w:rsidRPr="008725ED" w:rsidRDefault="00D87DB7" w:rsidP="001D6A9B">
            <w:pPr>
              <w:rPr>
                <w:sz w:val="16"/>
                <w:lang w:val="fr-FR"/>
              </w:rPr>
            </w:pPr>
            <w:r w:rsidRPr="008725ED">
              <w:rPr>
                <w:sz w:val="16"/>
                <w:lang w:val="fr-FR"/>
              </w:rPr>
              <w:t>PL</w:t>
            </w:r>
          </w:p>
        </w:tc>
        <w:tc>
          <w:tcPr>
            <w:tcW w:w="546" w:type="dxa"/>
            <w:tcBorders>
              <w:top w:val="single" w:sz="4" w:space="0" w:color="auto"/>
              <w:left w:val="nil"/>
              <w:bottom w:val="single" w:sz="4" w:space="0" w:color="auto"/>
              <w:right w:val="single" w:sz="4" w:space="0" w:color="auto"/>
            </w:tcBorders>
            <w:hideMark/>
          </w:tcPr>
          <w:p w:rsidR="00D87DB7" w:rsidRPr="008725ED" w:rsidRDefault="00D87DB7" w:rsidP="001D6A9B">
            <w:pPr>
              <w:jc w:val="center"/>
              <w:rPr>
                <w:sz w:val="16"/>
                <w:lang w:val="fr-FR"/>
              </w:rPr>
            </w:pPr>
            <w:r w:rsidRPr="008725ED">
              <w:rPr>
                <w:sz w:val="16"/>
                <w:lang w:val="fr-FR"/>
              </w:rPr>
              <w:t>TWA</w:t>
            </w:r>
          </w:p>
        </w:tc>
        <w:tc>
          <w:tcPr>
            <w:tcW w:w="1596"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TG/PHACE(proj.6)</w:t>
            </w:r>
          </w:p>
        </w:tc>
        <w:tc>
          <w:tcPr>
            <w:tcW w:w="1416"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Scorpion Weed</w:t>
            </w:r>
          </w:p>
        </w:tc>
        <w:tc>
          <w:tcPr>
            <w:tcW w:w="1417"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Phacélie à feuilles de tanaisie</w:t>
            </w:r>
          </w:p>
        </w:tc>
        <w:tc>
          <w:tcPr>
            <w:tcW w:w="1416"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Phazelie</w:t>
            </w:r>
          </w:p>
        </w:tc>
        <w:tc>
          <w:tcPr>
            <w:tcW w:w="1417"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Phazelia</w:t>
            </w:r>
          </w:p>
        </w:tc>
        <w:tc>
          <w:tcPr>
            <w:tcW w:w="1796"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i/>
                <w:sz w:val="16"/>
                <w:lang w:val="fr-FR"/>
              </w:rPr>
              <w:t>Phacelia tanacetifolia</w:t>
            </w:r>
            <w:r w:rsidRPr="008725ED">
              <w:rPr>
                <w:sz w:val="16"/>
                <w:lang w:val="fr-FR"/>
              </w:rPr>
              <w:t xml:space="preserve"> Benth.</w:t>
            </w:r>
          </w:p>
        </w:tc>
      </w:tr>
      <w:tr w:rsidR="008725ED" w:rsidRPr="008725ED" w:rsidTr="001D6A9B">
        <w:trPr>
          <w:cantSplit/>
        </w:trPr>
        <w:tc>
          <w:tcPr>
            <w:tcW w:w="603" w:type="dxa"/>
            <w:tcBorders>
              <w:top w:val="single" w:sz="4" w:space="0" w:color="auto"/>
              <w:left w:val="single" w:sz="4" w:space="0" w:color="auto"/>
              <w:bottom w:val="single" w:sz="4" w:space="0" w:color="auto"/>
              <w:right w:val="single" w:sz="4" w:space="0" w:color="auto"/>
            </w:tcBorders>
            <w:noWrap/>
            <w:hideMark/>
          </w:tcPr>
          <w:p w:rsidR="00D87DB7" w:rsidRPr="008725ED" w:rsidRDefault="00D87DB7" w:rsidP="001D6A9B">
            <w:pPr>
              <w:keepNext/>
              <w:rPr>
                <w:sz w:val="16"/>
                <w:lang w:val="fr-FR"/>
              </w:rPr>
            </w:pPr>
            <w:r w:rsidRPr="008725ED">
              <w:rPr>
                <w:sz w:val="16"/>
                <w:lang w:val="fr-FR"/>
              </w:rPr>
              <w:t>BR</w:t>
            </w:r>
          </w:p>
        </w:tc>
        <w:tc>
          <w:tcPr>
            <w:tcW w:w="546" w:type="dxa"/>
            <w:tcBorders>
              <w:top w:val="single" w:sz="4" w:space="0" w:color="auto"/>
              <w:left w:val="nil"/>
              <w:bottom w:val="single" w:sz="4" w:space="0" w:color="auto"/>
              <w:right w:val="single" w:sz="4" w:space="0" w:color="auto"/>
            </w:tcBorders>
            <w:hideMark/>
          </w:tcPr>
          <w:p w:rsidR="00D87DB7" w:rsidRPr="008725ED" w:rsidRDefault="00D87DB7" w:rsidP="001D6A9B">
            <w:pPr>
              <w:keepNext/>
              <w:jc w:val="center"/>
              <w:rPr>
                <w:sz w:val="16"/>
                <w:lang w:val="fr-FR"/>
              </w:rPr>
            </w:pPr>
            <w:r w:rsidRPr="008725ED">
              <w:rPr>
                <w:sz w:val="16"/>
                <w:lang w:val="fr-FR"/>
              </w:rPr>
              <w:t>TWA</w:t>
            </w:r>
          </w:p>
        </w:tc>
        <w:tc>
          <w:tcPr>
            <w:tcW w:w="1596" w:type="dxa"/>
            <w:tcBorders>
              <w:top w:val="single" w:sz="4" w:space="0" w:color="auto"/>
              <w:left w:val="nil"/>
              <w:bottom w:val="single" w:sz="4" w:space="0" w:color="auto"/>
              <w:right w:val="single" w:sz="4" w:space="0" w:color="auto"/>
            </w:tcBorders>
            <w:hideMark/>
          </w:tcPr>
          <w:p w:rsidR="00D87DB7" w:rsidRPr="008725ED" w:rsidRDefault="00D87DB7" w:rsidP="001D6A9B">
            <w:pPr>
              <w:keepNext/>
              <w:jc w:val="left"/>
              <w:rPr>
                <w:sz w:val="16"/>
                <w:lang w:val="fr-FR"/>
              </w:rPr>
            </w:pPr>
            <w:r w:rsidRPr="008725ED">
              <w:rPr>
                <w:sz w:val="16"/>
                <w:lang w:val="fr-FR"/>
              </w:rPr>
              <w:t>TG/UROCH(proj.11)</w:t>
            </w:r>
          </w:p>
        </w:tc>
        <w:tc>
          <w:tcPr>
            <w:tcW w:w="1416" w:type="dxa"/>
            <w:tcBorders>
              <w:top w:val="single" w:sz="4" w:space="0" w:color="auto"/>
              <w:left w:val="nil"/>
              <w:bottom w:val="single" w:sz="4" w:space="0" w:color="auto"/>
              <w:right w:val="single" w:sz="4" w:space="0" w:color="auto"/>
            </w:tcBorders>
            <w:hideMark/>
          </w:tcPr>
          <w:p w:rsidR="00D87DB7" w:rsidRPr="008725ED" w:rsidRDefault="00D87DB7" w:rsidP="001D6A9B">
            <w:pPr>
              <w:keepNext/>
              <w:jc w:val="left"/>
              <w:rPr>
                <w:sz w:val="16"/>
                <w:lang w:val="fr-FR"/>
              </w:rPr>
            </w:pPr>
            <w:r w:rsidRPr="008725ED">
              <w:rPr>
                <w:sz w:val="16"/>
                <w:lang w:val="fr-FR"/>
              </w:rPr>
              <w:t>Bread Grass, Palisade Grass, Palisade Signal Grass, Signal Grass;  Basilisk Signal Grass, Signal Grass, Spreading Liverseed Grass, Surinam Grass; Creeping Signal Grass, Koronivia Grass; Congo Grass, Congo Signal Grass, Ruzi Grass</w:t>
            </w:r>
          </w:p>
        </w:tc>
        <w:tc>
          <w:tcPr>
            <w:tcW w:w="1417" w:type="dxa"/>
            <w:tcBorders>
              <w:top w:val="single" w:sz="4" w:space="0" w:color="auto"/>
              <w:left w:val="nil"/>
              <w:bottom w:val="single" w:sz="4" w:space="0" w:color="auto"/>
              <w:right w:val="single" w:sz="4" w:space="0" w:color="auto"/>
            </w:tcBorders>
            <w:hideMark/>
          </w:tcPr>
          <w:p w:rsidR="00D87DB7" w:rsidRPr="008725ED" w:rsidRDefault="00D87DB7" w:rsidP="001D6A9B">
            <w:pPr>
              <w:keepNext/>
              <w:jc w:val="left"/>
              <w:rPr>
                <w:sz w:val="16"/>
                <w:lang w:val="fr-FR"/>
              </w:rPr>
            </w:pPr>
            <w:r w:rsidRPr="008725ED">
              <w:rPr>
                <w:sz w:val="16"/>
                <w:lang w:val="fr-FR"/>
              </w:rPr>
              <w:t>Signal; Koronivia;</w:t>
            </w:r>
          </w:p>
        </w:tc>
        <w:tc>
          <w:tcPr>
            <w:tcW w:w="1416" w:type="dxa"/>
            <w:tcBorders>
              <w:top w:val="single" w:sz="4" w:space="0" w:color="auto"/>
              <w:left w:val="nil"/>
              <w:bottom w:val="single" w:sz="4" w:space="0" w:color="auto"/>
              <w:right w:val="single" w:sz="4" w:space="0" w:color="auto"/>
            </w:tcBorders>
            <w:hideMark/>
          </w:tcPr>
          <w:p w:rsidR="00D87DB7" w:rsidRPr="008725ED" w:rsidRDefault="00D87DB7" w:rsidP="001D6A9B">
            <w:pPr>
              <w:keepNext/>
              <w:jc w:val="left"/>
              <w:rPr>
                <w:sz w:val="16"/>
                <w:lang w:val="fr-FR"/>
              </w:rPr>
            </w:pPr>
            <w:r w:rsidRPr="008725ED">
              <w:rPr>
                <w:sz w:val="16"/>
                <w:lang w:val="fr-FR"/>
              </w:rPr>
              <w:t>Palisadengras; Surinamgras;</w:t>
            </w:r>
          </w:p>
        </w:tc>
        <w:tc>
          <w:tcPr>
            <w:tcW w:w="1417" w:type="dxa"/>
            <w:tcBorders>
              <w:top w:val="single" w:sz="4" w:space="0" w:color="auto"/>
              <w:left w:val="nil"/>
              <w:bottom w:val="single" w:sz="4" w:space="0" w:color="auto"/>
              <w:right w:val="single" w:sz="4" w:space="0" w:color="auto"/>
            </w:tcBorders>
            <w:hideMark/>
          </w:tcPr>
          <w:p w:rsidR="00D87DB7" w:rsidRPr="008725ED" w:rsidRDefault="00D87DB7" w:rsidP="001D6A9B">
            <w:pPr>
              <w:keepNext/>
              <w:jc w:val="left"/>
              <w:rPr>
                <w:sz w:val="16"/>
                <w:lang w:val="fr-FR"/>
              </w:rPr>
            </w:pPr>
            <w:r w:rsidRPr="008725ED">
              <w:rPr>
                <w:sz w:val="16"/>
                <w:lang w:val="fr-FR"/>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1796" w:type="dxa"/>
            <w:tcBorders>
              <w:top w:val="single" w:sz="4" w:space="0" w:color="auto"/>
              <w:left w:val="nil"/>
              <w:bottom w:val="single" w:sz="4" w:space="0" w:color="auto"/>
              <w:right w:val="single" w:sz="4" w:space="0" w:color="auto"/>
            </w:tcBorders>
            <w:hideMark/>
          </w:tcPr>
          <w:p w:rsidR="00D87DB7" w:rsidRPr="008725ED" w:rsidRDefault="00D87DB7" w:rsidP="001D6A9B">
            <w:pPr>
              <w:keepNext/>
              <w:jc w:val="left"/>
              <w:rPr>
                <w:sz w:val="16"/>
                <w:lang w:val="fr-FR"/>
              </w:rPr>
            </w:pPr>
            <w:r w:rsidRPr="008725ED">
              <w:rPr>
                <w:i/>
                <w:sz w:val="16"/>
                <w:lang w:val="fr-FR"/>
              </w:rPr>
              <w:t>Urochloa brizantha</w:t>
            </w:r>
            <w:r w:rsidRPr="008725ED">
              <w:rPr>
                <w:sz w:val="16"/>
                <w:lang w:val="fr-FR"/>
              </w:rPr>
              <w:t xml:space="preserve"> (Hochst. ex A. Rich.) R. D. Webster (</w:t>
            </w:r>
            <w:r w:rsidRPr="008725ED">
              <w:rPr>
                <w:i/>
                <w:sz w:val="16"/>
                <w:lang w:val="fr-FR"/>
              </w:rPr>
              <w:t>Brachiaria brizantha</w:t>
            </w:r>
            <w:r w:rsidRPr="008725ED">
              <w:rPr>
                <w:sz w:val="16"/>
                <w:lang w:val="fr-FR"/>
              </w:rPr>
              <w:t xml:space="preserve"> (Hochst. ex A. Rich.) Stapf);  </w:t>
            </w:r>
            <w:r w:rsidRPr="008725ED">
              <w:rPr>
                <w:sz w:val="16"/>
                <w:lang w:val="fr-FR"/>
              </w:rPr>
              <w:br/>
            </w:r>
            <w:r w:rsidRPr="008725ED">
              <w:rPr>
                <w:i/>
                <w:sz w:val="16"/>
                <w:lang w:val="fr-FR"/>
              </w:rPr>
              <w:t>Urochloa decumbens</w:t>
            </w:r>
            <w:r w:rsidRPr="008725ED">
              <w:rPr>
                <w:sz w:val="16"/>
                <w:lang w:val="fr-FR"/>
              </w:rPr>
              <w:t xml:space="preserve"> (Stapf) R. D. Webster (</w:t>
            </w:r>
            <w:r w:rsidRPr="008725ED">
              <w:rPr>
                <w:i/>
                <w:sz w:val="16"/>
                <w:lang w:val="fr-FR"/>
              </w:rPr>
              <w:t>Brachiaria decumbens</w:t>
            </w:r>
            <w:r w:rsidRPr="008725ED">
              <w:rPr>
                <w:sz w:val="16"/>
                <w:lang w:val="fr-FR"/>
              </w:rPr>
              <w:t xml:space="preserve"> Stapf); </w:t>
            </w:r>
            <w:r w:rsidRPr="008725ED">
              <w:rPr>
                <w:i/>
                <w:sz w:val="16"/>
                <w:lang w:val="fr-FR"/>
              </w:rPr>
              <w:t>Urochloa dictyoneura</w:t>
            </w:r>
            <w:r w:rsidRPr="008725ED">
              <w:rPr>
                <w:sz w:val="16"/>
                <w:lang w:val="fr-FR"/>
              </w:rPr>
              <w:t xml:space="preserve"> (Fig. &amp; De Not.) Veldkamp P. (</w:t>
            </w:r>
            <w:r w:rsidRPr="008725ED">
              <w:rPr>
                <w:i/>
                <w:sz w:val="16"/>
                <w:lang w:val="fr-FR"/>
              </w:rPr>
              <w:t>Brachiaria dictyoneura</w:t>
            </w:r>
            <w:r w:rsidRPr="008725ED">
              <w:rPr>
                <w:sz w:val="16"/>
                <w:lang w:val="fr-FR"/>
              </w:rPr>
              <w:t xml:space="preserve"> (Fig. &amp; De Not.) Veldkamp P.); </w:t>
            </w:r>
            <w:r w:rsidRPr="008725ED">
              <w:rPr>
                <w:i/>
                <w:sz w:val="16"/>
                <w:lang w:val="fr-FR"/>
              </w:rPr>
              <w:t>Urochloa humidicola</w:t>
            </w:r>
            <w:r w:rsidRPr="008725ED">
              <w:rPr>
                <w:sz w:val="16"/>
                <w:lang w:val="fr-FR"/>
              </w:rPr>
              <w:t xml:space="preserve"> (Rendle) Morrone &amp; Zuloaga (</w:t>
            </w:r>
            <w:r w:rsidRPr="008725ED">
              <w:rPr>
                <w:i/>
                <w:sz w:val="16"/>
                <w:lang w:val="fr-FR"/>
              </w:rPr>
              <w:t>Brachiaria humidicola</w:t>
            </w:r>
            <w:r w:rsidRPr="008725ED">
              <w:rPr>
                <w:sz w:val="16"/>
                <w:lang w:val="fr-FR"/>
              </w:rPr>
              <w:t xml:space="preserve"> (Rendle) Schweick.);  </w:t>
            </w:r>
            <w:r w:rsidRPr="008725ED">
              <w:rPr>
                <w:sz w:val="16"/>
                <w:lang w:val="fr-FR"/>
              </w:rPr>
              <w:br/>
            </w:r>
            <w:r w:rsidRPr="008725ED">
              <w:rPr>
                <w:i/>
                <w:sz w:val="16"/>
                <w:lang w:val="fr-FR"/>
              </w:rPr>
              <w:t>Urochloa ruziziensis</w:t>
            </w:r>
            <w:r w:rsidRPr="008725ED">
              <w:rPr>
                <w:sz w:val="16"/>
                <w:lang w:val="fr-FR"/>
              </w:rPr>
              <w:t xml:space="preserve"> (R. Germ. &amp; C. M. Evrard) Morrone &amp; Zuloaga (</w:t>
            </w:r>
            <w:r w:rsidRPr="008725ED">
              <w:rPr>
                <w:i/>
                <w:sz w:val="16"/>
                <w:lang w:val="fr-FR"/>
              </w:rPr>
              <w:t>Brachiaria ruziziensis</w:t>
            </w:r>
            <w:r w:rsidRPr="008725ED">
              <w:rPr>
                <w:sz w:val="16"/>
                <w:lang w:val="fr-FR"/>
              </w:rPr>
              <w:t xml:space="preserve"> R. Germ. &amp; C. M. Evrard)</w:t>
            </w:r>
          </w:p>
        </w:tc>
      </w:tr>
      <w:tr w:rsidR="008725ED" w:rsidRPr="008725ED" w:rsidTr="001D6A9B">
        <w:trPr>
          <w:cantSplit/>
        </w:trPr>
        <w:tc>
          <w:tcPr>
            <w:tcW w:w="10207" w:type="dxa"/>
            <w:gridSpan w:val="8"/>
            <w:tcBorders>
              <w:top w:val="nil"/>
              <w:left w:val="single" w:sz="4" w:space="0" w:color="auto"/>
              <w:bottom w:val="single" w:sz="4" w:space="0" w:color="auto"/>
              <w:right w:val="single" w:sz="4" w:space="0" w:color="auto"/>
            </w:tcBorders>
            <w:hideMark/>
          </w:tcPr>
          <w:p w:rsidR="00D87DB7" w:rsidRPr="008725ED" w:rsidRDefault="00D87DB7" w:rsidP="001D6A9B">
            <w:pPr>
              <w:keepNext/>
              <w:spacing w:before="40" w:after="40"/>
              <w:jc w:val="left"/>
              <w:rPr>
                <w:rFonts w:eastAsia="MS Mincho"/>
                <w:sz w:val="16"/>
                <w:u w:val="single"/>
                <w:lang w:val="fr-FR"/>
              </w:rPr>
            </w:pPr>
            <w:r w:rsidRPr="008725ED">
              <w:rPr>
                <w:b/>
                <w:sz w:val="16"/>
                <w:u w:val="single"/>
                <w:lang w:val="fr-FR"/>
              </w:rPr>
              <w:t> </w:t>
            </w:r>
            <w:r w:rsidRPr="008725ED">
              <w:rPr>
                <w:sz w:val="16"/>
                <w:u w:val="single"/>
                <w:lang w:val="fr-FR"/>
              </w:rPr>
              <w:t>REVISIONS OF TEST GUIDELINES / RÉVISIONS DE PRINCIPES DIRECTEURS D</w:t>
            </w:r>
            <w:r w:rsidR="00EF1779" w:rsidRPr="008725ED">
              <w:rPr>
                <w:sz w:val="16"/>
                <w:u w:val="single"/>
                <w:lang w:val="fr-FR"/>
              </w:rPr>
              <w:t>’</w:t>
            </w:r>
            <w:r w:rsidRPr="008725ED">
              <w:rPr>
                <w:sz w:val="16"/>
                <w:u w:val="single"/>
                <w:lang w:val="fr-FR"/>
              </w:rPr>
              <w:t>EXAMEN ADOPTÉS / REVISIONEN ANGENOMMENER PRÜFUNGSRICHTLINIEN / REVISIONES DE DIRECTRICES DE EXAMEN ADOPTADAS</w:t>
            </w:r>
          </w:p>
        </w:tc>
      </w:tr>
      <w:tr w:rsidR="008725ED" w:rsidRPr="008725ED" w:rsidTr="001D6A9B">
        <w:trPr>
          <w:cantSplit/>
        </w:trPr>
        <w:tc>
          <w:tcPr>
            <w:tcW w:w="603" w:type="dxa"/>
            <w:tcBorders>
              <w:top w:val="single" w:sz="4" w:space="0" w:color="auto"/>
              <w:left w:val="single" w:sz="4" w:space="0" w:color="auto"/>
              <w:bottom w:val="single" w:sz="4" w:space="0" w:color="auto"/>
              <w:right w:val="single" w:sz="4" w:space="0" w:color="auto"/>
            </w:tcBorders>
            <w:noWrap/>
            <w:hideMark/>
          </w:tcPr>
          <w:p w:rsidR="00D87DB7" w:rsidRPr="008725ED" w:rsidRDefault="00D87DB7" w:rsidP="001D6A9B">
            <w:pPr>
              <w:rPr>
                <w:sz w:val="16"/>
                <w:lang w:val="fr-FR"/>
              </w:rPr>
            </w:pPr>
            <w:r w:rsidRPr="008725ED">
              <w:rPr>
                <w:sz w:val="16"/>
                <w:lang w:val="fr-FR"/>
              </w:rPr>
              <w:t>FR</w:t>
            </w:r>
          </w:p>
        </w:tc>
        <w:tc>
          <w:tcPr>
            <w:tcW w:w="546" w:type="dxa"/>
            <w:tcBorders>
              <w:top w:val="single" w:sz="4" w:space="0" w:color="auto"/>
              <w:left w:val="nil"/>
              <w:bottom w:val="single" w:sz="4" w:space="0" w:color="auto"/>
              <w:right w:val="single" w:sz="4" w:space="0" w:color="auto"/>
            </w:tcBorders>
            <w:hideMark/>
          </w:tcPr>
          <w:p w:rsidR="00D87DB7" w:rsidRPr="008725ED" w:rsidRDefault="00D87DB7" w:rsidP="001D6A9B">
            <w:pPr>
              <w:rPr>
                <w:sz w:val="16"/>
                <w:lang w:val="fr-FR"/>
              </w:rPr>
            </w:pPr>
            <w:r w:rsidRPr="008725ED">
              <w:rPr>
                <w:sz w:val="16"/>
                <w:lang w:val="fr-FR"/>
              </w:rPr>
              <w:t>TWA</w:t>
            </w:r>
          </w:p>
        </w:tc>
        <w:tc>
          <w:tcPr>
            <w:tcW w:w="1596" w:type="dxa"/>
            <w:tcBorders>
              <w:top w:val="single" w:sz="4" w:space="0" w:color="auto"/>
              <w:left w:val="nil"/>
              <w:bottom w:val="single" w:sz="4" w:space="0" w:color="auto"/>
              <w:right w:val="single" w:sz="4" w:space="0" w:color="auto"/>
            </w:tcBorders>
            <w:hideMark/>
          </w:tcPr>
          <w:p w:rsidR="00D87DB7" w:rsidRPr="008725ED" w:rsidRDefault="00D87DB7" w:rsidP="001D6A9B">
            <w:pPr>
              <w:rPr>
                <w:sz w:val="16"/>
                <w:lang w:val="fr-FR"/>
              </w:rPr>
            </w:pPr>
            <w:r w:rsidRPr="008725ED">
              <w:rPr>
                <w:sz w:val="16"/>
                <w:lang w:val="fr-FR"/>
              </w:rPr>
              <w:t>TG/3/12(proj.7)</w:t>
            </w:r>
          </w:p>
        </w:tc>
        <w:tc>
          <w:tcPr>
            <w:tcW w:w="1416"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Wheat</w:t>
            </w:r>
          </w:p>
        </w:tc>
        <w:tc>
          <w:tcPr>
            <w:tcW w:w="1417"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Blé</w:t>
            </w:r>
          </w:p>
        </w:tc>
        <w:tc>
          <w:tcPr>
            <w:tcW w:w="1416"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Weizen</w:t>
            </w:r>
          </w:p>
        </w:tc>
        <w:tc>
          <w:tcPr>
            <w:tcW w:w="1417"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Trigo</w:t>
            </w:r>
          </w:p>
        </w:tc>
        <w:tc>
          <w:tcPr>
            <w:tcW w:w="1796"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i/>
                <w:sz w:val="16"/>
                <w:lang w:val="fr-FR"/>
              </w:rPr>
              <w:t>Triticum aestivum</w:t>
            </w:r>
            <w:r w:rsidRPr="008725ED">
              <w:rPr>
                <w:sz w:val="16"/>
                <w:lang w:val="fr-FR"/>
              </w:rPr>
              <w:t xml:space="preserve"> L.</w:t>
            </w:r>
          </w:p>
        </w:tc>
      </w:tr>
      <w:tr w:rsidR="008725ED" w:rsidRPr="008725ED" w:rsidTr="001D6A9B">
        <w:trPr>
          <w:cantSplit/>
        </w:trPr>
        <w:tc>
          <w:tcPr>
            <w:tcW w:w="603" w:type="dxa"/>
            <w:tcBorders>
              <w:top w:val="single" w:sz="4" w:space="0" w:color="auto"/>
              <w:left w:val="single" w:sz="4" w:space="0" w:color="auto"/>
              <w:bottom w:val="single" w:sz="4" w:space="0" w:color="auto"/>
              <w:right w:val="single" w:sz="4" w:space="0" w:color="auto"/>
            </w:tcBorders>
            <w:noWrap/>
            <w:hideMark/>
          </w:tcPr>
          <w:p w:rsidR="00D87DB7" w:rsidRPr="008725ED" w:rsidRDefault="00D87DB7" w:rsidP="001D6A9B">
            <w:pPr>
              <w:rPr>
                <w:sz w:val="16"/>
                <w:lang w:val="fr-FR"/>
              </w:rPr>
            </w:pPr>
            <w:r w:rsidRPr="008725ED">
              <w:rPr>
                <w:sz w:val="16"/>
                <w:lang w:val="fr-FR"/>
              </w:rPr>
              <w:t>NL</w:t>
            </w:r>
          </w:p>
        </w:tc>
        <w:tc>
          <w:tcPr>
            <w:tcW w:w="546" w:type="dxa"/>
            <w:tcBorders>
              <w:top w:val="single" w:sz="4" w:space="0" w:color="auto"/>
              <w:left w:val="nil"/>
              <w:bottom w:val="single" w:sz="4" w:space="0" w:color="auto"/>
              <w:right w:val="single" w:sz="4" w:space="0" w:color="auto"/>
            </w:tcBorders>
            <w:hideMark/>
          </w:tcPr>
          <w:p w:rsidR="00D87DB7" w:rsidRPr="008725ED" w:rsidRDefault="00D87DB7" w:rsidP="001D6A9B">
            <w:pPr>
              <w:rPr>
                <w:sz w:val="16"/>
                <w:lang w:val="fr-FR"/>
              </w:rPr>
            </w:pPr>
            <w:r w:rsidRPr="008725ED">
              <w:rPr>
                <w:sz w:val="16"/>
                <w:lang w:val="fr-FR"/>
              </w:rPr>
              <w:t>TWV</w:t>
            </w:r>
          </w:p>
        </w:tc>
        <w:tc>
          <w:tcPr>
            <w:tcW w:w="1596" w:type="dxa"/>
            <w:tcBorders>
              <w:top w:val="single" w:sz="4" w:space="0" w:color="auto"/>
              <w:left w:val="nil"/>
              <w:bottom w:val="single" w:sz="4" w:space="0" w:color="auto"/>
              <w:right w:val="single" w:sz="4" w:space="0" w:color="auto"/>
            </w:tcBorders>
            <w:hideMark/>
          </w:tcPr>
          <w:p w:rsidR="00D87DB7" w:rsidRPr="008725ED" w:rsidRDefault="00D87DB7" w:rsidP="001D6A9B">
            <w:pPr>
              <w:rPr>
                <w:sz w:val="16"/>
                <w:lang w:val="fr-FR"/>
              </w:rPr>
            </w:pPr>
            <w:r w:rsidRPr="008725ED">
              <w:rPr>
                <w:sz w:val="16"/>
                <w:lang w:val="fr-FR"/>
              </w:rPr>
              <w:t>TG/13/11(proj.5)</w:t>
            </w:r>
          </w:p>
        </w:tc>
        <w:tc>
          <w:tcPr>
            <w:tcW w:w="1416"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Lettuce</w:t>
            </w:r>
          </w:p>
        </w:tc>
        <w:tc>
          <w:tcPr>
            <w:tcW w:w="1417"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Laitue</w:t>
            </w:r>
          </w:p>
        </w:tc>
        <w:tc>
          <w:tcPr>
            <w:tcW w:w="1416"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Salat</w:t>
            </w:r>
          </w:p>
        </w:tc>
        <w:tc>
          <w:tcPr>
            <w:tcW w:w="1417"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Lechuga</w:t>
            </w:r>
          </w:p>
        </w:tc>
        <w:tc>
          <w:tcPr>
            <w:tcW w:w="1796"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i/>
                <w:sz w:val="16"/>
                <w:lang w:val="fr-FR"/>
              </w:rPr>
              <w:t>Lactuca sativa</w:t>
            </w:r>
            <w:r w:rsidRPr="008725ED">
              <w:rPr>
                <w:sz w:val="16"/>
                <w:lang w:val="fr-FR"/>
              </w:rPr>
              <w:t xml:space="preserve"> L.</w:t>
            </w:r>
          </w:p>
        </w:tc>
      </w:tr>
      <w:tr w:rsidR="008725ED" w:rsidRPr="008725ED" w:rsidTr="001D6A9B">
        <w:trPr>
          <w:cantSplit/>
        </w:trPr>
        <w:tc>
          <w:tcPr>
            <w:tcW w:w="603" w:type="dxa"/>
            <w:tcBorders>
              <w:top w:val="single" w:sz="4" w:space="0" w:color="auto"/>
              <w:left w:val="single" w:sz="4" w:space="0" w:color="auto"/>
              <w:bottom w:val="single" w:sz="4" w:space="0" w:color="auto"/>
              <w:right w:val="single" w:sz="4" w:space="0" w:color="auto"/>
            </w:tcBorders>
            <w:noWrap/>
            <w:hideMark/>
          </w:tcPr>
          <w:p w:rsidR="00D87DB7" w:rsidRPr="008725ED" w:rsidRDefault="00D87DB7" w:rsidP="001D6A9B">
            <w:pPr>
              <w:rPr>
                <w:sz w:val="16"/>
                <w:lang w:val="fr-FR"/>
              </w:rPr>
            </w:pPr>
            <w:r w:rsidRPr="008725ED">
              <w:rPr>
                <w:sz w:val="16"/>
                <w:lang w:val="fr-FR"/>
              </w:rPr>
              <w:t>NL</w:t>
            </w:r>
          </w:p>
        </w:tc>
        <w:tc>
          <w:tcPr>
            <w:tcW w:w="546" w:type="dxa"/>
            <w:tcBorders>
              <w:top w:val="single" w:sz="4" w:space="0" w:color="auto"/>
              <w:left w:val="nil"/>
              <w:bottom w:val="single" w:sz="4" w:space="0" w:color="auto"/>
              <w:right w:val="single" w:sz="4" w:space="0" w:color="auto"/>
            </w:tcBorders>
            <w:hideMark/>
          </w:tcPr>
          <w:p w:rsidR="00D87DB7" w:rsidRPr="008725ED" w:rsidRDefault="00D87DB7" w:rsidP="001D6A9B">
            <w:pPr>
              <w:rPr>
                <w:sz w:val="16"/>
                <w:lang w:val="fr-FR"/>
              </w:rPr>
            </w:pPr>
            <w:r w:rsidRPr="008725ED">
              <w:rPr>
                <w:sz w:val="16"/>
                <w:lang w:val="fr-FR"/>
              </w:rPr>
              <w:t>TWO</w:t>
            </w:r>
          </w:p>
        </w:tc>
        <w:tc>
          <w:tcPr>
            <w:tcW w:w="1596" w:type="dxa"/>
            <w:tcBorders>
              <w:top w:val="single" w:sz="4" w:space="0" w:color="auto"/>
              <w:left w:val="nil"/>
              <w:bottom w:val="single" w:sz="4" w:space="0" w:color="auto"/>
              <w:right w:val="single" w:sz="4" w:space="0" w:color="auto"/>
            </w:tcBorders>
            <w:hideMark/>
          </w:tcPr>
          <w:p w:rsidR="00D87DB7" w:rsidRPr="008725ED" w:rsidRDefault="00D87DB7" w:rsidP="001D6A9B">
            <w:pPr>
              <w:rPr>
                <w:sz w:val="16"/>
                <w:lang w:val="fr-FR"/>
              </w:rPr>
            </w:pPr>
            <w:r w:rsidRPr="008725ED">
              <w:rPr>
                <w:sz w:val="16"/>
                <w:lang w:val="fr-FR"/>
              </w:rPr>
              <w:t>TG/27/7(proj.5)</w:t>
            </w:r>
          </w:p>
        </w:tc>
        <w:tc>
          <w:tcPr>
            <w:tcW w:w="1416"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 xml:space="preserve">Freesia </w:t>
            </w:r>
          </w:p>
        </w:tc>
        <w:tc>
          <w:tcPr>
            <w:tcW w:w="1417"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Freesia</w:t>
            </w:r>
          </w:p>
        </w:tc>
        <w:tc>
          <w:tcPr>
            <w:tcW w:w="1416"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Freesie</w:t>
            </w:r>
          </w:p>
        </w:tc>
        <w:tc>
          <w:tcPr>
            <w:tcW w:w="1417"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 xml:space="preserve">Fresia </w:t>
            </w:r>
          </w:p>
        </w:tc>
        <w:tc>
          <w:tcPr>
            <w:tcW w:w="1796"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i/>
                <w:sz w:val="16"/>
                <w:lang w:val="fr-FR"/>
              </w:rPr>
              <w:t>Freesia</w:t>
            </w:r>
            <w:r w:rsidRPr="008725ED">
              <w:rPr>
                <w:sz w:val="16"/>
                <w:lang w:val="fr-FR"/>
              </w:rPr>
              <w:t xml:space="preserve"> Eckl. ex Klatt</w:t>
            </w:r>
          </w:p>
        </w:tc>
      </w:tr>
      <w:tr w:rsidR="008725ED" w:rsidRPr="008725ED" w:rsidTr="001D6A9B">
        <w:trPr>
          <w:cantSplit/>
        </w:trPr>
        <w:tc>
          <w:tcPr>
            <w:tcW w:w="603" w:type="dxa"/>
            <w:tcBorders>
              <w:top w:val="single" w:sz="4" w:space="0" w:color="auto"/>
              <w:left w:val="single" w:sz="4" w:space="0" w:color="auto"/>
              <w:bottom w:val="single" w:sz="4" w:space="0" w:color="auto"/>
              <w:right w:val="single" w:sz="4" w:space="0" w:color="auto"/>
            </w:tcBorders>
            <w:noWrap/>
            <w:hideMark/>
          </w:tcPr>
          <w:p w:rsidR="00D87DB7" w:rsidRPr="008725ED" w:rsidRDefault="00D87DB7" w:rsidP="001D6A9B">
            <w:pPr>
              <w:rPr>
                <w:sz w:val="16"/>
                <w:lang w:val="fr-FR"/>
              </w:rPr>
            </w:pPr>
            <w:r w:rsidRPr="008725ED">
              <w:rPr>
                <w:sz w:val="16"/>
                <w:lang w:val="fr-FR"/>
              </w:rPr>
              <w:t>JP</w:t>
            </w:r>
          </w:p>
        </w:tc>
        <w:tc>
          <w:tcPr>
            <w:tcW w:w="546" w:type="dxa"/>
            <w:tcBorders>
              <w:top w:val="single" w:sz="4" w:space="0" w:color="auto"/>
              <w:left w:val="nil"/>
              <w:bottom w:val="single" w:sz="4" w:space="0" w:color="auto"/>
              <w:right w:val="single" w:sz="4" w:space="0" w:color="auto"/>
            </w:tcBorders>
            <w:hideMark/>
          </w:tcPr>
          <w:p w:rsidR="00D87DB7" w:rsidRPr="008725ED" w:rsidRDefault="00D87DB7" w:rsidP="001D6A9B">
            <w:pPr>
              <w:rPr>
                <w:sz w:val="16"/>
                <w:lang w:val="fr-FR"/>
              </w:rPr>
            </w:pPr>
            <w:r w:rsidRPr="008725ED">
              <w:rPr>
                <w:sz w:val="16"/>
                <w:lang w:val="fr-FR"/>
              </w:rPr>
              <w:t>TWF</w:t>
            </w:r>
          </w:p>
        </w:tc>
        <w:tc>
          <w:tcPr>
            <w:tcW w:w="1596" w:type="dxa"/>
            <w:tcBorders>
              <w:top w:val="single" w:sz="4" w:space="0" w:color="auto"/>
              <w:left w:val="nil"/>
              <w:bottom w:val="single" w:sz="4" w:space="0" w:color="auto"/>
              <w:right w:val="single" w:sz="4" w:space="0" w:color="auto"/>
            </w:tcBorders>
            <w:hideMark/>
          </w:tcPr>
          <w:p w:rsidR="00D87DB7" w:rsidRPr="008725ED" w:rsidRDefault="00D87DB7" w:rsidP="001D6A9B">
            <w:pPr>
              <w:rPr>
                <w:sz w:val="16"/>
                <w:lang w:val="fr-FR"/>
              </w:rPr>
            </w:pPr>
            <w:r w:rsidRPr="008725ED">
              <w:rPr>
                <w:sz w:val="16"/>
                <w:lang w:val="fr-FR"/>
              </w:rPr>
              <w:t>TG/124/4(proj.5)</w:t>
            </w:r>
          </w:p>
        </w:tc>
        <w:tc>
          <w:tcPr>
            <w:tcW w:w="1416"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Chestnut</w:t>
            </w:r>
          </w:p>
        </w:tc>
        <w:tc>
          <w:tcPr>
            <w:tcW w:w="1417"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Châtaignier</w:t>
            </w:r>
          </w:p>
        </w:tc>
        <w:tc>
          <w:tcPr>
            <w:tcW w:w="1416"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Kastanie</w:t>
            </w:r>
          </w:p>
        </w:tc>
        <w:tc>
          <w:tcPr>
            <w:tcW w:w="1417"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Castaño</w:t>
            </w:r>
          </w:p>
        </w:tc>
        <w:tc>
          <w:tcPr>
            <w:tcW w:w="1796"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i/>
                <w:sz w:val="16"/>
                <w:lang w:val="fr-FR"/>
              </w:rPr>
              <w:t>Castanea sativa</w:t>
            </w:r>
            <w:r w:rsidRPr="008725ED">
              <w:rPr>
                <w:sz w:val="16"/>
                <w:lang w:val="fr-FR"/>
              </w:rPr>
              <w:t xml:space="preserve"> Mill.</w:t>
            </w:r>
          </w:p>
        </w:tc>
      </w:tr>
      <w:tr w:rsidR="008725ED" w:rsidRPr="008725ED" w:rsidTr="001D6A9B">
        <w:trPr>
          <w:cantSplit/>
        </w:trPr>
        <w:tc>
          <w:tcPr>
            <w:tcW w:w="603" w:type="dxa"/>
            <w:tcBorders>
              <w:top w:val="single" w:sz="4" w:space="0" w:color="auto"/>
              <w:left w:val="single" w:sz="4" w:space="0" w:color="auto"/>
              <w:bottom w:val="single" w:sz="4" w:space="0" w:color="auto"/>
              <w:right w:val="single" w:sz="4" w:space="0" w:color="auto"/>
            </w:tcBorders>
            <w:noWrap/>
            <w:hideMark/>
          </w:tcPr>
          <w:p w:rsidR="00D87DB7" w:rsidRPr="008725ED" w:rsidRDefault="00D87DB7" w:rsidP="001D6A9B">
            <w:pPr>
              <w:rPr>
                <w:sz w:val="16"/>
                <w:lang w:val="fr-FR"/>
              </w:rPr>
            </w:pPr>
            <w:r w:rsidRPr="008725ED">
              <w:rPr>
                <w:sz w:val="16"/>
                <w:lang w:val="fr-FR"/>
              </w:rPr>
              <w:t>CN</w:t>
            </w:r>
          </w:p>
        </w:tc>
        <w:tc>
          <w:tcPr>
            <w:tcW w:w="546" w:type="dxa"/>
            <w:tcBorders>
              <w:top w:val="single" w:sz="4" w:space="0" w:color="auto"/>
              <w:left w:val="nil"/>
              <w:bottom w:val="single" w:sz="4" w:space="0" w:color="auto"/>
              <w:right w:val="single" w:sz="4" w:space="0" w:color="auto"/>
            </w:tcBorders>
            <w:hideMark/>
          </w:tcPr>
          <w:p w:rsidR="00D87DB7" w:rsidRPr="008725ED" w:rsidRDefault="00D87DB7" w:rsidP="001D6A9B">
            <w:pPr>
              <w:rPr>
                <w:sz w:val="16"/>
                <w:lang w:val="fr-FR"/>
              </w:rPr>
            </w:pPr>
            <w:r w:rsidRPr="008725ED">
              <w:rPr>
                <w:sz w:val="16"/>
                <w:lang w:val="fr-FR"/>
              </w:rPr>
              <w:t>TWF</w:t>
            </w:r>
          </w:p>
        </w:tc>
        <w:tc>
          <w:tcPr>
            <w:tcW w:w="1596" w:type="dxa"/>
            <w:tcBorders>
              <w:top w:val="single" w:sz="4" w:space="0" w:color="auto"/>
              <w:left w:val="nil"/>
              <w:bottom w:val="single" w:sz="4" w:space="0" w:color="auto"/>
              <w:right w:val="single" w:sz="4" w:space="0" w:color="auto"/>
            </w:tcBorders>
            <w:hideMark/>
          </w:tcPr>
          <w:p w:rsidR="00D87DB7" w:rsidRPr="008725ED" w:rsidRDefault="00D87DB7" w:rsidP="001D6A9B">
            <w:pPr>
              <w:rPr>
                <w:sz w:val="16"/>
                <w:lang w:val="fr-FR"/>
              </w:rPr>
            </w:pPr>
            <w:r w:rsidRPr="008725ED">
              <w:rPr>
                <w:sz w:val="16"/>
                <w:lang w:val="fr-FR"/>
              </w:rPr>
              <w:t>TG/125/7(proj.5)</w:t>
            </w:r>
          </w:p>
        </w:tc>
        <w:tc>
          <w:tcPr>
            <w:tcW w:w="1416"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 xml:space="preserve">Walnut </w:t>
            </w:r>
          </w:p>
        </w:tc>
        <w:tc>
          <w:tcPr>
            <w:tcW w:w="1417"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 xml:space="preserve">Noyer </w:t>
            </w:r>
          </w:p>
        </w:tc>
        <w:tc>
          <w:tcPr>
            <w:tcW w:w="1416"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 xml:space="preserve">Walnuß </w:t>
            </w:r>
          </w:p>
        </w:tc>
        <w:tc>
          <w:tcPr>
            <w:tcW w:w="1417"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 xml:space="preserve">Nogal </w:t>
            </w:r>
          </w:p>
        </w:tc>
        <w:tc>
          <w:tcPr>
            <w:tcW w:w="1796"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i/>
                <w:sz w:val="16"/>
                <w:lang w:val="fr-FR"/>
              </w:rPr>
              <w:t>Juglans regia</w:t>
            </w:r>
            <w:r w:rsidRPr="008725ED">
              <w:rPr>
                <w:sz w:val="16"/>
                <w:lang w:val="fr-FR"/>
              </w:rPr>
              <w:t xml:space="preserve"> L.</w:t>
            </w:r>
          </w:p>
        </w:tc>
      </w:tr>
      <w:tr w:rsidR="008725ED" w:rsidRPr="008725ED" w:rsidTr="001D6A9B">
        <w:trPr>
          <w:cantSplit/>
        </w:trPr>
        <w:tc>
          <w:tcPr>
            <w:tcW w:w="603" w:type="dxa"/>
            <w:tcBorders>
              <w:top w:val="single" w:sz="4" w:space="0" w:color="auto"/>
              <w:left w:val="single" w:sz="4" w:space="0" w:color="auto"/>
              <w:bottom w:val="single" w:sz="4" w:space="0" w:color="auto"/>
              <w:right w:val="single" w:sz="4" w:space="0" w:color="auto"/>
            </w:tcBorders>
            <w:noWrap/>
            <w:hideMark/>
          </w:tcPr>
          <w:p w:rsidR="00D87DB7" w:rsidRPr="008725ED" w:rsidRDefault="00D87DB7" w:rsidP="001D6A9B">
            <w:pPr>
              <w:rPr>
                <w:sz w:val="16"/>
                <w:lang w:val="fr-FR"/>
              </w:rPr>
            </w:pPr>
            <w:r w:rsidRPr="008725ED">
              <w:rPr>
                <w:sz w:val="16"/>
                <w:lang w:val="fr-FR"/>
              </w:rPr>
              <w:t>IT</w:t>
            </w:r>
          </w:p>
        </w:tc>
        <w:tc>
          <w:tcPr>
            <w:tcW w:w="546" w:type="dxa"/>
            <w:tcBorders>
              <w:top w:val="single" w:sz="4" w:space="0" w:color="auto"/>
              <w:left w:val="nil"/>
              <w:bottom w:val="single" w:sz="4" w:space="0" w:color="auto"/>
              <w:right w:val="single" w:sz="4" w:space="0" w:color="auto"/>
            </w:tcBorders>
            <w:hideMark/>
          </w:tcPr>
          <w:p w:rsidR="00D87DB7" w:rsidRPr="008725ED" w:rsidRDefault="00D87DB7" w:rsidP="001D6A9B">
            <w:pPr>
              <w:rPr>
                <w:sz w:val="16"/>
                <w:lang w:val="fr-FR"/>
              </w:rPr>
            </w:pPr>
            <w:r w:rsidRPr="008725ED">
              <w:rPr>
                <w:sz w:val="16"/>
                <w:lang w:val="fr-FR"/>
              </w:rPr>
              <w:t>TWV</w:t>
            </w:r>
          </w:p>
        </w:tc>
        <w:tc>
          <w:tcPr>
            <w:tcW w:w="1596" w:type="dxa"/>
            <w:tcBorders>
              <w:top w:val="single" w:sz="4" w:space="0" w:color="auto"/>
              <w:left w:val="nil"/>
              <w:bottom w:val="single" w:sz="4" w:space="0" w:color="auto"/>
              <w:right w:val="single" w:sz="4" w:space="0" w:color="auto"/>
            </w:tcBorders>
            <w:hideMark/>
          </w:tcPr>
          <w:p w:rsidR="00D87DB7" w:rsidRPr="008725ED" w:rsidRDefault="00D87DB7" w:rsidP="001D6A9B">
            <w:pPr>
              <w:rPr>
                <w:sz w:val="16"/>
                <w:lang w:val="fr-FR"/>
              </w:rPr>
            </w:pPr>
            <w:r w:rsidRPr="008725ED">
              <w:rPr>
                <w:sz w:val="16"/>
                <w:lang w:val="fr-FR"/>
              </w:rPr>
              <w:t>TG/154/4(proj.6)</w:t>
            </w:r>
          </w:p>
        </w:tc>
        <w:tc>
          <w:tcPr>
            <w:tcW w:w="1416"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Leaf Chicory</w:t>
            </w:r>
          </w:p>
        </w:tc>
        <w:tc>
          <w:tcPr>
            <w:tcW w:w="1417"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Chicorée à feuille (sauvage)</w:t>
            </w:r>
          </w:p>
        </w:tc>
        <w:tc>
          <w:tcPr>
            <w:tcW w:w="1416"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Blattzichorie</w:t>
            </w:r>
          </w:p>
        </w:tc>
        <w:tc>
          <w:tcPr>
            <w:tcW w:w="1417"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Achicoria de hoja</w:t>
            </w:r>
          </w:p>
        </w:tc>
        <w:tc>
          <w:tcPr>
            <w:tcW w:w="1796"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i/>
                <w:sz w:val="16"/>
                <w:lang w:val="fr-FR"/>
              </w:rPr>
              <w:t>Cichorium intybus</w:t>
            </w:r>
            <w:r w:rsidRPr="008725ED">
              <w:rPr>
                <w:sz w:val="16"/>
                <w:lang w:val="fr-FR"/>
              </w:rPr>
              <w:t xml:space="preserve"> L. var. </w:t>
            </w:r>
            <w:r w:rsidRPr="008725ED">
              <w:rPr>
                <w:i/>
                <w:sz w:val="16"/>
                <w:lang w:val="fr-FR"/>
              </w:rPr>
              <w:t>foliosum</w:t>
            </w:r>
            <w:r w:rsidRPr="008725ED">
              <w:rPr>
                <w:sz w:val="16"/>
                <w:lang w:val="fr-FR"/>
              </w:rPr>
              <w:t xml:space="preserve"> Hegi</w:t>
            </w:r>
          </w:p>
        </w:tc>
      </w:tr>
      <w:tr w:rsidR="008725ED" w:rsidRPr="008725ED" w:rsidTr="001D6A9B">
        <w:trPr>
          <w:cantSplit/>
        </w:trPr>
        <w:tc>
          <w:tcPr>
            <w:tcW w:w="603" w:type="dxa"/>
            <w:tcBorders>
              <w:top w:val="single" w:sz="4" w:space="0" w:color="auto"/>
              <w:left w:val="single" w:sz="4" w:space="0" w:color="auto"/>
              <w:bottom w:val="single" w:sz="4" w:space="0" w:color="auto"/>
              <w:right w:val="single" w:sz="4" w:space="0" w:color="auto"/>
            </w:tcBorders>
            <w:noWrap/>
            <w:hideMark/>
          </w:tcPr>
          <w:p w:rsidR="00D87DB7" w:rsidRPr="008725ED" w:rsidRDefault="00D87DB7" w:rsidP="001D6A9B">
            <w:pPr>
              <w:rPr>
                <w:sz w:val="16"/>
                <w:lang w:val="fr-FR"/>
              </w:rPr>
            </w:pPr>
            <w:r w:rsidRPr="008725ED">
              <w:rPr>
                <w:sz w:val="16"/>
                <w:lang w:val="fr-FR"/>
              </w:rPr>
              <w:t>FR</w:t>
            </w:r>
          </w:p>
        </w:tc>
        <w:tc>
          <w:tcPr>
            <w:tcW w:w="546" w:type="dxa"/>
            <w:tcBorders>
              <w:top w:val="single" w:sz="4" w:space="0" w:color="auto"/>
              <w:left w:val="nil"/>
              <w:bottom w:val="single" w:sz="4" w:space="0" w:color="auto"/>
              <w:right w:val="single" w:sz="4" w:space="0" w:color="auto"/>
            </w:tcBorders>
            <w:hideMark/>
          </w:tcPr>
          <w:p w:rsidR="00D87DB7" w:rsidRPr="008725ED" w:rsidRDefault="00D87DB7" w:rsidP="001D6A9B">
            <w:pPr>
              <w:rPr>
                <w:sz w:val="16"/>
                <w:lang w:val="fr-FR"/>
              </w:rPr>
            </w:pPr>
            <w:r w:rsidRPr="008725ED">
              <w:rPr>
                <w:sz w:val="16"/>
                <w:lang w:val="fr-FR"/>
              </w:rPr>
              <w:t>TWV</w:t>
            </w:r>
          </w:p>
        </w:tc>
        <w:tc>
          <w:tcPr>
            <w:tcW w:w="1596" w:type="dxa"/>
            <w:tcBorders>
              <w:top w:val="single" w:sz="4" w:space="0" w:color="auto"/>
              <w:left w:val="nil"/>
              <w:bottom w:val="single" w:sz="4" w:space="0" w:color="auto"/>
              <w:right w:val="single" w:sz="4" w:space="0" w:color="auto"/>
            </w:tcBorders>
            <w:hideMark/>
          </w:tcPr>
          <w:p w:rsidR="00D87DB7" w:rsidRPr="008725ED" w:rsidRDefault="00D87DB7" w:rsidP="001D6A9B">
            <w:pPr>
              <w:rPr>
                <w:sz w:val="16"/>
                <w:lang w:val="fr-FR"/>
              </w:rPr>
            </w:pPr>
            <w:r w:rsidRPr="008725ED">
              <w:rPr>
                <w:sz w:val="16"/>
                <w:lang w:val="fr-FR"/>
              </w:rPr>
              <w:t xml:space="preserve">TG/173/4(proj.6) </w:t>
            </w:r>
          </w:p>
        </w:tc>
        <w:tc>
          <w:tcPr>
            <w:tcW w:w="1416"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Witloof, Chicory</w:t>
            </w:r>
          </w:p>
        </w:tc>
        <w:tc>
          <w:tcPr>
            <w:tcW w:w="1417"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Chicorée, Endive</w:t>
            </w:r>
          </w:p>
        </w:tc>
        <w:tc>
          <w:tcPr>
            <w:tcW w:w="1416"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Chicorée</w:t>
            </w:r>
          </w:p>
        </w:tc>
        <w:tc>
          <w:tcPr>
            <w:tcW w:w="1417"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Endivia</w:t>
            </w:r>
          </w:p>
        </w:tc>
        <w:tc>
          <w:tcPr>
            <w:tcW w:w="1796"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i/>
                <w:sz w:val="16"/>
                <w:lang w:val="fr-FR"/>
              </w:rPr>
              <w:t>Cichorium intybus</w:t>
            </w:r>
            <w:r w:rsidRPr="008725ED">
              <w:rPr>
                <w:sz w:val="16"/>
                <w:lang w:val="fr-FR"/>
              </w:rPr>
              <w:t xml:space="preserve"> L. partim</w:t>
            </w:r>
          </w:p>
        </w:tc>
      </w:tr>
      <w:tr w:rsidR="008725ED" w:rsidRPr="008725ED" w:rsidTr="001D6A9B">
        <w:trPr>
          <w:cantSplit/>
        </w:trPr>
        <w:tc>
          <w:tcPr>
            <w:tcW w:w="603" w:type="dxa"/>
            <w:tcBorders>
              <w:top w:val="single" w:sz="4" w:space="0" w:color="auto"/>
              <w:left w:val="single" w:sz="4" w:space="0" w:color="auto"/>
              <w:bottom w:val="single" w:sz="4" w:space="0" w:color="auto"/>
              <w:right w:val="single" w:sz="4" w:space="0" w:color="auto"/>
            </w:tcBorders>
            <w:noWrap/>
            <w:hideMark/>
          </w:tcPr>
          <w:p w:rsidR="00D87DB7" w:rsidRPr="008725ED" w:rsidRDefault="00D87DB7" w:rsidP="001D6A9B">
            <w:pPr>
              <w:rPr>
                <w:sz w:val="16"/>
                <w:lang w:val="fr-FR"/>
              </w:rPr>
            </w:pPr>
            <w:r w:rsidRPr="008725ED">
              <w:rPr>
                <w:sz w:val="16"/>
                <w:lang w:val="fr-FR"/>
              </w:rPr>
              <w:t>DE</w:t>
            </w:r>
          </w:p>
        </w:tc>
        <w:tc>
          <w:tcPr>
            <w:tcW w:w="546" w:type="dxa"/>
            <w:tcBorders>
              <w:top w:val="single" w:sz="4" w:space="0" w:color="auto"/>
              <w:left w:val="nil"/>
              <w:bottom w:val="single" w:sz="4" w:space="0" w:color="auto"/>
              <w:right w:val="single" w:sz="4" w:space="0" w:color="auto"/>
            </w:tcBorders>
            <w:hideMark/>
          </w:tcPr>
          <w:p w:rsidR="00D87DB7" w:rsidRPr="008725ED" w:rsidRDefault="00D87DB7" w:rsidP="001D6A9B">
            <w:pPr>
              <w:rPr>
                <w:sz w:val="16"/>
                <w:lang w:val="fr-FR"/>
              </w:rPr>
            </w:pPr>
            <w:r w:rsidRPr="008725ED">
              <w:rPr>
                <w:sz w:val="16"/>
                <w:lang w:val="fr-FR"/>
              </w:rPr>
              <w:t>TWO</w:t>
            </w:r>
          </w:p>
        </w:tc>
        <w:tc>
          <w:tcPr>
            <w:tcW w:w="1596" w:type="dxa"/>
            <w:tcBorders>
              <w:top w:val="single" w:sz="4" w:space="0" w:color="auto"/>
              <w:left w:val="nil"/>
              <w:bottom w:val="single" w:sz="4" w:space="0" w:color="auto"/>
              <w:right w:val="single" w:sz="4" w:space="0" w:color="auto"/>
            </w:tcBorders>
            <w:hideMark/>
          </w:tcPr>
          <w:p w:rsidR="00D87DB7" w:rsidRPr="008725ED" w:rsidRDefault="00D87DB7" w:rsidP="001D6A9B">
            <w:pPr>
              <w:rPr>
                <w:sz w:val="16"/>
                <w:lang w:val="fr-FR"/>
              </w:rPr>
            </w:pPr>
            <w:r w:rsidRPr="008725ED">
              <w:rPr>
                <w:sz w:val="16"/>
                <w:lang w:val="fr-FR"/>
              </w:rPr>
              <w:t>TG/212/2(proj.5)</w:t>
            </w:r>
          </w:p>
        </w:tc>
        <w:tc>
          <w:tcPr>
            <w:tcW w:w="1416"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Petunia</w:t>
            </w:r>
          </w:p>
        </w:tc>
        <w:tc>
          <w:tcPr>
            <w:tcW w:w="1417"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Pétunia</w:t>
            </w:r>
          </w:p>
        </w:tc>
        <w:tc>
          <w:tcPr>
            <w:tcW w:w="1416"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Petunie</w:t>
            </w:r>
          </w:p>
        </w:tc>
        <w:tc>
          <w:tcPr>
            <w:tcW w:w="1417"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Petunia</w:t>
            </w:r>
          </w:p>
        </w:tc>
        <w:tc>
          <w:tcPr>
            <w:tcW w:w="1796"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i/>
                <w:sz w:val="16"/>
                <w:lang w:val="fr-FR"/>
              </w:rPr>
              <w:t>Petunia</w:t>
            </w:r>
            <w:r w:rsidRPr="008725ED">
              <w:rPr>
                <w:sz w:val="16"/>
                <w:lang w:val="fr-FR"/>
              </w:rPr>
              <w:t xml:space="preserve"> Juss.; </w:t>
            </w:r>
            <w:r w:rsidRPr="008725ED">
              <w:rPr>
                <w:i/>
                <w:sz w:val="16"/>
                <w:lang w:val="fr-FR"/>
              </w:rPr>
              <w:t>xPetchoa</w:t>
            </w:r>
            <w:r w:rsidRPr="008725ED">
              <w:rPr>
                <w:sz w:val="16"/>
                <w:lang w:val="fr-FR"/>
              </w:rPr>
              <w:t xml:space="preserve"> J. M. H. Shaw</w:t>
            </w:r>
          </w:p>
        </w:tc>
      </w:tr>
      <w:tr w:rsidR="008725ED" w:rsidRPr="008725ED" w:rsidTr="001D6A9B">
        <w:trPr>
          <w:cantSplit/>
        </w:trPr>
        <w:tc>
          <w:tcPr>
            <w:tcW w:w="603" w:type="dxa"/>
            <w:tcBorders>
              <w:top w:val="single" w:sz="4" w:space="0" w:color="auto"/>
              <w:left w:val="single" w:sz="4" w:space="0" w:color="auto"/>
              <w:bottom w:val="single" w:sz="4" w:space="0" w:color="auto"/>
              <w:right w:val="single" w:sz="4" w:space="0" w:color="auto"/>
            </w:tcBorders>
            <w:noWrap/>
            <w:hideMark/>
          </w:tcPr>
          <w:p w:rsidR="00D87DB7" w:rsidRPr="008725ED" w:rsidRDefault="00D87DB7" w:rsidP="001D6A9B">
            <w:pPr>
              <w:rPr>
                <w:sz w:val="16"/>
                <w:lang w:val="fr-FR"/>
              </w:rPr>
            </w:pPr>
            <w:r w:rsidRPr="008725ED">
              <w:rPr>
                <w:sz w:val="16"/>
                <w:lang w:val="fr-FR"/>
              </w:rPr>
              <w:t>MX</w:t>
            </w:r>
          </w:p>
        </w:tc>
        <w:tc>
          <w:tcPr>
            <w:tcW w:w="546" w:type="dxa"/>
            <w:tcBorders>
              <w:top w:val="single" w:sz="4" w:space="0" w:color="auto"/>
              <w:left w:val="nil"/>
              <w:bottom w:val="single" w:sz="4" w:space="0" w:color="auto"/>
              <w:right w:val="single" w:sz="4" w:space="0" w:color="auto"/>
            </w:tcBorders>
            <w:hideMark/>
          </w:tcPr>
          <w:p w:rsidR="00D87DB7" w:rsidRPr="008725ED" w:rsidRDefault="00D87DB7" w:rsidP="001D6A9B">
            <w:pPr>
              <w:rPr>
                <w:sz w:val="16"/>
                <w:lang w:val="fr-FR"/>
              </w:rPr>
            </w:pPr>
            <w:r w:rsidRPr="008725ED">
              <w:rPr>
                <w:sz w:val="16"/>
                <w:lang w:val="fr-FR"/>
              </w:rPr>
              <w:t>TWF</w:t>
            </w:r>
          </w:p>
        </w:tc>
        <w:tc>
          <w:tcPr>
            <w:tcW w:w="1596" w:type="dxa"/>
            <w:tcBorders>
              <w:top w:val="single" w:sz="4" w:space="0" w:color="auto"/>
              <w:left w:val="nil"/>
              <w:bottom w:val="single" w:sz="4" w:space="0" w:color="auto"/>
              <w:right w:val="single" w:sz="4" w:space="0" w:color="auto"/>
            </w:tcBorders>
            <w:hideMark/>
          </w:tcPr>
          <w:p w:rsidR="00D87DB7" w:rsidRPr="008725ED" w:rsidRDefault="00D87DB7" w:rsidP="001D6A9B">
            <w:pPr>
              <w:rPr>
                <w:sz w:val="16"/>
                <w:lang w:val="fr-FR"/>
              </w:rPr>
            </w:pPr>
            <w:r w:rsidRPr="008725ED">
              <w:rPr>
                <w:sz w:val="16"/>
                <w:lang w:val="fr-FR"/>
              </w:rPr>
              <w:t>TG/264/2(proj.9)</w:t>
            </w:r>
          </w:p>
        </w:tc>
        <w:tc>
          <w:tcPr>
            <w:tcW w:w="1416"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Papaya, Pawpaw</w:t>
            </w:r>
          </w:p>
        </w:tc>
        <w:tc>
          <w:tcPr>
            <w:tcW w:w="1417"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Papayer</w:t>
            </w:r>
          </w:p>
        </w:tc>
        <w:tc>
          <w:tcPr>
            <w:tcW w:w="1416"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Melonenbaum, Papaya</w:t>
            </w:r>
          </w:p>
        </w:tc>
        <w:tc>
          <w:tcPr>
            <w:tcW w:w="1417"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Papaya, Lechosa</w:t>
            </w:r>
          </w:p>
        </w:tc>
        <w:tc>
          <w:tcPr>
            <w:tcW w:w="1796"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i/>
                <w:sz w:val="16"/>
                <w:lang w:val="fr-FR"/>
              </w:rPr>
              <w:t>Carica papaya</w:t>
            </w:r>
            <w:r w:rsidRPr="008725ED">
              <w:rPr>
                <w:sz w:val="16"/>
                <w:lang w:val="fr-FR"/>
              </w:rPr>
              <w:t xml:space="preserve"> L.</w:t>
            </w:r>
          </w:p>
        </w:tc>
      </w:tr>
      <w:tr w:rsidR="008725ED" w:rsidRPr="008725ED" w:rsidTr="001D6A9B">
        <w:trPr>
          <w:cantSplit/>
        </w:trPr>
        <w:tc>
          <w:tcPr>
            <w:tcW w:w="10207" w:type="dxa"/>
            <w:gridSpan w:val="8"/>
            <w:tcBorders>
              <w:top w:val="nil"/>
              <w:left w:val="single" w:sz="4" w:space="0" w:color="auto"/>
              <w:bottom w:val="single" w:sz="4" w:space="0" w:color="auto"/>
              <w:right w:val="single" w:sz="4" w:space="0" w:color="auto"/>
            </w:tcBorders>
            <w:hideMark/>
          </w:tcPr>
          <w:p w:rsidR="00D87DB7" w:rsidRPr="008725ED" w:rsidRDefault="00D87DB7" w:rsidP="001D6A9B">
            <w:pPr>
              <w:keepNext/>
              <w:spacing w:before="40" w:after="40"/>
              <w:jc w:val="left"/>
              <w:rPr>
                <w:rFonts w:eastAsia="MS Mincho"/>
                <w:sz w:val="16"/>
                <w:u w:val="single"/>
                <w:lang w:val="fr-FR"/>
              </w:rPr>
            </w:pPr>
            <w:r w:rsidRPr="008725ED">
              <w:rPr>
                <w:sz w:val="16"/>
                <w:u w:val="single"/>
                <w:lang w:val="fr-FR"/>
              </w:rPr>
              <w:t>PARTIAL REVISIONS OF TEST GUIDELINES / RÉVISIONS PARTIELLES DE PRINCIPES DIRECTEURS D</w:t>
            </w:r>
            <w:r w:rsidR="00EF1779" w:rsidRPr="008725ED">
              <w:rPr>
                <w:sz w:val="16"/>
                <w:u w:val="single"/>
                <w:lang w:val="fr-FR"/>
              </w:rPr>
              <w:t>’</w:t>
            </w:r>
            <w:r w:rsidRPr="008725ED">
              <w:rPr>
                <w:sz w:val="16"/>
                <w:u w:val="single"/>
                <w:lang w:val="fr-FR"/>
              </w:rPr>
              <w:t>EXAMEN ADOPTÉS /</w:t>
            </w:r>
            <w:r w:rsidRPr="008725ED">
              <w:rPr>
                <w:sz w:val="16"/>
                <w:u w:val="single"/>
                <w:lang w:val="fr-FR"/>
              </w:rPr>
              <w:br/>
              <w:t>TEILREVISIONEN ANGENOMMENER PRÜFUNGSRICHTLINIEN / REVISIONES PARCIALES DE DIRECTRICES DE EXAMEN ADOPTADAS</w:t>
            </w:r>
          </w:p>
        </w:tc>
      </w:tr>
      <w:tr w:rsidR="008725ED" w:rsidRPr="008725ED" w:rsidTr="001D6A9B">
        <w:trPr>
          <w:cantSplit/>
        </w:trPr>
        <w:tc>
          <w:tcPr>
            <w:tcW w:w="603" w:type="dxa"/>
            <w:tcBorders>
              <w:top w:val="single" w:sz="4" w:space="0" w:color="auto"/>
              <w:left w:val="single" w:sz="4" w:space="0" w:color="auto"/>
              <w:bottom w:val="single" w:sz="4" w:space="0" w:color="auto"/>
              <w:right w:val="single" w:sz="4" w:space="0" w:color="auto"/>
            </w:tcBorders>
            <w:noWrap/>
            <w:hideMark/>
          </w:tcPr>
          <w:p w:rsidR="00D87DB7" w:rsidRPr="008725ED" w:rsidRDefault="00D87DB7" w:rsidP="001D6A9B">
            <w:pPr>
              <w:keepNext/>
              <w:rPr>
                <w:sz w:val="16"/>
                <w:lang w:val="fr-FR"/>
              </w:rPr>
            </w:pPr>
            <w:r w:rsidRPr="008725ED">
              <w:rPr>
                <w:sz w:val="16"/>
                <w:lang w:val="fr-FR"/>
              </w:rPr>
              <w:t>QZ</w:t>
            </w:r>
          </w:p>
        </w:tc>
        <w:tc>
          <w:tcPr>
            <w:tcW w:w="546" w:type="dxa"/>
            <w:tcBorders>
              <w:top w:val="single" w:sz="4" w:space="0" w:color="auto"/>
              <w:left w:val="nil"/>
              <w:bottom w:val="single" w:sz="4" w:space="0" w:color="auto"/>
              <w:right w:val="single" w:sz="4" w:space="0" w:color="auto"/>
            </w:tcBorders>
            <w:hideMark/>
          </w:tcPr>
          <w:p w:rsidR="00D87DB7" w:rsidRPr="008725ED" w:rsidRDefault="00D87DB7" w:rsidP="001D6A9B">
            <w:pPr>
              <w:keepNext/>
              <w:rPr>
                <w:sz w:val="16"/>
                <w:lang w:val="fr-FR"/>
              </w:rPr>
            </w:pPr>
            <w:r w:rsidRPr="008725ED">
              <w:rPr>
                <w:sz w:val="16"/>
                <w:lang w:val="fr-FR"/>
              </w:rPr>
              <w:t>TWV</w:t>
            </w:r>
          </w:p>
        </w:tc>
        <w:tc>
          <w:tcPr>
            <w:tcW w:w="1596" w:type="dxa"/>
            <w:tcBorders>
              <w:top w:val="single" w:sz="4" w:space="0" w:color="auto"/>
              <w:left w:val="nil"/>
              <w:bottom w:val="single" w:sz="4" w:space="0" w:color="auto"/>
              <w:right w:val="single" w:sz="4" w:space="0" w:color="auto"/>
            </w:tcBorders>
            <w:hideMark/>
          </w:tcPr>
          <w:p w:rsidR="00D87DB7" w:rsidRPr="008725ED" w:rsidRDefault="00D87DB7" w:rsidP="001D6A9B">
            <w:pPr>
              <w:keepNext/>
              <w:jc w:val="left"/>
              <w:rPr>
                <w:sz w:val="16"/>
                <w:lang w:val="fr-FR"/>
              </w:rPr>
            </w:pPr>
            <w:r w:rsidRPr="008725ED">
              <w:rPr>
                <w:sz w:val="16"/>
                <w:lang w:val="fr-FR"/>
              </w:rPr>
              <w:t xml:space="preserve">TG/44/11 Rev. and  </w:t>
            </w:r>
            <w:r w:rsidR="00EF1779" w:rsidRPr="008725ED">
              <w:rPr>
                <w:sz w:val="16"/>
                <w:lang w:val="fr-FR"/>
              </w:rPr>
              <w:t>document TC</w:t>
            </w:r>
            <w:r w:rsidRPr="008725ED">
              <w:rPr>
                <w:sz w:val="16"/>
                <w:lang w:val="fr-FR"/>
              </w:rPr>
              <w:t>/53/27</w:t>
            </w:r>
          </w:p>
        </w:tc>
        <w:tc>
          <w:tcPr>
            <w:tcW w:w="1416" w:type="dxa"/>
            <w:tcBorders>
              <w:top w:val="single" w:sz="4" w:space="0" w:color="auto"/>
              <w:left w:val="nil"/>
              <w:bottom w:val="single" w:sz="4" w:space="0" w:color="auto"/>
              <w:right w:val="single" w:sz="4" w:space="0" w:color="auto"/>
            </w:tcBorders>
            <w:hideMark/>
          </w:tcPr>
          <w:p w:rsidR="00D87DB7" w:rsidRPr="008725ED" w:rsidRDefault="00D87DB7" w:rsidP="001D6A9B">
            <w:pPr>
              <w:keepNext/>
              <w:jc w:val="left"/>
              <w:rPr>
                <w:sz w:val="16"/>
                <w:lang w:val="fr-FR"/>
              </w:rPr>
            </w:pPr>
            <w:r w:rsidRPr="008725ED">
              <w:rPr>
                <w:sz w:val="16"/>
                <w:lang w:val="fr-FR"/>
              </w:rPr>
              <w:t xml:space="preserve">Tomato </w:t>
            </w:r>
          </w:p>
        </w:tc>
        <w:tc>
          <w:tcPr>
            <w:tcW w:w="1417" w:type="dxa"/>
            <w:tcBorders>
              <w:top w:val="single" w:sz="4" w:space="0" w:color="auto"/>
              <w:left w:val="nil"/>
              <w:bottom w:val="single" w:sz="4" w:space="0" w:color="auto"/>
              <w:right w:val="single" w:sz="4" w:space="0" w:color="auto"/>
            </w:tcBorders>
            <w:hideMark/>
          </w:tcPr>
          <w:p w:rsidR="00D87DB7" w:rsidRPr="008725ED" w:rsidRDefault="00D87DB7" w:rsidP="001D6A9B">
            <w:pPr>
              <w:keepNext/>
              <w:jc w:val="left"/>
              <w:rPr>
                <w:sz w:val="16"/>
                <w:lang w:val="fr-FR"/>
              </w:rPr>
            </w:pPr>
            <w:r w:rsidRPr="008725ED">
              <w:rPr>
                <w:sz w:val="16"/>
                <w:lang w:val="fr-FR"/>
              </w:rPr>
              <w:t xml:space="preserve">Tomate </w:t>
            </w:r>
          </w:p>
        </w:tc>
        <w:tc>
          <w:tcPr>
            <w:tcW w:w="1416" w:type="dxa"/>
            <w:tcBorders>
              <w:top w:val="single" w:sz="4" w:space="0" w:color="auto"/>
              <w:left w:val="nil"/>
              <w:bottom w:val="single" w:sz="4" w:space="0" w:color="auto"/>
              <w:right w:val="single" w:sz="4" w:space="0" w:color="auto"/>
            </w:tcBorders>
            <w:hideMark/>
          </w:tcPr>
          <w:p w:rsidR="00D87DB7" w:rsidRPr="008725ED" w:rsidRDefault="00D87DB7" w:rsidP="001D6A9B">
            <w:pPr>
              <w:keepNext/>
              <w:jc w:val="left"/>
              <w:rPr>
                <w:sz w:val="16"/>
                <w:lang w:val="fr-FR"/>
              </w:rPr>
            </w:pPr>
            <w:r w:rsidRPr="008725ED">
              <w:rPr>
                <w:sz w:val="16"/>
                <w:lang w:val="fr-FR"/>
              </w:rPr>
              <w:t xml:space="preserve">Tomate </w:t>
            </w:r>
          </w:p>
        </w:tc>
        <w:tc>
          <w:tcPr>
            <w:tcW w:w="1417" w:type="dxa"/>
            <w:tcBorders>
              <w:top w:val="single" w:sz="4" w:space="0" w:color="auto"/>
              <w:left w:val="nil"/>
              <w:bottom w:val="single" w:sz="4" w:space="0" w:color="auto"/>
              <w:right w:val="single" w:sz="4" w:space="0" w:color="auto"/>
            </w:tcBorders>
            <w:hideMark/>
          </w:tcPr>
          <w:p w:rsidR="00D87DB7" w:rsidRPr="008725ED" w:rsidRDefault="00D87DB7" w:rsidP="001D6A9B">
            <w:pPr>
              <w:keepNext/>
              <w:jc w:val="left"/>
              <w:rPr>
                <w:sz w:val="16"/>
                <w:lang w:val="fr-FR"/>
              </w:rPr>
            </w:pPr>
            <w:r w:rsidRPr="008725ED">
              <w:rPr>
                <w:sz w:val="16"/>
                <w:lang w:val="fr-FR"/>
              </w:rPr>
              <w:t xml:space="preserve">Tomate </w:t>
            </w:r>
          </w:p>
        </w:tc>
        <w:tc>
          <w:tcPr>
            <w:tcW w:w="1796" w:type="dxa"/>
            <w:tcBorders>
              <w:top w:val="single" w:sz="4" w:space="0" w:color="auto"/>
              <w:left w:val="nil"/>
              <w:bottom w:val="single" w:sz="4" w:space="0" w:color="auto"/>
              <w:right w:val="single" w:sz="4" w:space="0" w:color="auto"/>
            </w:tcBorders>
            <w:hideMark/>
          </w:tcPr>
          <w:p w:rsidR="00D87DB7" w:rsidRPr="008725ED" w:rsidRDefault="00D87DB7" w:rsidP="001D6A9B">
            <w:pPr>
              <w:keepNext/>
              <w:jc w:val="left"/>
              <w:rPr>
                <w:sz w:val="16"/>
                <w:lang w:val="fr-FR"/>
              </w:rPr>
            </w:pPr>
            <w:r w:rsidRPr="008725ED">
              <w:rPr>
                <w:i/>
                <w:sz w:val="16"/>
                <w:lang w:val="fr-FR"/>
              </w:rPr>
              <w:t>Solanum lycopersicum</w:t>
            </w:r>
            <w:r w:rsidRPr="008725ED">
              <w:rPr>
                <w:sz w:val="16"/>
                <w:lang w:val="fr-FR"/>
              </w:rPr>
              <w:t xml:space="preserve"> (L.) Karst. </w:t>
            </w:r>
            <w:r w:rsidR="00D43219" w:rsidRPr="008725ED">
              <w:rPr>
                <w:sz w:val="16"/>
                <w:lang w:val="fr-FR"/>
              </w:rPr>
              <w:t>ex.  Fa</w:t>
            </w:r>
            <w:r w:rsidRPr="008725ED">
              <w:rPr>
                <w:sz w:val="16"/>
                <w:lang w:val="fr-FR"/>
              </w:rPr>
              <w:t>rw.</w:t>
            </w:r>
          </w:p>
        </w:tc>
      </w:tr>
      <w:tr w:rsidR="008725ED" w:rsidRPr="008725ED" w:rsidTr="001D6A9B">
        <w:trPr>
          <w:cantSplit/>
        </w:trPr>
        <w:tc>
          <w:tcPr>
            <w:tcW w:w="603" w:type="dxa"/>
            <w:tcBorders>
              <w:top w:val="single" w:sz="4" w:space="0" w:color="auto"/>
              <w:left w:val="single" w:sz="4" w:space="0" w:color="auto"/>
              <w:bottom w:val="single" w:sz="4" w:space="0" w:color="auto"/>
              <w:right w:val="single" w:sz="4" w:space="0" w:color="auto"/>
            </w:tcBorders>
            <w:noWrap/>
            <w:hideMark/>
          </w:tcPr>
          <w:p w:rsidR="00D87DB7" w:rsidRPr="008725ED" w:rsidRDefault="00D87DB7" w:rsidP="001D6A9B">
            <w:pPr>
              <w:rPr>
                <w:sz w:val="16"/>
                <w:lang w:val="fr-FR"/>
              </w:rPr>
            </w:pPr>
            <w:r w:rsidRPr="008725ED">
              <w:rPr>
                <w:sz w:val="16"/>
                <w:lang w:val="fr-FR"/>
              </w:rPr>
              <w:t>FR</w:t>
            </w:r>
          </w:p>
        </w:tc>
        <w:tc>
          <w:tcPr>
            <w:tcW w:w="546" w:type="dxa"/>
            <w:tcBorders>
              <w:top w:val="single" w:sz="4" w:space="0" w:color="auto"/>
              <w:left w:val="nil"/>
              <w:bottom w:val="single" w:sz="4" w:space="0" w:color="auto"/>
              <w:right w:val="single" w:sz="4" w:space="0" w:color="auto"/>
            </w:tcBorders>
            <w:hideMark/>
          </w:tcPr>
          <w:p w:rsidR="00D87DB7" w:rsidRPr="008725ED" w:rsidRDefault="00D87DB7" w:rsidP="001D6A9B">
            <w:pPr>
              <w:rPr>
                <w:sz w:val="16"/>
                <w:lang w:val="fr-FR"/>
              </w:rPr>
            </w:pPr>
            <w:r w:rsidRPr="008725ED">
              <w:rPr>
                <w:sz w:val="16"/>
                <w:lang w:val="fr-FR"/>
              </w:rPr>
              <w:t>TWO</w:t>
            </w:r>
          </w:p>
        </w:tc>
        <w:tc>
          <w:tcPr>
            <w:tcW w:w="1596"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 xml:space="preserve">TG/194/1 and </w:t>
            </w:r>
            <w:r w:rsidR="00EF1779" w:rsidRPr="008725ED">
              <w:rPr>
                <w:sz w:val="16"/>
                <w:lang w:val="fr-FR"/>
              </w:rPr>
              <w:t>document TC</w:t>
            </w:r>
            <w:r w:rsidRPr="008725ED">
              <w:rPr>
                <w:sz w:val="16"/>
                <w:lang w:val="fr-FR"/>
              </w:rPr>
              <w:t xml:space="preserve">/53/26 </w:t>
            </w:r>
          </w:p>
        </w:tc>
        <w:tc>
          <w:tcPr>
            <w:tcW w:w="1416"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Lavendula, Lavendar</w:t>
            </w:r>
          </w:p>
        </w:tc>
        <w:tc>
          <w:tcPr>
            <w:tcW w:w="1417"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Lavande vraie, Lavandins</w:t>
            </w:r>
          </w:p>
        </w:tc>
        <w:tc>
          <w:tcPr>
            <w:tcW w:w="1416"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Echter Lavendel, Lavendel</w:t>
            </w:r>
          </w:p>
        </w:tc>
        <w:tc>
          <w:tcPr>
            <w:tcW w:w="1417"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Lavándula, Lavanda</w:t>
            </w:r>
          </w:p>
        </w:tc>
        <w:tc>
          <w:tcPr>
            <w:tcW w:w="1796"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i/>
                <w:sz w:val="16"/>
                <w:lang w:val="fr-FR"/>
              </w:rPr>
              <w:t>Lavandula</w:t>
            </w:r>
            <w:r w:rsidRPr="008725ED">
              <w:rPr>
                <w:sz w:val="16"/>
                <w:lang w:val="fr-FR"/>
              </w:rPr>
              <w:t xml:space="preserve"> L.</w:t>
            </w:r>
          </w:p>
        </w:tc>
      </w:tr>
      <w:tr w:rsidR="008725ED" w:rsidRPr="008725ED" w:rsidTr="001D6A9B">
        <w:trPr>
          <w:cantSplit/>
        </w:trPr>
        <w:tc>
          <w:tcPr>
            <w:tcW w:w="603" w:type="dxa"/>
            <w:tcBorders>
              <w:top w:val="single" w:sz="4" w:space="0" w:color="auto"/>
              <w:left w:val="single" w:sz="4" w:space="0" w:color="auto"/>
              <w:bottom w:val="single" w:sz="4" w:space="0" w:color="auto"/>
              <w:right w:val="single" w:sz="4" w:space="0" w:color="auto"/>
            </w:tcBorders>
            <w:noWrap/>
            <w:hideMark/>
          </w:tcPr>
          <w:p w:rsidR="00D87DB7" w:rsidRPr="008725ED" w:rsidRDefault="00D87DB7" w:rsidP="001D6A9B">
            <w:pPr>
              <w:rPr>
                <w:sz w:val="16"/>
                <w:lang w:val="fr-FR"/>
              </w:rPr>
            </w:pPr>
            <w:r w:rsidRPr="008725ED">
              <w:rPr>
                <w:sz w:val="16"/>
                <w:lang w:val="fr-FR"/>
              </w:rPr>
              <w:t>AU</w:t>
            </w:r>
          </w:p>
        </w:tc>
        <w:tc>
          <w:tcPr>
            <w:tcW w:w="546" w:type="dxa"/>
            <w:tcBorders>
              <w:top w:val="single" w:sz="4" w:space="0" w:color="auto"/>
              <w:left w:val="nil"/>
              <w:bottom w:val="single" w:sz="4" w:space="0" w:color="auto"/>
              <w:right w:val="single" w:sz="4" w:space="0" w:color="auto"/>
            </w:tcBorders>
            <w:hideMark/>
          </w:tcPr>
          <w:p w:rsidR="00D87DB7" w:rsidRPr="008725ED" w:rsidRDefault="00D87DB7" w:rsidP="001D6A9B">
            <w:pPr>
              <w:rPr>
                <w:sz w:val="16"/>
                <w:lang w:val="fr-FR"/>
              </w:rPr>
            </w:pPr>
            <w:r w:rsidRPr="008725ED">
              <w:rPr>
                <w:sz w:val="16"/>
                <w:lang w:val="fr-FR"/>
              </w:rPr>
              <w:t>TWO</w:t>
            </w:r>
          </w:p>
        </w:tc>
        <w:tc>
          <w:tcPr>
            <w:tcW w:w="1596"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 xml:space="preserve">TG/288/1 Rev. and </w:t>
            </w:r>
            <w:r w:rsidR="00EF1779" w:rsidRPr="008725ED">
              <w:rPr>
                <w:sz w:val="16"/>
                <w:lang w:val="fr-FR"/>
              </w:rPr>
              <w:t>document TC</w:t>
            </w:r>
            <w:r w:rsidRPr="008725ED">
              <w:rPr>
                <w:sz w:val="16"/>
                <w:lang w:val="fr-FR"/>
              </w:rPr>
              <w:t xml:space="preserve">/53/25 </w:t>
            </w:r>
          </w:p>
        </w:tc>
        <w:tc>
          <w:tcPr>
            <w:tcW w:w="1416"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Flax</w:t>
            </w:r>
            <w:r w:rsidR="00EF1779" w:rsidRPr="008725ED">
              <w:rPr>
                <w:sz w:val="16"/>
                <w:lang w:val="fr-FR"/>
              </w:rPr>
              <w:t>-</w:t>
            </w:r>
            <w:r w:rsidRPr="008725ED">
              <w:rPr>
                <w:sz w:val="16"/>
                <w:lang w:val="fr-FR"/>
              </w:rPr>
              <w:t>lily, Dianella</w:t>
            </w:r>
          </w:p>
        </w:tc>
        <w:tc>
          <w:tcPr>
            <w:tcW w:w="1417"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Dianella</w:t>
            </w:r>
          </w:p>
        </w:tc>
        <w:tc>
          <w:tcPr>
            <w:tcW w:w="1416"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Flachslilie, Dianella</w:t>
            </w:r>
          </w:p>
        </w:tc>
        <w:tc>
          <w:tcPr>
            <w:tcW w:w="1417"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Dianella</w:t>
            </w:r>
          </w:p>
        </w:tc>
        <w:tc>
          <w:tcPr>
            <w:tcW w:w="1796"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i/>
                <w:sz w:val="16"/>
                <w:lang w:val="fr-FR"/>
              </w:rPr>
              <w:t>Dianella</w:t>
            </w:r>
            <w:r w:rsidRPr="008725ED">
              <w:rPr>
                <w:sz w:val="16"/>
                <w:lang w:val="fr-FR"/>
              </w:rPr>
              <w:t xml:space="preserve"> Lam. ex Juss.</w:t>
            </w:r>
          </w:p>
        </w:tc>
      </w:tr>
      <w:tr w:rsidR="008725ED" w:rsidRPr="008725ED" w:rsidTr="001D6A9B">
        <w:trPr>
          <w:cantSplit/>
        </w:trPr>
        <w:tc>
          <w:tcPr>
            <w:tcW w:w="603" w:type="dxa"/>
            <w:tcBorders>
              <w:top w:val="single" w:sz="4" w:space="0" w:color="auto"/>
              <w:left w:val="single" w:sz="4" w:space="0" w:color="auto"/>
              <w:bottom w:val="single" w:sz="4" w:space="0" w:color="auto"/>
              <w:right w:val="single" w:sz="4" w:space="0" w:color="auto"/>
            </w:tcBorders>
            <w:noWrap/>
            <w:hideMark/>
          </w:tcPr>
          <w:p w:rsidR="00D87DB7" w:rsidRPr="008725ED" w:rsidRDefault="00D87DB7" w:rsidP="001D6A9B">
            <w:pPr>
              <w:rPr>
                <w:sz w:val="16"/>
                <w:lang w:val="fr-FR"/>
              </w:rPr>
            </w:pPr>
            <w:r w:rsidRPr="008725ED">
              <w:rPr>
                <w:sz w:val="16"/>
                <w:lang w:val="fr-FR"/>
              </w:rPr>
              <w:t>ES</w:t>
            </w:r>
          </w:p>
        </w:tc>
        <w:tc>
          <w:tcPr>
            <w:tcW w:w="546" w:type="dxa"/>
            <w:tcBorders>
              <w:top w:val="single" w:sz="4" w:space="0" w:color="auto"/>
              <w:left w:val="nil"/>
              <w:bottom w:val="single" w:sz="4" w:space="0" w:color="auto"/>
              <w:right w:val="single" w:sz="4" w:space="0" w:color="auto"/>
            </w:tcBorders>
            <w:hideMark/>
          </w:tcPr>
          <w:p w:rsidR="00D87DB7" w:rsidRPr="008725ED" w:rsidRDefault="00D87DB7" w:rsidP="001D6A9B">
            <w:pPr>
              <w:rPr>
                <w:sz w:val="16"/>
                <w:lang w:val="fr-FR"/>
              </w:rPr>
            </w:pPr>
            <w:r w:rsidRPr="008725ED">
              <w:rPr>
                <w:sz w:val="16"/>
                <w:lang w:val="fr-FR"/>
              </w:rPr>
              <w:t>TWV</w:t>
            </w:r>
          </w:p>
        </w:tc>
        <w:tc>
          <w:tcPr>
            <w:tcW w:w="1596"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 xml:space="preserve">TG/294/1 Corr. Rev.2 and </w:t>
            </w:r>
            <w:r w:rsidR="00EF1779" w:rsidRPr="008725ED">
              <w:rPr>
                <w:sz w:val="16"/>
                <w:lang w:val="fr-FR"/>
              </w:rPr>
              <w:t>document TC</w:t>
            </w:r>
            <w:r w:rsidRPr="008725ED">
              <w:rPr>
                <w:sz w:val="16"/>
                <w:lang w:val="fr-FR"/>
              </w:rPr>
              <w:t xml:space="preserve">/53/28 </w:t>
            </w:r>
          </w:p>
        </w:tc>
        <w:tc>
          <w:tcPr>
            <w:tcW w:w="1416"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 xml:space="preserve">Tomato Rootstocks </w:t>
            </w:r>
          </w:p>
        </w:tc>
        <w:tc>
          <w:tcPr>
            <w:tcW w:w="1417"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Porte</w:t>
            </w:r>
            <w:r w:rsidR="00EF1779" w:rsidRPr="008725ED">
              <w:rPr>
                <w:sz w:val="16"/>
                <w:lang w:val="fr-FR"/>
              </w:rPr>
              <w:t>-</w:t>
            </w:r>
            <w:r w:rsidRPr="008725ED">
              <w:rPr>
                <w:sz w:val="16"/>
                <w:lang w:val="fr-FR"/>
              </w:rPr>
              <w:t xml:space="preserve">greffe de tomate </w:t>
            </w:r>
          </w:p>
        </w:tc>
        <w:tc>
          <w:tcPr>
            <w:tcW w:w="1416"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 xml:space="preserve">Tomatenunterlagen </w:t>
            </w:r>
          </w:p>
        </w:tc>
        <w:tc>
          <w:tcPr>
            <w:tcW w:w="1417"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sz w:val="16"/>
                <w:lang w:val="fr-FR"/>
              </w:rPr>
              <w:t xml:space="preserve">Portainjertos de tomate </w:t>
            </w:r>
          </w:p>
        </w:tc>
        <w:tc>
          <w:tcPr>
            <w:tcW w:w="1796" w:type="dxa"/>
            <w:tcBorders>
              <w:top w:val="single" w:sz="4" w:space="0" w:color="auto"/>
              <w:left w:val="nil"/>
              <w:bottom w:val="single" w:sz="4" w:space="0" w:color="auto"/>
              <w:right w:val="single" w:sz="4" w:space="0" w:color="auto"/>
            </w:tcBorders>
            <w:hideMark/>
          </w:tcPr>
          <w:p w:rsidR="00D87DB7" w:rsidRPr="008725ED" w:rsidRDefault="00D87DB7" w:rsidP="001D6A9B">
            <w:pPr>
              <w:jc w:val="left"/>
              <w:rPr>
                <w:sz w:val="16"/>
                <w:lang w:val="fr-FR"/>
              </w:rPr>
            </w:pPr>
            <w:r w:rsidRPr="008725ED">
              <w:rPr>
                <w:i/>
                <w:sz w:val="16"/>
                <w:lang w:val="fr-FR"/>
              </w:rPr>
              <w:t>Solanum lycopersicum</w:t>
            </w:r>
            <w:r w:rsidRPr="008725ED">
              <w:rPr>
                <w:sz w:val="16"/>
                <w:lang w:val="fr-FR"/>
              </w:rPr>
              <w:t xml:space="preserve"> L. x </w:t>
            </w:r>
            <w:r w:rsidRPr="008725ED">
              <w:rPr>
                <w:i/>
                <w:sz w:val="16"/>
                <w:lang w:val="fr-FR"/>
              </w:rPr>
              <w:t>Solanum habrochaites</w:t>
            </w:r>
            <w:r w:rsidRPr="008725ED">
              <w:rPr>
                <w:sz w:val="16"/>
                <w:lang w:val="fr-FR"/>
              </w:rPr>
              <w:t xml:space="preserve"> S. Knapp &amp; D.M. Spooner; </w:t>
            </w:r>
            <w:r w:rsidRPr="008725ED">
              <w:rPr>
                <w:i/>
                <w:sz w:val="16"/>
                <w:lang w:val="fr-FR"/>
              </w:rPr>
              <w:t>Solanum lycopersicum</w:t>
            </w:r>
            <w:r w:rsidRPr="008725ED">
              <w:rPr>
                <w:sz w:val="16"/>
                <w:lang w:val="fr-FR"/>
              </w:rPr>
              <w:t xml:space="preserve"> L. x </w:t>
            </w:r>
            <w:r w:rsidRPr="008725ED">
              <w:rPr>
                <w:i/>
                <w:sz w:val="16"/>
                <w:lang w:val="fr-FR"/>
              </w:rPr>
              <w:t>Solanum peruvianum</w:t>
            </w:r>
            <w:r w:rsidRPr="008725ED">
              <w:rPr>
                <w:sz w:val="16"/>
                <w:lang w:val="fr-FR"/>
              </w:rPr>
              <w:t xml:space="preserve"> (L.) Mill.; </w:t>
            </w:r>
            <w:r w:rsidRPr="008725ED">
              <w:rPr>
                <w:i/>
                <w:sz w:val="16"/>
                <w:lang w:val="fr-FR"/>
              </w:rPr>
              <w:t>Solanum lycopersicum</w:t>
            </w:r>
            <w:r w:rsidRPr="008725ED">
              <w:rPr>
                <w:sz w:val="16"/>
                <w:lang w:val="fr-FR"/>
              </w:rPr>
              <w:t xml:space="preserve"> L. x </w:t>
            </w:r>
            <w:r w:rsidRPr="008725ED">
              <w:rPr>
                <w:i/>
                <w:sz w:val="16"/>
                <w:lang w:val="fr-FR"/>
              </w:rPr>
              <w:t>Solanum cheesmaniae</w:t>
            </w:r>
            <w:r w:rsidRPr="008725ED">
              <w:rPr>
                <w:sz w:val="16"/>
                <w:lang w:val="fr-FR"/>
              </w:rPr>
              <w:t xml:space="preserve"> (L. Ridley) Fosberg</w:t>
            </w:r>
          </w:p>
        </w:tc>
      </w:tr>
    </w:tbl>
    <w:p w:rsidR="008C3126" w:rsidRPr="008725ED" w:rsidRDefault="008C3126" w:rsidP="00D87DB7">
      <w:pPr>
        <w:rPr>
          <w:rFonts w:cs="Arial"/>
          <w:snapToGrid w:val="0"/>
          <w:lang w:val="fr-FR"/>
        </w:rPr>
      </w:pPr>
    </w:p>
    <w:p w:rsidR="008C3126" w:rsidRPr="008725ED" w:rsidRDefault="00D87DB7" w:rsidP="00D87DB7">
      <w:pPr>
        <w:autoSpaceDE w:val="0"/>
        <w:autoSpaceDN w:val="0"/>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En</w:t>
      </w:r>
      <w:r w:rsidR="00375D7B" w:rsidRPr="008725ED">
        <w:rPr>
          <w:rFonts w:cs="Arial"/>
          <w:lang w:val="fr-FR"/>
        </w:rPr>
        <w:t xml:space="preserve"> ce qui concern</w:t>
      </w:r>
      <w:r w:rsidR="0000589A" w:rsidRPr="008725ED">
        <w:rPr>
          <w:rFonts w:cs="Arial"/>
          <w:lang w:val="fr-FR"/>
        </w:rPr>
        <w:t>e</w:t>
      </w:r>
      <w:r w:rsidRPr="008725ED">
        <w:rPr>
          <w:rFonts w:cs="Arial"/>
          <w:lang w:val="fr-FR"/>
        </w:rPr>
        <w:t xml:space="preserve"> le projet des principes directeurs d</w:t>
      </w:r>
      <w:r w:rsidR="00EF1779" w:rsidRPr="008725ED">
        <w:rPr>
          <w:rFonts w:cs="Arial"/>
          <w:lang w:val="fr-FR"/>
        </w:rPr>
        <w:t>’</w:t>
      </w:r>
      <w:r w:rsidRPr="008725ED">
        <w:rPr>
          <w:rFonts w:cs="Arial"/>
          <w:lang w:val="fr-FR"/>
        </w:rPr>
        <w:t>examen pour l</w:t>
      </w:r>
      <w:r w:rsidR="00EF1779" w:rsidRPr="008725ED">
        <w:rPr>
          <w:rFonts w:cs="Arial"/>
          <w:lang w:val="fr-FR"/>
        </w:rPr>
        <w:t>’</w:t>
      </w:r>
      <w:r w:rsidRPr="008725ED">
        <w:rPr>
          <w:rFonts w:cs="Arial"/>
          <w:lang w:val="fr-FR"/>
        </w:rPr>
        <w:t>agaricus (document TG/259/2 proj.4), le</w:t>
      </w:r>
      <w:r w:rsidR="00EF1779" w:rsidRPr="008725ED">
        <w:rPr>
          <w:rFonts w:cs="Arial"/>
          <w:lang w:val="fr-FR"/>
        </w:rPr>
        <w:t> TC</w:t>
      </w:r>
      <w:r w:rsidRPr="008725ED">
        <w:rPr>
          <w:rFonts w:cs="Arial"/>
          <w:lang w:val="fr-FR"/>
        </w:rPr>
        <w:t xml:space="preserve"> </w:t>
      </w:r>
      <w:r w:rsidR="00344B0C" w:rsidRPr="008725ED">
        <w:rPr>
          <w:rFonts w:cs="Arial"/>
          <w:lang w:val="fr-FR"/>
        </w:rPr>
        <w:t>est convenu</w:t>
      </w:r>
      <w:r w:rsidRPr="008725ED">
        <w:rPr>
          <w:rFonts w:cs="Arial"/>
          <w:lang w:val="fr-FR"/>
        </w:rPr>
        <w:t>, sur la base de la recommandation du</w:t>
      </w:r>
      <w:r w:rsidR="00EF1779" w:rsidRPr="008725ED">
        <w:rPr>
          <w:rFonts w:cs="Arial"/>
          <w:lang w:val="fr-FR"/>
        </w:rPr>
        <w:t> TC-EDC</w:t>
      </w:r>
      <w:r w:rsidRPr="008725ED">
        <w:rPr>
          <w:rFonts w:cs="Arial"/>
          <w:lang w:val="fr-FR"/>
        </w:rPr>
        <w:t>, que les questions techniques relatives à ce projet, telles qu</w:t>
      </w:r>
      <w:r w:rsidR="00EF1779" w:rsidRPr="008725ED">
        <w:rPr>
          <w:rFonts w:cs="Arial"/>
          <w:lang w:val="fr-FR"/>
        </w:rPr>
        <w:t>’</w:t>
      </w:r>
      <w:r w:rsidRPr="008725ED">
        <w:rPr>
          <w:rFonts w:cs="Arial"/>
          <w:lang w:val="fr-FR"/>
        </w:rPr>
        <w:t>elles figur</w:t>
      </w:r>
      <w:r w:rsidR="00375D7B" w:rsidRPr="008725ED">
        <w:rPr>
          <w:rFonts w:cs="Arial"/>
          <w:lang w:val="fr-FR"/>
        </w:rPr>
        <w:t>ai</w:t>
      </w:r>
      <w:r w:rsidRPr="008725ED">
        <w:rPr>
          <w:rFonts w:cs="Arial"/>
          <w:lang w:val="fr-FR"/>
        </w:rPr>
        <w:t>ent dans l</w:t>
      </w:r>
      <w:r w:rsidR="00EF1779" w:rsidRPr="008725ED">
        <w:rPr>
          <w:rFonts w:cs="Arial"/>
          <w:lang w:val="fr-FR"/>
        </w:rPr>
        <w:t>’</w:t>
      </w:r>
      <w:r w:rsidRPr="008725ED">
        <w:rPr>
          <w:rFonts w:cs="Arial"/>
          <w:lang w:val="fr-FR"/>
        </w:rPr>
        <w:t>annexe II du présent document, devaient être renvoyées au TWV aux fins d</w:t>
      </w:r>
      <w:r w:rsidR="00EF1779" w:rsidRPr="008725ED">
        <w:rPr>
          <w:rFonts w:cs="Arial"/>
          <w:lang w:val="fr-FR"/>
        </w:rPr>
        <w:t>’</w:t>
      </w:r>
      <w:r w:rsidRPr="008725ED">
        <w:rPr>
          <w:rFonts w:cs="Arial"/>
          <w:lang w:val="fr-FR"/>
        </w:rPr>
        <w:t>un examen plus approfondi.</w:t>
      </w:r>
    </w:p>
    <w:p w:rsidR="008C3126" w:rsidRPr="008725ED" w:rsidRDefault="008C3126" w:rsidP="005E033E">
      <w:pPr>
        <w:spacing w:line="360" w:lineRule="auto"/>
        <w:rPr>
          <w:rFonts w:cs="Arial"/>
          <w:snapToGrid w:val="0"/>
          <w:lang w:val="fr-FR"/>
        </w:rPr>
      </w:pPr>
    </w:p>
    <w:p w:rsidR="008C3126" w:rsidRPr="008725ED" w:rsidRDefault="00D87DB7" w:rsidP="00D87DB7">
      <w:pPr>
        <w:pStyle w:val="Heading3"/>
      </w:pPr>
      <w:bookmarkStart w:id="32" w:name="_Toc494207970"/>
      <w:r w:rsidRPr="008725ED">
        <w:t>Corrections de principes directeurs d</w:t>
      </w:r>
      <w:r w:rsidR="00EF1779" w:rsidRPr="008725ED">
        <w:t>’</w:t>
      </w:r>
      <w:r w:rsidRPr="008725ED">
        <w:t>examen</w:t>
      </w:r>
      <w:bookmarkEnd w:id="32"/>
    </w:p>
    <w:p w:rsidR="008C3126" w:rsidRPr="008725ED" w:rsidRDefault="008C3126" w:rsidP="00D87DB7">
      <w:pPr>
        <w:keepNext/>
        <w:rPr>
          <w:lang w:val="fr-FR"/>
        </w:rPr>
      </w:pPr>
    </w:p>
    <w:p w:rsidR="008C3126" w:rsidRPr="008725ED" w:rsidRDefault="00D87DB7" w:rsidP="00D87DB7">
      <w:pPr>
        <w:keepNext/>
        <w:autoSpaceDE w:val="0"/>
        <w:autoSpaceDN w:val="0"/>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indiqué </w:t>
      </w:r>
      <w:r w:rsidRPr="008725ED">
        <w:rPr>
          <w:lang w:val="fr-FR"/>
        </w:rPr>
        <w:t>que des versions corrigées des principes directeurs d</w:t>
      </w:r>
      <w:r w:rsidR="00EF1779" w:rsidRPr="008725ED">
        <w:rPr>
          <w:lang w:val="fr-FR"/>
        </w:rPr>
        <w:t>’</w:t>
      </w:r>
      <w:r w:rsidRPr="008725ED">
        <w:rPr>
          <w:lang w:val="fr-FR"/>
        </w:rPr>
        <w:t xml:space="preserve">examen pour Camellia (document TG/275/1 Corr.) et pour Cucumber, Gherkin (document TG/61/7 Rev.2 Corr.) </w:t>
      </w:r>
      <w:r w:rsidR="00375D7B" w:rsidRPr="008725ED">
        <w:rPr>
          <w:lang w:val="fr-FR"/>
        </w:rPr>
        <w:t>avaient</w:t>
      </w:r>
      <w:r w:rsidRPr="008725ED">
        <w:rPr>
          <w:lang w:val="fr-FR"/>
        </w:rPr>
        <w:t xml:space="preserve"> été publiées sur le site Web de l</w:t>
      </w:r>
      <w:r w:rsidR="00EF1779" w:rsidRPr="008725ED">
        <w:rPr>
          <w:lang w:val="fr-FR"/>
        </w:rPr>
        <w:t>’</w:t>
      </w:r>
      <w:r w:rsidRPr="008725ED">
        <w:rPr>
          <w:lang w:val="fr-FR"/>
        </w:rPr>
        <w:t xml:space="preserve">UPOV, comme indiqué au </w:t>
      </w:r>
      <w:r w:rsidR="00EF1779" w:rsidRPr="008725ED">
        <w:rPr>
          <w:lang w:val="fr-FR"/>
        </w:rPr>
        <w:t>document TC</w:t>
      </w:r>
      <w:r w:rsidRPr="008725ED">
        <w:rPr>
          <w:lang w:val="fr-FR"/>
        </w:rPr>
        <w:t>/53/30 Rev.</w:t>
      </w:r>
    </w:p>
    <w:p w:rsidR="008C3126" w:rsidRPr="008725ED" w:rsidRDefault="008C3126" w:rsidP="00D87DB7">
      <w:pPr>
        <w:keepNext/>
        <w:autoSpaceDE w:val="0"/>
        <w:autoSpaceDN w:val="0"/>
        <w:rPr>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indiqué </w:t>
      </w:r>
      <w:r w:rsidRPr="008725ED">
        <w:rPr>
          <w:lang w:val="fr-FR"/>
        </w:rPr>
        <w:t>que des versions corrigées des principes directeurs d</w:t>
      </w:r>
      <w:r w:rsidR="00EF1779" w:rsidRPr="008725ED">
        <w:rPr>
          <w:lang w:val="fr-FR"/>
        </w:rPr>
        <w:t>’</w:t>
      </w:r>
      <w:r w:rsidRPr="008725ED">
        <w:rPr>
          <w:lang w:val="fr-FR"/>
        </w:rPr>
        <w:t>examen pour Acca (document TG/306/1), le porte</w:t>
      </w:r>
      <w:r w:rsidR="00EF1779" w:rsidRPr="008725ED">
        <w:rPr>
          <w:lang w:val="fr-FR"/>
        </w:rPr>
        <w:t>-</w:t>
      </w:r>
      <w:r w:rsidRPr="008725ED">
        <w:rPr>
          <w:lang w:val="fr-FR"/>
        </w:rPr>
        <w:t>greffes d</w:t>
      </w:r>
      <w:r w:rsidR="00EF1779" w:rsidRPr="008725ED">
        <w:rPr>
          <w:lang w:val="fr-FR"/>
        </w:rPr>
        <w:t>’</w:t>
      </w:r>
      <w:r w:rsidRPr="008725ED">
        <w:rPr>
          <w:lang w:val="fr-FR"/>
        </w:rPr>
        <w:t>avocatier (document TG/318/1), le prunier japonais (document TG/84/4 Corr.), le radis de tous les mois;  le radis rave (document TG/63/7</w:t>
      </w:r>
      <w:r w:rsidR="00EF1779" w:rsidRPr="008725ED">
        <w:rPr>
          <w:lang w:val="fr-FR"/>
        </w:rPr>
        <w:t>-</w:t>
      </w:r>
      <w:r w:rsidRPr="008725ED">
        <w:rPr>
          <w:lang w:val="fr-FR"/>
        </w:rPr>
        <w:t>TG/64/7 Rev.) et le m</w:t>
      </w:r>
      <w:r w:rsidR="00375D7B" w:rsidRPr="008725ED">
        <w:rPr>
          <w:lang w:val="fr-FR"/>
        </w:rPr>
        <w:t>anguier (document TG/112/4) seraie</w:t>
      </w:r>
      <w:r w:rsidRPr="008725ED">
        <w:rPr>
          <w:lang w:val="fr-FR"/>
        </w:rPr>
        <w:t>nt publiées sur le site Web de l</w:t>
      </w:r>
      <w:r w:rsidR="00EF1779" w:rsidRPr="008725ED">
        <w:rPr>
          <w:lang w:val="fr-FR"/>
        </w:rPr>
        <w:t>’</w:t>
      </w:r>
      <w:r w:rsidRPr="008725ED">
        <w:rPr>
          <w:lang w:val="fr-FR"/>
        </w:rPr>
        <w:t>UPOV après la session du</w:t>
      </w:r>
      <w:r w:rsidR="00EF1779" w:rsidRPr="008725ED">
        <w:rPr>
          <w:lang w:val="fr-FR"/>
        </w:rPr>
        <w:t> TC</w:t>
      </w:r>
      <w:r w:rsidRPr="008725ED">
        <w:rPr>
          <w:lang w:val="fr-FR"/>
        </w:rPr>
        <w:t xml:space="preserve">, comme indiqué dans le </w:t>
      </w:r>
      <w:r w:rsidR="00EF1779" w:rsidRPr="008725ED">
        <w:rPr>
          <w:lang w:val="fr-FR"/>
        </w:rPr>
        <w:t>document TC</w:t>
      </w:r>
      <w:r w:rsidRPr="008725ED">
        <w:rPr>
          <w:lang w:val="fr-FR"/>
        </w:rPr>
        <w:t>/53/30 Rev.</w:t>
      </w:r>
    </w:p>
    <w:p w:rsidR="008C3126" w:rsidRPr="008725ED" w:rsidRDefault="008C3126" w:rsidP="005E033E">
      <w:pPr>
        <w:spacing w:line="360" w:lineRule="auto"/>
        <w:rPr>
          <w:lang w:val="fr-FR"/>
        </w:rPr>
      </w:pPr>
    </w:p>
    <w:p w:rsidR="008C3126" w:rsidRPr="008725ED" w:rsidRDefault="00D87DB7" w:rsidP="00D87DB7">
      <w:pPr>
        <w:pStyle w:val="Heading3"/>
      </w:pPr>
      <w:bookmarkStart w:id="33" w:name="_Toc494207971"/>
      <w:r w:rsidRPr="008725ED">
        <w:t>Projets de principes directeurs d</w:t>
      </w:r>
      <w:r w:rsidR="00EF1779" w:rsidRPr="008725ED">
        <w:t>’</w:t>
      </w:r>
      <w:r w:rsidRPr="008725ED">
        <w:t>examen examinés par les groupes de travail techniques en 2016</w:t>
      </w:r>
      <w:bookmarkEnd w:id="33"/>
    </w:p>
    <w:p w:rsidR="008C3126" w:rsidRPr="008725ED" w:rsidRDefault="008C3126" w:rsidP="00D87DB7">
      <w:pPr>
        <w:keepNext/>
        <w:rPr>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pris note </w:t>
      </w:r>
      <w:r w:rsidRPr="008725ED">
        <w:rPr>
          <w:lang w:val="fr-FR"/>
        </w:rPr>
        <w:t>des projets de principes directeurs d</w:t>
      </w:r>
      <w:r w:rsidR="00EF1779" w:rsidRPr="008725ED">
        <w:rPr>
          <w:lang w:val="fr-FR"/>
        </w:rPr>
        <w:t>’</w:t>
      </w:r>
      <w:r w:rsidRPr="008725ED">
        <w:rPr>
          <w:lang w:val="fr-FR"/>
        </w:rPr>
        <w:t>examen examinés par les groupes de travail techniques à leurs sessions en 2016, tels qu</w:t>
      </w:r>
      <w:r w:rsidR="00EF1779" w:rsidRPr="008725ED">
        <w:rPr>
          <w:lang w:val="fr-FR"/>
        </w:rPr>
        <w:t>’</w:t>
      </w:r>
      <w:r w:rsidRPr="008725ED">
        <w:rPr>
          <w:lang w:val="fr-FR"/>
        </w:rPr>
        <w:t>ils figur</w:t>
      </w:r>
      <w:r w:rsidR="00375D7B" w:rsidRPr="008725ED">
        <w:rPr>
          <w:lang w:val="fr-FR"/>
        </w:rPr>
        <w:t>ai</w:t>
      </w:r>
      <w:r w:rsidRPr="008725ED">
        <w:rPr>
          <w:lang w:val="fr-FR"/>
        </w:rPr>
        <w:t>ent à l</w:t>
      </w:r>
      <w:r w:rsidR="00EF1779" w:rsidRPr="008725ED">
        <w:rPr>
          <w:lang w:val="fr-FR"/>
        </w:rPr>
        <w:t>’</w:t>
      </w:r>
      <w:r w:rsidRPr="008725ED">
        <w:rPr>
          <w:lang w:val="fr-FR"/>
        </w:rPr>
        <w:t xml:space="preserve">annexe II du </w:t>
      </w:r>
      <w:r w:rsidR="00EF1779" w:rsidRPr="008725ED">
        <w:rPr>
          <w:lang w:val="fr-FR"/>
        </w:rPr>
        <w:t>document TC</w:t>
      </w:r>
      <w:r w:rsidRPr="008725ED">
        <w:rPr>
          <w:lang w:val="fr-FR"/>
        </w:rPr>
        <w:t>/53/2.</w:t>
      </w:r>
    </w:p>
    <w:p w:rsidR="008C3126" w:rsidRPr="008725ED" w:rsidRDefault="008C3126" w:rsidP="005E033E">
      <w:pPr>
        <w:spacing w:line="360" w:lineRule="auto"/>
        <w:rPr>
          <w:lang w:val="fr-FR"/>
        </w:rPr>
      </w:pPr>
    </w:p>
    <w:p w:rsidR="008C3126" w:rsidRPr="008725ED" w:rsidRDefault="00D87DB7" w:rsidP="00D87DB7">
      <w:pPr>
        <w:pStyle w:val="Heading3"/>
      </w:pPr>
      <w:bookmarkStart w:id="34" w:name="_Toc494207972"/>
      <w:r w:rsidRPr="008725ED">
        <w:t>Projets de principes directeurs d</w:t>
      </w:r>
      <w:r w:rsidR="00EF1779" w:rsidRPr="008725ED">
        <w:t>’</w:t>
      </w:r>
      <w:r w:rsidRPr="008725ED">
        <w:t>examen à examiner par les TWP en 2017</w:t>
      </w:r>
      <w:bookmarkEnd w:id="34"/>
    </w:p>
    <w:p w:rsidR="008C3126" w:rsidRPr="008725ED" w:rsidRDefault="008C3126" w:rsidP="00D87DB7">
      <w:pPr>
        <w:keepNext/>
        <w:tabs>
          <w:tab w:val="left" w:pos="567"/>
        </w:tabs>
        <w:ind w:left="567" w:hanging="567"/>
        <w:outlineLvl w:val="0"/>
        <w:rPr>
          <w:rFonts w:cs="Arial"/>
          <w:lang w:val="fr-FR"/>
        </w:rPr>
      </w:pPr>
    </w:p>
    <w:p w:rsidR="008C3126" w:rsidRPr="008725ED" w:rsidRDefault="00D87DB7" w:rsidP="00D87DB7">
      <w:pPr>
        <w:rPr>
          <w:rFonts w:cs="Arial"/>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75D7B" w:rsidRPr="008725ED">
        <w:rPr>
          <w:lang w:val="fr-FR"/>
        </w:rPr>
        <w:t>a approuvé</w:t>
      </w:r>
      <w:r w:rsidRPr="008725ED">
        <w:rPr>
          <w:lang w:val="fr-FR"/>
        </w:rPr>
        <w:t xml:space="preserve"> le programme d</w:t>
      </w:r>
      <w:r w:rsidR="00EF1779" w:rsidRPr="008725ED">
        <w:rPr>
          <w:lang w:val="fr-FR"/>
        </w:rPr>
        <w:t>’</w:t>
      </w:r>
      <w:r w:rsidRPr="008725ED">
        <w:rPr>
          <w:lang w:val="fr-FR"/>
        </w:rPr>
        <w:t>élaboration de nouveaux principes directeurs d</w:t>
      </w:r>
      <w:r w:rsidR="00EF1779" w:rsidRPr="008725ED">
        <w:rPr>
          <w:lang w:val="fr-FR"/>
        </w:rPr>
        <w:t>’</w:t>
      </w:r>
      <w:r w:rsidRPr="008725ED">
        <w:rPr>
          <w:lang w:val="fr-FR"/>
        </w:rPr>
        <w:t>examen et de révision des principes directeurs d</w:t>
      </w:r>
      <w:r w:rsidR="00EF1779" w:rsidRPr="008725ED">
        <w:rPr>
          <w:lang w:val="fr-FR"/>
        </w:rPr>
        <w:t>’</w:t>
      </w:r>
      <w:r w:rsidRPr="008725ED">
        <w:rPr>
          <w:lang w:val="fr-FR"/>
        </w:rPr>
        <w:t>examen existants, comme indiqué à l</w:t>
      </w:r>
      <w:r w:rsidR="00EF1779" w:rsidRPr="008725ED">
        <w:rPr>
          <w:lang w:val="fr-FR"/>
        </w:rPr>
        <w:t>’</w:t>
      </w:r>
      <w:r w:rsidRPr="008725ED">
        <w:rPr>
          <w:lang w:val="fr-FR"/>
        </w:rPr>
        <w:t xml:space="preserve">annexe III du </w:t>
      </w:r>
      <w:r w:rsidR="00EF1779" w:rsidRPr="008725ED">
        <w:rPr>
          <w:lang w:val="fr-FR"/>
        </w:rPr>
        <w:t>document TC</w:t>
      </w:r>
      <w:r w:rsidRPr="008725ED">
        <w:rPr>
          <w:lang w:val="fr-FR"/>
        </w:rPr>
        <w:t>/53/2</w:t>
      </w:r>
      <w:r w:rsidRPr="008725ED">
        <w:rPr>
          <w:rFonts w:cs="Arial"/>
          <w:lang w:val="fr-FR"/>
        </w:rPr>
        <w:t>.  Le</w:t>
      </w:r>
      <w:r w:rsidR="00EF1779" w:rsidRPr="008725ED">
        <w:rPr>
          <w:rFonts w:cs="Arial"/>
          <w:lang w:val="fr-FR"/>
        </w:rPr>
        <w:t> TC</w:t>
      </w:r>
      <w:r w:rsidRPr="008725ED">
        <w:rPr>
          <w:rFonts w:cs="Arial"/>
          <w:lang w:val="fr-FR"/>
        </w:rPr>
        <w:t xml:space="preserve"> </w:t>
      </w:r>
      <w:r w:rsidR="00344B0C" w:rsidRPr="008725ED">
        <w:rPr>
          <w:rFonts w:cs="Arial"/>
          <w:lang w:val="fr-FR"/>
        </w:rPr>
        <w:t>est convenu</w:t>
      </w:r>
      <w:r w:rsidRPr="008725ED">
        <w:rPr>
          <w:rFonts w:cs="Arial"/>
          <w:lang w:val="fr-FR"/>
        </w:rPr>
        <w:t xml:space="preserve"> qu</w:t>
      </w:r>
      <w:r w:rsidR="00EF1779" w:rsidRPr="008725ED">
        <w:rPr>
          <w:rFonts w:cs="Arial"/>
          <w:lang w:val="fr-FR"/>
        </w:rPr>
        <w:t>’</w:t>
      </w:r>
      <w:r w:rsidRPr="008725ED">
        <w:rPr>
          <w:rFonts w:cs="Arial"/>
          <w:lang w:val="fr-FR"/>
        </w:rPr>
        <w:t xml:space="preserve">une version </w:t>
      </w:r>
      <w:r w:rsidR="0000589A" w:rsidRPr="008725ED">
        <w:rPr>
          <w:rFonts w:cs="Arial"/>
          <w:lang w:val="fr-FR"/>
        </w:rPr>
        <w:t xml:space="preserve">révisée du </w:t>
      </w:r>
      <w:r w:rsidR="00EF1779" w:rsidRPr="008725ED">
        <w:rPr>
          <w:rFonts w:cs="Arial"/>
          <w:lang w:val="fr-FR"/>
        </w:rPr>
        <w:t>document TC</w:t>
      </w:r>
      <w:r w:rsidR="0000589A" w:rsidRPr="008725ED">
        <w:rPr>
          <w:rFonts w:cs="Arial"/>
          <w:lang w:val="fr-FR"/>
        </w:rPr>
        <w:t>/53/2 dev</w:t>
      </w:r>
      <w:r w:rsidRPr="008725ED">
        <w:rPr>
          <w:rFonts w:cs="Arial"/>
          <w:lang w:val="fr-FR"/>
        </w:rPr>
        <w:t>a</w:t>
      </w:r>
      <w:r w:rsidR="00375D7B" w:rsidRPr="008725ED">
        <w:rPr>
          <w:rFonts w:cs="Arial"/>
          <w:lang w:val="fr-FR"/>
        </w:rPr>
        <w:t>it</w:t>
      </w:r>
      <w:r w:rsidRPr="008725ED">
        <w:rPr>
          <w:rFonts w:cs="Arial"/>
          <w:lang w:val="fr-FR"/>
        </w:rPr>
        <w:t xml:space="preserve"> être publiée de façon à inclure les principes directeurs d</w:t>
      </w:r>
      <w:r w:rsidR="00EF1779" w:rsidRPr="008725ED">
        <w:rPr>
          <w:rFonts w:cs="Arial"/>
          <w:lang w:val="fr-FR"/>
        </w:rPr>
        <w:t>’</w:t>
      </w:r>
      <w:r w:rsidRPr="008725ED">
        <w:rPr>
          <w:rFonts w:cs="Arial"/>
          <w:lang w:val="fr-FR"/>
        </w:rPr>
        <w:t>examen pour l</w:t>
      </w:r>
      <w:r w:rsidR="00EF1779" w:rsidRPr="008725ED">
        <w:rPr>
          <w:rFonts w:cs="Arial"/>
          <w:lang w:val="fr-FR"/>
        </w:rPr>
        <w:t>’</w:t>
      </w:r>
      <w:r w:rsidRPr="008725ED">
        <w:rPr>
          <w:rFonts w:cs="Arial"/>
          <w:lang w:val="fr-FR"/>
        </w:rPr>
        <w:t>orge, la</w:t>
      </w:r>
      <w:r w:rsidRPr="008725ED">
        <w:rPr>
          <w:lang w:val="fr-FR"/>
        </w:rPr>
        <w:t xml:space="preserve"> </w:t>
      </w:r>
      <w:r w:rsidRPr="008725ED">
        <w:rPr>
          <w:rFonts w:cs="Arial"/>
          <w:lang w:val="fr-FR"/>
        </w:rPr>
        <w:t>féverole, l</w:t>
      </w:r>
      <w:r w:rsidR="00EF1779" w:rsidRPr="008725ED">
        <w:rPr>
          <w:rFonts w:cs="Arial"/>
          <w:lang w:val="fr-FR"/>
        </w:rPr>
        <w:t>’</w:t>
      </w:r>
      <w:r w:rsidRPr="008725ED">
        <w:rPr>
          <w:rFonts w:cs="Arial"/>
          <w:lang w:val="fr-FR"/>
        </w:rPr>
        <w:t>avoine, le</w:t>
      </w:r>
      <w:r w:rsidRPr="008725ED">
        <w:rPr>
          <w:lang w:val="fr-FR"/>
        </w:rPr>
        <w:t xml:space="preserve"> </w:t>
      </w:r>
      <w:r w:rsidRPr="008725ED">
        <w:rPr>
          <w:rFonts w:cs="Arial"/>
          <w:lang w:val="fr-FR"/>
        </w:rPr>
        <w:t>pois, le</w:t>
      </w:r>
      <w:r w:rsidRPr="008725ED">
        <w:rPr>
          <w:lang w:val="fr-FR"/>
        </w:rPr>
        <w:t xml:space="preserve"> </w:t>
      </w:r>
      <w:r w:rsidRPr="008725ED">
        <w:rPr>
          <w:rFonts w:cs="Arial"/>
          <w:lang w:val="fr-FR"/>
        </w:rPr>
        <w:t>trèfle violet et le riz dans l</w:t>
      </w:r>
      <w:r w:rsidR="00EF1779" w:rsidRPr="008725ED">
        <w:rPr>
          <w:rFonts w:cs="Arial"/>
          <w:lang w:val="fr-FR"/>
        </w:rPr>
        <w:t>’</w:t>
      </w:r>
      <w:r w:rsidRPr="008725ED">
        <w:rPr>
          <w:rFonts w:cs="Arial"/>
          <w:lang w:val="fr-FR"/>
        </w:rPr>
        <w:t>annexe III.</w:t>
      </w:r>
    </w:p>
    <w:p w:rsidR="008C3126" w:rsidRPr="008725ED" w:rsidRDefault="008C3126" w:rsidP="005E033E">
      <w:pPr>
        <w:spacing w:line="360" w:lineRule="auto"/>
        <w:rPr>
          <w:rFonts w:cs="Arial"/>
          <w:lang w:val="fr-FR"/>
        </w:rPr>
      </w:pPr>
    </w:p>
    <w:p w:rsidR="008C3126" w:rsidRPr="008725ED" w:rsidRDefault="00D87DB7" w:rsidP="00D87DB7">
      <w:pPr>
        <w:pStyle w:val="Heading3"/>
        <w:rPr>
          <w:rFonts w:cs="Arial"/>
        </w:rPr>
      </w:pPr>
      <w:bookmarkStart w:id="35" w:name="_Toc494207973"/>
      <w:r w:rsidRPr="008725ED">
        <w:t>Statut des principes directeurs d</w:t>
      </w:r>
      <w:r w:rsidR="00EF1779" w:rsidRPr="008725ED">
        <w:t>’</w:t>
      </w:r>
      <w:r w:rsidRPr="008725ED">
        <w:t>examen existants ou des projets de principes directeurs d</w:t>
      </w:r>
      <w:r w:rsidR="00EF1779" w:rsidRPr="008725ED">
        <w:t>’</w:t>
      </w:r>
      <w:r w:rsidRPr="008725ED">
        <w:t>examen</w:t>
      </w:r>
      <w:bookmarkEnd w:id="35"/>
    </w:p>
    <w:p w:rsidR="008C3126" w:rsidRPr="008725ED" w:rsidRDefault="008C3126" w:rsidP="00D87DB7">
      <w:pPr>
        <w:keepNext/>
        <w:rPr>
          <w:rFonts w:cs="Arial"/>
          <w:lang w:val="fr-FR"/>
        </w:rPr>
      </w:pPr>
    </w:p>
    <w:p w:rsidR="008C3126" w:rsidRPr="008725ED" w:rsidRDefault="00D87DB7" w:rsidP="00D87DB7">
      <w:pPr>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Le</w:t>
      </w:r>
      <w:r w:rsidR="00EF1779" w:rsidRPr="008725ED">
        <w:rPr>
          <w:rFonts w:cs="Arial"/>
          <w:lang w:val="fr-FR"/>
        </w:rPr>
        <w:t> TC</w:t>
      </w:r>
      <w:r w:rsidRPr="008725ED">
        <w:rPr>
          <w:rFonts w:cs="Arial"/>
          <w:lang w:val="fr-FR"/>
        </w:rPr>
        <w:t xml:space="preserve"> </w:t>
      </w:r>
      <w:r w:rsidR="00344B0C" w:rsidRPr="008725ED">
        <w:rPr>
          <w:rFonts w:cs="Arial"/>
          <w:lang w:val="fr-FR"/>
        </w:rPr>
        <w:t xml:space="preserve">a pris note </w:t>
      </w:r>
      <w:r w:rsidRPr="008725ED">
        <w:rPr>
          <w:rFonts w:cs="Arial"/>
          <w:lang w:val="fr-FR"/>
        </w:rPr>
        <w:t>du niveau des principes directeurs existants tel qu</w:t>
      </w:r>
      <w:r w:rsidR="00EF1779" w:rsidRPr="008725ED">
        <w:rPr>
          <w:rFonts w:cs="Arial"/>
          <w:lang w:val="fr-FR"/>
        </w:rPr>
        <w:t>’</w:t>
      </w:r>
      <w:r w:rsidRPr="008725ED">
        <w:rPr>
          <w:rFonts w:cs="Arial"/>
          <w:lang w:val="fr-FR"/>
        </w:rPr>
        <w:t>il figur</w:t>
      </w:r>
      <w:r w:rsidR="00375D7B" w:rsidRPr="008725ED">
        <w:rPr>
          <w:rFonts w:cs="Arial"/>
          <w:lang w:val="fr-FR"/>
        </w:rPr>
        <w:t>ait</w:t>
      </w:r>
      <w:r w:rsidRPr="008725ED">
        <w:rPr>
          <w:rFonts w:cs="Arial"/>
          <w:lang w:val="fr-FR"/>
        </w:rPr>
        <w:t xml:space="preserve"> dans l</w:t>
      </w:r>
      <w:r w:rsidR="00EF1779" w:rsidRPr="008725ED">
        <w:rPr>
          <w:rFonts w:cs="Arial"/>
          <w:lang w:val="fr-FR"/>
        </w:rPr>
        <w:t>’</w:t>
      </w:r>
      <w:r w:rsidRPr="008725ED">
        <w:rPr>
          <w:rFonts w:cs="Arial"/>
          <w:lang w:val="fr-FR"/>
        </w:rPr>
        <w:t>annexe IV du</w:t>
      </w:r>
      <w:r w:rsidR="00EF1779" w:rsidRPr="008725ED">
        <w:rPr>
          <w:rFonts w:cs="Arial"/>
          <w:lang w:val="fr-FR"/>
        </w:rPr>
        <w:t> TC</w:t>
      </w:r>
      <w:r w:rsidRPr="008725ED">
        <w:rPr>
          <w:rFonts w:cs="Arial"/>
          <w:lang w:val="fr-FR"/>
        </w:rPr>
        <w:t>/53/2.</w:t>
      </w:r>
    </w:p>
    <w:p w:rsidR="008C3126" w:rsidRPr="008725ED" w:rsidRDefault="008C3126" w:rsidP="005E033E">
      <w:pPr>
        <w:spacing w:line="360" w:lineRule="auto"/>
        <w:rPr>
          <w:lang w:val="fr-FR"/>
        </w:rPr>
      </w:pPr>
    </w:p>
    <w:p w:rsidR="008C3126" w:rsidRPr="008725ED" w:rsidRDefault="00D87DB7" w:rsidP="00D87DB7">
      <w:pPr>
        <w:pStyle w:val="Heading3"/>
      </w:pPr>
      <w:bookmarkStart w:id="36" w:name="_Toc494207974"/>
      <w:r w:rsidRPr="008725ED">
        <w:t>Versions remplacées des principes directeurs d</w:t>
      </w:r>
      <w:r w:rsidR="00EF1779" w:rsidRPr="008725ED">
        <w:t>’</w:t>
      </w:r>
      <w:r w:rsidRPr="008725ED">
        <w:t>examen</w:t>
      </w:r>
      <w:bookmarkEnd w:id="36"/>
    </w:p>
    <w:p w:rsidR="008C3126" w:rsidRPr="008725ED" w:rsidRDefault="008C3126" w:rsidP="00D87DB7">
      <w:pPr>
        <w:keepNext/>
        <w:rPr>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pris note </w:t>
      </w:r>
      <w:r w:rsidRPr="008725ED">
        <w:rPr>
          <w:lang w:val="fr-FR"/>
        </w:rPr>
        <w:t>de la liste des versions remplacées des principes directeurs d</w:t>
      </w:r>
      <w:r w:rsidR="00EF1779" w:rsidRPr="008725ED">
        <w:rPr>
          <w:lang w:val="fr-FR"/>
        </w:rPr>
        <w:t>’</w:t>
      </w:r>
      <w:r w:rsidRPr="008725ED">
        <w:rPr>
          <w:lang w:val="fr-FR"/>
        </w:rPr>
        <w:t>examen, telle qu</w:t>
      </w:r>
      <w:r w:rsidR="00EF1779" w:rsidRPr="008725ED">
        <w:rPr>
          <w:lang w:val="fr-FR"/>
        </w:rPr>
        <w:t>’</w:t>
      </w:r>
      <w:r w:rsidRPr="008725ED">
        <w:rPr>
          <w:lang w:val="fr-FR"/>
        </w:rPr>
        <w:t>el</w:t>
      </w:r>
      <w:r w:rsidR="00375D7B" w:rsidRPr="008725ED">
        <w:rPr>
          <w:lang w:val="fr-FR"/>
        </w:rPr>
        <w:t>le figurait</w:t>
      </w:r>
      <w:r w:rsidRPr="008725ED">
        <w:rPr>
          <w:lang w:val="fr-FR"/>
        </w:rPr>
        <w:t xml:space="preserve"> dans l</w:t>
      </w:r>
      <w:r w:rsidR="00EF1779" w:rsidRPr="008725ED">
        <w:rPr>
          <w:lang w:val="fr-FR"/>
        </w:rPr>
        <w:t>’</w:t>
      </w:r>
      <w:r w:rsidRPr="008725ED">
        <w:rPr>
          <w:lang w:val="fr-FR"/>
        </w:rPr>
        <w:t xml:space="preserve">annexe V du </w:t>
      </w:r>
      <w:r w:rsidR="00EF1779" w:rsidRPr="008725ED">
        <w:rPr>
          <w:lang w:val="fr-FR"/>
        </w:rPr>
        <w:t>document TC</w:t>
      </w:r>
      <w:r w:rsidRPr="008725ED">
        <w:rPr>
          <w:rFonts w:cs="Arial"/>
          <w:lang w:val="fr-FR"/>
        </w:rPr>
        <w:t xml:space="preserve">/53/2, et </w:t>
      </w:r>
      <w:r w:rsidR="00344B0C" w:rsidRPr="008725ED">
        <w:rPr>
          <w:rFonts w:cs="Arial"/>
          <w:lang w:val="fr-FR"/>
        </w:rPr>
        <w:t xml:space="preserve">a pris note </w:t>
      </w:r>
      <w:r w:rsidRPr="008725ED">
        <w:rPr>
          <w:rFonts w:cs="Arial"/>
          <w:lang w:val="fr-FR"/>
        </w:rPr>
        <w:t>que les versions remplacées des principes directeurs d</w:t>
      </w:r>
      <w:r w:rsidR="00EF1779" w:rsidRPr="008725ED">
        <w:rPr>
          <w:rFonts w:cs="Arial"/>
          <w:lang w:val="fr-FR"/>
        </w:rPr>
        <w:t>’</w:t>
      </w:r>
      <w:r w:rsidRPr="008725ED">
        <w:rPr>
          <w:rFonts w:cs="Arial"/>
          <w:lang w:val="fr-FR"/>
        </w:rPr>
        <w:t>examen</w:t>
      </w:r>
      <w:r w:rsidRPr="008725ED">
        <w:rPr>
          <w:lang w:val="fr-FR"/>
        </w:rPr>
        <w:t xml:space="preserve"> </w:t>
      </w:r>
      <w:r w:rsidR="00375D7B" w:rsidRPr="008725ED">
        <w:rPr>
          <w:lang w:val="fr-FR"/>
        </w:rPr>
        <w:t>étaient</w:t>
      </w:r>
      <w:r w:rsidRPr="008725ED">
        <w:rPr>
          <w:lang w:val="fr-FR"/>
        </w:rPr>
        <w:t xml:space="preserve"> disponibles sur la page consacrée aux principes directeurs d</w:t>
      </w:r>
      <w:r w:rsidR="00EF1779" w:rsidRPr="008725ED">
        <w:rPr>
          <w:lang w:val="fr-FR"/>
        </w:rPr>
        <w:t>’</w:t>
      </w:r>
      <w:r w:rsidRPr="008725ED">
        <w:rPr>
          <w:lang w:val="fr-FR"/>
        </w:rPr>
        <w:t>examen du site Web de l</w:t>
      </w:r>
      <w:r w:rsidR="00EF1779" w:rsidRPr="008725ED">
        <w:rPr>
          <w:lang w:val="fr-FR"/>
        </w:rPr>
        <w:t>’</w:t>
      </w:r>
      <w:r w:rsidRPr="008725ED">
        <w:rPr>
          <w:lang w:val="fr-FR"/>
        </w:rPr>
        <w:t>UPOV.</w:t>
      </w:r>
    </w:p>
    <w:p w:rsidR="008C3126" w:rsidRPr="008725ED" w:rsidRDefault="008C3126" w:rsidP="005E033E">
      <w:pPr>
        <w:spacing w:line="360" w:lineRule="auto"/>
        <w:rPr>
          <w:lang w:val="fr-FR"/>
        </w:rPr>
      </w:pPr>
    </w:p>
    <w:p w:rsidR="008C3126" w:rsidRPr="008725ED" w:rsidRDefault="00D87DB7" w:rsidP="005E033E">
      <w:pPr>
        <w:pStyle w:val="Heading3"/>
      </w:pPr>
      <w:bookmarkStart w:id="37" w:name="_Toc494207975"/>
      <w:r w:rsidRPr="008725ED">
        <w:t>Date de publication des principes directeurs d</w:t>
      </w:r>
      <w:r w:rsidR="00EF1779" w:rsidRPr="008725ED">
        <w:t>’</w:t>
      </w:r>
      <w:r w:rsidRPr="008725ED">
        <w:t>examen sur le site Web de l</w:t>
      </w:r>
      <w:r w:rsidR="00EF1779" w:rsidRPr="008725ED">
        <w:t>’</w:t>
      </w:r>
      <w:r w:rsidRPr="008725ED">
        <w:t>UPOV</w:t>
      </w:r>
      <w:bookmarkEnd w:id="37"/>
    </w:p>
    <w:p w:rsidR="008C3126" w:rsidRPr="008725ED" w:rsidRDefault="008C3126" w:rsidP="00D87DB7">
      <w:pPr>
        <w:keepNext/>
        <w:rPr>
          <w:lang w:val="fr-FR"/>
        </w:rPr>
      </w:pPr>
    </w:p>
    <w:p w:rsidR="008C3126" w:rsidRPr="008725ED" w:rsidRDefault="00D87DB7" w:rsidP="00D87DB7">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 xml:space="preserve">a pris note </w:t>
      </w:r>
      <w:r w:rsidRPr="008725ED">
        <w:rPr>
          <w:lang w:val="fr-FR"/>
        </w:rPr>
        <w:t>que la page du site Web de l</w:t>
      </w:r>
      <w:r w:rsidR="00EF1779" w:rsidRPr="008725ED">
        <w:rPr>
          <w:lang w:val="fr-FR"/>
        </w:rPr>
        <w:t>’</w:t>
      </w:r>
      <w:r w:rsidRPr="008725ED">
        <w:rPr>
          <w:lang w:val="fr-FR"/>
        </w:rPr>
        <w:t>UPOV consacrée aux principes directeurs d</w:t>
      </w:r>
      <w:r w:rsidR="00EF1779" w:rsidRPr="008725ED">
        <w:rPr>
          <w:lang w:val="fr-FR"/>
        </w:rPr>
        <w:t>’</w:t>
      </w:r>
      <w:r w:rsidRPr="008725ED">
        <w:rPr>
          <w:lang w:val="fr-FR"/>
        </w:rPr>
        <w:t>examen a</w:t>
      </w:r>
      <w:r w:rsidR="00375D7B" w:rsidRPr="008725ED">
        <w:rPr>
          <w:lang w:val="fr-FR"/>
        </w:rPr>
        <w:t>vait</w:t>
      </w:r>
      <w:r w:rsidRPr="008725ED">
        <w:rPr>
          <w:lang w:val="fr-FR"/>
        </w:rPr>
        <w:t xml:space="preserve"> été modifiée afin d</w:t>
      </w:r>
      <w:r w:rsidR="00EF1779" w:rsidRPr="008725ED">
        <w:rPr>
          <w:lang w:val="fr-FR"/>
        </w:rPr>
        <w:t>’</w:t>
      </w:r>
      <w:r w:rsidRPr="008725ED">
        <w:rPr>
          <w:lang w:val="fr-FR"/>
        </w:rPr>
        <w:t>afficher les informations sur la date d</w:t>
      </w:r>
      <w:r w:rsidR="00EF1779" w:rsidRPr="008725ED">
        <w:rPr>
          <w:lang w:val="fr-FR"/>
        </w:rPr>
        <w:t>’</w:t>
      </w:r>
      <w:r w:rsidRPr="008725ED">
        <w:rPr>
          <w:lang w:val="fr-FR"/>
        </w:rPr>
        <w:t>adoption et la date de publication des principes directeurs d</w:t>
      </w:r>
      <w:r w:rsidR="00EF1779" w:rsidRPr="008725ED">
        <w:rPr>
          <w:lang w:val="fr-FR"/>
        </w:rPr>
        <w:t>’</w:t>
      </w:r>
      <w:r w:rsidRPr="008725ED">
        <w:rPr>
          <w:lang w:val="fr-FR"/>
        </w:rPr>
        <w:t>examen.</w:t>
      </w:r>
    </w:p>
    <w:p w:rsidR="008C3126" w:rsidRPr="008725ED" w:rsidRDefault="008C3126" w:rsidP="005E033E">
      <w:pPr>
        <w:spacing w:line="360" w:lineRule="auto"/>
        <w:rPr>
          <w:lang w:val="fr-FR"/>
        </w:rPr>
      </w:pPr>
    </w:p>
    <w:p w:rsidR="008C3126" w:rsidRPr="008725ED" w:rsidRDefault="00D87DB7" w:rsidP="005E033E">
      <w:pPr>
        <w:pStyle w:val="Heading3"/>
      </w:pPr>
      <w:bookmarkStart w:id="38" w:name="_Toc494207976"/>
      <w:r w:rsidRPr="008725ED">
        <w:t>Caractères supplémentaires</w:t>
      </w:r>
      <w:bookmarkEnd w:id="38"/>
    </w:p>
    <w:p w:rsidR="008C3126" w:rsidRPr="008725ED" w:rsidRDefault="008C3126" w:rsidP="005E033E">
      <w:pPr>
        <w:keepNext/>
        <w:rPr>
          <w:snapToGrid w:val="0"/>
          <w:lang w:val="fr-FR"/>
        </w:rPr>
      </w:pPr>
    </w:p>
    <w:p w:rsidR="008C3126" w:rsidRPr="008725ED" w:rsidRDefault="00D87DB7" w:rsidP="00D87DB7">
      <w:pPr>
        <w:rPr>
          <w:snapToGrid w:val="0"/>
          <w:lang w:val="fr-FR"/>
        </w:rPr>
      </w:pPr>
      <w:r w:rsidRPr="008725ED">
        <w:rPr>
          <w:snapToGrid w:val="0"/>
          <w:lang w:val="fr-FR"/>
        </w:rPr>
        <w:fldChar w:fldCharType="begin"/>
      </w:r>
      <w:r w:rsidRPr="008725ED">
        <w:rPr>
          <w:snapToGrid w:val="0"/>
          <w:lang w:val="fr-FR"/>
        </w:rPr>
        <w:instrText xml:space="preserve"> AUTONUM  </w:instrText>
      </w:r>
      <w:r w:rsidRPr="008725ED">
        <w:rPr>
          <w:snapToGrid w:val="0"/>
          <w:lang w:val="fr-FR"/>
        </w:rPr>
        <w:fldChar w:fldCharType="end"/>
      </w:r>
      <w:r w:rsidRPr="008725ED">
        <w:rPr>
          <w:snapToGrid w:val="0"/>
          <w:lang w:val="fr-FR"/>
        </w:rPr>
        <w:tab/>
        <w:t>Le</w:t>
      </w:r>
      <w:r w:rsidR="00EF1779" w:rsidRPr="008725ED">
        <w:rPr>
          <w:snapToGrid w:val="0"/>
          <w:lang w:val="fr-FR"/>
        </w:rPr>
        <w:t> TC</w:t>
      </w:r>
      <w:r w:rsidRPr="008725ED">
        <w:rPr>
          <w:snapToGrid w:val="0"/>
          <w:lang w:val="fr-FR"/>
        </w:rPr>
        <w:t xml:space="preserve"> </w:t>
      </w:r>
      <w:r w:rsidR="00344B0C" w:rsidRPr="008725ED">
        <w:rPr>
          <w:snapToGrid w:val="0"/>
          <w:lang w:val="fr-FR"/>
        </w:rPr>
        <w:t xml:space="preserve">a pris note </w:t>
      </w:r>
      <w:r w:rsidRPr="008725ED">
        <w:rPr>
          <w:snapToGrid w:val="0"/>
          <w:lang w:val="fr-FR"/>
        </w:rPr>
        <w:t>qu</w:t>
      </w:r>
      <w:r w:rsidR="00EF1779" w:rsidRPr="008725ED">
        <w:rPr>
          <w:snapToGrid w:val="0"/>
          <w:lang w:val="fr-FR"/>
        </w:rPr>
        <w:t>’</w:t>
      </w:r>
      <w:r w:rsidRPr="008725ED">
        <w:rPr>
          <w:snapToGrid w:val="0"/>
          <w:lang w:val="fr-FR"/>
        </w:rPr>
        <w:t>aucune notification de caractères ou de niveaux d</w:t>
      </w:r>
      <w:r w:rsidR="00EF1779" w:rsidRPr="008725ED">
        <w:rPr>
          <w:snapToGrid w:val="0"/>
          <w:lang w:val="fr-FR"/>
        </w:rPr>
        <w:t>’</w:t>
      </w:r>
      <w:r w:rsidRPr="008725ED">
        <w:rPr>
          <w:snapToGrid w:val="0"/>
          <w:lang w:val="fr-FR"/>
        </w:rPr>
        <w:t>expression supplémentaires n</w:t>
      </w:r>
      <w:r w:rsidR="00EF1779" w:rsidRPr="008725ED">
        <w:rPr>
          <w:snapToGrid w:val="0"/>
          <w:lang w:val="fr-FR"/>
        </w:rPr>
        <w:t>’</w:t>
      </w:r>
      <w:r w:rsidRPr="008725ED">
        <w:rPr>
          <w:snapToGrid w:val="0"/>
          <w:lang w:val="fr-FR"/>
        </w:rPr>
        <w:t>a</w:t>
      </w:r>
      <w:r w:rsidR="00375D7B" w:rsidRPr="008725ED">
        <w:rPr>
          <w:snapToGrid w:val="0"/>
          <w:lang w:val="fr-FR"/>
        </w:rPr>
        <w:t>vait</w:t>
      </w:r>
      <w:r w:rsidRPr="008725ED">
        <w:rPr>
          <w:snapToGrid w:val="0"/>
          <w:lang w:val="fr-FR"/>
        </w:rPr>
        <w:t xml:space="preserve"> été adressée au Bureau de l</w:t>
      </w:r>
      <w:r w:rsidR="00EF1779" w:rsidRPr="008725ED">
        <w:rPr>
          <w:snapToGrid w:val="0"/>
          <w:lang w:val="fr-FR"/>
        </w:rPr>
        <w:t>’</w:t>
      </w:r>
      <w:r w:rsidRPr="008725ED">
        <w:rPr>
          <w:snapToGrid w:val="0"/>
          <w:lang w:val="fr-FR"/>
        </w:rPr>
        <w:t>Union depuis la cinquante</w:t>
      </w:r>
      <w:r w:rsidR="00EF1779" w:rsidRPr="008725ED">
        <w:rPr>
          <w:snapToGrid w:val="0"/>
          <w:lang w:val="fr-FR"/>
        </w:rPr>
        <w:t>-</w:t>
      </w:r>
      <w:r w:rsidRPr="008725ED">
        <w:rPr>
          <w:snapToGrid w:val="0"/>
          <w:lang w:val="fr-FR"/>
        </w:rPr>
        <w:t>deux</w:t>
      </w:r>
      <w:r w:rsidR="00EF1779" w:rsidRPr="008725ED">
        <w:rPr>
          <w:snapToGrid w:val="0"/>
          <w:lang w:val="fr-FR"/>
        </w:rPr>
        <w:t>ième session</w:t>
      </w:r>
      <w:r w:rsidRPr="008725ED">
        <w:rPr>
          <w:snapToGrid w:val="0"/>
          <w:lang w:val="fr-FR"/>
        </w:rPr>
        <w:t xml:space="preserve"> du Comité technique.</w:t>
      </w:r>
    </w:p>
    <w:p w:rsidR="008C3126" w:rsidRPr="008725ED" w:rsidRDefault="008C3126" w:rsidP="005E033E">
      <w:pPr>
        <w:spacing w:line="360" w:lineRule="auto"/>
        <w:rPr>
          <w:snapToGrid w:val="0"/>
          <w:lang w:val="fr-FR"/>
        </w:rPr>
      </w:pPr>
    </w:p>
    <w:p w:rsidR="008C3126" w:rsidRPr="008725ED" w:rsidRDefault="00D87DB7" w:rsidP="005E033E">
      <w:pPr>
        <w:pStyle w:val="Heading3"/>
        <w:rPr>
          <w:snapToGrid w:val="0"/>
        </w:rPr>
      </w:pPr>
      <w:bookmarkStart w:id="39" w:name="_Toc494207977"/>
      <w:r w:rsidRPr="008725ED">
        <w:rPr>
          <w:snapToGrid w:val="0"/>
        </w:rPr>
        <w:t>Procédure de traitement des informations supplémentaires requises par le</w:t>
      </w:r>
      <w:r w:rsidR="00EF1779" w:rsidRPr="008725ED">
        <w:rPr>
          <w:snapToGrid w:val="0"/>
        </w:rPr>
        <w:t> TC-EDC</w:t>
      </w:r>
      <w:bookmarkEnd w:id="39"/>
    </w:p>
    <w:p w:rsidR="008C3126" w:rsidRPr="008725ED" w:rsidRDefault="008C3126" w:rsidP="005E033E">
      <w:pPr>
        <w:keepNext/>
        <w:rPr>
          <w:snapToGrid w:val="0"/>
          <w:lang w:val="fr-FR"/>
        </w:rPr>
      </w:pPr>
    </w:p>
    <w:p w:rsidR="008C3126" w:rsidRPr="008725ED" w:rsidRDefault="00D87DB7" w:rsidP="00D87DB7">
      <w:pPr>
        <w:rPr>
          <w:snapToGrid w:val="0"/>
          <w:lang w:val="fr-FR"/>
        </w:rPr>
      </w:pPr>
      <w:r w:rsidRPr="008725ED">
        <w:rPr>
          <w:snapToGrid w:val="0"/>
          <w:lang w:val="fr-FR"/>
        </w:rPr>
        <w:fldChar w:fldCharType="begin"/>
      </w:r>
      <w:r w:rsidRPr="008725ED">
        <w:rPr>
          <w:snapToGrid w:val="0"/>
          <w:lang w:val="fr-FR"/>
        </w:rPr>
        <w:instrText xml:space="preserve"> AUTONUM  </w:instrText>
      </w:r>
      <w:r w:rsidRPr="008725ED">
        <w:rPr>
          <w:snapToGrid w:val="0"/>
          <w:lang w:val="fr-FR"/>
        </w:rPr>
        <w:fldChar w:fldCharType="end"/>
      </w:r>
      <w:r w:rsidRPr="008725ED">
        <w:rPr>
          <w:snapToGrid w:val="0"/>
          <w:lang w:val="fr-FR"/>
        </w:rPr>
        <w:tab/>
        <w:t>Le</w:t>
      </w:r>
      <w:r w:rsidR="00EF1779" w:rsidRPr="008725ED">
        <w:rPr>
          <w:snapToGrid w:val="0"/>
          <w:lang w:val="fr-FR"/>
        </w:rPr>
        <w:t> TC</w:t>
      </w:r>
      <w:r w:rsidRPr="008725ED">
        <w:rPr>
          <w:snapToGrid w:val="0"/>
          <w:lang w:val="fr-FR"/>
        </w:rPr>
        <w:t xml:space="preserve"> </w:t>
      </w:r>
      <w:r w:rsidR="00375D7B" w:rsidRPr="008725ED">
        <w:rPr>
          <w:snapToGrid w:val="0"/>
          <w:lang w:val="fr-FR"/>
        </w:rPr>
        <w:t>a approuvé</w:t>
      </w:r>
      <w:r w:rsidRPr="008725ED">
        <w:rPr>
          <w:snapToGrid w:val="0"/>
          <w:lang w:val="fr-FR"/>
        </w:rPr>
        <w:t xml:space="preserve"> la recommandation faite par le</w:t>
      </w:r>
      <w:r w:rsidR="00EF1779" w:rsidRPr="008725ED">
        <w:rPr>
          <w:snapToGrid w:val="0"/>
          <w:lang w:val="fr-FR"/>
        </w:rPr>
        <w:t> TC-EDC</w:t>
      </w:r>
      <w:r w:rsidRPr="008725ED">
        <w:rPr>
          <w:snapToGrid w:val="0"/>
          <w:lang w:val="fr-FR"/>
        </w:rPr>
        <w:t>, à sa réunion d</w:t>
      </w:r>
      <w:r w:rsidR="00EF1779" w:rsidRPr="008725ED">
        <w:rPr>
          <w:snapToGrid w:val="0"/>
          <w:lang w:val="fr-FR"/>
        </w:rPr>
        <w:t>’</w:t>
      </w:r>
      <w:r w:rsidRPr="008725ED">
        <w:rPr>
          <w:snapToGrid w:val="0"/>
          <w:lang w:val="fr-FR"/>
        </w:rPr>
        <w:t xml:space="preserve">avril 2017, de </w:t>
      </w:r>
      <w:r w:rsidRPr="008725ED">
        <w:rPr>
          <w:rFonts w:cs="Arial"/>
          <w:lang w:val="fr-FR"/>
        </w:rPr>
        <w:t>soumettre les observations</w:t>
      </w:r>
      <w:r w:rsidRPr="008725ED">
        <w:rPr>
          <w:snapToGrid w:val="0"/>
          <w:lang w:val="fr-FR"/>
        </w:rPr>
        <w:t xml:space="preserve"> sur les principes directeurs d</w:t>
      </w:r>
      <w:r w:rsidR="00EF1779" w:rsidRPr="008725ED">
        <w:rPr>
          <w:snapToGrid w:val="0"/>
          <w:lang w:val="fr-FR"/>
        </w:rPr>
        <w:t>’</w:t>
      </w:r>
      <w:r w:rsidRPr="008725ED">
        <w:rPr>
          <w:snapToGrid w:val="0"/>
          <w:lang w:val="fr-FR"/>
        </w:rPr>
        <w:t>examen aux experts principaux et aux groupes de travail techniques et de traiter parallèlement les questions demandant des informations supplémentair</w:t>
      </w:r>
      <w:r w:rsidR="00D43219" w:rsidRPr="008725ED">
        <w:rPr>
          <w:snapToGrid w:val="0"/>
          <w:lang w:val="fr-FR"/>
        </w:rPr>
        <w:t>es.  Le</w:t>
      </w:r>
      <w:r w:rsidR="00EF1779" w:rsidRPr="008725ED">
        <w:rPr>
          <w:snapToGrid w:val="0"/>
          <w:lang w:val="fr-FR"/>
        </w:rPr>
        <w:t> TC</w:t>
      </w:r>
      <w:r w:rsidRPr="008725ED">
        <w:rPr>
          <w:snapToGrid w:val="0"/>
          <w:lang w:val="fr-FR"/>
        </w:rPr>
        <w:t xml:space="preserve"> </w:t>
      </w:r>
      <w:r w:rsidR="00344B0C" w:rsidRPr="008725ED">
        <w:rPr>
          <w:snapToGrid w:val="0"/>
          <w:lang w:val="fr-FR"/>
        </w:rPr>
        <w:t>est convenu</w:t>
      </w:r>
      <w:r w:rsidRPr="008725ED">
        <w:rPr>
          <w:snapToGrid w:val="0"/>
          <w:lang w:val="fr-FR"/>
        </w:rPr>
        <w:t xml:space="preserve"> également d</w:t>
      </w:r>
      <w:r w:rsidR="00EF1779" w:rsidRPr="008725ED">
        <w:rPr>
          <w:snapToGrid w:val="0"/>
          <w:lang w:val="fr-FR"/>
        </w:rPr>
        <w:t>’</w:t>
      </w:r>
      <w:r w:rsidRPr="008725ED">
        <w:rPr>
          <w:snapToGrid w:val="0"/>
          <w:lang w:val="fr-FR"/>
        </w:rPr>
        <w:t>étudier cette méthode à sa session de 2018 et d</w:t>
      </w:r>
      <w:r w:rsidR="00EF1779" w:rsidRPr="008725ED">
        <w:rPr>
          <w:snapToGrid w:val="0"/>
          <w:lang w:val="fr-FR"/>
        </w:rPr>
        <w:t>’</w:t>
      </w:r>
      <w:r w:rsidRPr="008725ED">
        <w:rPr>
          <w:snapToGrid w:val="0"/>
          <w:lang w:val="fr-FR"/>
        </w:rPr>
        <w:t>examiner s</w:t>
      </w:r>
      <w:r w:rsidR="00EF1779" w:rsidRPr="008725ED">
        <w:rPr>
          <w:snapToGrid w:val="0"/>
          <w:lang w:val="fr-FR"/>
        </w:rPr>
        <w:t>’</w:t>
      </w:r>
      <w:r w:rsidRPr="008725ED">
        <w:rPr>
          <w:snapToGrid w:val="0"/>
          <w:lang w:val="fr-FR"/>
        </w:rPr>
        <w:t xml:space="preserve">il </w:t>
      </w:r>
      <w:r w:rsidR="00375D7B" w:rsidRPr="008725ED">
        <w:rPr>
          <w:snapToGrid w:val="0"/>
          <w:lang w:val="fr-FR"/>
        </w:rPr>
        <w:t>fallait</w:t>
      </w:r>
      <w:r w:rsidRPr="008725ED">
        <w:rPr>
          <w:snapToGrid w:val="0"/>
          <w:lang w:val="fr-FR"/>
        </w:rPr>
        <w:t xml:space="preserve"> l</w:t>
      </w:r>
      <w:r w:rsidR="00EF1779" w:rsidRPr="008725ED">
        <w:rPr>
          <w:snapToGrid w:val="0"/>
          <w:lang w:val="fr-FR"/>
        </w:rPr>
        <w:t>’</w:t>
      </w:r>
      <w:r w:rsidRPr="008725ED">
        <w:rPr>
          <w:snapToGrid w:val="0"/>
          <w:lang w:val="fr-FR"/>
        </w:rPr>
        <w:t>inclure dans le</w:t>
      </w:r>
      <w:r w:rsidRPr="008725ED">
        <w:rPr>
          <w:rFonts w:cs="Arial"/>
          <w:lang w:val="fr-FR"/>
        </w:rPr>
        <w:t xml:space="preserve"> document TGP/7.</w:t>
      </w:r>
    </w:p>
    <w:p w:rsidR="008C3126" w:rsidRPr="008725ED" w:rsidRDefault="008C3126" w:rsidP="005E033E">
      <w:pPr>
        <w:spacing w:line="360" w:lineRule="auto"/>
        <w:rPr>
          <w:snapToGrid w:val="0"/>
          <w:lang w:val="fr-FR"/>
        </w:rPr>
      </w:pPr>
    </w:p>
    <w:p w:rsidR="008C3126" w:rsidRPr="008725ED" w:rsidRDefault="00D87DB7" w:rsidP="005E033E">
      <w:pPr>
        <w:pStyle w:val="Heading3"/>
        <w:rPr>
          <w:snapToGrid w:val="0"/>
        </w:rPr>
      </w:pPr>
      <w:bookmarkStart w:id="40" w:name="_Toc494207978"/>
      <w:r w:rsidRPr="008725ED">
        <w:rPr>
          <w:snapToGrid w:val="0"/>
        </w:rPr>
        <w:t>Révision du document TGP/14</w:t>
      </w:r>
      <w:r w:rsidR="00EF1779" w:rsidRPr="008725ED">
        <w:rPr>
          <w:snapToGrid w:val="0"/>
        </w:rPr>
        <w:t> :</w:t>
      </w:r>
      <w:r w:rsidRPr="008725ED">
        <w:rPr>
          <w:snapToGrid w:val="0"/>
        </w:rPr>
        <w:t xml:space="preserve"> illustrations des caractères liés à la forme et au ratio</w:t>
      </w:r>
      <w:bookmarkEnd w:id="40"/>
    </w:p>
    <w:p w:rsidR="008C3126" w:rsidRPr="008725ED" w:rsidRDefault="008C3126" w:rsidP="005E033E">
      <w:pPr>
        <w:keepNext/>
        <w:rPr>
          <w:snapToGrid w:val="0"/>
          <w:lang w:val="fr-FR"/>
        </w:rPr>
      </w:pPr>
    </w:p>
    <w:p w:rsidR="008C3126" w:rsidRPr="008725ED" w:rsidRDefault="00D87DB7" w:rsidP="00D87DB7">
      <w:pPr>
        <w:tabs>
          <w:tab w:val="left" w:pos="567"/>
          <w:tab w:val="left" w:pos="5387"/>
        </w:tabs>
        <w:rPr>
          <w:rFonts w:cs="Arial"/>
          <w:i/>
          <w:lang w:val="fr-FR"/>
        </w:rPr>
      </w:pPr>
      <w:r w:rsidRPr="008725ED">
        <w:rPr>
          <w:snapToGrid w:val="0"/>
          <w:lang w:val="fr-FR"/>
        </w:rPr>
        <w:fldChar w:fldCharType="begin"/>
      </w:r>
      <w:r w:rsidRPr="008725ED">
        <w:rPr>
          <w:snapToGrid w:val="0"/>
          <w:lang w:val="fr-FR"/>
        </w:rPr>
        <w:instrText xml:space="preserve"> AUTONUM  </w:instrText>
      </w:r>
      <w:r w:rsidRPr="008725ED">
        <w:rPr>
          <w:snapToGrid w:val="0"/>
          <w:lang w:val="fr-FR"/>
        </w:rPr>
        <w:fldChar w:fldCharType="end"/>
      </w:r>
      <w:r w:rsidRPr="008725ED">
        <w:rPr>
          <w:snapToGrid w:val="0"/>
          <w:lang w:val="fr-FR"/>
        </w:rPr>
        <w:tab/>
        <w:t>Le</w:t>
      </w:r>
      <w:r w:rsidR="00EF1779" w:rsidRPr="008725ED">
        <w:rPr>
          <w:snapToGrid w:val="0"/>
          <w:lang w:val="fr-FR"/>
        </w:rPr>
        <w:t> TC</w:t>
      </w:r>
      <w:r w:rsidRPr="008725ED">
        <w:rPr>
          <w:snapToGrid w:val="0"/>
          <w:lang w:val="fr-FR"/>
        </w:rPr>
        <w:t xml:space="preserve"> </w:t>
      </w:r>
      <w:r w:rsidR="00375D7B" w:rsidRPr="008725ED">
        <w:rPr>
          <w:snapToGrid w:val="0"/>
          <w:lang w:val="fr-FR"/>
        </w:rPr>
        <w:t>a approuvé</w:t>
      </w:r>
      <w:r w:rsidRPr="008725ED">
        <w:rPr>
          <w:snapToGrid w:val="0"/>
          <w:lang w:val="fr-FR"/>
        </w:rPr>
        <w:t xml:space="preserve"> la recommandation faite par le</w:t>
      </w:r>
      <w:r w:rsidR="00EF1779" w:rsidRPr="008725ED">
        <w:rPr>
          <w:snapToGrid w:val="0"/>
          <w:lang w:val="fr-FR"/>
        </w:rPr>
        <w:t> TC-EDC</w:t>
      </w:r>
      <w:r w:rsidRPr="008725ED">
        <w:rPr>
          <w:snapToGrid w:val="0"/>
          <w:lang w:val="fr-FR"/>
        </w:rPr>
        <w:t>, à sa réunion d</w:t>
      </w:r>
      <w:r w:rsidR="00EF1779" w:rsidRPr="008725ED">
        <w:rPr>
          <w:snapToGrid w:val="0"/>
          <w:lang w:val="fr-FR"/>
        </w:rPr>
        <w:t>’</w:t>
      </w:r>
      <w:r w:rsidRPr="008725ED">
        <w:rPr>
          <w:snapToGrid w:val="0"/>
          <w:lang w:val="fr-FR"/>
        </w:rPr>
        <w:t xml:space="preserve">avril 2017, </w:t>
      </w:r>
      <w:r w:rsidRPr="008725ED">
        <w:rPr>
          <w:rFonts w:cs="Arial"/>
          <w:lang w:val="fr-FR"/>
        </w:rPr>
        <w:t>d</w:t>
      </w:r>
      <w:r w:rsidR="00EF1779" w:rsidRPr="008725ED">
        <w:rPr>
          <w:rFonts w:cs="Arial"/>
          <w:lang w:val="fr-FR"/>
        </w:rPr>
        <w:t>’</w:t>
      </w:r>
      <w:r w:rsidRPr="008725ED">
        <w:rPr>
          <w:rFonts w:cs="Arial"/>
          <w:lang w:val="fr-FR"/>
        </w:rPr>
        <w:t>améliorer les orientations disponibles dans le document TGP/14 relatives aux illustrations des caractères liés à la forme et au ratio en ajoutant des exempl</w:t>
      </w:r>
      <w:r w:rsidR="00D43219" w:rsidRPr="008725ED">
        <w:rPr>
          <w:rFonts w:cs="Arial"/>
          <w:lang w:val="fr-FR"/>
        </w:rPr>
        <w:t>es.  Le</w:t>
      </w:r>
      <w:r w:rsidR="00EF1779" w:rsidRPr="008725ED">
        <w:rPr>
          <w:rFonts w:cs="Arial"/>
          <w:lang w:val="fr-FR"/>
        </w:rPr>
        <w:t> TC</w:t>
      </w:r>
      <w:r w:rsidRPr="008725ED">
        <w:rPr>
          <w:rFonts w:cs="Arial"/>
          <w:lang w:val="fr-FR"/>
        </w:rPr>
        <w:t xml:space="preserve"> </w:t>
      </w:r>
      <w:r w:rsidR="00344B0C" w:rsidRPr="008725ED">
        <w:rPr>
          <w:rFonts w:cs="Arial"/>
          <w:lang w:val="fr-FR"/>
        </w:rPr>
        <w:t>est convenu</w:t>
      </w:r>
      <w:r w:rsidRPr="008725ED">
        <w:rPr>
          <w:rFonts w:cs="Arial"/>
          <w:lang w:val="fr-FR"/>
        </w:rPr>
        <w:t xml:space="preserve"> d</w:t>
      </w:r>
      <w:r w:rsidR="00EF1779" w:rsidRPr="008725ED">
        <w:rPr>
          <w:rFonts w:cs="Arial"/>
          <w:lang w:val="fr-FR"/>
        </w:rPr>
        <w:t>’</w:t>
      </w:r>
      <w:r w:rsidRPr="008725ED">
        <w:rPr>
          <w:rFonts w:cs="Arial"/>
          <w:lang w:val="fr-FR"/>
        </w:rPr>
        <w:t xml:space="preserve">inviter les </w:t>
      </w:r>
      <w:r w:rsidRPr="008725ED">
        <w:rPr>
          <w:snapToGrid w:val="0"/>
          <w:lang w:val="fr-FR"/>
        </w:rPr>
        <w:t xml:space="preserve">groupes </w:t>
      </w:r>
      <w:r w:rsidRPr="008725ED">
        <w:rPr>
          <w:rFonts w:cs="Arial"/>
          <w:lang w:val="fr-FR"/>
        </w:rPr>
        <w:t>de travail techniques, à leurs sessions de 2017, d</w:t>
      </w:r>
      <w:r w:rsidR="00EF1779" w:rsidRPr="008725ED">
        <w:rPr>
          <w:rFonts w:cs="Arial"/>
          <w:lang w:val="fr-FR"/>
        </w:rPr>
        <w:t>’</w:t>
      </w:r>
      <w:r w:rsidRPr="008725ED">
        <w:rPr>
          <w:rFonts w:cs="Arial"/>
          <w:lang w:val="fr-FR"/>
        </w:rPr>
        <w:t>examiner la question et de rendre compte au</w:t>
      </w:r>
      <w:r w:rsidR="00EF1779" w:rsidRPr="008725ED">
        <w:rPr>
          <w:rFonts w:cs="Arial"/>
          <w:lang w:val="fr-FR"/>
        </w:rPr>
        <w:t> TC</w:t>
      </w:r>
      <w:r w:rsidRPr="008725ED">
        <w:rPr>
          <w:rFonts w:cs="Arial"/>
          <w:lang w:val="fr-FR"/>
        </w:rPr>
        <w:t xml:space="preserve"> à sa session de 2018.</w:t>
      </w:r>
    </w:p>
    <w:p w:rsidR="008C3126" w:rsidRPr="008725ED" w:rsidRDefault="008C3126" w:rsidP="00D87DB7">
      <w:pPr>
        <w:rPr>
          <w:snapToGrid w:val="0"/>
          <w:lang w:val="fr-FR"/>
        </w:rPr>
      </w:pPr>
    </w:p>
    <w:p w:rsidR="008C3126" w:rsidRPr="008725ED" w:rsidRDefault="00D87DB7" w:rsidP="005E033E">
      <w:pPr>
        <w:pStyle w:val="Heading3"/>
        <w:rPr>
          <w:snapToGrid w:val="0"/>
        </w:rPr>
      </w:pPr>
      <w:bookmarkStart w:id="41" w:name="_Toc494207979"/>
      <w:r w:rsidRPr="008725ED">
        <w:rPr>
          <w:snapToGrid w:val="0"/>
        </w:rPr>
        <w:t>Programme d</w:t>
      </w:r>
      <w:r w:rsidR="00EF1779" w:rsidRPr="008725ED">
        <w:rPr>
          <w:snapToGrid w:val="0"/>
        </w:rPr>
        <w:t>’</w:t>
      </w:r>
      <w:r w:rsidRPr="008725ED">
        <w:rPr>
          <w:snapToGrid w:val="0"/>
        </w:rPr>
        <w:t>élaboration de nouveaux principes directeurs d</w:t>
      </w:r>
      <w:r w:rsidR="00EF1779" w:rsidRPr="008725ED">
        <w:rPr>
          <w:snapToGrid w:val="0"/>
        </w:rPr>
        <w:t>’</w:t>
      </w:r>
      <w:r w:rsidRPr="008725ED">
        <w:rPr>
          <w:snapToGrid w:val="0"/>
        </w:rPr>
        <w:t>examen et de révision des principes directeurs d</w:t>
      </w:r>
      <w:r w:rsidR="00EF1779" w:rsidRPr="008725ED">
        <w:rPr>
          <w:snapToGrid w:val="0"/>
        </w:rPr>
        <w:t>’</w:t>
      </w:r>
      <w:r w:rsidRPr="008725ED">
        <w:rPr>
          <w:snapToGrid w:val="0"/>
        </w:rPr>
        <w:t>examen en 2018</w:t>
      </w:r>
      <w:bookmarkEnd w:id="41"/>
    </w:p>
    <w:p w:rsidR="008C3126" w:rsidRPr="008725ED" w:rsidRDefault="008C3126" w:rsidP="005E033E">
      <w:pPr>
        <w:keepNext/>
        <w:rPr>
          <w:snapToGrid w:val="0"/>
          <w:lang w:val="fr-FR"/>
        </w:rPr>
      </w:pPr>
    </w:p>
    <w:p w:rsidR="008C3126" w:rsidRPr="008725ED" w:rsidRDefault="00D87DB7" w:rsidP="00D87DB7">
      <w:pPr>
        <w:rPr>
          <w:snapToGrid w:val="0"/>
          <w:lang w:val="fr-FR"/>
        </w:rPr>
      </w:pPr>
      <w:r w:rsidRPr="008725ED">
        <w:rPr>
          <w:snapToGrid w:val="0"/>
          <w:lang w:val="fr-FR"/>
        </w:rPr>
        <w:fldChar w:fldCharType="begin"/>
      </w:r>
      <w:r w:rsidRPr="008725ED">
        <w:rPr>
          <w:snapToGrid w:val="0"/>
          <w:lang w:val="fr-FR"/>
        </w:rPr>
        <w:instrText xml:space="preserve"> AUTONUM  </w:instrText>
      </w:r>
      <w:r w:rsidRPr="008725ED">
        <w:rPr>
          <w:snapToGrid w:val="0"/>
          <w:lang w:val="fr-FR"/>
        </w:rPr>
        <w:fldChar w:fldCharType="end"/>
      </w:r>
      <w:r w:rsidRPr="008725ED">
        <w:rPr>
          <w:snapToGrid w:val="0"/>
          <w:lang w:val="fr-FR"/>
        </w:rPr>
        <w:tab/>
        <w:t>Comme mesure d</w:t>
      </w:r>
      <w:r w:rsidR="00EF1779" w:rsidRPr="008725ED">
        <w:rPr>
          <w:snapToGrid w:val="0"/>
          <w:lang w:val="fr-FR"/>
        </w:rPr>
        <w:t>’</w:t>
      </w:r>
      <w:r w:rsidRPr="008725ED">
        <w:rPr>
          <w:snapToGrid w:val="0"/>
          <w:lang w:val="fr-FR"/>
        </w:rPr>
        <w:t>urgence additionnelle, le</w:t>
      </w:r>
      <w:r w:rsidR="00EF1779" w:rsidRPr="008725ED">
        <w:rPr>
          <w:snapToGrid w:val="0"/>
          <w:lang w:val="fr-FR"/>
        </w:rPr>
        <w:t> TC</w:t>
      </w:r>
      <w:r w:rsidRPr="008725ED">
        <w:rPr>
          <w:snapToGrid w:val="0"/>
          <w:lang w:val="fr-FR"/>
        </w:rPr>
        <w:t xml:space="preserve"> </w:t>
      </w:r>
      <w:r w:rsidR="00344B0C" w:rsidRPr="008725ED">
        <w:rPr>
          <w:snapToGrid w:val="0"/>
          <w:lang w:val="fr-FR"/>
        </w:rPr>
        <w:t>est convenu</w:t>
      </w:r>
      <w:r w:rsidRPr="008725ED">
        <w:rPr>
          <w:snapToGrid w:val="0"/>
          <w:lang w:val="fr-FR"/>
        </w:rPr>
        <w:t xml:space="preserve"> que le </w:t>
      </w:r>
      <w:r w:rsidRPr="008725ED">
        <w:rPr>
          <w:rFonts w:cs="Arial"/>
          <w:lang w:val="fr-FR"/>
        </w:rPr>
        <w:t>programme d</w:t>
      </w:r>
      <w:r w:rsidR="00EF1779" w:rsidRPr="008725ED">
        <w:rPr>
          <w:rFonts w:cs="Arial"/>
          <w:lang w:val="fr-FR"/>
        </w:rPr>
        <w:t>’</w:t>
      </w:r>
      <w:r w:rsidRPr="008725ED">
        <w:rPr>
          <w:rFonts w:cs="Arial"/>
          <w:lang w:val="fr-FR"/>
        </w:rPr>
        <w:t>élaboration de nouveaux principes directeurs d</w:t>
      </w:r>
      <w:r w:rsidR="00EF1779" w:rsidRPr="008725ED">
        <w:rPr>
          <w:rFonts w:cs="Arial"/>
          <w:lang w:val="fr-FR"/>
        </w:rPr>
        <w:t>’</w:t>
      </w:r>
      <w:r w:rsidRPr="008725ED">
        <w:rPr>
          <w:rFonts w:cs="Arial"/>
          <w:lang w:val="fr-FR"/>
        </w:rPr>
        <w:t>examen et de révision des principes directeurs d</w:t>
      </w:r>
      <w:r w:rsidR="00EF1779" w:rsidRPr="008725ED">
        <w:rPr>
          <w:rFonts w:cs="Arial"/>
          <w:lang w:val="fr-FR"/>
        </w:rPr>
        <w:t>’</w:t>
      </w:r>
      <w:r w:rsidRPr="008725ED">
        <w:rPr>
          <w:rFonts w:cs="Arial"/>
          <w:lang w:val="fr-FR"/>
        </w:rPr>
        <w:t xml:space="preserve">examen en 2018 </w:t>
      </w:r>
      <w:r w:rsidR="00375D7B" w:rsidRPr="008725ED">
        <w:rPr>
          <w:rFonts w:cs="Arial"/>
          <w:lang w:val="fr-FR"/>
        </w:rPr>
        <w:t>devait</w:t>
      </w:r>
      <w:r w:rsidRPr="008725ED">
        <w:rPr>
          <w:rFonts w:cs="Arial"/>
          <w:lang w:val="fr-FR"/>
        </w:rPr>
        <w:t xml:space="preserve"> être approuvé par le</w:t>
      </w:r>
      <w:r w:rsidR="00EF1779" w:rsidRPr="008725ED">
        <w:rPr>
          <w:rFonts w:cs="Arial"/>
          <w:lang w:val="fr-FR"/>
        </w:rPr>
        <w:t> TC</w:t>
      </w:r>
      <w:r w:rsidRPr="008725ED">
        <w:rPr>
          <w:rFonts w:cs="Arial"/>
          <w:lang w:val="fr-FR"/>
        </w:rPr>
        <w:t xml:space="preserve"> par correspondance</w:t>
      </w:r>
      <w:r w:rsidRPr="008725ED">
        <w:rPr>
          <w:lang w:val="fr-FR"/>
        </w:rPr>
        <w:t xml:space="preserve"> </w:t>
      </w:r>
      <w:r w:rsidRPr="008725ED">
        <w:rPr>
          <w:rFonts w:cs="Arial"/>
          <w:lang w:val="fr-FR"/>
        </w:rPr>
        <w:t>à titre exceptionnel.</w:t>
      </w:r>
    </w:p>
    <w:p w:rsidR="008C3126" w:rsidRPr="008725ED" w:rsidRDefault="008C3126" w:rsidP="00D87DB7">
      <w:pPr>
        <w:rPr>
          <w:lang w:val="fr-FR"/>
        </w:rPr>
      </w:pPr>
    </w:p>
    <w:p w:rsidR="008C3126" w:rsidRPr="008725ED" w:rsidRDefault="008C3126" w:rsidP="00D87DB7">
      <w:pPr>
        <w:rPr>
          <w:snapToGrid w:val="0"/>
          <w:lang w:val="fr-FR"/>
        </w:rPr>
      </w:pPr>
    </w:p>
    <w:p w:rsidR="008C3126" w:rsidRPr="008725ED" w:rsidRDefault="00D87DB7" w:rsidP="00D87DB7">
      <w:pPr>
        <w:pStyle w:val="Heading2"/>
        <w:rPr>
          <w:lang w:val="fr-FR"/>
        </w:rPr>
      </w:pPr>
      <w:bookmarkStart w:id="42" w:name="_Toc494207980"/>
      <w:r w:rsidRPr="008725ED">
        <w:rPr>
          <w:lang w:val="fr-FR"/>
        </w:rPr>
        <w:t>Présidents</w:t>
      </w:r>
      <w:bookmarkEnd w:id="42"/>
    </w:p>
    <w:p w:rsidR="008C3126" w:rsidRPr="008725ED" w:rsidRDefault="008C3126" w:rsidP="00D87DB7">
      <w:pPr>
        <w:keepNext/>
        <w:rPr>
          <w:lang w:val="fr-FR"/>
        </w:rPr>
      </w:pPr>
    </w:p>
    <w:p w:rsidR="008C3126" w:rsidRPr="008725ED" w:rsidRDefault="00D87DB7" w:rsidP="00D87DB7">
      <w:pPr>
        <w:keepNext/>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w:t>
      </w:r>
      <w:r w:rsidR="00EF1779" w:rsidRPr="008725ED">
        <w:rPr>
          <w:lang w:val="fr-FR"/>
        </w:rPr>
        <w:t> TC</w:t>
      </w:r>
      <w:r w:rsidRPr="008725ED">
        <w:rPr>
          <w:lang w:val="fr-FR"/>
        </w:rPr>
        <w:t xml:space="preserve"> </w:t>
      </w:r>
      <w:r w:rsidR="00344B0C" w:rsidRPr="008725ED">
        <w:rPr>
          <w:lang w:val="fr-FR"/>
        </w:rPr>
        <w:t>est convenu</w:t>
      </w:r>
      <w:r w:rsidRPr="008725ED">
        <w:rPr>
          <w:lang w:val="fr-FR"/>
        </w:rPr>
        <w:t xml:space="preserve"> de recommander comme suit au Conseil l</w:t>
      </w:r>
      <w:r w:rsidR="00EF1779" w:rsidRPr="008725ED">
        <w:rPr>
          <w:lang w:val="fr-FR"/>
        </w:rPr>
        <w:t>’</w:t>
      </w:r>
      <w:r w:rsidRPr="008725ED">
        <w:rPr>
          <w:lang w:val="fr-FR"/>
        </w:rPr>
        <w:t>élection des prochains présidents des TWP</w:t>
      </w:r>
      <w:r w:rsidR="00EF1779" w:rsidRPr="008725ED">
        <w:rPr>
          <w:lang w:val="fr-FR"/>
        </w:rPr>
        <w:t> :</w:t>
      </w:r>
    </w:p>
    <w:p w:rsidR="00D87DB7" w:rsidRPr="008725ED" w:rsidRDefault="00D87DB7" w:rsidP="00D87DB7">
      <w:pPr>
        <w:keepNext/>
        <w:jc w:val="left"/>
        <w:rPr>
          <w:lang w:val="fr-FR"/>
        </w:rPr>
      </w:pPr>
    </w:p>
    <w:tbl>
      <w:tblPr>
        <w:tblStyle w:val="TableGrid"/>
        <w:tblW w:w="0" w:type="auto"/>
        <w:tblInd w:w="567" w:type="dxa"/>
        <w:tblCellMar>
          <w:top w:w="57" w:type="dxa"/>
          <w:bottom w:w="57" w:type="dxa"/>
        </w:tblCellMar>
        <w:tblLook w:val="04A0" w:firstRow="1" w:lastRow="0" w:firstColumn="1" w:lastColumn="0" w:noHBand="0" w:noVBand="1"/>
      </w:tblPr>
      <w:tblGrid>
        <w:gridCol w:w="1242"/>
        <w:gridCol w:w="3794"/>
      </w:tblGrid>
      <w:tr w:rsidR="008725ED" w:rsidRPr="008725ED" w:rsidTr="001D6A9B">
        <w:tc>
          <w:tcPr>
            <w:tcW w:w="1242" w:type="dxa"/>
          </w:tcPr>
          <w:p w:rsidR="00D87DB7" w:rsidRPr="008725ED" w:rsidRDefault="00D87DB7" w:rsidP="001D6A9B">
            <w:pPr>
              <w:keepNext/>
              <w:jc w:val="left"/>
              <w:rPr>
                <w:u w:val="single"/>
                <w:lang w:val="fr-FR"/>
              </w:rPr>
            </w:pPr>
            <w:bookmarkStart w:id="43" w:name="OLE_LINK1"/>
            <w:r w:rsidRPr="008725ED">
              <w:rPr>
                <w:u w:val="single"/>
                <w:lang w:val="fr-FR"/>
              </w:rPr>
              <w:t>TWP</w:t>
            </w:r>
          </w:p>
        </w:tc>
        <w:tc>
          <w:tcPr>
            <w:tcW w:w="3794" w:type="dxa"/>
          </w:tcPr>
          <w:p w:rsidR="00D87DB7" w:rsidRPr="008725ED" w:rsidRDefault="00D87DB7" w:rsidP="001D6A9B">
            <w:pPr>
              <w:jc w:val="left"/>
              <w:rPr>
                <w:u w:val="single"/>
                <w:lang w:val="fr-FR"/>
              </w:rPr>
            </w:pPr>
            <w:r w:rsidRPr="008725ED">
              <w:rPr>
                <w:u w:val="single"/>
                <w:lang w:val="fr-FR"/>
              </w:rPr>
              <w:t>Proposition</w:t>
            </w:r>
          </w:p>
        </w:tc>
      </w:tr>
      <w:tr w:rsidR="008725ED" w:rsidRPr="008725ED" w:rsidTr="001D6A9B">
        <w:tc>
          <w:tcPr>
            <w:tcW w:w="1242" w:type="dxa"/>
          </w:tcPr>
          <w:p w:rsidR="00D87DB7" w:rsidRPr="008725ED" w:rsidRDefault="00D87DB7" w:rsidP="001D6A9B">
            <w:pPr>
              <w:jc w:val="left"/>
              <w:rPr>
                <w:lang w:val="fr-FR"/>
              </w:rPr>
            </w:pPr>
            <w:r w:rsidRPr="008725ED">
              <w:rPr>
                <w:lang w:val="fr-FR"/>
              </w:rPr>
              <w:t>BMT</w:t>
            </w:r>
          </w:p>
        </w:tc>
        <w:tc>
          <w:tcPr>
            <w:tcW w:w="3794" w:type="dxa"/>
          </w:tcPr>
          <w:p w:rsidR="00D87DB7" w:rsidRPr="008725ED" w:rsidRDefault="00D87DB7" w:rsidP="001D6A9B">
            <w:pPr>
              <w:jc w:val="left"/>
              <w:rPr>
                <w:lang w:val="fr-FR"/>
              </w:rPr>
            </w:pPr>
            <w:r w:rsidRPr="008725ED">
              <w:rPr>
                <w:lang w:val="fr-FR"/>
              </w:rPr>
              <w:t>M. Nik Hulse (Australie)</w:t>
            </w:r>
          </w:p>
        </w:tc>
      </w:tr>
      <w:tr w:rsidR="008725ED" w:rsidRPr="008725ED" w:rsidTr="001D6A9B">
        <w:tc>
          <w:tcPr>
            <w:tcW w:w="1242" w:type="dxa"/>
          </w:tcPr>
          <w:p w:rsidR="00D87DB7" w:rsidRPr="008725ED" w:rsidRDefault="00D87DB7" w:rsidP="001D6A9B">
            <w:pPr>
              <w:jc w:val="left"/>
              <w:rPr>
                <w:lang w:val="fr-FR"/>
              </w:rPr>
            </w:pPr>
            <w:r w:rsidRPr="008725ED">
              <w:rPr>
                <w:lang w:val="fr-FR"/>
              </w:rPr>
              <w:t>TWA</w:t>
            </w:r>
          </w:p>
        </w:tc>
        <w:tc>
          <w:tcPr>
            <w:tcW w:w="3794" w:type="dxa"/>
          </w:tcPr>
          <w:p w:rsidR="00D87DB7" w:rsidRPr="008725ED" w:rsidRDefault="00D87DB7" w:rsidP="001D6A9B">
            <w:pPr>
              <w:jc w:val="left"/>
              <w:rPr>
                <w:lang w:val="fr-FR"/>
              </w:rPr>
            </w:pPr>
            <w:r w:rsidRPr="008725ED">
              <w:rPr>
                <w:lang w:val="fr-FR"/>
              </w:rPr>
              <w:t>Mme Cheryl Turnbull (Royaume</w:t>
            </w:r>
            <w:r w:rsidR="00EF1779" w:rsidRPr="008725ED">
              <w:rPr>
                <w:lang w:val="fr-FR"/>
              </w:rPr>
              <w:t>-</w:t>
            </w:r>
            <w:r w:rsidRPr="008725ED">
              <w:rPr>
                <w:lang w:val="fr-FR"/>
              </w:rPr>
              <w:t>Uni)</w:t>
            </w:r>
          </w:p>
        </w:tc>
      </w:tr>
      <w:tr w:rsidR="008725ED" w:rsidRPr="008725ED" w:rsidTr="001D6A9B">
        <w:tc>
          <w:tcPr>
            <w:tcW w:w="1242" w:type="dxa"/>
          </w:tcPr>
          <w:p w:rsidR="00D87DB7" w:rsidRPr="008725ED" w:rsidRDefault="00D87DB7" w:rsidP="001D6A9B">
            <w:pPr>
              <w:jc w:val="left"/>
              <w:rPr>
                <w:lang w:val="fr-FR"/>
              </w:rPr>
            </w:pPr>
            <w:r w:rsidRPr="008725ED">
              <w:rPr>
                <w:lang w:val="fr-FR"/>
              </w:rPr>
              <w:t>TWC</w:t>
            </w:r>
          </w:p>
        </w:tc>
        <w:tc>
          <w:tcPr>
            <w:tcW w:w="3794" w:type="dxa"/>
          </w:tcPr>
          <w:p w:rsidR="00D87DB7" w:rsidRPr="008725ED" w:rsidRDefault="00D87DB7" w:rsidP="001D6A9B">
            <w:pPr>
              <w:jc w:val="left"/>
              <w:rPr>
                <w:lang w:val="fr-FR"/>
              </w:rPr>
            </w:pPr>
            <w:r w:rsidRPr="008725ED">
              <w:rPr>
                <w:lang w:val="fr-FR"/>
              </w:rPr>
              <w:t>M. Christophe Chevalier (France)</w:t>
            </w:r>
          </w:p>
        </w:tc>
      </w:tr>
      <w:tr w:rsidR="008725ED" w:rsidRPr="008725ED" w:rsidTr="001D6A9B">
        <w:tc>
          <w:tcPr>
            <w:tcW w:w="1242" w:type="dxa"/>
          </w:tcPr>
          <w:p w:rsidR="00D87DB7" w:rsidRPr="008725ED" w:rsidRDefault="00D87DB7" w:rsidP="001D6A9B">
            <w:pPr>
              <w:jc w:val="left"/>
              <w:rPr>
                <w:lang w:val="fr-FR"/>
              </w:rPr>
            </w:pPr>
            <w:r w:rsidRPr="008725ED">
              <w:rPr>
                <w:lang w:val="fr-FR"/>
              </w:rPr>
              <w:t>TWF</w:t>
            </w:r>
          </w:p>
        </w:tc>
        <w:tc>
          <w:tcPr>
            <w:tcW w:w="3794" w:type="dxa"/>
          </w:tcPr>
          <w:p w:rsidR="00D87DB7" w:rsidRPr="008725ED" w:rsidRDefault="00D87DB7" w:rsidP="001D6A9B">
            <w:pPr>
              <w:jc w:val="left"/>
              <w:rPr>
                <w:lang w:val="fr-FR"/>
              </w:rPr>
            </w:pPr>
            <w:r w:rsidRPr="008725ED">
              <w:rPr>
                <w:lang w:val="fr-FR"/>
              </w:rPr>
              <w:t>M. Jean Maison (Union européenne)</w:t>
            </w:r>
          </w:p>
        </w:tc>
      </w:tr>
      <w:tr w:rsidR="008725ED" w:rsidRPr="008725ED" w:rsidTr="001D6A9B">
        <w:tc>
          <w:tcPr>
            <w:tcW w:w="1242" w:type="dxa"/>
          </w:tcPr>
          <w:p w:rsidR="00D87DB7" w:rsidRPr="008725ED" w:rsidRDefault="00D87DB7" w:rsidP="001D6A9B">
            <w:pPr>
              <w:jc w:val="left"/>
              <w:rPr>
                <w:lang w:val="fr-FR"/>
              </w:rPr>
            </w:pPr>
            <w:r w:rsidRPr="008725ED">
              <w:rPr>
                <w:lang w:val="fr-FR"/>
              </w:rPr>
              <w:t>TWO</w:t>
            </w:r>
          </w:p>
        </w:tc>
        <w:tc>
          <w:tcPr>
            <w:tcW w:w="3794" w:type="dxa"/>
          </w:tcPr>
          <w:p w:rsidR="00D87DB7" w:rsidRPr="008725ED" w:rsidRDefault="00D87DB7" w:rsidP="001D6A9B">
            <w:pPr>
              <w:jc w:val="left"/>
              <w:rPr>
                <w:lang w:val="fr-FR"/>
              </w:rPr>
            </w:pPr>
            <w:r w:rsidRPr="008725ED">
              <w:rPr>
                <w:lang w:val="fr-FR"/>
              </w:rPr>
              <w:t>M. Henk de Greef (Pays</w:t>
            </w:r>
            <w:r w:rsidR="00EF1779" w:rsidRPr="008725ED">
              <w:rPr>
                <w:lang w:val="fr-FR"/>
              </w:rPr>
              <w:t>-</w:t>
            </w:r>
            <w:r w:rsidRPr="008725ED">
              <w:rPr>
                <w:lang w:val="fr-FR"/>
              </w:rPr>
              <w:t>Bas)</w:t>
            </w:r>
          </w:p>
        </w:tc>
      </w:tr>
      <w:tr w:rsidR="00D87DB7" w:rsidRPr="008725ED" w:rsidTr="001D6A9B">
        <w:tc>
          <w:tcPr>
            <w:tcW w:w="1242" w:type="dxa"/>
          </w:tcPr>
          <w:p w:rsidR="00D87DB7" w:rsidRPr="008725ED" w:rsidRDefault="00D87DB7" w:rsidP="001D6A9B">
            <w:pPr>
              <w:jc w:val="left"/>
              <w:rPr>
                <w:lang w:val="fr-FR"/>
              </w:rPr>
            </w:pPr>
            <w:r w:rsidRPr="008725ED">
              <w:rPr>
                <w:lang w:val="fr-FR"/>
              </w:rPr>
              <w:t>TWV</w:t>
            </w:r>
          </w:p>
        </w:tc>
        <w:tc>
          <w:tcPr>
            <w:tcW w:w="3794" w:type="dxa"/>
          </w:tcPr>
          <w:p w:rsidR="00D87DB7" w:rsidRPr="008725ED" w:rsidRDefault="00D87DB7" w:rsidP="001D6A9B">
            <w:pPr>
              <w:jc w:val="left"/>
              <w:rPr>
                <w:lang w:val="fr-FR"/>
              </w:rPr>
            </w:pPr>
            <w:r w:rsidRPr="008725ED">
              <w:rPr>
                <w:lang w:val="fr-FR"/>
              </w:rPr>
              <w:t>Mme Romana Bravi (Italie)</w:t>
            </w:r>
          </w:p>
        </w:tc>
      </w:tr>
      <w:bookmarkEnd w:id="43"/>
    </w:tbl>
    <w:p w:rsidR="008C3126" w:rsidRPr="008725ED" w:rsidRDefault="008C3126" w:rsidP="005E033E">
      <w:pPr>
        <w:rPr>
          <w:lang w:val="fr-FR"/>
        </w:rPr>
      </w:pPr>
    </w:p>
    <w:p w:rsidR="008C3126" w:rsidRPr="008725ED" w:rsidRDefault="008C3126" w:rsidP="005E033E">
      <w:pPr>
        <w:rPr>
          <w:lang w:val="fr-FR"/>
        </w:rPr>
      </w:pPr>
    </w:p>
    <w:p w:rsidR="008C3126" w:rsidRPr="008725ED" w:rsidRDefault="00D046F7" w:rsidP="00D046F7">
      <w:pPr>
        <w:pStyle w:val="Heading2"/>
        <w:rPr>
          <w:lang w:val="fr-FR"/>
        </w:rPr>
      </w:pPr>
      <w:bookmarkStart w:id="44" w:name="_Toc494207981"/>
      <w:r w:rsidRPr="008725ED">
        <w:rPr>
          <w:lang w:val="fr-FR"/>
        </w:rPr>
        <w:t>Program</w:t>
      </w:r>
      <w:r w:rsidR="00375D7B" w:rsidRPr="008725ED">
        <w:rPr>
          <w:lang w:val="fr-FR"/>
        </w:rPr>
        <w:t>me de la cinquante</w:t>
      </w:r>
      <w:r w:rsidR="00EF1779" w:rsidRPr="008725ED">
        <w:rPr>
          <w:lang w:val="fr-FR"/>
        </w:rPr>
        <w:t>-</w:t>
      </w:r>
      <w:r w:rsidR="00375D7B" w:rsidRPr="008725ED">
        <w:rPr>
          <w:lang w:val="fr-FR"/>
        </w:rPr>
        <w:t>quatr</w:t>
      </w:r>
      <w:r w:rsidR="00EF1779" w:rsidRPr="008725ED">
        <w:rPr>
          <w:lang w:val="fr-FR"/>
        </w:rPr>
        <w:t>ième session</w:t>
      </w:r>
      <w:bookmarkEnd w:id="44"/>
    </w:p>
    <w:p w:rsidR="008C3126" w:rsidRPr="008725ED" w:rsidRDefault="008C3126" w:rsidP="00AE236E">
      <w:pPr>
        <w:keepNext/>
        <w:jc w:val="left"/>
        <w:rPr>
          <w:lang w:val="fr-FR"/>
        </w:rPr>
      </w:pPr>
    </w:p>
    <w:p w:rsidR="008C3126" w:rsidRPr="008725ED" w:rsidRDefault="00AE236E" w:rsidP="00AE236E">
      <w:pPr>
        <w:tabs>
          <w:tab w:val="left" w:pos="1134"/>
        </w:tabs>
        <w:spacing w:line="276" w:lineRule="auto"/>
        <w:ind w:left="567"/>
        <w:rPr>
          <w:lang w:val="fr-FR"/>
        </w:rPr>
      </w:pPr>
      <w:r w:rsidRPr="008725ED">
        <w:rPr>
          <w:lang w:val="fr-FR"/>
        </w:rPr>
        <w:t>1.</w:t>
      </w:r>
      <w:r w:rsidRPr="008725ED">
        <w:rPr>
          <w:lang w:val="fr-FR"/>
        </w:rPr>
        <w:tab/>
        <w:t>Ouverture de la session</w:t>
      </w:r>
    </w:p>
    <w:p w:rsidR="008C3126" w:rsidRPr="008725ED" w:rsidRDefault="00AE236E" w:rsidP="00AE236E">
      <w:pPr>
        <w:tabs>
          <w:tab w:val="left" w:pos="1134"/>
        </w:tabs>
        <w:spacing w:line="276" w:lineRule="auto"/>
        <w:ind w:left="567"/>
        <w:rPr>
          <w:lang w:val="fr-FR"/>
        </w:rPr>
      </w:pPr>
      <w:r w:rsidRPr="008725ED">
        <w:rPr>
          <w:lang w:val="fr-FR"/>
        </w:rPr>
        <w:t>2.</w:t>
      </w:r>
      <w:r w:rsidRPr="008725ED">
        <w:rPr>
          <w:lang w:val="fr-FR"/>
        </w:rPr>
        <w:tab/>
        <w:t>Adoption de l</w:t>
      </w:r>
      <w:r w:rsidR="00EF1779" w:rsidRPr="008725ED">
        <w:rPr>
          <w:lang w:val="fr-FR"/>
        </w:rPr>
        <w:t>’</w:t>
      </w:r>
      <w:r w:rsidRPr="008725ED">
        <w:rPr>
          <w:lang w:val="fr-FR"/>
        </w:rPr>
        <w:t>ordre du jour</w:t>
      </w:r>
    </w:p>
    <w:p w:rsidR="008C3126" w:rsidRPr="008725ED" w:rsidRDefault="00AE236E" w:rsidP="00AE236E">
      <w:pPr>
        <w:tabs>
          <w:tab w:val="left" w:pos="1134"/>
        </w:tabs>
        <w:spacing w:line="276" w:lineRule="auto"/>
        <w:ind w:left="1134" w:hanging="567"/>
        <w:rPr>
          <w:lang w:val="fr-FR"/>
        </w:rPr>
      </w:pPr>
      <w:r w:rsidRPr="008725ED">
        <w:rPr>
          <w:lang w:val="fr-FR"/>
        </w:rPr>
        <w:t>3.</w:t>
      </w:r>
      <w:r w:rsidRPr="008725ED">
        <w:rPr>
          <w:lang w:val="fr-FR"/>
        </w:rPr>
        <w:tab/>
        <w:t>Rapport sur les faits nouveaux intervenus au sein de l</w:t>
      </w:r>
      <w:r w:rsidR="00EF1779" w:rsidRPr="008725ED">
        <w:rPr>
          <w:lang w:val="fr-FR"/>
        </w:rPr>
        <w:t>’</w:t>
      </w:r>
      <w:r w:rsidRPr="008725ED">
        <w:rPr>
          <w:lang w:val="fr-FR"/>
        </w:rPr>
        <w:t xml:space="preserve">UPOV, </w:t>
      </w:r>
      <w:r w:rsidR="00EF1779" w:rsidRPr="008725ED">
        <w:rPr>
          <w:lang w:val="fr-FR"/>
        </w:rPr>
        <w:t>y compris</w:t>
      </w:r>
      <w:r w:rsidRPr="008725ED">
        <w:rPr>
          <w:lang w:val="fr-FR"/>
        </w:rPr>
        <w:t xml:space="preserve"> certaines questions examinées lors des dernières sessions du Comité administratif et juridique, du Comité consultatif et du Conseil</w:t>
      </w:r>
    </w:p>
    <w:p w:rsidR="008C3126" w:rsidRPr="008725ED" w:rsidRDefault="00AE236E" w:rsidP="00AE236E">
      <w:pPr>
        <w:tabs>
          <w:tab w:val="left" w:pos="1134"/>
        </w:tabs>
        <w:spacing w:line="276" w:lineRule="auto"/>
        <w:ind w:left="1134" w:hanging="567"/>
        <w:rPr>
          <w:lang w:val="fr-FR"/>
        </w:rPr>
      </w:pPr>
      <w:r w:rsidRPr="008725ED">
        <w:rPr>
          <w:lang w:val="fr-FR"/>
        </w:rPr>
        <w:t>4.</w:t>
      </w:r>
      <w:r w:rsidRPr="008725ED">
        <w:rPr>
          <w:lang w:val="fr-FR"/>
        </w:rPr>
        <w:tab/>
        <w:t>Organisation des sessions de l</w:t>
      </w:r>
      <w:r w:rsidR="00EF1779" w:rsidRPr="008725ED">
        <w:rPr>
          <w:lang w:val="fr-FR"/>
        </w:rPr>
        <w:t>’</w:t>
      </w:r>
      <w:r w:rsidRPr="008725ED">
        <w:rPr>
          <w:lang w:val="fr-FR"/>
        </w:rPr>
        <w:t>UPOV</w:t>
      </w:r>
    </w:p>
    <w:p w:rsidR="008C3126" w:rsidRPr="008725ED" w:rsidRDefault="00AE236E" w:rsidP="00AE236E">
      <w:pPr>
        <w:tabs>
          <w:tab w:val="left" w:pos="1134"/>
        </w:tabs>
        <w:spacing w:line="276" w:lineRule="auto"/>
        <w:ind w:left="1134" w:hanging="567"/>
        <w:rPr>
          <w:lang w:val="fr-FR"/>
        </w:rPr>
      </w:pPr>
      <w:r w:rsidRPr="008725ED">
        <w:rPr>
          <w:lang w:val="fr-FR"/>
        </w:rPr>
        <w:t>5.</w:t>
      </w:r>
      <w:r w:rsidRPr="008725ED">
        <w:rPr>
          <w:lang w:val="fr-FR"/>
        </w:rPr>
        <w:tab/>
        <w:t>Rapports sur l</w:t>
      </w:r>
      <w:r w:rsidR="00EF1779" w:rsidRPr="008725ED">
        <w:rPr>
          <w:lang w:val="fr-FR"/>
        </w:rPr>
        <w:t>’</w:t>
      </w:r>
      <w:r w:rsidRPr="008725ED">
        <w:rPr>
          <w:lang w:val="fr-FR"/>
        </w:rPr>
        <w:t>état d</w:t>
      </w:r>
      <w:r w:rsidR="00EF1779" w:rsidRPr="008725ED">
        <w:rPr>
          <w:lang w:val="fr-FR"/>
        </w:rPr>
        <w:t>’</w:t>
      </w:r>
      <w:r w:rsidRPr="008725ED">
        <w:rPr>
          <w:lang w:val="fr-FR"/>
        </w:rPr>
        <w:t xml:space="preserve">avancement des travaux des groupes de travail techniques, </w:t>
      </w:r>
      <w:r w:rsidR="00EF1779" w:rsidRPr="008725ED">
        <w:rPr>
          <w:lang w:val="fr-FR"/>
        </w:rPr>
        <w:t>y compris</w:t>
      </w:r>
      <w:r w:rsidRPr="008725ED">
        <w:rPr>
          <w:lang w:val="fr-FR"/>
        </w:rPr>
        <w:t xml:space="preserve"> le Groupe de travail sur les techniques biochimiques et moléculaires, notamment les profils d</w:t>
      </w:r>
      <w:r w:rsidR="00EF1779" w:rsidRPr="008725ED">
        <w:rPr>
          <w:lang w:val="fr-FR"/>
        </w:rPr>
        <w:t>’</w:t>
      </w:r>
      <w:r w:rsidRPr="008725ED">
        <w:rPr>
          <w:lang w:val="fr-FR"/>
        </w:rPr>
        <w:t>ADN (BMT)</w:t>
      </w:r>
    </w:p>
    <w:p w:rsidR="008C3126" w:rsidRPr="008725ED" w:rsidRDefault="00AE236E" w:rsidP="00AE236E">
      <w:pPr>
        <w:tabs>
          <w:tab w:val="left" w:pos="1134"/>
        </w:tabs>
        <w:spacing w:line="276" w:lineRule="auto"/>
        <w:ind w:left="1134" w:hanging="567"/>
        <w:rPr>
          <w:lang w:val="fr-FR"/>
        </w:rPr>
      </w:pPr>
      <w:r w:rsidRPr="008725ED">
        <w:rPr>
          <w:lang w:val="fr-FR"/>
        </w:rPr>
        <w:t>6.</w:t>
      </w:r>
      <w:r w:rsidRPr="008725ED">
        <w:rPr>
          <w:lang w:val="fr-FR"/>
        </w:rPr>
        <w:tab/>
        <w:t>Questions découlant des travaux des groupes de travail techniques</w:t>
      </w:r>
    </w:p>
    <w:p w:rsidR="008C3126" w:rsidRPr="008725ED" w:rsidRDefault="00AE236E" w:rsidP="00AE236E">
      <w:pPr>
        <w:tabs>
          <w:tab w:val="left" w:pos="1134"/>
        </w:tabs>
        <w:spacing w:line="276" w:lineRule="auto"/>
        <w:ind w:left="1134" w:hanging="567"/>
        <w:rPr>
          <w:lang w:val="fr-FR"/>
        </w:rPr>
      </w:pPr>
      <w:r w:rsidRPr="008725ED">
        <w:rPr>
          <w:lang w:val="fr-FR"/>
        </w:rPr>
        <w:t>7.</w:t>
      </w:r>
      <w:r w:rsidRPr="008725ED">
        <w:rPr>
          <w:lang w:val="fr-FR"/>
        </w:rPr>
        <w:tab/>
        <w:t>Documents TGP</w:t>
      </w:r>
    </w:p>
    <w:p w:rsidR="008C3126" w:rsidRPr="008725ED" w:rsidRDefault="00AE236E" w:rsidP="00AE236E">
      <w:pPr>
        <w:tabs>
          <w:tab w:val="left" w:pos="1134"/>
        </w:tabs>
        <w:spacing w:line="276" w:lineRule="auto"/>
        <w:ind w:left="1134" w:hanging="567"/>
        <w:rPr>
          <w:lang w:val="fr-FR"/>
        </w:rPr>
      </w:pPr>
      <w:r w:rsidRPr="008725ED">
        <w:rPr>
          <w:lang w:val="fr-FR"/>
        </w:rPr>
        <w:t>8.</w:t>
      </w:r>
      <w:r w:rsidRPr="008725ED">
        <w:rPr>
          <w:lang w:val="fr-FR"/>
        </w:rPr>
        <w:tab/>
        <w:t>Coopération en matière d</w:t>
      </w:r>
      <w:r w:rsidR="00EF1779" w:rsidRPr="008725ED">
        <w:rPr>
          <w:lang w:val="fr-FR"/>
        </w:rPr>
        <w:t>’</w:t>
      </w:r>
      <w:r w:rsidRPr="008725ED">
        <w:rPr>
          <w:lang w:val="fr-FR"/>
        </w:rPr>
        <w:t>examen</w:t>
      </w:r>
    </w:p>
    <w:p w:rsidR="008C3126" w:rsidRPr="008725ED" w:rsidRDefault="00AE236E" w:rsidP="00AE236E">
      <w:pPr>
        <w:keepNext/>
        <w:tabs>
          <w:tab w:val="left" w:pos="1134"/>
        </w:tabs>
        <w:spacing w:line="276" w:lineRule="auto"/>
        <w:ind w:left="1134" w:hanging="567"/>
        <w:rPr>
          <w:lang w:val="fr-FR"/>
        </w:rPr>
      </w:pPr>
      <w:r w:rsidRPr="008725ED">
        <w:rPr>
          <w:lang w:val="fr-FR"/>
        </w:rPr>
        <w:t>9.</w:t>
      </w:r>
      <w:r w:rsidRPr="008725ED">
        <w:rPr>
          <w:lang w:val="fr-FR"/>
        </w:rPr>
        <w:tab/>
        <w:t>Informations et bases de données</w:t>
      </w:r>
    </w:p>
    <w:p w:rsidR="008C3126" w:rsidRPr="008725ED" w:rsidRDefault="00AE236E" w:rsidP="00AE236E">
      <w:pPr>
        <w:keepNext/>
        <w:tabs>
          <w:tab w:val="left" w:pos="1134"/>
          <w:tab w:val="left" w:pos="1701"/>
        </w:tabs>
        <w:spacing w:line="276" w:lineRule="auto"/>
        <w:ind w:left="1134"/>
        <w:rPr>
          <w:lang w:val="fr-FR"/>
        </w:rPr>
      </w:pPr>
      <w:r w:rsidRPr="008725ED">
        <w:rPr>
          <w:lang w:val="fr-FR"/>
        </w:rPr>
        <w:t>a)</w:t>
      </w:r>
      <w:r w:rsidRPr="008725ED">
        <w:rPr>
          <w:lang w:val="fr-FR"/>
        </w:rPr>
        <w:tab/>
        <w:t>Bases de données d</w:t>
      </w:r>
      <w:r w:rsidR="00EF1779" w:rsidRPr="008725ED">
        <w:rPr>
          <w:lang w:val="fr-FR"/>
        </w:rPr>
        <w:t>’</w:t>
      </w:r>
      <w:r w:rsidRPr="008725ED">
        <w:rPr>
          <w:lang w:val="fr-FR"/>
        </w:rPr>
        <w:t>information de l</w:t>
      </w:r>
      <w:r w:rsidR="00EF1779" w:rsidRPr="008725ED">
        <w:rPr>
          <w:lang w:val="fr-FR"/>
        </w:rPr>
        <w:t>’</w:t>
      </w:r>
      <w:r w:rsidRPr="008725ED">
        <w:rPr>
          <w:lang w:val="fr-FR"/>
        </w:rPr>
        <w:t>UPOV</w:t>
      </w:r>
    </w:p>
    <w:p w:rsidR="008C3126" w:rsidRPr="008725ED" w:rsidRDefault="00AE236E" w:rsidP="00AE236E">
      <w:pPr>
        <w:tabs>
          <w:tab w:val="left" w:pos="1134"/>
          <w:tab w:val="left" w:pos="1701"/>
        </w:tabs>
        <w:spacing w:line="276" w:lineRule="auto"/>
        <w:ind w:left="1134"/>
        <w:rPr>
          <w:lang w:val="fr-FR"/>
        </w:rPr>
      </w:pPr>
      <w:r w:rsidRPr="008725ED">
        <w:rPr>
          <w:lang w:val="fr-FR"/>
        </w:rPr>
        <w:t>b)</w:t>
      </w:r>
      <w:r w:rsidRPr="008725ED">
        <w:rPr>
          <w:lang w:val="fr-FR"/>
        </w:rPr>
        <w:tab/>
        <w:t>Formulaire de dépôt électronique des demandes</w:t>
      </w:r>
    </w:p>
    <w:p w:rsidR="008C3126" w:rsidRPr="008725ED" w:rsidRDefault="00AE236E" w:rsidP="00AE236E">
      <w:pPr>
        <w:tabs>
          <w:tab w:val="left" w:pos="1134"/>
          <w:tab w:val="left" w:pos="1701"/>
        </w:tabs>
        <w:spacing w:line="276" w:lineRule="auto"/>
        <w:ind w:left="1134"/>
        <w:rPr>
          <w:lang w:val="fr-FR"/>
        </w:rPr>
      </w:pPr>
      <w:r w:rsidRPr="008725ED">
        <w:rPr>
          <w:lang w:val="fr-FR"/>
        </w:rPr>
        <w:t>c)</w:t>
      </w:r>
      <w:r w:rsidRPr="008725ED">
        <w:rPr>
          <w:lang w:val="fr-FR"/>
        </w:rPr>
        <w:tab/>
        <w:t>Échange et utilisation de logiciels et d</w:t>
      </w:r>
      <w:r w:rsidR="00EF1779" w:rsidRPr="008725ED">
        <w:rPr>
          <w:lang w:val="fr-FR"/>
        </w:rPr>
        <w:t>’</w:t>
      </w:r>
      <w:r w:rsidRPr="008725ED">
        <w:rPr>
          <w:lang w:val="fr-FR"/>
        </w:rPr>
        <w:t>équipements</w:t>
      </w:r>
    </w:p>
    <w:p w:rsidR="008C3126" w:rsidRPr="008725ED" w:rsidRDefault="00AE236E" w:rsidP="00AE236E">
      <w:pPr>
        <w:tabs>
          <w:tab w:val="left" w:pos="1134"/>
          <w:tab w:val="left" w:pos="1701"/>
        </w:tabs>
        <w:spacing w:line="276" w:lineRule="auto"/>
        <w:ind w:left="1134"/>
        <w:rPr>
          <w:lang w:val="fr-FR"/>
        </w:rPr>
      </w:pPr>
      <w:r w:rsidRPr="008725ED">
        <w:rPr>
          <w:lang w:val="fr-FR"/>
        </w:rPr>
        <w:t>d)</w:t>
      </w:r>
      <w:r w:rsidRPr="008725ED">
        <w:rPr>
          <w:lang w:val="fr-FR"/>
        </w:rPr>
        <w:tab/>
        <w:t>Bases de données sur les descriptions variétales</w:t>
      </w:r>
    </w:p>
    <w:p w:rsidR="008C3126" w:rsidRPr="008725ED" w:rsidRDefault="00AE236E" w:rsidP="00AE236E">
      <w:pPr>
        <w:tabs>
          <w:tab w:val="left" w:pos="1134"/>
        </w:tabs>
        <w:spacing w:line="276" w:lineRule="auto"/>
        <w:ind w:left="567"/>
        <w:rPr>
          <w:lang w:val="fr-FR"/>
        </w:rPr>
      </w:pPr>
      <w:r w:rsidRPr="008725ED">
        <w:rPr>
          <w:lang w:val="fr-FR"/>
        </w:rPr>
        <w:t>10.</w:t>
      </w:r>
      <w:r w:rsidRPr="008725ED">
        <w:rPr>
          <w:lang w:val="fr-FR"/>
        </w:rPr>
        <w:tab/>
        <w:t>Nombre de cycles de végétation</w:t>
      </w:r>
    </w:p>
    <w:p w:rsidR="008C3126" w:rsidRPr="008725ED" w:rsidRDefault="00AE236E" w:rsidP="00AE236E">
      <w:pPr>
        <w:tabs>
          <w:tab w:val="left" w:pos="1134"/>
        </w:tabs>
        <w:spacing w:line="276" w:lineRule="auto"/>
        <w:ind w:left="567"/>
        <w:rPr>
          <w:lang w:val="fr-FR"/>
        </w:rPr>
      </w:pPr>
      <w:r w:rsidRPr="008725ED">
        <w:rPr>
          <w:lang w:val="fr-FR"/>
        </w:rPr>
        <w:t>11.</w:t>
      </w:r>
      <w:r w:rsidRPr="008725ED">
        <w:rPr>
          <w:lang w:val="fr-FR"/>
        </w:rPr>
        <w:tab/>
        <w:t>Questions concernant les descriptions variétales</w:t>
      </w:r>
    </w:p>
    <w:p w:rsidR="008C3126" w:rsidRPr="008725ED" w:rsidRDefault="00AE236E" w:rsidP="00AE236E">
      <w:pPr>
        <w:tabs>
          <w:tab w:val="left" w:pos="1134"/>
        </w:tabs>
        <w:spacing w:line="276" w:lineRule="auto"/>
        <w:ind w:left="1134" w:hanging="567"/>
        <w:rPr>
          <w:lang w:val="fr-FR"/>
        </w:rPr>
      </w:pPr>
      <w:r w:rsidRPr="008725ED">
        <w:rPr>
          <w:lang w:val="fr-FR"/>
        </w:rPr>
        <w:t>12.</w:t>
      </w:r>
      <w:r w:rsidRPr="008725ED">
        <w:rPr>
          <w:lang w:val="fr-FR"/>
        </w:rPr>
        <w:tab/>
        <w:t>Élaboration de seuils calculés aux fins d</w:t>
      </w:r>
      <w:r w:rsidR="00EF1779" w:rsidRPr="008725ED">
        <w:rPr>
          <w:lang w:val="fr-FR"/>
        </w:rPr>
        <w:t>’</w:t>
      </w:r>
      <w:r w:rsidRPr="008725ED">
        <w:rPr>
          <w:lang w:val="fr-FR"/>
        </w:rPr>
        <w:t>exclusion des variétés notoirement connues du second cycle de végétation lorsque l</w:t>
      </w:r>
      <w:r w:rsidR="00EF1779" w:rsidRPr="008725ED">
        <w:rPr>
          <w:lang w:val="fr-FR"/>
        </w:rPr>
        <w:t>’</w:t>
      </w:r>
      <w:r w:rsidRPr="008725ED">
        <w:rPr>
          <w:lang w:val="fr-FR"/>
        </w:rPr>
        <w:t>on applique la méthode COYD</w:t>
      </w:r>
    </w:p>
    <w:p w:rsidR="008C3126" w:rsidRPr="008725ED" w:rsidRDefault="00AE236E" w:rsidP="00AE236E">
      <w:pPr>
        <w:tabs>
          <w:tab w:val="left" w:pos="1134"/>
        </w:tabs>
        <w:spacing w:line="276" w:lineRule="auto"/>
        <w:ind w:left="567"/>
        <w:rPr>
          <w:lang w:val="fr-FR"/>
        </w:rPr>
      </w:pPr>
      <w:r w:rsidRPr="008725ED">
        <w:rPr>
          <w:lang w:val="fr-FR"/>
        </w:rPr>
        <w:t>13.</w:t>
      </w:r>
      <w:r w:rsidRPr="008725ED">
        <w:rPr>
          <w:lang w:val="fr-FR"/>
        </w:rPr>
        <w:tab/>
        <w:t>Méthodes statistiques applicables aux caractères observés visuellement</w:t>
      </w:r>
    </w:p>
    <w:p w:rsidR="008C3126" w:rsidRPr="008725ED" w:rsidRDefault="00AE236E" w:rsidP="00AE236E">
      <w:pPr>
        <w:tabs>
          <w:tab w:val="left" w:pos="1134"/>
        </w:tabs>
        <w:spacing w:line="276" w:lineRule="auto"/>
        <w:ind w:left="567"/>
        <w:rPr>
          <w:lang w:val="fr-FR"/>
        </w:rPr>
      </w:pPr>
      <w:r w:rsidRPr="008725ED">
        <w:rPr>
          <w:lang w:val="fr-FR"/>
        </w:rPr>
        <w:t>14.</w:t>
      </w:r>
      <w:r w:rsidRPr="008725ED">
        <w:rPr>
          <w:lang w:val="fr-FR"/>
        </w:rPr>
        <w:tab/>
        <w:t>Débat sur</w:t>
      </w:r>
      <w:r w:rsidR="00EF1779" w:rsidRPr="008725ED">
        <w:rPr>
          <w:lang w:val="fr-FR"/>
        </w:rPr>
        <w:t> :</w:t>
      </w:r>
    </w:p>
    <w:p w:rsidR="008C3126" w:rsidRPr="008725ED" w:rsidRDefault="00AE236E" w:rsidP="00AE236E">
      <w:pPr>
        <w:keepNext/>
        <w:tabs>
          <w:tab w:val="left" w:pos="1134"/>
        </w:tabs>
        <w:spacing w:line="276" w:lineRule="auto"/>
        <w:ind w:left="1134"/>
        <w:rPr>
          <w:lang w:val="fr-FR"/>
        </w:rPr>
      </w:pPr>
      <w:r w:rsidRPr="008725ED">
        <w:rPr>
          <w:lang w:val="fr-FR"/>
        </w:rPr>
        <w:t>a)</w:t>
      </w:r>
      <w:r w:rsidRPr="008725ED">
        <w:rPr>
          <w:lang w:val="fr-FR"/>
        </w:rPr>
        <w:tab/>
      </w:r>
      <w:r w:rsidRPr="008725ED">
        <w:rPr>
          <w:rFonts w:cs="Arial"/>
          <w:snapToGrid w:val="0"/>
          <w:lang w:val="fr-FR"/>
        </w:rPr>
        <w:t>É</w:t>
      </w:r>
      <w:r w:rsidRPr="008725ED">
        <w:rPr>
          <w:lang w:val="fr-FR"/>
        </w:rPr>
        <w:t>carts minimaux entre les variétés</w:t>
      </w:r>
    </w:p>
    <w:p w:rsidR="008C3126" w:rsidRPr="008725ED" w:rsidRDefault="00AE236E" w:rsidP="00AE236E">
      <w:pPr>
        <w:keepNext/>
        <w:tabs>
          <w:tab w:val="left" w:pos="1701"/>
        </w:tabs>
        <w:spacing w:line="276" w:lineRule="auto"/>
        <w:ind w:left="1701" w:hanging="567"/>
        <w:rPr>
          <w:lang w:val="fr-FR"/>
        </w:rPr>
      </w:pPr>
      <w:r w:rsidRPr="008725ED">
        <w:rPr>
          <w:lang w:val="fr-FR"/>
        </w:rPr>
        <w:t>b)</w:t>
      </w:r>
      <w:r w:rsidRPr="008725ED">
        <w:rPr>
          <w:lang w:val="fr-FR"/>
        </w:rPr>
        <w:tab/>
        <w:t>Renforcement de la participation des nouveaux membres de l</w:t>
      </w:r>
      <w:r w:rsidR="00EF1779" w:rsidRPr="008725ED">
        <w:rPr>
          <w:lang w:val="fr-FR"/>
        </w:rPr>
        <w:t>’</w:t>
      </w:r>
      <w:r w:rsidRPr="008725ED">
        <w:rPr>
          <w:lang w:val="fr-FR"/>
        </w:rPr>
        <w:t>Union aux travaux du</w:t>
      </w:r>
      <w:r w:rsidR="00EF1779" w:rsidRPr="008725ED">
        <w:rPr>
          <w:lang w:val="fr-FR"/>
        </w:rPr>
        <w:t> TC</w:t>
      </w:r>
      <w:r w:rsidRPr="008725ED">
        <w:rPr>
          <w:lang w:val="fr-FR"/>
        </w:rPr>
        <w:t xml:space="preserve"> et aux groupes de travail techniques (</w:t>
      </w:r>
      <w:r w:rsidR="00EF1779" w:rsidRPr="008725ED">
        <w:rPr>
          <w:lang w:val="fr-FR"/>
        </w:rPr>
        <w:t>y compris</w:t>
      </w:r>
      <w:r w:rsidRPr="008725ED">
        <w:rPr>
          <w:lang w:val="fr-FR"/>
        </w:rPr>
        <w:t xml:space="preserve"> la formation des nouveaux membres de l</w:t>
      </w:r>
      <w:r w:rsidR="00EF1779" w:rsidRPr="008725ED">
        <w:rPr>
          <w:lang w:val="fr-FR"/>
        </w:rPr>
        <w:t>’</w:t>
      </w:r>
      <w:r w:rsidRPr="008725ED">
        <w:rPr>
          <w:lang w:val="fr-FR"/>
        </w:rPr>
        <w:t>Union à l</w:t>
      </w:r>
      <w:r w:rsidR="00EF1779" w:rsidRPr="008725ED">
        <w:rPr>
          <w:lang w:val="fr-FR"/>
        </w:rPr>
        <w:t>’</w:t>
      </w:r>
      <w:r w:rsidRPr="008725ED">
        <w:rPr>
          <w:lang w:val="fr-FR"/>
        </w:rPr>
        <w:t>utilisation des outils de l</w:t>
      </w:r>
      <w:r w:rsidR="00EF1779" w:rsidRPr="008725ED">
        <w:rPr>
          <w:lang w:val="fr-FR"/>
        </w:rPr>
        <w:t>’</w:t>
      </w:r>
      <w:r w:rsidRPr="008725ED">
        <w:rPr>
          <w:lang w:val="fr-FR"/>
        </w:rPr>
        <w:t>UPOV)</w:t>
      </w:r>
    </w:p>
    <w:p w:rsidR="008C3126" w:rsidRPr="008725ED" w:rsidRDefault="00AE236E" w:rsidP="00AE236E">
      <w:pPr>
        <w:tabs>
          <w:tab w:val="left" w:pos="1134"/>
        </w:tabs>
        <w:spacing w:line="276" w:lineRule="auto"/>
        <w:ind w:left="567"/>
        <w:rPr>
          <w:lang w:val="fr-FR"/>
        </w:rPr>
      </w:pPr>
      <w:r w:rsidRPr="008725ED">
        <w:rPr>
          <w:lang w:val="fr-FR"/>
        </w:rPr>
        <w:t>15.</w:t>
      </w:r>
      <w:r w:rsidRPr="008725ED">
        <w:rPr>
          <w:lang w:val="fr-FR"/>
        </w:rPr>
        <w:tab/>
        <w:t>Techniques moléculaires</w:t>
      </w:r>
    </w:p>
    <w:p w:rsidR="008C3126" w:rsidRPr="008725ED" w:rsidRDefault="00AE236E" w:rsidP="00AE236E">
      <w:pPr>
        <w:tabs>
          <w:tab w:val="left" w:pos="1134"/>
        </w:tabs>
        <w:spacing w:line="276" w:lineRule="auto"/>
        <w:ind w:left="567"/>
        <w:rPr>
          <w:lang w:val="fr-FR"/>
        </w:rPr>
      </w:pPr>
      <w:r w:rsidRPr="008725ED">
        <w:rPr>
          <w:lang w:val="fr-FR"/>
        </w:rPr>
        <w:t>16.</w:t>
      </w:r>
      <w:r w:rsidRPr="008725ED">
        <w:rPr>
          <w:lang w:val="fr-FR"/>
        </w:rPr>
        <w:tab/>
        <w:t>Dénominations variétales</w:t>
      </w:r>
    </w:p>
    <w:p w:rsidR="008C3126" w:rsidRPr="008725ED" w:rsidRDefault="00AE236E" w:rsidP="00AE236E">
      <w:pPr>
        <w:tabs>
          <w:tab w:val="left" w:pos="1134"/>
        </w:tabs>
        <w:spacing w:line="276" w:lineRule="auto"/>
        <w:ind w:left="567"/>
        <w:rPr>
          <w:lang w:val="fr-FR"/>
        </w:rPr>
      </w:pPr>
      <w:r w:rsidRPr="008725ED">
        <w:rPr>
          <w:lang w:val="fr-FR"/>
        </w:rPr>
        <w:t>17.</w:t>
      </w:r>
      <w:r w:rsidRPr="008725ED">
        <w:rPr>
          <w:lang w:val="fr-FR"/>
        </w:rPr>
        <w:tab/>
        <w:t>Ateliers préparatoires</w:t>
      </w:r>
    </w:p>
    <w:p w:rsidR="008C3126" w:rsidRPr="008725ED" w:rsidRDefault="00AE236E" w:rsidP="00AE236E">
      <w:pPr>
        <w:tabs>
          <w:tab w:val="left" w:pos="1134"/>
        </w:tabs>
        <w:spacing w:line="276" w:lineRule="auto"/>
        <w:ind w:left="1134" w:hanging="567"/>
        <w:rPr>
          <w:lang w:val="fr-FR"/>
        </w:rPr>
      </w:pPr>
      <w:r w:rsidRPr="008725ED">
        <w:rPr>
          <w:lang w:val="fr-FR"/>
        </w:rPr>
        <w:t>18.</w:t>
      </w:r>
      <w:r w:rsidRPr="008725ED">
        <w:rPr>
          <w:lang w:val="fr-FR"/>
        </w:rPr>
        <w:tab/>
        <w:t>Liste des genres et espèces pour lesquels les services ont une expérience pratique en matière d</w:t>
      </w:r>
      <w:r w:rsidR="00EF1779" w:rsidRPr="008725ED">
        <w:rPr>
          <w:lang w:val="fr-FR"/>
        </w:rPr>
        <w:t>’</w:t>
      </w:r>
      <w:r w:rsidRPr="008725ED">
        <w:rPr>
          <w:lang w:val="fr-FR"/>
        </w:rPr>
        <w:t>examen de la distinction, de l</w:t>
      </w:r>
      <w:r w:rsidR="00EF1779" w:rsidRPr="008725ED">
        <w:rPr>
          <w:lang w:val="fr-FR"/>
        </w:rPr>
        <w:t>’</w:t>
      </w:r>
      <w:r w:rsidRPr="008725ED">
        <w:rPr>
          <w:lang w:val="fr-FR"/>
        </w:rPr>
        <w:t>homogénéité et de la stabilité</w:t>
      </w:r>
    </w:p>
    <w:p w:rsidR="008C3126" w:rsidRPr="008725ED" w:rsidRDefault="00AE236E" w:rsidP="00AE236E">
      <w:pPr>
        <w:tabs>
          <w:tab w:val="left" w:pos="1134"/>
        </w:tabs>
        <w:spacing w:line="276" w:lineRule="auto"/>
        <w:ind w:left="567"/>
        <w:rPr>
          <w:lang w:val="fr-FR"/>
        </w:rPr>
      </w:pPr>
      <w:r w:rsidRPr="008725ED">
        <w:rPr>
          <w:lang w:val="fr-FR"/>
        </w:rPr>
        <w:t>19.</w:t>
      </w:r>
      <w:r w:rsidRPr="008725ED">
        <w:rPr>
          <w:lang w:val="fr-FR"/>
        </w:rPr>
        <w:tab/>
        <w:t>Modèle de principes directeurs d</w:t>
      </w:r>
      <w:r w:rsidR="00EF1779" w:rsidRPr="008725ED">
        <w:rPr>
          <w:lang w:val="fr-FR"/>
        </w:rPr>
        <w:t>’</w:t>
      </w:r>
      <w:r w:rsidRPr="008725ED">
        <w:rPr>
          <w:lang w:val="fr-FR"/>
        </w:rPr>
        <w:t>examen fondé sur le Web</w:t>
      </w:r>
    </w:p>
    <w:p w:rsidR="008C3126" w:rsidRPr="008725ED" w:rsidRDefault="00AE236E" w:rsidP="00AE236E">
      <w:pPr>
        <w:tabs>
          <w:tab w:val="left" w:pos="1134"/>
        </w:tabs>
        <w:spacing w:line="276" w:lineRule="auto"/>
        <w:ind w:left="567"/>
        <w:rPr>
          <w:lang w:val="fr-FR"/>
        </w:rPr>
      </w:pPr>
      <w:r w:rsidRPr="008725ED">
        <w:rPr>
          <w:lang w:val="fr-FR"/>
        </w:rPr>
        <w:t>20.</w:t>
      </w:r>
      <w:r w:rsidRPr="008725ED">
        <w:rPr>
          <w:lang w:val="fr-FR"/>
        </w:rPr>
        <w:tab/>
        <w:t>Principes directeurs d</w:t>
      </w:r>
      <w:r w:rsidR="00EF1779" w:rsidRPr="008725ED">
        <w:rPr>
          <w:lang w:val="fr-FR"/>
        </w:rPr>
        <w:t>’</w:t>
      </w:r>
      <w:r w:rsidRPr="008725ED">
        <w:rPr>
          <w:lang w:val="fr-FR"/>
        </w:rPr>
        <w:t>examen</w:t>
      </w:r>
    </w:p>
    <w:p w:rsidR="008C3126" w:rsidRPr="008725ED" w:rsidRDefault="00AE236E" w:rsidP="00AE236E">
      <w:pPr>
        <w:tabs>
          <w:tab w:val="left" w:pos="1134"/>
        </w:tabs>
        <w:spacing w:line="276" w:lineRule="auto"/>
        <w:ind w:left="567"/>
        <w:rPr>
          <w:lang w:val="fr-FR"/>
        </w:rPr>
      </w:pPr>
      <w:r w:rsidRPr="008725ED">
        <w:rPr>
          <w:lang w:val="fr-FR"/>
        </w:rPr>
        <w:t>21</w:t>
      </w:r>
      <w:r w:rsidRPr="008725ED">
        <w:rPr>
          <w:lang w:val="fr-FR"/>
        </w:rPr>
        <w:tab/>
        <w:t>Programme de la cinquante</w:t>
      </w:r>
      <w:r w:rsidR="00EF1779" w:rsidRPr="008725ED">
        <w:rPr>
          <w:lang w:val="fr-FR"/>
        </w:rPr>
        <w:t> et unième session</w:t>
      </w:r>
    </w:p>
    <w:p w:rsidR="008C3126" w:rsidRPr="008725ED" w:rsidRDefault="00AE236E" w:rsidP="00AE236E">
      <w:pPr>
        <w:tabs>
          <w:tab w:val="left" w:pos="1134"/>
        </w:tabs>
        <w:spacing w:line="276" w:lineRule="auto"/>
        <w:ind w:left="567"/>
        <w:rPr>
          <w:lang w:val="fr-FR"/>
        </w:rPr>
      </w:pPr>
      <w:r w:rsidRPr="008725ED">
        <w:rPr>
          <w:lang w:val="fr-FR"/>
        </w:rPr>
        <w:t>22.</w:t>
      </w:r>
      <w:r w:rsidRPr="008725ED">
        <w:rPr>
          <w:lang w:val="fr-FR"/>
        </w:rPr>
        <w:tab/>
        <w:t>Adoption du compte rendu (selon le temps disponible)</w:t>
      </w:r>
    </w:p>
    <w:p w:rsidR="005E033E" w:rsidRDefault="00AE236E" w:rsidP="0064330D">
      <w:pPr>
        <w:tabs>
          <w:tab w:val="left" w:pos="1134"/>
        </w:tabs>
        <w:spacing w:line="276" w:lineRule="auto"/>
        <w:ind w:left="567"/>
        <w:rPr>
          <w:lang w:val="fr-FR"/>
        </w:rPr>
      </w:pPr>
      <w:r w:rsidRPr="008725ED">
        <w:rPr>
          <w:lang w:val="fr-FR"/>
        </w:rPr>
        <w:t>23.</w:t>
      </w:r>
      <w:r w:rsidRPr="008725ED">
        <w:rPr>
          <w:lang w:val="fr-FR"/>
        </w:rPr>
        <w:tab/>
        <w:t>Clôture de la session</w:t>
      </w:r>
    </w:p>
    <w:p w:rsidR="005E033E" w:rsidRDefault="005E033E" w:rsidP="005E033E">
      <w:pPr>
        <w:rPr>
          <w:lang w:val="fr-FR"/>
        </w:rPr>
      </w:pPr>
    </w:p>
    <w:p w:rsidR="005E033E" w:rsidRDefault="005E033E" w:rsidP="005E033E">
      <w:pPr>
        <w:rPr>
          <w:lang w:val="fr-FR"/>
        </w:rPr>
      </w:pPr>
    </w:p>
    <w:p w:rsidR="0064330D" w:rsidRPr="008725ED" w:rsidRDefault="0064330D" w:rsidP="005E033E">
      <w:pPr>
        <w:rPr>
          <w:caps/>
          <w:lang w:val="fr-FR"/>
        </w:rPr>
      </w:pPr>
    </w:p>
    <w:p w:rsidR="008C3126" w:rsidRPr="008725ED" w:rsidRDefault="0094658D" w:rsidP="0094658D">
      <w:pPr>
        <w:pStyle w:val="Heading1"/>
        <w:rPr>
          <w:lang w:val="fr-FR"/>
        </w:rPr>
      </w:pPr>
      <w:bookmarkStart w:id="45" w:name="_Toc494207982"/>
      <w:r w:rsidRPr="008725ED">
        <w:rPr>
          <w:lang w:val="fr-FR"/>
        </w:rPr>
        <w:t>RAPPORT SUR L</w:t>
      </w:r>
      <w:r w:rsidR="00EF1779" w:rsidRPr="008725ED">
        <w:rPr>
          <w:lang w:val="fr-FR"/>
        </w:rPr>
        <w:t>’</w:t>
      </w:r>
      <w:r w:rsidRPr="008725ED">
        <w:rPr>
          <w:lang w:val="fr-FR"/>
        </w:rPr>
        <w:t>ÉTAT D</w:t>
      </w:r>
      <w:r w:rsidR="00EF1779" w:rsidRPr="008725ED">
        <w:rPr>
          <w:lang w:val="fr-FR"/>
        </w:rPr>
        <w:t>’</w:t>
      </w:r>
      <w:r w:rsidRPr="008725ED">
        <w:rPr>
          <w:lang w:val="fr-FR"/>
        </w:rPr>
        <w:t>AVANCEMENT DES TRAVAUX DES GROUPES DE TRAVAIL TECHNIQUES ET DU GROUPE DE TRAVAIL SUR LES TECHNIQUES BIOCHIMIQUES ET MOLÉCULAIRES, NOTAMMENT LES PROFILS D</w:t>
      </w:r>
      <w:r w:rsidR="00EF1779" w:rsidRPr="008725ED">
        <w:rPr>
          <w:lang w:val="fr-FR"/>
        </w:rPr>
        <w:t>’</w:t>
      </w:r>
      <w:r w:rsidRPr="008725ED">
        <w:rPr>
          <w:lang w:val="fr-FR"/>
        </w:rPr>
        <w:t>ADN EN 2016</w:t>
      </w:r>
      <w:bookmarkEnd w:id="45"/>
    </w:p>
    <w:p w:rsidR="008C3126" w:rsidRPr="008725ED" w:rsidRDefault="008C3126" w:rsidP="00D046F7">
      <w:pPr>
        <w:jc w:val="left"/>
        <w:rPr>
          <w:lang w:val="fr-FR"/>
        </w:rPr>
      </w:pPr>
    </w:p>
    <w:p w:rsidR="008C3126" w:rsidRPr="008725ED" w:rsidRDefault="00D046F7" w:rsidP="0094658D">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r>
      <w:r w:rsidR="0094658D" w:rsidRPr="008725ED">
        <w:rPr>
          <w:lang w:val="fr-FR"/>
        </w:rPr>
        <w:t>À sa cinquante</w:t>
      </w:r>
      <w:r w:rsidR="00EF1779" w:rsidRPr="008725ED">
        <w:rPr>
          <w:lang w:val="fr-FR"/>
        </w:rPr>
        <w:t>-</w:t>
      </w:r>
      <w:r w:rsidR="0094658D" w:rsidRPr="008725ED">
        <w:rPr>
          <w:lang w:val="fr-FR"/>
        </w:rPr>
        <w:t>trois</w:t>
      </w:r>
      <w:r w:rsidR="00EF1779" w:rsidRPr="008725ED">
        <w:rPr>
          <w:lang w:val="fr-FR"/>
        </w:rPr>
        <w:t>ième session</w:t>
      </w:r>
      <w:r w:rsidR="0094658D" w:rsidRPr="008725ED">
        <w:rPr>
          <w:lang w:val="fr-FR"/>
        </w:rPr>
        <w:t>, le</w:t>
      </w:r>
      <w:r w:rsidR="00EF1779" w:rsidRPr="008725ED">
        <w:rPr>
          <w:lang w:val="fr-FR"/>
        </w:rPr>
        <w:t> TC</w:t>
      </w:r>
      <w:r w:rsidR="0094658D" w:rsidRPr="008725ED">
        <w:rPr>
          <w:lang w:val="fr-FR"/>
        </w:rPr>
        <w:t xml:space="preserve"> a entendu les rapports présentés verbalement par les présidents des groupes concernés sur les travaux du TWA, du TWC, du TWF, du TWO,</w:t>
      </w:r>
      <w:r w:rsidR="00EF1779" w:rsidRPr="008725ED">
        <w:rPr>
          <w:lang w:val="fr-FR"/>
        </w:rPr>
        <w:t xml:space="preserve"> du TWV</w:t>
      </w:r>
      <w:r w:rsidR="0094658D" w:rsidRPr="008725ED">
        <w:rPr>
          <w:lang w:val="fr-FR"/>
        </w:rPr>
        <w:t xml:space="preserve"> et</w:t>
      </w:r>
      <w:r w:rsidR="00EF1779" w:rsidRPr="008725ED">
        <w:rPr>
          <w:lang w:val="fr-FR"/>
        </w:rPr>
        <w:t xml:space="preserve"> du BMT</w:t>
      </w:r>
      <w:r w:rsidR="0094658D" w:rsidRPr="008725ED">
        <w:rPr>
          <w:lang w:val="fr-FR"/>
        </w:rPr>
        <w:t>.</w:t>
      </w:r>
    </w:p>
    <w:p w:rsidR="008C3126" w:rsidRPr="008725ED" w:rsidRDefault="008C3126" w:rsidP="005E033E">
      <w:pPr>
        <w:spacing w:line="360" w:lineRule="auto"/>
        <w:jc w:val="left"/>
        <w:rPr>
          <w:lang w:val="fr-FR"/>
        </w:rPr>
      </w:pPr>
    </w:p>
    <w:p w:rsidR="008C3126" w:rsidRPr="008725ED" w:rsidRDefault="0052307B" w:rsidP="0052307B">
      <w:pPr>
        <w:pStyle w:val="Heading3"/>
      </w:pPr>
      <w:bookmarkStart w:id="46" w:name="_Toc494207983"/>
      <w:r w:rsidRPr="008725ED">
        <w:t>Groupe de travail technique sur les plantes agricoles</w:t>
      </w:r>
      <w:bookmarkEnd w:id="46"/>
    </w:p>
    <w:p w:rsidR="008C3126" w:rsidRPr="008725ED" w:rsidRDefault="008C3126" w:rsidP="0052307B">
      <w:pPr>
        <w:keepNext/>
        <w:rPr>
          <w:lang w:val="fr-FR"/>
        </w:rPr>
      </w:pPr>
    </w:p>
    <w:p w:rsidR="008C3126" w:rsidRPr="008725ED" w:rsidRDefault="0052307B" w:rsidP="0052307B">
      <w:pPr>
        <w:contextualSpacing/>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Le Groupe de travail technique sur les plantes agricoles (TWA) a tenu sa quarante</w:t>
      </w:r>
      <w:r w:rsidR="00EF1779" w:rsidRPr="008725ED">
        <w:rPr>
          <w:rFonts w:cs="Arial"/>
          <w:lang w:val="fr-FR"/>
        </w:rPr>
        <w:t>-</w:t>
      </w:r>
      <w:r w:rsidRPr="008725ED">
        <w:rPr>
          <w:rFonts w:cs="Arial"/>
          <w:lang w:val="fr-FR"/>
        </w:rPr>
        <w:t>cinqu</w:t>
      </w:r>
      <w:r w:rsidR="00EF1779" w:rsidRPr="008725ED">
        <w:rPr>
          <w:rFonts w:cs="Arial"/>
          <w:lang w:val="fr-FR"/>
        </w:rPr>
        <w:t>ième session</w:t>
      </w:r>
      <w:r w:rsidRPr="008725ED">
        <w:rPr>
          <w:rFonts w:cs="Arial"/>
          <w:lang w:val="fr-FR"/>
        </w:rPr>
        <w:t xml:space="preserve"> à Mexico (Mexique), du 11 au 15 juillet 2016, sous la présidence de M. Tanvir Hossain (Austral</w:t>
      </w:r>
      <w:r w:rsidR="00D43219" w:rsidRPr="008725ED">
        <w:rPr>
          <w:rFonts w:cs="Arial"/>
          <w:lang w:val="fr-FR"/>
        </w:rPr>
        <w:t>ie).  Le</w:t>
      </w:r>
      <w:r w:rsidRPr="008725ED">
        <w:rPr>
          <w:rFonts w:cs="Arial"/>
          <w:lang w:val="fr-FR"/>
        </w:rPr>
        <w:t> compte rendu de la session fait l</w:t>
      </w:r>
      <w:r w:rsidR="00EF1779" w:rsidRPr="008725ED">
        <w:rPr>
          <w:rFonts w:cs="Arial"/>
          <w:lang w:val="fr-FR"/>
        </w:rPr>
        <w:t>’</w:t>
      </w:r>
      <w:r w:rsidRPr="008725ED">
        <w:rPr>
          <w:rFonts w:cs="Arial"/>
          <w:lang w:val="fr-FR"/>
        </w:rPr>
        <w:t>objet du document TWA/45/25 “Report”.</w:t>
      </w:r>
    </w:p>
    <w:p w:rsidR="008C3126" w:rsidRPr="008725ED" w:rsidRDefault="008C3126" w:rsidP="0052307B">
      <w:pPr>
        <w:contextualSpacing/>
        <w:rPr>
          <w:rFonts w:cs="Arial"/>
          <w:lang w:val="fr-FR"/>
        </w:rPr>
      </w:pPr>
    </w:p>
    <w:p w:rsidR="008C3126" w:rsidRPr="008725ED" w:rsidRDefault="0052307B" w:rsidP="0052307B">
      <w:pPr>
        <w:contextualSpacing/>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La session a réuni 64 participants représentant 19 membres de l</w:t>
      </w:r>
      <w:r w:rsidR="00EF1779" w:rsidRPr="008725ED">
        <w:rPr>
          <w:rFonts w:cs="Arial"/>
          <w:lang w:val="fr-FR"/>
        </w:rPr>
        <w:t>’</w:t>
      </w:r>
      <w:r w:rsidRPr="008725ED">
        <w:rPr>
          <w:rFonts w:cs="Arial"/>
          <w:lang w:val="fr-FR"/>
        </w:rPr>
        <w:t>Union et trois organisations ayant le statut d</w:t>
      </w:r>
      <w:r w:rsidR="00EF1779" w:rsidRPr="008725ED">
        <w:rPr>
          <w:rFonts w:cs="Arial"/>
          <w:lang w:val="fr-FR"/>
        </w:rPr>
        <w:t>’</w:t>
      </w:r>
      <w:r w:rsidRPr="008725ED">
        <w:rPr>
          <w:rFonts w:cs="Arial"/>
          <w:lang w:val="fr-FR"/>
        </w:rPr>
        <w:t>observate</w:t>
      </w:r>
      <w:r w:rsidR="00D43219" w:rsidRPr="008725ED">
        <w:rPr>
          <w:rFonts w:cs="Arial"/>
          <w:lang w:val="fr-FR"/>
        </w:rPr>
        <w:t>ur.  L’a</w:t>
      </w:r>
      <w:r w:rsidRPr="008725ED">
        <w:rPr>
          <w:rFonts w:cs="Arial"/>
          <w:lang w:val="fr-FR"/>
        </w:rPr>
        <w:t>telier préparatoire a eu lieu durant l</w:t>
      </w:r>
      <w:r w:rsidR="00EF1779" w:rsidRPr="008725ED">
        <w:rPr>
          <w:rFonts w:cs="Arial"/>
          <w:lang w:val="fr-FR"/>
        </w:rPr>
        <w:t>’</w:t>
      </w:r>
      <w:r w:rsidRPr="008725ED">
        <w:rPr>
          <w:rFonts w:cs="Arial"/>
          <w:lang w:val="fr-FR"/>
        </w:rPr>
        <w:t>après</w:t>
      </w:r>
      <w:r w:rsidR="00EF1779" w:rsidRPr="008725ED">
        <w:rPr>
          <w:rFonts w:cs="Arial"/>
          <w:lang w:val="fr-FR"/>
        </w:rPr>
        <w:t>-</w:t>
      </w:r>
      <w:r w:rsidRPr="008725ED">
        <w:rPr>
          <w:rFonts w:cs="Arial"/>
          <w:lang w:val="fr-FR"/>
        </w:rPr>
        <w:t>midi du 10 juillet 2016 et a réun</w:t>
      </w:r>
      <w:r w:rsidR="0094658D" w:rsidRPr="008725ED">
        <w:rPr>
          <w:rFonts w:cs="Arial"/>
          <w:lang w:val="fr-FR"/>
        </w:rPr>
        <w:t>i 21 participants représentant neuf</w:t>
      </w:r>
      <w:r w:rsidRPr="008725ED">
        <w:rPr>
          <w:rFonts w:cs="Arial"/>
          <w:lang w:val="fr-FR"/>
        </w:rPr>
        <w:t> membres de l</w:t>
      </w:r>
      <w:r w:rsidR="00EF1779" w:rsidRPr="008725ED">
        <w:rPr>
          <w:rFonts w:cs="Arial"/>
          <w:lang w:val="fr-FR"/>
        </w:rPr>
        <w:t>’</w:t>
      </w:r>
      <w:r w:rsidRPr="008725ED">
        <w:rPr>
          <w:rFonts w:cs="Arial"/>
          <w:lang w:val="fr-FR"/>
        </w:rPr>
        <w:t>Union et une organisation ayant le statut d</w:t>
      </w:r>
      <w:r w:rsidR="00EF1779" w:rsidRPr="008725ED">
        <w:rPr>
          <w:rFonts w:cs="Arial"/>
          <w:lang w:val="fr-FR"/>
        </w:rPr>
        <w:t>’</w:t>
      </w:r>
      <w:r w:rsidRPr="008725ED">
        <w:rPr>
          <w:rFonts w:cs="Arial"/>
          <w:lang w:val="fr-FR"/>
        </w:rPr>
        <w:t>observateur.</w:t>
      </w:r>
    </w:p>
    <w:p w:rsidR="008C3126" w:rsidRPr="008725ED" w:rsidRDefault="008C3126" w:rsidP="0052307B">
      <w:pPr>
        <w:contextualSpacing/>
        <w:rPr>
          <w:rFonts w:cs="Arial"/>
          <w:lang w:val="fr-FR"/>
        </w:rPr>
      </w:pPr>
    </w:p>
    <w:p w:rsidR="008C3126" w:rsidRPr="008725ED" w:rsidRDefault="0052307B" w:rsidP="0052307B">
      <w:pPr>
        <w:contextualSpacing/>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Mme Graciela Ávila Quezada a souhaité la bienvenue aux participants de la session, au nom de S.</w:t>
      </w:r>
      <w:r w:rsidR="00D43219" w:rsidRPr="008725ED">
        <w:rPr>
          <w:rFonts w:cs="Arial"/>
          <w:lang w:val="fr-FR"/>
        </w:rPr>
        <w:t> </w:t>
      </w:r>
      <w:r w:rsidRPr="008725ED">
        <w:rPr>
          <w:rFonts w:cs="Arial"/>
          <w:lang w:val="fr-FR"/>
        </w:rPr>
        <w:t>E.</w:t>
      </w:r>
      <w:r w:rsidR="00D43219" w:rsidRPr="008725ED">
        <w:rPr>
          <w:rFonts w:cs="Arial"/>
          <w:lang w:val="fr-FR"/>
        </w:rPr>
        <w:t xml:space="preserve"> M. </w:t>
      </w:r>
      <w:r w:rsidRPr="008725ED">
        <w:rPr>
          <w:rFonts w:cs="Arial"/>
          <w:lang w:val="fr-FR"/>
        </w:rPr>
        <w:t>le ministre de l</w:t>
      </w:r>
      <w:r w:rsidR="00EF1779" w:rsidRPr="008725ED">
        <w:rPr>
          <w:rFonts w:cs="Arial"/>
          <w:lang w:val="fr-FR"/>
        </w:rPr>
        <w:t>’</w:t>
      </w:r>
      <w:r w:rsidRPr="008725ED">
        <w:rPr>
          <w:rFonts w:cs="Arial"/>
          <w:lang w:val="fr-FR"/>
        </w:rPr>
        <w:t>agriculture, de l</w:t>
      </w:r>
      <w:r w:rsidR="00EF1779" w:rsidRPr="008725ED">
        <w:rPr>
          <w:rFonts w:cs="Arial"/>
          <w:lang w:val="fr-FR"/>
        </w:rPr>
        <w:t>’</w:t>
      </w:r>
      <w:r w:rsidRPr="008725ED">
        <w:rPr>
          <w:rFonts w:cs="Arial"/>
          <w:lang w:val="fr-FR"/>
        </w:rPr>
        <w:t>élevage, du développement rural, de la pêche et de l</w:t>
      </w:r>
      <w:r w:rsidR="00EF1779" w:rsidRPr="008725ED">
        <w:rPr>
          <w:rFonts w:cs="Arial"/>
          <w:lang w:val="fr-FR"/>
        </w:rPr>
        <w:t>’</w:t>
      </w:r>
      <w:r w:rsidRPr="008725ED">
        <w:rPr>
          <w:rFonts w:cs="Arial"/>
          <w:lang w:val="fr-FR"/>
        </w:rPr>
        <w:t>alimentation, M. José Eduardo Calzada Rovirosa et de M. Manuel Rafael Villa Issa, directeur général du Service national de l</w:t>
      </w:r>
      <w:r w:rsidR="00EF1779" w:rsidRPr="008725ED">
        <w:rPr>
          <w:rFonts w:cs="Arial"/>
          <w:lang w:val="fr-FR"/>
        </w:rPr>
        <w:t>’</w:t>
      </w:r>
      <w:r w:rsidRPr="008725ED">
        <w:rPr>
          <w:rFonts w:cs="Arial"/>
          <w:lang w:val="fr-FR"/>
        </w:rPr>
        <w:t>inspection et de l</w:t>
      </w:r>
      <w:r w:rsidR="00EF1779" w:rsidRPr="008725ED">
        <w:rPr>
          <w:rFonts w:cs="Arial"/>
          <w:lang w:val="fr-FR"/>
        </w:rPr>
        <w:t>’</w:t>
      </w:r>
      <w:r w:rsidRPr="008725ED">
        <w:rPr>
          <w:rFonts w:cs="Arial"/>
          <w:lang w:val="fr-FR"/>
        </w:rPr>
        <w:t>agrément des semences (SNICS).  Le TWA a également suivi un exposé sur la protection des obtentions végétales au Mexique, présenté par M. Eduardo Padilla Vaca, directeur du registre des obtentions végétales (SNICS).</w:t>
      </w:r>
    </w:p>
    <w:p w:rsidR="008C3126" w:rsidRPr="008725ED" w:rsidRDefault="008C3126" w:rsidP="0052307B">
      <w:pPr>
        <w:contextualSpacing/>
        <w:rPr>
          <w:rFonts w:cs="Arial"/>
          <w:lang w:val="fr-FR"/>
        </w:rPr>
      </w:pPr>
    </w:p>
    <w:p w:rsidR="008C3126" w:rsidRPr="008725ED" w:rsidRDefault="0052307B" w:rsidP="0052307B">
      <w:pPr>
        <w:spacing w:after="240"/>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Le TWA a adopté l</w:t>
      </w:r>
      <w:r w:rsidR="00EF1779" w:rsidRPr="008725ED">
        <w:rPr>
          <w:rFonts w:cs="Arial"/>
          <w:lang w:val="fr-FR"/>
        </w:rPr>
        <w:t>’</w:t>
      </w:r>
      <w:r w:rsidRPr="008725ED">
        <w:rPr>
          <w:rFonts w:cs="Arial"/>
          <w:lang w:val="fr-FR"/>
        </w:rPr>
        <w:t>ordre du jour qui figure dans le document TWA/45/1 Rev.</w:t>
      </w:r>
    </w:p>
    <w:p w:rsidR="008C3126" w:rsidRPr="008725ED" w:rsidRDefault="0052307B" w:rsidP="0052307B">
      <w:pPr>
        <w:contextualSpacing/>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En ce qui concerne la</w:t>
      </w:r>
      <w:r w:rsidRPr="008725ED">
        <w:rPr>
          <w:lang w:val="fr-FR"/>
        </w:rPr>
        <w:t xml:space="preserve"> </w:t>
      </w:r>
      <w:r w:rsidRPr="008725ED">
        <w:rPr>
          <w:rFonts w:cs="Arial"/>
          <w:lang w:val="fr-FR"/>
        </w:rPr>
        <w:t>version révisée de la section 4.3 “Matériel pour les rédacteurs de principes directeurs d</w:t>
      </w:r>
      <w:r w:rsidR="00EF1779" w:rsidRPr="008725ED">
        <w:rPr>
          <w:rFonts w:cs="Arial"/>
          <w:lang w:val="fr-FR"/>
        </w:rPr>
        <w:t>’</w:t>
      </w:r>
      <w:r w:rsidRPr="008725ED">
        <w:rPr>
          <w:rFonts w:cs="Arial"/>
          <w:lang w:val="fr-FR"/>
        </w:rPr>
        <w:t>examen” du document TGP/7 “Élaboration des principes directeurs d</w:t>
      </w:r>
      <w:r w:rsidR="00EF1779" w:rsidRPr="008725ED">
        <w:rPr>
          <w:rFonts w:cs="Arial"/>
          <w:lang w:val="fr-FR"/>
        </w:rPr>
        <w:t>’</w:t>
      </w:r>
      <w:r w:rsidRPr="008725ED">
        <w:rPr>
          <w:rFonts w:cs="Arial"/>
          <w:lang w:val="fr-FR"/>
        </w:rPr>
        <w:t>examen”, le TWA est convenu que la période de rédaction des principes directeurs d</w:t>
      </w:r>
      <w:r w:rsidR="00EF1779" w:rsidRPr="008725ED">
        <w:rPr>
          <w:rFonts w:cs="Arial"/>
          <w:lang w:val="fr-FR"/>
        </w:rPr>
        <w:t>’</w:t>
      </w:r>
      <w:r w:rsidRPr="008725ED">
        <w:rPr>
          <w:rFonts w:cs="Arial"/>
          <w:lang w:val="fr-FR"/>
        </w:rPr>
        <w:t>examen par les experts principaux au moyen du modèle de principes directeurs d</w:t>
      </w:r>
      <w:r w:rsidR="00EF1779" w:rsidRPr="008725ED">
        <w:rPr>
          <w:rFonts w:cs="Arial"/>
          <w:lang w:val="fr-FR"/>
        </w:rPr>
        <w:t>’</w:t>
      </w:r>
      <w:r w:rsidRPr="008725ED">
        <w:rPr>
          <w:rFonts w:cs="Arial"/>
          <w:lang w:val="fr-FR"/>
        </w:rPr>
        <w:t>examen fondé sur le Web doit commencer peu après la session concernée du TWP afin d</w:t>
      </w:r>
      <w:r w:rsidR="00EF1779" w:rsidRPr="008725ED">
        <w:rPr>
          <w:rFonts w:cs="Arial"/>
          <w:lang w:val="fr-FR"/>
        </w:rPr>
        <w:t>’</w:t>
      </w:r>
      <w:r w:rsidRPr="008725ED">
        <w:rPr>
          <w:rFonts w:cs="Arial"/>
          <w:lang w:val="fr-FR"/>
        </w:rPr>
        <w:t>éviter tout retard inutile dans la finalisation du projet.</w:t>
      </w:r>
    </w:p>
    <w:p w:rsidR="008C3126" w:rsidRPr="008725ED" w:rsidRDefault="008C3126" w:rsidP="0052307B">
      <w:pPr>
        <w:contextualSpacing/>
        <w:rPr>
          <w:rFonts w:cs="Arial"/>
          <w:lang w:val="fr-FR"/>
        </w:rPr>
      </w:pPr>
    </w:p>
    <w:p w:rsidR="008C3126" w:rsidRPr="008725ED" w:rsidRDefault="0052307B" w:rsidP="0052307B">
      <w:pPr>
        <w:contextualSpacing/>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Le TWA a examiné la proposition de conseils relatifs à l</w:t>
      </w:r>
      <w:r w:rsidR="00EF1779" w:rsidRPr="008725ED">
        <w:rPr>
          <w:rFonts w:cs="Arial"/>
          <w:lang w:val="fr-FR"/>
        </w:rPr>
        <w:t>’</w:t>
      </w:r>
      <w:r w:rsidRPr="008725ED">
        <w:rPr>
          <w:rFonts w:cs="Arial"/>
          <w:lang w:val="fr-FR"/>
        </w:rPr>
        <w:t>examen DHS sur des échantillons globaux, aux fins de leur inclusion sous forme d</w:t>
      </w:r>
      <w:r w:rsidR="00EF1779" w:rsidRPr="008725ED">
        <w:rPr>
          <w:rFonts w:cs="Arial"/>
          <w:lang w:val="fr-FR"/>
        </w:rPr>
        <w:t>’</w:t>
      </w:r>
      <w:r w:rsidRPr="008725ED">
        <w:rPr>
          <w:rFonts w:cs="Arial"/>
          <w:lang w:val="fr-FR"/>
        </w:rPr>
        <w:t>une nouvelle section d</w:t>
      </w:r>
      <w:r w:rsidR="00EF1779" w:rsidRPr="008725ED">
        <w:rPr>
          <w:rFonts w:cs="Arial"/>
          <w:lang w:val="fr-FR"/>
        </w:rPr>
        <w:t>’</w:t>
      </w:r>
      <w:r w:rsidRPr="008725ED">
        <w:rPr>
          <w:rFonts w:cs="Arial"/>
          <w:lang w:val="fr-FR"/>
        </w:rPr>
        <w:t>une future version révisée du document TGP/8 “Coopération en matière d</w:t>
      </w:r>
      <w:r w:rsidR="00EF1779" w:rsidRPr="008725ED">
        <w:rPr>
          <w:rFonts w:cs="Arial"/>
          <w:lang w:val="fr-FR"/>
        </w:rPr>
        <w:t>’</w:t>
      </w:r>
      <w:r w:rsidRPr="008725ED">
        <w:rPr>
          <w:rFonts w:cs="Arial"/>
          <w:lang w:val="fr-FR"/>
        </w:rPr>
        <w:t>examen”.  Le TWA est convenu avec le TWV que la proposition de conseils ne contenait pas suffisamment d</w:t>
      </w:r>
      <w:r w:rsidR="00EF1779" w:rsidRPr="008725ED">
        <w:rPr>
          <w:rFonts w:cs="Arial"/>
          <w:lang w:val="fr-FR"/>
        </w:rPr>
        <w:t>’</w:t>
      </w:r>
      <w:r w:rsidRPr="008725ED">
        <w:rPr>
          <w:rFonts w:cs="Arial"/>
          <w:lang w:val="fr-FR"/>
        </w:rPr>
        <w:t>exemples pour l</w:t>
      </w:r>
      <w:r w:rsidR="00EF1779" w:rsidRPr="008725ED">
        <w:rPr>
          <w:rFonts w:cs="Arial"/>
          <w:lang w:val="fr-FR"/>
        </w:rPr>
        <w:t>’</w:t>
      </w:r>
      <w:r w:rsidRPr="008725ED">
        <w:rPr>
          <w:rFonts w:cs="Arial"/>
          <w:lang w:val="fr-FR"/>
        </w:rPr>
        <w:t>examen des caractères DHS sur la base d</w:t>
      </w:r>
      <w:r w:rsidR="00EF1779" w:rsidRPr="008725ED">
        <w:rPr>
          <w:rFonts w:cs="Arial"/>
          <w:lang w:val="fr-FR"/>
        </w:rPr>
        <w:t>’</w:t>
      </w:r>
      <w:r w:rsidRPr="008725ED">
        <w:rPr>
          <w:rFonts w:cs="Arial"/>
          <w:lang w:val="fr-FR"/>
        </w:rPr>
        <w:t>échantillons globaux et qu</w:t>
      </w:r>
      <w:r w:rsidR="00EF1779" w:rsidRPr="008725ED">
        <w:rPr>
          <w:rFonts w:cs="Arial"/>
          <w:lang w:val="fr-FR"/>
        </w:rPr>
        <w:t>’</w:t>
      </w:r>
      <w:r w:rsidRPr="008725ED">
        <w:rPr>
          <w:rFonts w:cs="Arial"/>
          <w:lang w:val="fr-FR"/>
        </w:rPr>
        <w:t>il devrait être demandé à la rédactrice de l</w:t>
      </w:r>
      <w:r w:rsidR="00EF1779" w:rsidRPr="008725ED">
        <w:rPr>
          <w:rFonts w:cs="Arial"/>
          <w:lang w:val="fr-FR"/>
        </w:rPr>
        <w:t>’</w:t>
      </w:r>
      <w:r w:rsidRPr="008725ED">
        <w:rPr>
          <w:rFonts w:cs="Arial"/>
          <w:lang w:val="fr-FR"/>
        </w:rPr>
        <w:t>étoffer en incluant davantage d</w:t>
      </w:r>
      <w:r w:rsidR="00EF1779" w:rsidRPr="008725ED">
        <w:rPr>
          <w:rFonts w:cs="Arial"/>
          <w:lang w:val="fr-FR"/>
        </w:rPr>
        <w:t>’</w:t>
      </w:r>
      <w:r w:rsidRPr="008725ED">
        <w:rPr>
          <w:rFonts w:cs="Arial"/>
          <w:lang w:val="fr-FR"/>
        </w:rPr>
        <w:t>exemples, conformément à la demande exprimée par le</w:t>
      </w:r>
      <w:r w:rsidR="00EF1779" w:rsidRPr="008725ED">
        <w:rPr>
          <w:rFonts w:cs="Arial"/>
          <w:lang w:val="fr-FR"/>
        </w:rPr>
        <w:t> TC</w:t>
      </w:r>
      <w:r w:rsidRPr="008725ED">
        <w:rPr>
          <w:rFonts w:cs="Arial"/>
          <w:lang w:val="fr-FR"/>
        </w:rPr>
        <w:t xml:space="preserve"> à sa cinquante</w:t>
      </w:r>
      <w:r w:rsidR="00EF1779" w:rsidRPr="008725ED">
        <w:rPr>
          <w:rFonts w:cs="Arial"/>
          <w:lang w:val="fr-FR"/>
        </w:rPr>
        <w:t>-</w:t>
      </w:r>
      <w:r w:rsidRPr="008725ED">
        <w:rPr>
          <w:rFonts w:cs="Arial"/>
          <w:lang w:val="fr-FR"/>
        </w:rPr>
        <w:t>deux</w:t>
      </w:r>
      <w:r w:rsidR="00EF1779" w:rsidRPr="008725ED">
        <w:rPr>
          <w:rFonts w:cs="Arial"/>
          <w:lang w:val="fr-FR"/>
        </w:rPr>
        <w:t>ième sessi</w:t>
      </w:r>
      <w:r w:rsidR="00D43219" w:rsidRPr="008725ED">
        <w:rPr>
          <w:rFonts w:cs="Arial"/>
          <w:lang w:val="fr-FR"/>
        </w:rPr>
        <w:t>on.  Le</w:t>
      </w:r>
      <w:r w:rsidRPr="008725ED">
        <w:rPr>
          <w:rFonts w:cs="Arial"/>
          <w:lang w:val="fr-FR"/>
        </w:rPr>
        <w:t> TWA est convenu que le développement des conseils sur les échantillons globaux devait être subordonné à l</w:t>
      </w:r>
      <w:r w:rsidR="00EF1779" w:rsidRPr="008725ED">
        <w:rPr>
          <w:rFonts w:cs="Arial"/>
          <w:lang w:val="fr-FR"/>
        </w:rPr>
        <w:t>’</w:t>
      </w:r>
      <w:r w:rsidRPr="008725ED">
        <w:rPr>
          <w:rFonts w:cs="Arial"/>
          <w:lang w:val="fr-FR"/>
        </w:rPr>
        <w:t>existence d</w:t>
      </w:r>
      <w:r w:rsidR="00EF1779" w:rsidRPr="008725ED">
        <w:rPr>
          <w:rFonts w:cs="Arial"/>
          <w:lang w:val="fr-FR"/>
        </w:rPr>
        <w:t>’</w:t>
      </w:r>
      <w:r w:rsidRPr="008725ED">
        <w:rPr>
          <w:rFonts w:cs="Arial"/>
          <w:lang w:val="fr-FR"/>
        </w:rPr>
        <w:t>exemples appropriés contenant des données extraites des mesures courantes relatives à des caractères comme les composants chimiques ou le poids de 1000 graines.</w:t>
      </w:r>
    </w:p>
    <w:p w:rsidR="008C3126" w:rsidRPr="008725ED" w:rsidRDefault="008C3126" w:rsidP="0052307B">
      <w:pPr>
        <w:rPr>
          <w:rFonts w:cs="Arial"/>
          <w:lang w:val="fr-FR"/>
        </w:rPr>
      </w:pPr>
    </w:p>
    <w:p w:rsidR="008C3126" w:rsidRPr="008725ED" w:rsidRDefault="0052307B" w:rsidP="0052307B">
      <w:pPr>
        <w:rPr>
          <w:rFonts w:cs="Arial"/>
          <w:lang w:val="fr-FR" w:eastAsia="en-GB"/>
        </w:rPr>
      </w:pPr>
      <w:r w:rsidRPr="008725ED">
        <w:rPr>
          <w:rFonts w:cs="Arial"/>
          <w:lang w:val="fr-FR" w:eastAsia="en-GB"/>
        </w:rPr>
        <w:fldChar w:fldCharType="begin"/>
      </w:r>
      <w:r w:rsidRPr="008725ED">
        <w:rPr>
          <w:rFonts w:cs="Arial"/>
          <w:lang w:val="fr-FR" w:eastAsia="en-GB"/>
        </w:rPr>
        <w:instrText xml:space="preserve"> AUTONUM  </w:instrText>
      </w:r>
      <w:r w:rsidRPr="008725ED">
        <w:rPr>
          <w:rFonts w:cs="Arial"/>
          <w:lang w:val="fr-FR" w:eastAsia="en-GB"/>
        </w:rPr>
        <w:fldChar w:fldCharType="end"/>
      </w:r>
      <w:r w:rsidRPr="008725ED">
        <w:rPr>
          <w:rFonts w:cs="Arial"/>
          <w:lang w:val="fr-FR" w:eastAsia="en-GB"/>
        </w:rPr>
        <w:tab/>
        <w:t>Le TWA a suivi un exposé intitulé “Genotype by Environment Interaction (GEI) – DUS test and data transformation into notes” (interaction entre génotype et environnement – essai DHS et conversion des données en notes), présenté par un expert de l</w:t>
      </w:r>
      <w:r w:rsidR="00EF1779" w:rsidRPr="008725ED">
        <w:rPr>
          <w:rFonts w:cs="Arial"/>
          <w:lang w:val="fr-FR" w:eastAsia="en-GB"/>
        </w:rPr>
        <w:t>’</w:t>
      </w:r>
      <w:r w:rsidRPr="008725ED">
        <w:rPr>
          <w:rFonts w:cs="Arial"/>
          <w:lang w:val="fr-FR" w:eastAsia="en-GB"/>
        </w:rPr>
        <w:t>Ital</w:t>
      </w:r>
      <w:r w:rsidR="00D43219" w:rsidRPr="008725ED">
        <w:rPr>
          <w:rFonts w:cs="Arial"/>
          <w:lang w:val="fr-FR" w:eastAsia="en-GB"/>
        </w:rPr>
        <w:t>ie.  Le</w:t>
      </w:r>
      <w:r w:rsidRPr="008725ED">
        <w:rPr>
          <w:rFonts w:cs="Arial"/>
          <w:lang w:val="fr-FR" w:eastAsia="en-GB"/>
        </w:rPr>
        <w:t> TWA a reconnu la pertinence des informations fournies sur l</w:t>
      </w:r>
      <w:r w:rsidR="00EF1779" w:rsidRPr="008725ED">
        <w:rPr>
          <w:rFonts w:cs="Arial"/>
          <w:lang w:val="fr-FR" w:eastAsia="en-GB"/>
        </w:rPr>
        <w:t>’</w:t>
      </w:r>
      <w:r w:rsidRPr="008725ED">
        <w:rPr>
          <w:rFonts w:cs="Arial"/>
          <w:lang w:val="fr-FR" w:eastAsia="en-GB"/>
        </w:rPr>
        <w:t>interaction entre génotype et environnement pour de futurs conseils éventuels sur la conversion d</w:t>
      </w:r>
      <w:r w:rsidR="00EF1779" w:rsidRPr="008725ED">
        <w:rPr>
          <w:rFonts w:cs="Arial"/>
          <w:lang w:val="fr-FR" w:eastAsia="en-GB"/>
        </w:rPr>
        <w:t>’</w:t>
      </w:r>
      <w:r w:rsidRPr="008725ED">
        <w:rPr>
          <w:rFonts w:cs="Arial"/>
          <w:lang w:val="fr-FR" w:eastAsia="en-GB"/>
        </w:rPr>
        <w:t>observations en notes et l</w:t>
      </w:r>
      <w:r w:rsidR="00EF1779" w:rsidRPr="008725ED">
        <w:rPr>
          <w:rFonts w:cs="Arial"/>
          <w:lang w:val="fr-FR" w:eastAsia="en-GB"/>
        </w:rPr>
        <w:t>’</w:t>
      </w:r>
      <w:r w:rsidRPr="008725ED">
        <w:rPr>
          <w:rFonts w:cs="Arial"/>
          <w:lang w:val="fr-FR" w:eastAsia="en-GB"/>
        </w:rPr>
        <w:t>établissement de descriptions variétales.</w:t>
      </w:r>
    </w:p>
    <w:p w:rsidR="008C3126" w:rsidRPr="008725ED" w:rsidRDefault="008C3126" w:rsidP="0052307B">
      <w:pPr>
        <w:rPr>
          <w:lang w:val="fr-FR" w:eastAsia="en-GB"/>
        </w:rPr>
      </w:pPr>
    </w:p>
    <w:p w:rsidR="008C3126" w:rsidRPr="008725ED" w:rsidRDefault="0052307B" w:rsidP="0052307B">
      <w:pPr>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En ce qui concerne la</w:t>
      </w:r>
      <w:r w:rsidRPr="008725ED">
        <w:rPr>
          <w:lang w:val="fr-FR"/>
        </w:rPr>
        <w:t xml:space="preserve"> </w:t>
      </w:r>
      <w:r w:rsidRPr="008725ED">
        <w:rPr>
          <w:rFonts w:cs="Arial"/>
          <w:lang w:val="fr-FR"/>
        </w:rPr>
        <w:t xml:space="preserve">version révisée du document TGP/10 “Examining Uniformity”, </w:t>
      </w:r>
      <w:r w:rsidRPr="008725ED">
        <w:rPr>
          <w:rFonts w:cs="Arial"/>
          <w:snapToGrid w:val="0"/>
          <w:lang w:val="fr-FR"/>
        </w:rPr>
        <w:t>le</w:t>
      </w:r>
      <w:r w:rsidRPr="008725ED">
        <w:rPr>
          <w:rFonts w:cs="Arial"/>
          <w:lang w:val="fr-FR"/>
        </w:rPr>
        <w:t> </w:t>
      </w:r>
      <w:r w:rsidRPr="008725ED">
        <w:rPr>
          <w:rFonts w:cs="Arial"/>
          <w:snapToGrid w:val="0"/>
          <w:lang w:val="fr-FR"/>
        </w:rPr>
        <w:t>TWA a suivi un exposé intitulé</w:t>
      </w:r>
      <w:r w:rsidRPr="008725ED">
        <w:rPr>
          <w:rFonts w:eastAsia="MS Mincho" w:cs="Arial"/>
          <w:lang w:val="fr-FR" w:eastAsia="ja-JP"/>
        </w:rPr>
        <w:t xml:space="preserve"> “Évaluation de l</w:t>
      </w:r>
      <w:r w:rsidR="00EF1779" w:rsidRPr="008725ED">
        <w:rPr>
          <w:rFonts w:eastAsia="MS Mincho" w:cs="Arial"/>
          <w:lang w:val="fr-FR" w:eastAsia="ja-JP"/>
        </w:rPr>
        <w:t>’</w:t>
      </w:r>
      <w:r w:rsidRPr="008725ED">
        <w:rPr>
          <w:rFonts w:eastAsia="MS Mincho" w:cs="Arial"/>
          <w:lang w:val="fr-FR" w:eastAsia="ja-JP"/>
        </w:rPr>
        <w:t>homogénéité d</w:t>
      </w:r>
      <w:r w:rsidR="00EF1779" w:rsidRPr="008725ED">
        <w:rPr>
          <w:rFonts w:eastAsia="MS Mincho" w:cs="Arial"/>
          <w:lang w:val="fr-FR" w:eastAsia="ja-JP"/>
        </w:rPr>
        <w:t>’</w:t>
      </w:r>
      <w:r w:rsidRPr="008725ED">
        <w:rPr>
          <w:rFonts w:eastAsia="MS Mincho" w:cs="Arial"/>
          <w:lang w:val="fr-FR" w:eastAsia="ja-JP"/>
        </w:rPr>
        <w:t>après les plantes hors</w:t>
      </w:r>
      <w:r w:rsidR="00EF1779" w:rsidRPr="008725ED">
        <w:rPr>
          <w:rFonts w:eastAsia="MS Mincho" w:cs="Arial"/>
          <w:lang w:val="fr-FR" w:eastAsia="ja-JP"/>
        </w:rPr>
        <w:t>-</w:t>
      </w:r>
      <w:r w:rsidRPr="008725ED">
        <w:rPr>
          <w:rFonts w:eastAsia="MS Mincho" w:cs="Arial"/>
          <w:lang w:val="fr-FR" w:eastAsia="ja-JP"/>
        </w:rPr>
        <w:t>type sur la base de plusieurs cycles de végétation</w:t>
      </w:r>
      <w:r w:rsidR="00EF1779" w:rsidRPr="008725ED">
        <w:rPr>
          <w:rFonts w:eastAsia="MS Mincho" w:cs="Arial"/>
          <w:lang w:val="fr-FR" w:eastAsia="ja-JP"/>
        </w:rPr>
        <w:t> :</w:t>
      </w:r>
      <w:r w:rsidRPr="008725ED">
        <w:rPr>
          <w:rFonts w:eastAsia="MS Mincho" w:cs="Arial"/>
          <w:lang w:val="fr-FR" w:eastAsia="ja-JP"/>
        </w:rPr>
        <w:t xml:space="preserve"> rédaction d</w:t>
      </w:r>
      <w:r w:rsidR="00EF1779" w:rsidRPr="008725ED">
        <w:rPr>
          <w:rFonts w:eastAsia="MS Mincho" w:cs="Arial"/>
          <w:lang w:val="fr-FR" w:eastAsia="ja-JP"/>
        </w:rPr>
        <w:t>’</w:t>
      </w:r>
      <w:r w:rsidRPr="008725ED">
        <w:rPr>
          <w:rFonts w:eastAsia="MS Mincho" w:cs="Arial"/>
          <w:lang w:val="fr-FR" w:eastAsia="ja-JP"/>
        </w:rPr>
        <w:t>orientations”</w:t>
      </w:r>
      <w:r w:rsidRPr="008725ED">
        <w:rPr>
          <w:rFonts w:cs="Arial"/>
          <w:lang w:val="fr-FR" w:eastAsia="en-GB"/>
        </w:rPr>
        <w:t xml:space="preserve"> présenté par des experts de l</w:t>
      </w:r>
      <w:r w:rsidR="00EF1779" w:rsidRPr="008725ED">
        <w:rPr>
          <w:rFonts w:cs="Arial"/>
          <w:lang w:val="fr-FR" w:eastAsia="en-GB"/>
        </w:rPr>
        <w:t>’</w:t>
      </w:r>
      <w:r w:rsidRPr="008725ED">
        <w:rPr>
          <w:rFonts w:cs="Arial"/>
          <w:lang w:val="fr-FR" w:eastAsia="en-GB"/>
        </w:rPr>
        <w:t>Allemagne et du Royaume</w:t>
      </w:r>
      <w:r w:rsidR="00EF1779" w:rsidRPr="008725ED">
        <w:rPr>
          <w:rFonts w:cs="Arial"/>
          <w:lang w:val="fr-FR" w:eastAsia="en-GB"/>
        </w:rPr>
        <w:t>-</w:t>
      </w:r>
      <w:r w:rsidRPr="008725ED">
        <w:rPr>
          <w:rFonts w:cs="Arial"/>
          <w:lang w:val="fr-FR" w:eastAsia="en-GB"/>
        </w:rPr>
        <w:t>Uni par voie électroniq</w:t>
      </w:r>
      <w:r w:rsidR="00D43219" w:rsidRPr="008725ED">
        <w:rPr>
          <w:rFonts w:cs="Arial"/>
          <w:lang w:val="fr-FR" w:eastAsia="en-GB"/>
        </w:rPr>
        <w:t>ue.  Le</w:t>
      </w:r>
      <w:r w:rsidRPr="008725ED">
        <w:rPr>
          <w:rFonts w:cs="Arial"/>
          <w:lang w:val="fr-FR" w:eastAsia="en-GB"/>
        </w:rPr>
        <w:t> TWA a également suivi un exposé intitulé “Expérience pratique en matière d</w:t>
      </w:r>
      <w:r w:rsidR="00EF1779" w:rsidRPr="008725ED">
        <w:rPr>
          <w:rFonts w:cs="Arial"/>
          <w:lang w:val="fr-FR" w:eastAsia="en-GB"/>
        </w:rPr>
        <w:t>’</w:t>
      </w:r>
      <w:r w:rsidRPr="008725ED">
        <w:rPr>
          <w:rFonts w:cs="Arial"/>
          <w:lang w:val="fr-FR" w:eastAsia="en-GB"/>
        </w:rPr>
        <w:t>évaluation de l</w:t>
      </w:r>
      <w:r w:rsidR="00EF1779" w:rsidRPr="008725ED">
        <w:rPr>
          <w:rFonts w:cs="Arial"/>
          <w:lang w:val="fr-FR" w:eastAsia="en-GB"/>
        </w:rPr>
        <w:t>’</w:t>
      </w:r>
      <w:r w:rsidRPr="008725ED">
        <w:rPr>
          <w:rFonts w:cs="Arial"/>
          <w:lang w:val="fr-FR" w:eastAsia="en-GB"/>
        </w:rPr>
        <w:t>homogénéité d</w:t>
      </w:r>
      <w:r w:rsidR="00EF1779" w:rsidRPr="008725ED">
        <w:rPr>
          <w:rFonts w:cs="Arial"/>
          <w:lang w:val="fr-FR" w:eastAsia="en-GB"/>
        </w:rPr>
        <w:t>’</w:t>
      </w:r>
      <w:r w:rsidRPr="008725ED">
        <w:rPr>
          <w:rFonts w:cs="Arial"/>
          <w:lang w:val="fr-FR" w:eastAsia="en-GB"/>
        </w:rPr>
        <w:t>après les plantes hors</w:t>
      </w:r>
      <w:r w:rsidR="00EF1779" w:rsidRPr="008725ED">
        <w:rPr>
          <w:rFonts w:cs="Arial"/>
          <w:lang w:val="fr-FR" w:eastAsia="en-GB"/>
        </w:rPr>
        <w:t>-</w:t>
      </w:r>
      <w:r w:rsidRPr="008725ED">
        <w:rPr>
          <w:rFonts w:cs="Arial"/>
          <w:lang w:val="fr-FR" w:eastAsia="en-GB"/>
        </w:rPr>
        <w:t>type pour le colza et le chou</w:t>
      </w:r>
      <w:r w:rsidR="00EF1779" w:rsidRPr="008725ED">
        <w:rPr>
          <w:rFonts w:cs="Arial"/>
          <w:lang w:val="fr-FR" w:eastAsia="en-GB"/>
        </w:rPr>
        <w:t>-</w:t>
      </w:r>
      <w:r w:rsidRPr="008725ED">
        <w:rPr>
          <w:rFonts w:cs="Arial"/>
          <w:lang w:val="fr-FR" w:eastAsia="en-GB"/>
        </w:rPr>
        <w:t>fleur”, présenté par un expert de la Fran</w:t>
      </w:r>
      <w:r w:rsidR="00D43219" w:rsidRPr="008725ED">
        <w:rPr>
          <w:rFonts w:cs="Arial"/>
          <w:lang w:val="fr-FR" w:eastAsia="en-GB"/>
        </w:rPr>
        <w:t xml:space="preserve">ce.  </w:t>
      </w:r>
      <w:r w:rsidR="00D43219" w:rsidRPr="008725ED">
        <w:rPr>
          <w:rFonts w:cs="Arial"/>
          <w:snapToGrid w:val="0"/>
          <w:lang w:val="fr-FR"/>
        </w:rPr>
        <w:t>Le</w:t>
      </w:r>
      <w:r w:rsidRPr="008725ED">
        <w:rPr>
          <w:rFonts w:cs="Arial"/>
          <w:lang w:val="fr-FR" w:eastAsia="en-GB"/>
        </w:rPr>
        <w:t> </w:t>
      </w:r>
      <w:r w:rsidRPr="008725ED">
        <w:rPr>
          <w:rFonts w:cs="Arial"/>
          <w:snapToGrid w:val="0"/>
          <w:lang w:val="fr-FR"/>
        </w:rPr>
        <w:t>TWA a examiné, en même temps que les experts du TWC grâce à une liaison vidéo, le projet d</w:t>
      </w:r>
      <w:r w:rsidR="00EF1779" w:rsidRPr="008725ED">
        <w:rPr>
          <w:rFonts w:cs="Arial"/>
          <w:snapToGrid w:val="0"/>
          <w:lang w:val="fr-FR"/>
        </w:rPr>
        <w:t>’</w:t>
      </w:r>
      <w:r w:rsidRPr="008725ED">
        <w:rPr>
          <w:rFonts w:cs="Arial"/>
          <w:snapToGrid w:val="0"/>
          <w:lang w:val="fr-FR"/>
        </w:rPr>
        <w:t xml:space="preserve">orientations </w:t>
      </w:r>
      <w:r w:rsidRPr="008725ED">
        <w:rPr>
          <w:rFonts w:cs="Arial"/>
          <w:lang w:val="fr-FR"/>
        </w:rPr>
        <w:t xml:space="preserve">aux fins de son </w:t>
      </w:r>
      <w:r w:rsidRPr="008725ED">
        <w:rPr>
          <w:rFonts w:cs="Arial"/>
          <w:snapToGrid w:val="0"/>
          <w:lang w:val="fr-FR"/>
        </w:rPr>
        <w:t xml:space="preserve">inclusion dans une future révision du document TGP/10, </w:t>
      </w:r>
      <w:r w:rsidR="00EF1779" w:rsidRPr="008725ED">
        <w:rPr>
          <w:rFonts w:cs="Arial"/>
          <w:snapToGrid w:val="0"/>
          <w:lang w:val="fr-FR"/>
        </w:rPr>
        <w:t>y compris</w:t>
      </w:r>
      <w:r w:rsidRPr="008725ED">
        <w:rPr>
          <w:rFonts w:cs="Arial"/>
          <w:snapToGrid w:val="0"/>
          <w:lang w:val="fr-FR"/>
        </w:rPr>
        <w:t xml:space="preserve"> la nouvelle “Méthode 3</w:t>
      </w:r>
      <w:r w:rsidR="00EF1779" w:rsidRPr="008725ED">
        <w:rPr>
          <w:rFonts w:cs="Arial"/>
          <w:snapToGrid w:val="0"/>
          <w:lang w:val="fr-FR"/>
        </w:rPr>
        <w:t> :</w:t>
      </w:r>
      <w:r w:rsidRPr="008725ED">
        <w:rPr>
          <w:rFonts w:cs="Arial"/>
          <w:snapToGrid w:val="0"/>
          <w:lang w:val="fr-FR"/>
        </w:rPr>
        <w:t xml:space="preserve"> Combiner les résultats de deux cycles de végétation” propos</w:t>
      </w:r>
      <w:r w:rsidR="00D43219" w:rsidRPr="008725ED">
        <w:rPr>
          <w:rFonts w:cs="Arial"/>
          <w:snapToGrid w:val="0"/>
          <w:lang w:val="fr-FR"/>
        </w:rPr>
        <w:t>ée.  Le</w:t>
      </w:r>
      <w:r w:rsidRPr="008725ED">
        <w:rPr>
          <w:rFonts w:cs="Arial"/>
          <w:snapToGrid w:val="0"/>
          <w:lang w:val="fr-FR"/>
        </w:rPr>
        <w:t> TWA est convenu avec le TWC que les orientations devraient fournir des critères facilitant le choix de la méthode la plus appropriée d</w:t>
      </w:r>
      <w:r w:rsidR="00EF1779" w:rsidRPr="008725ED">
        <w:rPr>
          <w:rFonts w:cs="Arial"/>
          <w:snapToGrid w:val="0"/>
          <w:lang w:val="fr-FR"/>
        </w:rPr>
        <w:t>’</w:t>
      </w:r>
      <w:r w:rsidRPr="008725ED">
        <w:rPr>
          <w:rFonts w:cs="Arial"/>
          <w:snapToGrid w:val="0"/>
          <w:lang w:val="fr-FR"/>
        </w:rPr>
        <w:t>après l</w:t>
      </w:r>
      <w:r w:rsidR="00EF1779" w:rsidRPr="008725ED">
        <w:rPr>
          <w:rFonts w:cs="Arial"/>
          <w:snapToGrid w:val="0"/>
          <w:lang w:val="fr-FR"/>
        </w:rPr>
        <w:t>’</w:t>
      </w:r>
      <w:r w:rsidRPr="008725ED">
        <w:rPr>
          <w:rFonts w:cs="Arial"/>
          <w:snapToGrid w:val="0"/>
          <w:lang w:val="fr-FR"/>
        </w:rPr>
        <w:t>expérience des membr</w:t>
      </w:r>
      <w:r w:rsidR="00D43219" w:rsidRPr="008725ED">
        <w:rPr>
          <w:rFonts w:cs="Arial"/>
          <w:snapToGrid w:val="0"/>
          <w:lang w:val="fr-FR"/>
        </w:rPr>
        <w:t xml:space="preserve">es.  </w:t>
      </w:r>
      <w:r w:rsidR="00D43219" w:rsidRPr="008725ED">
        <w:rPr>
          <w:rFonts w:cs="Arial"/>
          <w:lang w:val="fr-FR"/>
        </w:rPr>
        <w:t>Il</w:t>
      </w:r>
      <w:r w:rsidRPr="008725ED">
        <w:rPr>
          <w:rFonts w:cs="Arial"/>
          <w:lang w:val="fr-FR"/>
        </w:rPr>
        <w:t xml:space="preserve"> a décidé de fournir des exemples comparant les effets possibles de la méthode 3 et d</w:t>
      </w:r>
      <w:r w:rsidR="00EF1779" w:rsidRPr="008725ED">
        <w:rPr>
          <w:rFonts w:cs="Arial"/>
          <w:lang w:val="fr-FR"/>
        </w:rPr>
        <w:t>’</w:t>
      </w:r>
      <w:r w:rsidRPr="008725ED">
        <w:rPr>
          <w:rFonts w:cs="Arial"/>
          <w:lang w:val="fr-FR"/>
        </w:rPr>
        <w:t>autres méthodes sur les décisions relatives à l</w:t>
      </w:r>
      <w:r w:rsidR="00EF1779" w:rsidRPr="008725ED">
        <w:rPr>
          <w:rFonts w:cs="Arial"/>
          <w:lang w:val="fr-FR"/>
        </w:rPr>
        <w:t>’</w:t>
      </w:r>
      <w:r w:rsidRPr="008725ED">
        <w:rPr>
          <w:rFonts w:cs="Arial"/>
          <w:lang w:val="fr-FR"/>
        </w:rPr>
        <w:t>homogénéi</w:t>
      </w:r>
      <w:r w:rsidR="00D43219" w:rsidRPr="008725ED">
        <w:rPr>
          <w:rFonts w:cs="Arial"/>
          <w:lang w:val="fr-FR"/>
        </w:rPr>
        <w:t>té.  Le</w:t>
      </w:r>
      <w:r w:rsidRPr="008725ED">
        <w:rPr>
          <w:rFonts w:cs="Arial"/>
          <w:lang w:val="fr-FR"/>
        </w:rPr>
        <w:t> TWA s</w:t>
      </w:r>
      <w:r w:rsidR="00EF1779" w:rsidRPr="008725ED">
        <w:rPr>
          <w:rFonts w:cs="Arial"/>
          <w:lang w:val="fr-FR"/>
        </w:rPr>
        <w:t>’</w:t>
      </w:r>
      <w:r w:rsidRPr="008725ED">
        <w:rPr>
          <w:rFonts w:cs="Arial"/>
          <w:lang w:val="fr-FR"/>
        </w:rPr>
        <w:t>est félicité des propositions de l</w:t>
      </w:r>
      <w:r w:rsidR="00EF1779" w:rsidRPr="008725ED">
        <w:rPr>
          <w:rFonts w:cs="Arial"/>
          <w:lang w:val="fr-FR"/>
        </w:rPr>
        <w:t>’</w:t>
      </w:r>
      <w:r w:rsidRPr="008725ED">
        <w:rPr>
          <w:rFonts w:cs="Arial"/>
          <w:lang w:val="fr-FR"/>
        </w:rPr>
        <w:t>Allemagne, de la France, des Pays</w:t>
      </w:r>
      <w:r w:rsidR="00EF1779" w:rsidRPr="008725ED">
        <w:rPr>
          <w:rFonts w:cs="Arial"/>
          <w:lang w:val="fr-FR"/>
        </w:rPr>
        <w:t>-</w:t>
      </w:r>
      <w:r w:rsidRPr="008725ED">
        <w:rPr>
          <w:rFonts w:cs="Arial"/>
          <w:lang w:val="fr-FR"/>
        </w:rPr>
        <w:t>Bas, de la Pologne et du Royaume</w:t>
      </w:r>
      <w:r w:rsidR="00EF1779" w:rsidRPr="008725ED">
        <w:rPr>
          <w:rFonts w:cs="Arial"/>
          <w:lang w:val="fr-FR"/>
        </w:rPr>
        <w:t>-</w:t>
      </w:r>
      <w:r w:rsidRPr="008725ED">
        <w:rPr>
          <w:rFonts w:cs="Arial"/>
          <w:lang w:val="fr-FR"/>
        </w:rPr>
        <w:t>Uni de fournir des exemples pour examen à sa quarante</w:t>
      </w:r>
      <w:r w:rsidR="00EF1779" w:rsidRPr="008725ED">
        <w:rPr>
          <w:rFonts w:cs="Arial"/>
          <w:lang w:val="fr-FR"/>
        </w:rPr>
        <w:t>-</w:t>
      </w:r>
      <w:r w:rsidRPr="008725ED">
        <w:rPr>
          <w:rFonts w:cs="Arial"/>
          <w:lang w:val="fr-FR"/>
        </w:rPr>
        <w:t>six</w:t>
      </w:r>
      <w:r w:rsidR="00EF1779" w:rsidRPr="008725ED">
        <w:rPr>
          <w:rFonts w:cs="Arial"/>
          <w:lang w:val="fr-FR"/>
        </w:rPr>
        <w:t>ième session</w:t>
      </w:r>
      <w:r w:rsidRPr="008725ED">
        <w:rPr>
          <w:rFonts w:cs="Arial"/>
          <w:lang w:val="fr-FR"/>
        </w:rPr>
        <w:t>.</w:t>
      </w:r>
    </w:p>
    <w:p w:rsidR="008C3126" w:rsidRPr="008725ED" w:rsidRDefault="008C3126" w:rsidP="0052307B">
      <w:pPr>
        <w:rPr>
          <w:rFonts w:cs="Arial"/>
          <w:lang w:val="fr-FR"/>
        </w:rPr>
      </w:pPr>
    </w:p>
    <w:p w:rsidR="008C3126" w:rsidRPr="008725ED" w:rsidRDefault="0052307B" w:rsidP="0052307B">
      <w:pPr>
        <w:rPr>
          <w:rFonts w:cs="Arial"/>
          <w:snapToGrid w:val="0"/>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Le TWA est convenu avec le TWC qu</w:t>
      </w:r>
      <w:r w:rsidR="00EF1779" w:rsidRPr="008725ED">
        <w:rPr>
          <w:rFonts w:cs="Arial"/>
          <w:lang w:val="fr-FR"/>
        </w:rPr>
        <w:t>’</w:t>
      </w:r>
      <w:r w:rsidRPr="008725ED">
        <w:rPr>
          <w:rFonts w:cs="Arial"/>
          <w:lang w:val="fr-FR"/>
        </w:rPr>
        <w:t>il était important d</w:t>
      </w:r>
      <w:r w:rsidR="00EF1779" w:rsidRPr="008725ED">
        <w:rPr>
          <w:rFonts w:cs="Arial"/>
          <w:lang w:val="fr-FR"/>
        </w:rPr>
        <w:t>’</w:t>
      </w:r>
      <w:r w:rsidRPr="008725ED">
        <w:rPr>
          <w:rFonts w:cs="Arial"/>
          <w:lang w:val="fr-FR"/>
        </w:rPr>
        <w:t>identifier si la variation du nombre de plantes hors</w:t>
      </w:r>
      <w:r w:rsidR="00EF1779" w:rsidRPr="008725ED">
        <w:rPr>
          <w:rFonts w:cs="Arial"/>
          <w:lang w:val="fr-FR"/>
        </w:rPr>
        <w:t>-</w:t>
      </w:r>
      <w:r w:rsidRPr="008725ED">
        <w:rPr>
          <w:rFonts w:cs="Arial"/>
          <w:lang w:val="fr-FR"/>
        </w:rPr>
        <w:t>type entre les cycles s</w:t>
      </w:r>
      <w:r w:rsidR="00EF1779" w:rsidRPr="008725ED">
        <w:rPr>
          <w:rFonts w:cs="Arial"/>
          <w:lang w:val="fr-FR"/>
        </w:rPr>
        <w:t>’</w:t>
      </w:r>
      <w:r w:rsidRPr="008725ED">
        <w:rPr>
          <w:rFonts w:cs="Arial"/>
          <w:lang w:val="fr-FR"/>
        </w:rPr>
        <w:t>expliquait par des conditions biologiques ou des fluctuations d</w:t>
      </w:r>
      <w:r w:rsidR="00EF1779" w:rsidRPr="008725ED">
        <w:rPr>
          <w:rFonts w:cs="Arial"/>
          <w:lang w:val="fr-FR"/>
        </w:rPr>
        <w:t>’</w:t>
      </w:r>
      <w:r w:rsidRPr="008725ED">
        <w:rPr>
          <w:rFonts w:cs="Arial"/>
          <w:lang w:val="fr-FR"/>
        </w:rPr>
        <w:t>échantillonnage et il est convenu que les résultats issus de cycles de végétation fondés sur des lots différents de matériel végétal ne devraient pas être combin</w:t>
      </w:r>
      <w:r w:rsidR="00D43219" w:rsidRPr="008725ED">
        <w:rPr>
          <w:rFonts w:cs="Arial"/>
          <w:lang w:val="fr-FR"/>
        </w:rPr>
        <w:t>és.  Le</w:t>
      </w:r>
      <w:r w:rsidRPr="008725ED">
        <w:rPr>
          <w:rFonts w:cs="Arial"/>
          <w:lang w:val="fr-FR"/>
        </w:rPr>
        <w:t> TWA est convenu avec le TWV que, à l</w:t>
      </w:r>
      <w:r w:rsidR="00EF1779" w:rsidRPr="008725ED">
        <w:rPr>
          <w:rFonts w:cs="Arial"/>
          <w:lang w:val="fr-FR"/>
        </w:rPr>
        <w:t>’</w:t>
      </w:r>
      <w:r w:rsidRPr="008725ED">
        <w:rPr>
          <w:rFonts w:cs="Arial"/>
          <w:lang w:val="fr-FR"/>
        </w:rPr>
        <w:t>occasion de la révision du document TGP/10 “Évaluation de l</w:t>
      </w:r>
      <w:r w:rsidR="00EF1779" w:rsidRPr="008725ED">
        <w:rPr>
          <w:rFonts w:cs="Arial"/>
          <w:lang w:val="fr-FR"/>
        </w:rPr>
        <w:t>’</w:t>
      </w:r>
      <w:r w:rsidRPr="008725ED">
        <w:rPr>
          <w:rFonts w:cs="Arial"/>
          <w:lang w:val="fr-FR"/>
        </w:rPr>
        <w:t>homogénéité d</w:t>
      </w:r>
      <w:r w:rsidR="00EF1779" w:rsidRPr="008725ED">
        <w:rPr>
          <w:rFonts w:cs="Arial"/>
          <w:lang w:val="fr-FR"/>
        </w:rPr>
        <w:t>’</w:t>
      </w:r>
      <w:r w:rsidRPr="008725ED">
        <w:rPr>
          <w:rFonts w:cs="Arial"/>
          <w:lang w:val="fr-FR"/>
        </w:rPr>
        <w:t>après les plantes hors</w:t>
      </w:r>
      <w:r w:rsidR="00EF1779" w:rsidRPr="008725ED">
        <w:rPr>
          <w:rFonts w:cs="Arial"/>
          <w:lang w:val="fr-FR"/>
        </w:rPr>
        <w:t>-</w:t>
      </w:r>
      <w:r w:rsidRPr="008725ED">
        <w:rPr>
          <w:rFonts w:cs="Arial"/>
          <w:lang w:val="fr-FR"/>
        </w:rPr>
        <w:t>type sur la base de plusieurs cycles de végétation ou sur la base de sous</w:t>
      </w:r>
      <w:r w:rsidR="00EF1779" w:rsidRPr="008725ED">
        <w:rPr>
          <w:rFonts w:cs="Arial"/>
          <w:lang w:val="fr-FR"/>
        </w:rPr>
        <w:t>-</w:t>
      </w:r>
      <w:r w:rsidRPr="008725ED">
        <w:rPr>
          <w:rFonts w:cs="Arial"/>
          <w:lang w:val="fr-FR"/>
        </w:rPr>
        <w:t>échantillons”, il serait utile de réexaminer les orientations fournies dans le document TGP/8/2, deuxième partie, section 8 “La méthode d</w:t>
      </w:r>
      <w:r w:rsidR="00EF1779" w:rsidRPr="008725ED">
        <w:rPr>
          <w:rFonts w:cs="Arial"/>
          <w:lang w:val="fr-FR"/>
        </w:rPr>
        <w:t>’</w:t>
      </w:r>
      <w:r w:rsidRPr="008725ED">
        <w:rPr>
          <w:rFonts w:cs="Arial"/>
          <w:lang w:val="fr-FR"/>
        </w:rPr>
        <w:t>évaluation de l</w:t>
      </w:r>
      <w:r w:rsidR="00EF1779" w:rsidRPr="008725ED">
        <w:rPr>
          <w:rFonts w:cs="Arial"/>
          <w:lang w:val="fr-FR"/>
        </w:rPr>
        <w:t>’</w:t>
      </w:r>
      <w:r w:rsidRPr="008725ED">
        <w:rPr>
          <w:rFonts w:cs="Arial"/>
          <w:lang w:val="fr-FR"/>
        </w:rPr>
        <w:t>homogénéité fondée sur les hors</w:t>
      </w:r>
      <w:r w:rsidR="00EF1779" w:rsidRPr="008725ED">
        <w:rPr>
          <w:rFonts w:cs="Arial"/>
          <w:lang w:val="fr-FR"/>
        </w:rPr>
        <w:t>-</w:t>
      </w:r>
      <w:r w:rsidRPr="008725ED">
        <w:rPr>
          <w:rFonts w:cs="Arial"/>
          <w:lang w:val="fr-FR"/>
        </w:rPr>
        <w:t>types”, section 8.1.7 “Méthode au</w:t>
      </w:r>
      <w:r w:rsidR="00EF1779" w:rsidRPr="008725ED">
        <w:rPr>
          <w:rFonts w:cs="Arial"/>
          <w:lang w:val="fr-FR"/>
        </w:rPr>
        <w:t>-</w:t>
      </w:r>
      <w:r w:rsidRPr="008725ED">
        <w:rPr>
          <w:rFonts w:cs="Arial"/>
          <w:lang w:val="fr-FR"/>
        </w:rPr>
        <w:t>delà d</w:t>
      </w:r>
      <w:r w:rsidR="00EF1779" w:rsidRPr="008725ED">
        <w:rPr>
          <w:rFonts w:cs="Arial"/>
          <w:lang w:val="fr-FR"/>
        </w:rPr>
        <w:t>’</w:t>
      </w:r>
      <w:r w:rsidRPr="008725ED">
        <w:rPr>
          <w:rFonts w:cs="Arial"/>
          <w:lang w:val="fr-FR"/>
        </w:rPr>
        <w:t>un essai unique (année)”, car elles ne reflétaient pas la pratique des membres de l</w:t>
      </w:r>
      <w:r w:rsidR="00EF1779" w:rsidRPr="008725ED">
        <w:rPr>
          <w:rFonts w:cs="Arial"/>
          <w:lang w:val="fr-FR"/>
        </w:rPr>
        <w:t>’</w:t>
      </w:r>
      <w:r w:rsidRPr="008725ED">
        <w:rPr>
          <w:rFonts w:cs="Arial"/>
          <w:lang w:val="fr-FR"/>
        </w:rPr>
        <w:t>Union.</w:t>
      </w:r>
    </w:p>
    <w:p w:rsidR="008C3126" w:rsidRPr="008725ED" w:rsidRDefault="008C3126" w:rsidP="0052307B">
      <w:pPr>
        <w:rPr>
          <w:rFonts w:cs="Arial"/>
          <w:snapToGrid w:val="0"/>
          <w:lang w:val="fr-FR"/>
        </w:rPr>
      </w:pPr>
    </w:p>
    <w:p w:rsidR="008C3126" w:rsidRPr="008725ED" w:rsidRDefault="0052307B" w:rsidP="0052307B">
      <w:pPr>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 xml:space="preserve">En ce qui concerne les questions relatives aux descriptions variétales, </w:t>
      </w:r>
      <w:r w:rsidRPr="008725ED">
        <w:rPr>
          <w:rFonts w:cs="Arial"/>
          <w:snapToGrid w:val="0"/>
          <w:lang w:val="fr-FR" w:eastAsia="ja-JP"/>
        </w:rPr>
        <w:t>le</w:t>
      </w:r>
      <w:r w:rsidRPr="008725ED">
        <w:rPr>
          <w:rFonts w:cs="Arial"/>
          <w:lang w:val="fr-FR"/>
        </w:rPr>
        <w:t> </w:t>
      </w:r>
      <w:r w:rsidRPr="008725ED">
        <w:rPr>
          <w:rFonts w:cs="Arial"/>
          <w:snapToGrid w:val="0"/>
          <w:lang w:val="fr-FR" w:eastAsia="ja-JP"/>
        </w:rPr>
        <w:t>TWA est convenu que la</w:t>
      </w:r>
      <w:r w:rsidRPr="008725ED">
        <w:rPr>
          <w:rFonts w:cs="Arial"/>
          <w:lang w:val="fr-FR"/>
        </w:rPr>
        <w:t xml:space="preserve"> description d</w:t>
      </w:r>
      <w:r w:rsidR="00EF1779" w:rsidRPr="008725ED">
        <w:rPr>
          <w:rFonts w:cs="Arial"/>
          <w:lang w:val="fr-FR"/>
        </w:rPr>
        <w:t>’</w:t>
      </w:r>
      <w:r w:rsidRPr="008725ED">
        <w:rPr>
          <w:rFonts w:cs="Arial"/>
          <w:lang w:val="fr-FR"/>
        </w:rPr>
        <w:t>une variété comporte des limites inhérentes à son lien avec les circonstances de l</w:t>
      </w:r>
      <w:r w:rsidR="00EF1779" w:rsidRPr="008725ED">
        <w:rPr>
          <w:rFonts w:cs="Arial"/>
          <w:lang w:val="fr-FR"/>
        </w:rPr>
        <w:t>’</w:t>
      </w:r>
      <w:r w:rsidRPr="008725ED">
        <w:rPr>
          <w:rFonts w:cs="Arial"/>
          <w:lang w:val="fr-FR"/>
        </w:rPr>
        <w:t>examen DHS mais qu</w:t>
      </w:r>
      <w:r w:rsidR="00EF1779" w:rsidRPr="008725ED">
        <w:rPr>
          <w:rFonts w:cs="Arial"/>
          <w:lang w:val="fr-FR"/>
        </w:rPr>
        <w:t>’</w:t>
      </w:r>
      <w:r w:rsidRPr="008725ED">
        <w:rPr>
          <w:rFonts w:cs="Arial"/>
          <w:lang w:val="fr-FR"/>
        </w:rPr>
        <w:t>elle était un élément important du système de protection des obtentions végétales.  L</w:t>
      </w:r>
      <w:r w:rsidR="00EF1779" w:rsidRPr="008725ED">
        <w:rPr>
          <w:rFonts w:cs="Arial"/>
          <w:lang w:val="fr-FR"/>
        </w:rPr>
        <w:t>’</w:t>
      </w:r>
      <w:r w:rsidRPr="008725ED">
        <w:rPr>
          <w:rFonts w:cs="Arial"/>
          <w:lang w:val="fr-FR"/>
        </w:rPr>
        <w:t>Australie, l</w:t>
      </w:r>
      <w:r w:rsidR="00EF1779" w:rsidRPr="008725ED">
        <w:rPr>
          <w:rFonts w:cs="Arial"/>
          <w:lang w:val="fr-FR"/>
        </w:rPr>
        <w:t>’</w:t>
      </w:r>
      <w:r w:rsidRPr="008725ED">
        <w:rPr>
          <w:rFonts w:cs="Arial"/>
          <w:lang w:val="fr-FR"/>
        </w:rPr>
        <w:t>Union européenne et l</w:t>
      </w:r>
      <w:r w:rsidR="00EF1779" w:rsidRPr="008725ED">
        <w:rPr>
          <w:rFonts w:cs="Arial"/>
          <w:lang w:val="fr-FR"/>
        </w:rPr>
        <w:t>’</w:t>
      </w:r>
      <w:r w:rsidRPr="008725ED">
        <w:rPr>
          <w:rFonts w:cs="Arial"/>
          <w:lang w:val="fr-FR"/>
        </w:rPr>
        <w:t>Allemagne ont partagé leurs données d</w:t>
      </w:r>
      <w:r w:rsidR="00EF1779" w:rsidRPr="008725ED">
        <w:rPr>
          <w:rFonts w:cs="Arial"/>
          <w:lang w:val="fr-FR"/>
        </w:rPr>
        <w:t>’</w:t>
      </w:r>
      <w:r w:rsidRPr="008725ED">
        <w:rPr>
          <w:rFonts w:cs="Arial"/>
          <w:lang w:val="fr-FR"/>
        </w:rPr>
        <w:t>expérience sur les questions relatives aux descriptions variétales dans le cadre d</w:t>
      </w:r>
      <w:r w:rsidR="00EF1779" w:rsidRPr="008725ED">
        <w:rPr>
          <w:rFonts w:cs="Arial"/>
          <w:lang w:val="fr-FR"/>
        </w:rPr>
        <w:t>’</w:t>
      </w:r>
      <w:r w:rsidRPr="008725ED">
        <w:rPr>
          <w:rFonts w:cs="Arial"/>
          <w:lang w:val="fr-FR"/>
        </w:rPr>
        <w:t>exposés individuels.</w:t>
      </w:r>
    </w:p>
    <w:p w:rsidR="008C3126" w:rsidRPr="008725ED" w:rsidRDefault="008C3126" w:rsidP="0052307B">
      <w:pPr>
        <w:ind w:right="-58"/>
        <w:rPr>
          <w:rFonts w:cs="Arial"/>
          <w:lang w:val="fr-FR"/>
        </w:rPr>
      </w:pPr>
    </w:p>
    <w:p w:rsidR="008C3126" w:rsidRPr="008725ED" w:rsidRDefault="0052307B" w:rsidP="0052307B">
      <w:pPr>
        <w:ind w:right="-58"/>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 xml:space="preserve">En ce qui concerne le nombre de cycles de végétation, </w:t>
      </w:r>
      <w:r w:rsidRPr="008725ED">
        <w:rPr>
          <w:rFonts w:cs="Arial"/>
          <w:snapToGrid w:val="0"/>
          <w:lang w:val="fr-FR" w:eastAsia="ja-JP"/>
        </w:rPr>
        <w:t>le</w:t>
      </w:r>
      <w:r w:rsidRPr="008725ED">
        <w:rPr>
          <w:rFonts w:cs="Arial"/>
          <w:lang w:val="fr-FR"/>
        </w:rPr>
        <w:t> </w:t>
      </w:r>
      <w:r w:rsidRPr="008725ED">
        <w:rPr>
          <w:rFonts w:cs="Arial"/>
          <w:snapToGrid w:val="0"/>
          <w:lang w:val="fr-FR" w:eastAsia="ja-JP"/>
        </w:rPr>
        <w:t>TWA</w:t>
      </w:r>
      <w:r w:rsidRPr="008725ED">
        <w:rPr>
          <w:rFonts w:cs="Arial"/>
          <w:lang w:val="fr-FR"/>
        </w:rPr>
        <w:t xml:space="preserve"> a suivi un exposé présenté</w:t>
      </w:r>
      <w:r w:rsidRPr="008725ED">
        <w:rPr>
          <w:rFonts w:cs="Arial"/>
          <w:lang w:val="fr-FR" w:eastAsia="en-GB"/>
        </w:rPr>
        <w:t xml:space="preserve"> par un expert des Pays</w:t>
      </w:r>
      <w:r w:rsidR="00EF1779" w:rsidRPr="008725ED">
        <w:rPr>
          <w:rFonts w:cs="Arial"/>
          <w:lang w:val="fr-FR" w:eastAsia="en-GB"/>
        </w:rPr>
        <w:t>-</w:t>
      </w:r>
      <w:r w:rsidRPr="008725ED">
        <w:rPr>
          <w:rFonts w:cs="Arial"/>
          <w:lang w:val="fr-FR" w:eastAsia="en-GB"/>
        </w:rPr>
        <w:t xml:space="preserve">Bas et il a favorablement accueilli </w:t>
      </w:r>
      <w:r w:rsidRPr="008725ED">
        <w:rPr>
          <w:rFonts w:cs="Arial"/>
          <w:lang w:val="fr-FR"/>
        </w:rPr>
        <w:t>les propositions de l</w:t>
      </w:r>
      <w:r w:rsidR="00EF1779" w:rsidRPr="008725ED">
        <w:rPr>
          <w:rFonts w:cs="Arial"/>
          <w:lang w:val="fr-FR"/>
        </w:rPr>
        <w:t>’</w:t>
      </w:r>
      <w:r w:rsidRPr="008725ED">
        <w:rPr>
          <w:rFonts w:cs="Arial"/>
          <w:lang w:val="fr-FR"/>
        </w:rPr>
        <w:t xml:space="preserve">Allemagne, de la France, des </w:t>
      </w:r>
      <w:r w:rsidRPr="008725ED">
        <w:rPr>
          <w:rFonts w:cs="Arial"/>
          <w:lang w:val="fr-FR" w:eastAsia="en-GB"/>
        </w:rPr>
        <w:t>Pays</w:t>
      </w:r>
      <w:r w:rsidR="00EF1779" w:rsidRPr="008725ED">
        <w:rPr>
          <w:rFonts w:cs="Arial"/>
          <w:lang w:val="fr-FR" w:eastAsia="en-GB"/>
        </w:rPr>
        <w:t>-</w:t>
      </w:r>
      <w:r w:rsidRPr="008725ED">
        <w:rPr>
          <w:rFonts w:cs="Arial"/>
          <w:lang w:val="fr-FR" w:eastAsia="en-GB"/>
        </w:rPr>
        <w:t>Bas</w:t>
      </w:r>
      <w:r w:rsidRPr="008725ED">
        <w:rPr>
          <w:rFonts w:cs="Arial"/>
          <w:lang w:val="fr-FR"/>
        </w:rPr>
        <w:t>, de la Pologne et du Royaume</w:t>
      </w:r>
      <w:r w:rsidR="00EF1779" w:rsidRPr="008725ED">
        <w:rPr>
          <w:rFonts w:cs="Arial"/>
          <w:lang w:val="fr-FR"/>
        </w:rPr>
        <w:t>-</w:t>
      </w:r>
      <w:r w:rsidRPr="008725ED">
        <w:rPr>
          <w:rFonts w:cs="Arial"/>
          <w:lang w:val="fr-FR"/>
        </w:rPr>
        <w:t>Uni de simuler l</w:t>
      </w:r>
      <w:r w:rsidR="00EF1779" w:rsidRPr="008725ED">
        <w:rPr>
          <w:rFonts w:cs="Arial"/>
          <w:lang w:val="fr-FR"/>
        </w:rPr>
        <w:t>’</w:t>
      </w:r>
      <w:r w:rsidRPr="008725ED">
        <w:rPr>
          <w:rFonts w:cs="Arial"/>
          <w:lang w:val="fr-FR"/>
        </w:rPr>
        <w:t>impact du recours à différents nombres de cycles de végétation sur les décisions DHS et sur la qualité des descriptions variétales sur la base de données réelles et de rendre compte de leurs résultats à la quarante</w:t>
      </w:r>
      <w:r w:rsidR="00EF1779" w:rsidRPr="008725ED">
        <w:rPr>
          <w:rFonts w:cs="Arial"/>
          <w:lang w:val="fr-FR"/>
        </w:rPr>
        <w:t>-</w:t>
      </w:r>
      <w:r w:rsidRPr="008725ED">
        <w:rPr>
          <w:rFonts w:cs="Arial"/>
          <w:lang w:val="fr-FR"/>
        </w:rPr>
        <w:t>six</w:t>
      </w:r>
      <w:r w:rsidR="00EF1779" w:rsidRPr="008725ED">
        <w:rPr>
          <w:rFonts w:cs="Arial"/>
          <w:lang w:val="fr-FR"/>
        </w:rPr>
        <w:t>ième session</w:t>
      </w:r>
      <w:r w:rsidRPr="008725ED">
        <w:rPr>
          <w:rFonts w:cs="Arial"/>
          <w:lang w:val="fr-FR"/>
        </w:rPr>
        <w:t xml:space="preserve"> du TWA.</w:t>
      </w:r>
    </w:p>
    <w:p w:rsidR="008C3126" w:rsidRPr="008725ED" w:rsidRDefault="008C3126" w:rsidP="0052307B">
      <w:pPr>
        <w:ind w:right="-58"/>
        <w:rPr>
          <w:rFonts w:cs="Arial"/>
          <w:lang w:val="fr-FR"/>
        </w:rPr>
      </w:pPr>
    </w:p>
    <w:p w:rsidR="008C3126" w:rsidRPr="008725ED" w:rsidRDefault="0052307B" w:rsidP="0052307B">
      <w:pPr>
        <w:contextualSpacing/>
        <w:rPr>
          <w:rFonts w:cs="Arial"/>
          <w:lang w:val="fr-FR"/>
        </w:rPr>
      </w:pPr>
      <w:r w:rsidRPr="008725ED">
        <w:rPr>
          <w:rFonts w:cs="Arial"/>
          <w:lang w:val="fr-FR" w:eastAsia="en-GB"/>
        </w:rPr>
        <w:fldChar w:fldCharType="begin"/>
      </w:r>
      <w:r w:rsidRPr="008725ED">
        <w:rPr>
          <w:rFonts w:cs="Arial"/>
          <w:lang w:val="fr-FR" w:eastAsia="en-GB"/>
        </w:rPr>
        <w:instrText xml:space="preserve"> AUTONUM  </w:instrText>
      </w:r>
      <w:r w:rsidRPr="008725ED">
        <w:rPr>
          <w:rFonts w:cs="Arial"/>
          <w:lang w:val="fr-FR" w:eastAsia="en-GB"/>
        </w:rPr>
        <w:fldChar w:fldCharType="end"/>
      </w:r>
      <w:r w:rsidRPr="008725ED">
        <w:rPr>
          <w:rFonts w:cs="Arial"/>
          <w:lang w:val="fr-FR" w:eastAsia="en-GB"/>
        </w:rPr>
        <w:tab/>
        <w:t xml:space="preserve">Le TWA a </w:t>
      </w:r>
      <w:r w:rsidRPr="008725ED">
        <w:rPr>
          <w:rFonts w:cs="Arial"/>
          <w:lang w:val="fr-FR"/>
        </w:rPr>
        <w:t xml:space="preserve">suivi un exposé intitulé </w:t>
      </w:r>
      <w:r w:rsidRPr="008725ED">
        <w:rPr>
          <w:rFonts w:cs="Arial"/>
          <w:lang w:val="fr-FR" w:eastAsia="en-GB"/>
        </w:rPr>
        <w:t>“</w:t>
      </w:r>
      <w:r w:rsidRPr="008725ED">
        <w:rPr>
          <w:rFonts w:cs="Arial"/>
          <w:lang w:val="fr-FR"/>
        </w:rPr>
        <w:t>Analyse d</w:t>
      </w:r>
      <w:r w:rsidR="00EF1779" w:rsidRPr="008725ED">
        <w:rPr>
          <w:rFonts w:cs="Arial"/>
          <w:lang w:val="fr-FR"/>
        </w:rPr>
        <w:t>’</w:t>
      </w:r>
      <w:r w:rsidRPr="008725ED">
        <w:rPr>
          <w:rFonts w:cs="Arial"/>
          <w:lang w:val="fr-FR"/>
        </w:rPr>
        <w:t xml:space="preserve">impact des endophytes sur le phénotype des variétés de </w:t>
      </w:r>
      <w:r w:rsidRPr="008725ED">
        <w:rPr>
          <w:rFonts w:cs="Arial"/>
          <w:i/>
          <w:lang w:val="fr-FR"/>
        </w:rPr>
        <w:t>Lolium perenne</w:t>
      </w:r>
      <w:r w:rsidRPr="008725ED">
        <w:rPr>
          <w:rFonts w:cs="Arial"/>
          <w:lang w:val="fr-FR"/>
        </w:rPr>
        <w:t xml:space="preserve"> et </w:t>
      </w:r>
      <w:r w:rsidRPr="008725ED">
        <w:rPr>
          <w:rFonts w:cs="Arial"/>
          <w:i/>
          <w:lang w:val="fr-FR"/>
        </w:rPr>
        <w:t>Festuca arundinacea</w:t>
      </w:r>
      <w:r w:rsidRPr="008725ED">
        <w:rPr>
          <w:rFonts w:cs="Arial"/>
          <w:lang w:val="fr-FR"/>
        </w:rPr>
        <w:t>” présenté</w:t>
      </w:r>
      <w:r w:rsidRPr="008725ED">
        <w:rPr>
          <w:rFonts w:cs="Arial"/>
          <w:lang w:val="fr-FR" w:eastAsia="en-GB"/>
        </w:rPr>
        <w:t xml:space="preserve"> par expert </w:t>
      </w:r>
      <w:r w:rsidRPr="008725ED">
        <w:rPr>
          <w:rFonts w:cs="Arial"/>
          <w:lang w:val="fr-FR"/>
        </w:rPr>
        <w:t>de l</w:t>
      </w:r>
      <w:r w:rsidR="00EF1779" w:rsidRPr="008725ED">
        <w:rPr>
          <w:rFonts w:cs="Arial"/>
          <w:lang w:val="fr-FR"/>
        </w:rPr>
        <w:t>’</w:t>
      </w:r>
      <w:r w:rsidRPr="008725ED">
        <w:rPr>
          <w:rFonts w:cs="Arial"/>
          <w:lang w:val="fr-FR"/>
        </w:rPr>
        <w:t>Office communautaire des variétés végétales (OCVV</w:t>
      </w:r>
      <w:r w:rsidRPr="008725ED">
        <w:rPr>
          <w:rFonts w:eastAsiaTheme="minorEastAsia" w:cs="Arial"/>
          <w:lang w:val="fr-FR" w:eastAsia="ja-JP"/>
        </w:rPr>
        <w:t>).  Le TWA a noté qu</w:t>
      </w:r>
      <w:r w:rsidR="00EF1779" w:rsidRPr="008725ED">
        <w:rPr>
          <w:rFonts w:eastAsiaTheme="minorEastAsia" w:cs="Arial"/>
          <w:lang w:val="fr-FR" w:eastAsia="ja-JP"/>
        </w:rPr>
        <w:t>’</w:t>
      </w:r>
      <w:r w:rsidRPr="008725ED">
        <w:rPr>
          <w:rFonts w:eastAsiaTheme="minorEastAsia" w:cs="Arial"/>
          <w:lang w:val="fr-FR" w:eastAsia="ja-JP"/>
        </w:rPr>
        <w:t>il n</w:t>
      </w:r>
      <w:r w:rsidR="00EF1779" w:rsidRPr="008725ED">
        <w:rPr>
          <w:rFonts w:eastAsiaTheme="minorEastAsia" w:cs="Arial"/>
          <w:lang w:val="fr-FR" w:eastAsia="ja-JP"/>
        </w:rPr>
        <w:t>’</w:t>
      </w:r>
      <w:r w:rsidRPr="008725ED">
        <w:rPr>
          <w:rFonts w:eastAsiaTheme="minorEastAsia" w:cs="Arial"/>
          <w:lang w:val="fr-FR" w:eastAsia="ja-JP"/>
        </w:rPr>
        <w:t>y avait pas eu d</w:t>
      </w:r>
      <w:r w:rsidR="00EF1779" w:rsidRPr="008725ED">
        <w:rPr>
          <w:rFonts w:eastAsiaTheme="minorEastAsia" w:cs="Arial"/>
          <w:lang w:val="fr-FR" w:eastAsia="ja-JP"/>
        </w:rPr>
        <w:t>’</w:t>
      </w:r>
      <w:r w:rsidRPr="008725ED">
        <w:rPr>
          <w:rFonts w:eastAsiaTheme="minorEastAsia" w:cs="Arial"/>
          <w:lang w:val="fr-FR" w:eastAsia="ja-JP"/>
        </w:rPr>
        <w:t>interaction entre les endophytes examinés et l</w:t>
      </w:r>
      <w:r w:rsidR="00EF1779" w:rsidRPr="008725ED">
        <w:rPr>
          <w:rFonts w:eastAsiaTheme="minorEastAsia" w:cs="Arial"/>
          <w:lang w:val="fr-FR" w:eastAsia="ja-JP"/>
        </w:rPr>
        <w:t>’</w:t>
      </w:r>
      <w:r w:rsidRPr="008725ED">
        <w:rPr>
          <w:rFonts w:eastAsiaTheme="minorEastAsia" w:cs="Arial"/>
          <w:lang w:val="fr-FR" w:eastAsia="ja-JP"/>
        </w:rPr>
        <w:t>expression des caractères DHS des plantes examiné</w:t>
      </w:r>
      <w:r w:rsidR="00D43219" w:rsidRPr="008725ED">
        <w:rPr>
          <w:rFonts w:eastAsiaTheme="minorEastAsia" w:cs="Arial"/>
          <w:lang w:val="fr-FR" w:eastAsia="ja-JP"/>
        </w:rPr>
        <w:t xml:space="preserve">es.  </w:t>
      </w:r>
      <w:r w:rsidR="00D43219" w:rsidRPr="008725ED">
        <w:rPr>
          <w:rFonts w:cs="Arial"/>
          <w:lang w:val="fr-FR"/>
        </w:rPr>
        <w:t>Le</w:t>
      </w:r>
      <w:r w:rsidRPr="008725ED">
        <w:rPr>
          <w:rFonts w:cs="Arial"/>
          <w:lang w:val="fr-FR"/>
        </w:rPr>
        <w:t> TWA est convenu qu</w:t>
      </w:r>
      <w:r w:rsidR="00EF1779" w:rsidRPr="008725ED">
        <w:rPr>
          <w:rFonts w:cs="Arial"/>
          <w:lang w:val="fr-FR"/>
        </w:rPr>
        <w:t>’</w:t>
      </w:r>
      <w:r w:rsidRPr="008725ED">
        <w:rPr>
          <w:rFonts w:cs="Arial"/>
          <w:lang w:val="fr-FR"/>
        </w:rPr>
        <w:t>il ne serait pas possible de formuler une recommandation générale en ce qui concerne l</w:t>
      </w:r>
      <w:r w:rsidR="00EF1779" w:rsidRPr="008725ED">
        <w:rPr>
          <w:rFonts w:cs="Arial"/>
          <w:lang w:val="fr-FR"/>
        </w:rPr>
        <w:t>’</w:t>
      </w:r>
      <w:r w:rsidRPr="008725ED">
        <w:rPr>
          <w:rFonts w:cs="Arial"/>
          <w:lang w:val="fr-FR"/>
        </w:rPr>
        <w:t>effet des endophytes sur les caractères DHS en raison d</w:t>
      </w:r>
      <w:r w:rsidR="00EF1779" w:rsidRPr="008725ED">
        <w:rPr>
          <w:rFonts w:cs="Arial"/>
          <w:lang w:val="fr-FR"/>
        </w:rPr>
        <w:t>’</w:t>
      </w:r>
      <w:r w:rsidRPr="008725ED">
        <w:rPr>
          <w:rFonts w:cs="Arial"/>
          <w:lang w:val="fr-FR"/>
        </w:rPr>
        <w:t>une interaction positive possible entre d</w:t>
      </w:r>
      <w:r w:rsidR="00EF1779" w:rsidRPr="008725ED">
        <w:rPr>
          <w:rFonts w:cs="Arial"/>
          <w:lang w:val="fr-FR"/>
        </w:rPr>
        <w:t>’</w:t>
      </w:r>
      <w:r w:rsidRPr="008725ED">
        <w:rPr>
          <w:rFonts w:cs="Arial"/>
          <w:lang w:val="fr-FR"/>
        </w:rPr>
        <w:t>autres endophytes et l</w:t>
      </w:r>
      <w:r w:rsidR="00EF1779" w:rsidRPr="008725ED">
        <w:rPr>
          <w:rFonts w:cs="Arial"/>
          <w:lang w:val="fr-FR"/>
        </w:rPr>
        <w:t>’</w:t>
      </w:r>
      <w:r w:rsidRPr="008725ED">
        <w:rPr>
          <w:rFonts w:cs="Arial"/>
          <w:lang w:val="fr-FR"/>
        </w:rPr>
        <w:t xml:space="preserve">expression des caractères </w:t>
      </w:r>
      <w:r w:rsidR="00D43219" w:rsidRPr="008725ED">
        <w:rPr>
          <w:rFonts w:cs="Arial"/>
          <w:lang w:val="fr-FR"/>
        </w:rPr>
        <w:t>DHS.  Le</w:t>
      </w:r>
      <w:r w:rsidRPr="008725ED">
        <w:rPr>
          <w:rFonts w:cs="Arial"/>
          <w:lang w:val="fr-FR"/>
        </w:rPr>
        <w:t> TWA a noté que la Nouvelle</w:t>
      </w:r>
      <w:r w:rsidR="00EF1779" w:rsidRPr="008725ED">
        <w:rPr>
          <w:rFonts w:cs="Arial"/>
          <w:lang w:val="fr-FR"/>
        </w:rPr>
        <w:t>-</w:t>
      </w:r>
      <w:r w:rsidRPr="008725ED">
        <w:rPr>
          <w:rFonts w:cs="Arial"/>
          <w:lang w:val="fr-FR"/>
        </w:rPr>
        <w:t>Zélande examinerait l</w:t>
      </w:r>
      <w:r w:rsidR="00EF1779" w:rsidRPr="008725ED">
        <w:rPr>
          <w:rFonts w:cs="Arial"/>
          <w:lang w:val="fr-FR"/>
        </w:rPr>
        <w:t>’</w:t>
      </w:r>
      <w:r w:rsidRPr="008725ED">
        <w:rPr>
          <w:rFonts w:cs="Arial"/>
          <w:lang w:val="fr-FR"/>
        </w:rPr>
        <w:t>exigence relative à la fourniture de matériel végétal sans endophytes pour l</w:t>
      </w:r>
      <w:r w:rsidR="00EF1779" w:rsidRPr="008725ED">
        <w:rPr>
          <w:rFonts w:cs="Arial"/>
          <w:lang w:val="fr-FR"/>
        </w:rPr>
        <w:t>’</w:t>
      </w:r>
      <w:r w:rsidRPr="008725ED">
        <w:rPr>
          <w:rFonts w:cs="Arial"/>
          <w:lang w:val="fr-FR"/>
        </w:rPr>
        <w:t>examen DHS et a accueilli avec satisfaction sa proposition concernant la présentation des résultats des travaux à cet égard au TWA à sa session de 2017.</w:t>
      </w:r>
    </w:p>
    <w:p w:rsidR="008C3126" w:rsidRPr="008725ED" w:rsidRDefault="008C3126" w:rsidP="0052307B">
      <w:pPr>
        <w:contextualSpacing/>
        <w:rPr>
          <w:rFonts w:cs="Arial"/>
          <w:lang w:val="fr-FR"/>
        </w:rPr>
      </w:pPr>
    </w:p>
    <w:p w:rsidR="008C3126" w:rsidRPr="008725ED" w:rsidRDefault="0052307B" w:rsidP="0052307B">
      <w:pPr>
        <w:contextualSpacing/>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r>
      <w:r w:rsidRPr="008725ED">
        <w:rPr>
          <w:rFonts w:cs="Arial"/>
          <w:lang w:val="fr-FR" w:eastAsia="en-GB"/>
        </w:rPr>
        <w:t xml:space="preserve">Le </w:t>
      </w:r>
      <w:r w:rsidRPr="008725ED">
        <w:rPr>
          <w:rFonts w:cs="Arial"/>
          <w:lang w:val="fr-FR"/>
        </w:rPr>
        <w:t>TWA a examiné les projets de principes directeurs d</w:t>
      </w:r>
      <w:r w:rsidR="00EF1779" w:rsidRPr="008725ED">
        <w:rPr>
          <w:rFonts w:cs="Arial"/>
          <w:lang w:val="fr-FR"/>
        </w:rPr>
        <w:t>’</w:t>
      </w:r>
      <w:r w:rsidRPr="008725ED">
        <w:rPr>
          <w:rFonts w:cs="Arial"/>
          <w:lang w:val="fr-FR"/>
        </w:rPr>
        <w:t>examen suivants</w:t>
      </w:r>
      <w:r w:rsidR="00EF1779" w:rsidRPr="008725ED">
        <w:rPr>
          <w:rFonts w:cs="Arial"/>
          <w:lang w:val="fr-FR"/>
        </w:rPr>
        <w:t> :</w:t>
      </w:r>
      <w:r w:rsidRPr="008725ED">
        <w:rPr>
          <w:rFonts w:cs="Arial"/>
          <w:lang w:val="fr-FR"/>
        </w:rPr>
        <w:t xml:space="preserve"> manioc, urochloa, orge, ricin, coton, chiendent, haricot, avoine, quinoa, trèfle violet, phacélie à feuilles de tanaisie, soja et b</w:t>
      </w:r>
      <w:r w:rsidR="00D43219" w:rsidRPr="008725ED">
        <w:rPr>
          <w:rFonts w:cs="Arial"/>
          <w:lang w:val="fr-FR"/>
        </w:rPr>
        <w:t>lé.  Le</w:t>
      </w:r>
      <w:r w:rsidRPr="008725ED">
        <w:rPr>
          <w:rFonts w:cs="Arial"/>
          <w:lang w:val="fr-FR"/>
        </w:rPr>
        <w:t> TWA est convenu que les projets de principes directeurs d</w:t>
      </w:r>
      <w:r w:rsidR="00EF1779" w:rsidRPr="008725ED">
        <w:rPr>
          <w:rFonts w:cs="Arial"/>
          <w:lang w:val="fr-FR"/>
        </w:rPr>
        <w:t>’</w:t>
      </w:r>
      <w:r w:rsidRPr="008725ED">
        <w:rPr>
          <w:rFonts w:cs="Arial"/>
          <w:lang w:val="fr-FR"/>
        </w:rPr>
        <w:t xml:space="preserve">examen pour le </w:t>
      </w:r>
      <w:r w:rsidRPr="008725ED">
        <w:rPr>
          <w:rFonts w:cs="Arial"/>
          <w:snapToGrid w:val="0"/>
          <w:lang w:val="fr-FR"/>
        </w:rPr>
        <w:t xml:space="preserve">blé, le </w:t>
      </w:r>
      <w:r w:rsidRPr="008725ED">
        <w:rPr>
          <w:rFonts w:cs="Arial"/>
          <w:lang w:val="fr-FR"/>
        </w:rPr>
        <w:t>manioc</w:t>
      </w:r>
      <w:r w:rsidRPr="008725ED">
        <w:rPr>
          <w:rFonts w:cs="Arial"/>
          <w:snapToGrid w:val="0"/>
          <w:lang w:val="fr-FR"/>
        </w:rPr>
        <w:t xml:space="preserve">, la </w:t>
      </w:r>
      <w:r w:rsidRPr="008725ED">
        <w:rPr>
          <w:rFonts w:cs="Arial"/>
          <w:lang w:val="fr-FR"/>
        </w:rPr>
        <w:t>phacélie à feuilles de tanaisie</w:t>
      </w:r>
      <w:r w:rsidRPr="008725ED">
        <w:rPr>
          <w:rFonts w:cs="Arial"/>
          <w:snapToGrid w:val="0"/>
          <w:lang w:val="fr-FR"/>
        </w:rPr>
        <w:t xml:space="preserve"> et l</w:t>
      </w:r>
      <w:r w:rsidR="00EF1779" w:rsidRPr="008725ED">
        <w:rPr>
          <w:rFonts w:cs="Arial"/>
          <w:snapToGrid w:val="0"/>
          <w:lang w:val="fr-FR"/>
        </w:rPr>
        <w:t>’</w:t>
      </w:r>
      <w:r w:rsidRPr="008725ED">
        <w:rPr>
          <w:rFonts w:cs="Arial"/>
          <w:lang w:val="fr-FR"/>
        </w:rPr>
        <w:t>urochloa</w:t>
      </w:r>
      <w:r w:rsidRPr="008725ED">
        <w:rPr>
          <w:rFonts w:cs="Arial"/>
          <w:snapToGrid w:val="0"/>
          <w:lang w:val="fr-FR"/>
        </w:rPr>
        <w:t xml:space="preserve"> </w:t>
      </w:r>
      <w:r w:rsidRPr="008725ED">
        <w:rPr>
          <w:rFonts w:cs="Arial"/>
          <w:lang w:val="fr-FR"/>
        </w:rPr>
        <w:t>devraient être soumises au</w:t>
      </w:r>
      <w:r w:rsidR="00EF1779" w:rsidRPr="008725ED">
        <w:rPr>
          <w:rFonts w:cs="Arial"/>
          <w:lang w:val="fr-FR"/>
        </w:rPr>
        <w:t> TC</w:t>
      </w:r>
      <w:r w:rsidRPr="008725ED">
        <w:rPr>
          <w:rFonts w:cs="Arial"/>
          <w:lang w:val="fr-FR"/>
        </w:rPr>
        <w:t xml:space="preserve"> pour adoption à sa cinquante</w:t>
      </w:r>
      <w:r w:rsidR="00EF1779" w:rsidRPr="008725ED">
        <w:rPr>
          <w:rFonts w:cs="Arial"/>
          <w:lang w:val="fr-FR"/>
        </w:rPr>
        <w:t>-</w:t>
      </w:r>
      <w:r w:rsidRPr="008725ED">
        <w:rPr>
          <w:rFonts w:cs="Arial"/>
          <w:lang w:val="fr-FR"/>
        </w:rPr>
        <w:t>trois</w:t>
      </w:r>
      <w:r w:rsidR="00EF1779" w:rsidRPr="008725ED">
        <w:rPr>
          <w:rFonts w:cs="Arial"/>
          <w:lang w:val="fr-FR"/>
        </w:rPr>
        <w:t>ième session</w:t>
      </w:r>
      <w:r w:rsidRPr="008725ED">
        <w:rPr>
          <w:rFonts w:cs="Arial"/>
          <w:lang w:val="fr-FR"/>
        </w:rPr>
        <w:t>, qui se tiendra à Genève du 3 au 5 avril 2017.</w:t>
      </w:r>
    </w:p>
    <w:p w:rsidR="008C3126" w:rsidRPr="008725ED" w:rsidRDefault="008C3126" w:rsidP="0052307B">
      <w:pPr>
        <w:contextualSpacing/>
        <w:rPr>
          <w:rFonts w:cs="Arial"/>
          <w:lang w:val="fr-FR"/>
        </w:rPr>
      </w:pPr>
    </w:p>
    <w:p w:rsidR="008C3126" w:rsidRPr="008725ED" w:rsidRDefault="0052307B" w:rsidP="0052307B">
      <w:pPr>
        <w:contextualSpacing/>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r>
      <w:r w:rsidRPr="008725ED">
        <w:rPr>
          <w:rFonts w:cs="Arial"/>
          <w:lang w:val="fr-FR" w:eastAsia="en-GB"/>
        </w:rPr>
        <w:t xml:space="preserve">Le </w:t>
      </w:r>
      <w:r w:rsidRPr="008725ED">
        <w:rPr>
          <w:rFonts w:cs="Arial"/>
          <w:lang w:val="fr-FR"/>
        </w:rPr>
        <w:t>TWA est convenu d</w:t>
      </w:r>
      <w:r w:rsidR="00EF1779" w:rsidRPr="008725ED">
        <w:rPr>
          <w:rFonts w:cs="Arial"/>
          <w:lang w:val="fr-FR"/>
        </w:rPr>
        <w:t>’</w:t>
      </w:r>
      <w:r w:rsidRPr="008725ED">
        <w:rPr>
          <w:rFonts w:cs="Arial"/>
          <w:lang w:val="fr-FR"/>
        </w:rPr>
        <w:t>examiner plus en détail les principes directeurs d</w:t>
      </w:r>
      <w:r w:rsidR="00EF1779" w:rsidRPr="008725ED">
        <w:rPr>
          <w:rFonts w:cs="Arial"/>
          <w:lang w:val="fr-FR"/>
        </w:rPr>
        <w:t>’</w:t>
      </w:r>
      <w:r w:rsidRPr="008725ED">
        <w:rPr>
          <w:rFonts w:cs="Arial"/>
          <w:lang w:val="fr-FR"/>
        </w:rPr>
        <w:t>examen ci</w:t>
      </w:r>
      <w:r w:rsidR="00EF1779" w:rsidRPr="008725ED">
        <w:rPr>
          <w:rFonts w:cs="Arial"/>
          <w:lang w:val="fr-FR"/>
        </w:rPr>
        <w:t>-</w:t>
      </w:r>
      <w:r w:rsidRPr="008725ED">
        <w:rPr>
          <w:rFonts w:cs="Arial"/>
          <w:lang w:val="fr-FR"/>
        </w:rPr>
        <w:t>après à sa quarante</w:t>
      </w:r>
      <w:r w:rsidR="00EF1779" w:rsidRPr="008725ED">
        <w:rPr>
          <w:rFonts w:cs="Arial"/>
          <w:lang w:val="fr-FR"/>
        </w:rPr>
        <w:t>-</w:t>
      </w:r>
      <w:r w:rsidRPr="008725ED">
        <w:rPr>
          <w:rFonts w:cs="Arial"/>
          <w:lang w:val="fr-FR"/>
        </w:rPr>
        <w:t>six</w:t>
      </w:r>
      <w:r w:rsidR="00EF1779" w:rsidRPr="008725ED">
        <w:rPr>
          <w:rFonts w:cs="Arial"/>
          <w:lang w:val="fr-FR"/>
        </w:rPr>
        <w:t>ième session :</w:t>
      </w:r>
      <w:r w:rsidRPr="008725ED">
        <w:rPr>
          <w:rFonts w:cs="Arial"/>
          <w:lang w:val="fr-FR"/>
        </w:rPr>
        <w:t xml:space="preserve"> avoine (révision), coton (révision), ginseng (révision), haricot (révision), orge (révision), phacélie à feuilles de tanaisie, quinoa, ricine, riz (révision), soja (révision), thé (révision) et trèfle violet (révision).</w:t>
      </w:r>
    </w:p>
    <w:p w:rsidR="008C3126" w:rsidRPr="008725ED" w:rsidRDefault="008C3126" w:rsidP="0052307B">
      <w:pPr>
        <w:contextualSpacing/>
        <w:rPr>
          <w:rFonts w:cs="Arial"/>
          <w:lang w:val="fr-FR"/>
        </w:rPr>
      </w:pPr>
    </w:p>
    <w:p w:rsidR="008C3126" w:rsidRPr="008725ED" w:rsidRDefault="0052307B" w:rsidP="0052307B">
      <w:pPr>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À l</w:t>
      </w:r>
      <w:r w:rsidR="00EF1779" w:rsidRPr="008725ED">
        <w:rPr>
          <w:rFonts w:cs="Arial"/>
          <w:lang w:val="fr-FR"/>
        </w:rPr>
        <w:t>’</w:t>
      </w:r>
      <w:r w:rsidRPr="008725ED">
        <w:rPr>
          <w:rFonts w:cs="Arial"/>
          <w:lang w:val="fr-FR"/>
        </w:rPr>
        <w:t>invitation de l</w:t>
      </w:r>
      <w:r w:rsidR="00EF1779" w:rsidRPr="008725ED">
        <w:rPr>
          <w:rFonts w:cs="Arial"/>
          <w:lang w:val="fr-FR"/>
        </w:rPr>
        <w:t>’</w:t>
      </w:r>
      <w:r w:rsidRPr="008725ED">
        <w:rPr>
          <w:rFonts w:cs="Arial"/>
          <w:lang w:val="fr-FR"/>
        </w:rPr>
        <w:t>Allemagne, le TWA a décidé de tenir sa quarante</w:t>
      </w:r>
      <w:r w:rsidR="00EF1779" w:rsidRPr="008725ED">
        <w:rPr>
          <w:rFonts w:cs="Arial"/>
          <w:lang w:val="fr-FR"/>
        </w:rPr>
        <w:t>-</w:t>
      </w:r>
      <w:r w:rsidRPr="008725ED">
        <w:rPr>
          <w:rFonts w:cs="Arial"/>
          <w:lang w:val="fr-FR"/>
        </w:rPr>
        <w:t>six</w:t>
      </w:r>
      <w:r w:rsidR="00EF1779" w:rsidRPr="008725ED">
        <w:rPr>
          <w:rFonts w:cs="Arial"/>
          <w:lang w:val="fr-FR"/>
        </w:rPr>
        <w:t>ième session</w:t>
      </w:r>
      <w:r w:rsidRPr="008725ED">
        <w:rPr>
          <w:rFonts w:cs="Arial"/>
          <w:lang w:val="fr-FR"/>
        </w:rPr>
        <w:t xml:space="preserve"> à Hanovre du 19 au 23 juin 2017, un atelier préparatoire étant prévu le 18 juin 2017.</w:t>
      </w:r>
    </w:p>
    <w:p w:rsidR="008C3126" w:rsidRPr="008725ED" w:rsidRDefault="008C3126" w:rsidP="0052307B">
      <w:pPr>
        <w:rPr>
          <w:rFonts w:cs="Arial"/>
          <w:lang w:val="fr-FR"/>
        </w:rPr>
      </w:pPr>
    </w:p>
    <w:p w:rsidR="008C3126" w:rsidRPr="008725ED" w:rsidRDefault="0052307B" w:rsidP="0052307B">
      <w:pPr>
        <w:autoSpaceDE w:val="0"/>
        <w:autoSpaceDN w:val="0"/>
        <w:adjustRightInd w:val="0"/>
        <w:rPr>
          <w:lang w:val="fr-FR" w:eastAsia="ja-JP"/>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eastAsia="ja-JP"/>
        </w:rPr>
        <w:tab/>
        <w:t>Le TWA est convenu de proposer au</w:t>
      </w:r>
      <w:r w:rsidR="00EF1779" w:rsidRPr="008725ED">
        <w:rPr>
          <w:lang w:val="fr-FR" w:eastAsia="ja-JP"/>
        </w:rPr>
        <w:t> TC</w:t>
      </w:r>
      <w:r w:rsidRPr="008725ED">
        <w:rPr>
          <w:lang w:val="fr-FR" w:eastAsia="ja-JP"/>
        </w:rPr>
        <w:t xml:space="preserve"> de recommander au Conseil d</w:t>
      </w:r>
      <w:r w:rsidR="00EF1779" w:rsidRPr="008725ED">
        <w:rPr>
          <w:lang w:val="fr-FR" w:eastAsia="ja-JP"/>
        </w:rPr>
        <w:t>’</w:t>
      </w:r>
      <w:r w:rsidRPr="008725ED">
        <w:rPr>
          <w:lang w:val="fr-FR" w:eastAsia="ja-JP"/>
        </w:rPr>
        <w:t>élire Mme Cheryl Turnbull (Royaume</w:t>
      </w:r>
      <w:r w:rsidR="00EF1779" w:rsidRPr="008725ED">
        <w:rPr>
          <w:lang w:val="fr-FR" w:eastAsia="ja-JP"/>
        </w:rPr>
        <w:t>-</w:t>
      </w:r>
      <w:r w:rsidRPr="008725ED">
        <w:rPr>
          <w:lang w:val="fr-FR" w:eastAsia="ja-JP"/>
        </w:rPr>
        <w:t>Uni) prochaine présidente du TWA.</w:t>
      </w:r>
    </w:p>
    <w:p w:rsidR="008C3126" w:rsidRPr="008725ED" w:rsidRDefault="008C3126" w:rsidP="0052307B">
      <w:pPr>
        <w:rPr>
          <w:rFonts w:cs="Arial"/>
          <w:lang w:val="fr-FR"/>
        </w:rPr>
      </w:pPr>
    </w:p>
    <w:p w:rsidR="008C3126" w:rsidRPr="008725ED" w:rsidRDefault="0052307B" w:rsidP="0052307B">
      <w:pPr>
        <w:spacing w:line="276" w:lineRule="auto"/>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Le TWA a accepté que les points ci</w:t>
      </w:r>
      <w:r w:rsidR="00EF1779" w:rsidRPr="008725ED">
        <w:rPr>
          <w:rFonts w:cs="Arial"/>
          <w:lang w:val="fr-FR"/>
        </w:rPr>
        <w:t>-</w:t>
      </w:r>
      <w:r w:rsidRPr="008725ED">
        <w:rPr>
          <w:rFonts w:cs="Arial"/>
          <w:lang w:val="fr-FR"/>
        </w:rPr>
        <w:t>après soient discutés à cette session</w:t>
      </w:r>
      <w:r w:rsidR="00EF1779" w:rsidRPr="008725ED">
        <w:rPr>
          <w:rFonts w:cs="Arial"/>
          <w:lang w:val="fr-FR"/>
        </w:rPr>
        <w:t> :</w:t>
      </w:r>
    </w:p>
    <w:p w:rsidR="008C3126" w:rsidRPr="008725ED" w:rsidRDefault="008C3126" w:rsidP="0052307B">
      <w:pPr>
        <w:spacing w:line="276" w:lineRule="auto"/>
        <w:rPr>
          <w:rFonts w:cs="Arial"/>
          <w:lang w:val="fr-FR"/>
        </w:rPr>
      </w:pPr>
    </w:p>
    <w:p w:rsidR="008C3126" w:rsidRPr="008725ED" w:rsidRDefault="0052307B" w:rsidP="0052307B">
      <w:pPr>
        <w:tabs>
          <w:tab w:val="left" w:pos="1134"/>
        </w:tabs>
        <w:spacing w:line="276" w:lineRule="auto"/>
        <w:ind w:left="567"/>
        <w:rPr>
          <w:rFonts w:cs="Arial"/>
          <w:lang w:val="fr-FR"/>
        </w:rPr>
      </w:pPr>
      <w:r w:rsidRPr="008725ED">
        <w:rPr>
          <w:rFonts w:cs="Arial"/>
          <w:lang w:val="fr-FR"/>
        </w:rPr>
        <w:t>1.</w:t>
      </w:r>
      <w:r w:rsidRPr="008725ED">
        <w:rPr>
          <w:rFonts w:cs="Arial"/>
          <w:lang w:val="fr-FR"/>
        </w:rPr>
        <w:tab/>
        <w:t>Ouverture de la session</w:t>
      </w:r>
    </w:p>
    <w:p w:rsidR="008C3126" w:rsidRPr="008725ED" w:rsidRDefault="0052307B" w:rsidP="0052307B">
      <w:pPr>
        <w:tabs>
          <w:tab w:val="left" w:pos="1134"/>
        </w:tabs>
        <w:spacing w:line="276" w:lineRule="auto"/>
        <w:ind w:left="567"/>
        <w:rPr>
          <w:rFonts w:cs="Arial"/>
          <w:lang w:val="fr-FR"/>
        </w:rPr>
      </w:pPr>
      <w:r w:rsidRPr="008725ED">
        <w:rPr>
          <w:rFonts w:cs="Arial"/>
          <w:lang w:val="fr-FR"/>
        </w:rPr>
        <w:t>2.</w:t>
      </w:r>
      <w:r w:rsidRPr="008725ED">
        <w:rPr>
          <w:rFonts w:cs="Arial"/>
          <w:lang w:val="fr-FR"/>
        </w:rPr>
        <w:tab/>
        <w:t>Adoption de l</w:t>
      </w:r>
      <w:r w:rsidR="00EF1779" w:rsidRPr="008725ED">
        <w:rPr>
          <w:rFonts w:cs="Arial"/>
          <w:lang w:val="fr-FR"/>
        </w:rPr>
        <w:t>’</w:t>
      </w:r>
      <w:r w:rsidRPr="008725ED">
        <w:rPr>
          <w:rFonts w:cs="Arial"/>
          <w:lang w:val="fr-FR"/>
        </w:rPr>
        <w:t>ordre du jour</w:t>
      </w:r>
    </w:p>
    <w:p w:rsidR="008C3126" w:rsidRPr="008725ED" w:rsidRDefault="0052307B" w:rsidP="0052307B">
      <w:pPr>
        <w:tabs>
          <w:tab w:val="left" w:pos="1134"/>
        </w:tabs>
        <w:spacing w:line="276" w:lineRule="auto"/>
        <w:ind w:left="1134" w:hanging="567"/>
        <w:rPr>
          <w:rFonts w:cs="Arial"/>
          <w:lang w:val="fr-FR"/>
        </w:rPr>
      </w:pPr>
      <w:r w:rsidRPr="008725ED">
        <w:rPr>
          <w:rFonts w:cs="Arial"/>
          <w:lang w:val="fr-FR"/>
        </w:rPr>
        <w:t>3.</w:t>
      </w:r>
      <w:r w:rsidRPr="008725ED">
        <w:rPr>
          <w:rFonts w:cs="Arial"/>
          <w:lang w:val="fr-FR"/>
        </w:rPr>
        <w:tab/>
        <w:t>Rapports succincts sur l</w:t>
      </w:r>
      <w:r w:rsidR="00EF1779" w:rsidRPr="008725ED">
        <w:rPr>
          <w:rFonts w:cs="Arial"/>
          <w:lang w:val="fr-FR"/>
        </w:rPr>
        <w:t>’</w:t>
      </w:r>
      <w:r w:rsidRPr="008725ED">
        <w:rPr>
          <w:rFonts w:cs="Arial"/>
          <w:lang w:val="fr-FR"/>
        </w:rPr>
        <w:t>évolution de la situation en matière de protection des obtentions végétales</w:t>
      </w:r>
      <w:r w:rsidR="00EF1779" w:rsidRPr="008725ED">
        <w:rPr>
          <w:rFonts w:cs="Arial"/>
          <w:lang w:val="fr-FR"/>
        </w:rPr>
        <w:t> :</w:t>
      </w:r>
    </w:p>
    <w:p w:rsidR="008C3126" w:rsidRPr="008725ED" w:rsidRDefault="0052307B" w:rsidP="0052307B">
      <w:pPr>
        <w:spacing w:line="276" w:lineRule="auto"/>
        <w:ind w:left="1701" w:hanging="567"/>
        <w:rPr>
          <w:rFonts w:cs="Arial"/>
          <w:lang w:val="fr-FR"/>
        </w:rPr>
      </w:pPr>
      <w:r w:rsidRPr="008725ED">
        <w:rPr>
          <w:rFonts w:cs="Arial"/>
          <w:lang w:val="fr-FR"/>
        </w:rPr>
        <w:t>a)</w:t>
      </w:r>
      <w:r w:rsidRPr="008725ED">
        <w:rPr>
          <w:rFonts w:cs="Arial"/>
          <w:lang w:val="fr-FR"/>
        </w:rPr>
        <w:tab/>
        <w:t>Rapports des membres et des observateurs (rapports écrits à établir par les membres et observateurs)</w:t>
      </w:r>
    </w:p>
    <w:p w:rsidR="008C3126" w:rsidRPr="008725ED" w:rsidRDefault="0052307B" w:rsidP="0052307B">
      <w:pPr>
        <w:spacing w:line="276" w:lineRule="auto"/>
        <w:ind w:left="1701" w:hanging="567"/>
        <w:rPr>
          <w:rFonts w:cs="Arial"/>
          <w:lang w:val="fr-FR"/>
        </w:rPr>
      </w:pPr>
      <w:r w:rsidRPr="008725ED">
        <w:rPr>
          <w:rFonts w:cs="Arial"/>
          <w:lang w:val="fr-FR"/>
        </w:rPr>
        <w:t>b)</w:t>
      </w:r>
      <w:r w:rsidRPr="008725ED">
        <w:rPr>
          <w:rFonts w:cs="Arial"/>
          <w:lang w:val="fr-FR"/>
        </w:rPr>
        <w:tab/>
        <w:t>Rapports sur les faits nouveaux intervenus à l</w:t>
      </w:r>
      <w:r w:rsidR="00EF1779" w:rsidRPr="008725ED">
        <w:rPr>
          <w:rFonts w:cs="Arial"/>
          <w:lang w:val="fr-FR"/>
        </w:rPr>
        <w:t>’</w:t>
      </w:r>
      <w:r w:rsidRPr="008725ED">
        <w:rPr>
          <w:rFonts w:cs="Arial"/>
          <w:lang w:val="fr-FR"/>
        </w:rPr>
        <w:t>UPOV (rapport verbal du Bureau de l</w:t>
      </w:r>
      <w:r w:rsidR="00EF1779" w:rsidRPr="008725ED">
        <w:rPr>
          <w:rFonts w:cs="Arial"/>
          <w:lang w:val="fr-FR"/>
        </w:rPr>
        <w:t>’</w:t>
      </w:r>
      <w:r w:rsidRPr="008725ED">
        <w:rPr>
          <w:rFonts w:cs="Arial"/>
          <w:lang w:val="fr-FR"/>
        </w:rPr>
        <w:t>Union)</w:t>
      </w:r>
    </w:p>
    <w:p w:rsidR="008C3126" w:rsidRPr="008725ED" w:rsidRDefault="0052307B" w:rsidP="0052307B">
      <w:pPr>
        <w:tabs>
          <w:tab w:val="left" w:pos="1134"/>
        </w:tabs>
        <w:spacing w:line="276" w:lineRule="auto"/>
        <w:ind w:left="567"/>
        <w:rPr>
          <w:rFonts w:cs="Arial"/>
          <w:lang w:val="fr-FR"/>
        </w:rPr>
      </w:pPr>
      <w:r w:rsidRPr="008725ED">
        <w:rPr>
          <w:rFonts w:cs="Arial"/>
          <w:lang w:val="fr-FR"/>
        </w:rPr>
        <w:t>4.</w:t>
      </w:r>
      <w:r w:rsidRPr="008725ED">
        <w:rPr>
          <w:rFonts w:cs="Arial"/>
          <w:lang w:val="fr-FR"/>
        </w:rPr>
        <w:tab/>
        <w:t>Techniques moléculaires (document à établir par le Bureau de l</w:t>
      </w:r>
      <w:r w:rsidR="00EF1779" w:rsidRPr="008725ED">
        <w:rPr>
          <w:rFonts w:cs="Arial"/>
          <w:lang w:val="fr-FR"/>
        </w:rPr>
        <w:t>’</w:t>
      </w:r>
      <w:r w:rsidRPr="008725ED">
        <w:rPr>
          <w:rFonts w:cs="Arial"/>
          <w:lang w:val="fr-FR"/>
        </w:rPr>
        <w:t>Union)</w:t>
      </w:r>
    </w:p>
    <w:p w:rsidR="008C3126" w:rsidRPr="008725ED" w:rsidRDefault="0052307B" w:rsidP="0052307B">
      <w:pPr>
        <w:tabs>
          <w:tab w:val="left" w:pos="1134"/>
        </w:tabs>
        <w:spacing w:line="276" w:lineRule="auto"/>
        <w:ind w:left="567"/>
        <w:rPr>
          <w:rFonts w:cs="Arial"/>
          <w:lang w:val="fr-FR"/>
        </w:rPr>
      </w:pPr>
      <w:r w:rsidRPr="008725ED">
        <w:rPr>
          <w:rFonts w:cs="Arial"/>
          <w:lang w:val="fr-FR"/>
        </w:rPr>
        <w:t>5.</w:t>
      </w:r>
      <w:r w:rsidRPr="008725ED">
        <w:rPr>
          <w:rFonts w:cs="Arial"/>
          <w:lang w:val="fr-FR"/>
        </w:rPr>
        <w:tab/>
        <w:t>Logiciels échangeables (documents à établir par le Bureau de l</w:t>
      </w:r>
      <w:r w:rsidR="00EF1779" w:rsidRPr="008725ED">
        <w:rPr>
          <w:rFonts w:cs="Arial"/>
          <w:lang w:val="fr-FR"/>
        </w:rPr>
        <w:t>’</w:t>
      </w:r>
      <w:r w:rsidRPr="008725ED">
        <w:rPr>
          <w:rFonts w:cs="Arial"/>
          <w:lang w:val="fr-FR"/>
        </w:rPr>
        <w:t>Union)</w:t>
      </w:r>
    </w:p>
    <w:p w:rsidR="008C3126" w:rsidRPr="008725ED" w:rsidRDefault="0052307B" w:rsidP="0052307B">
      <w:pPr>
        <w:tabs>
          <w:tab w:val="left" w:pos="1134"/>
        </w:tabs>
        <w:spacing w:line="276" w:lineRule="auto"/>
        <w:ind w:left="567"/>
        <w:rPr>
          <w:rFonts w:cs="Arial"/>
          <w:lang w:val="fr-FR"/>
        </w:rPr>
      </w:pPr>
      <w:r w:rsidRPr="008725ED">
        <w:rPr>
          <w:rFonts w:cs="Arial"/>
          <w:lang w:val="fr-FR"/>
        </w:rPr>
        <w:t>6.</w:t>
      </w:r>
      <w:r w:rsidRPr="008725ED">
        <w:rPr>
          <w:rFonts w:cs="Arial"/>
          <w:lang w:val="fr-FR"/>
        </w:rPr>
        <w:tab/>
        <w:t>Dénominations variétales (document à établir par le Bureau de l</w:t>
      </w:r>
      <w:r w:rsidR="00EF1779" w:rsidRPr="008725ED">
        <w:rPr>
          <w:rFonts w:cs="Arial"/>
          <w:lang w:val="fr-FR"/>
        </w:rPr>
        <w:t>’</w:t>
      </w:r>
      <w:r w:rsidRPr="008725ED">
        <w:rPr>
          <w:rFonts w:cs="Arial"/>
          <w:lang w:val="fr-FR"/>
        </w:rPr>
        <w:t>Union)</w:t>
      </w:r>
    </w:p>
    <w:p w:rsidR="008C3126" w:rsidRPr="008725ED" w:rsidRDefault="0052307B" w:rsidP="0052307B">
      <w:pPr>
        <w:tabs>
          <w:tab w:val="left" w:pos="1134"/>
        </w:tabs>
        <w:spacing w:line="276" w:lineRule="auto"/>
        <w:ind w:left="567"/>
        <w:rPr>
          <w:rFonts w:cs="Arial"/>
          <w:lang w:val="fr-FR"/>
        </w:rPr>
      </w:pPr>
      <w:r w:rsidRPr="008725ED">
        <w:rPr>
          <w:rFonts w:cs="Arial"/>
          <w:lang w:val="fr-FR"/>
        </w:rPr>
        <w:t>7.</w:t>
      </w:r>
      <w:r w:rsidRPr="008725ED">
        <w:rPr>
          <w:rFonts w:cs="Arial"/>
          <w:lang w:val="fr-FR"/>
        </w:rPr>
        <w:tab/>
        <w:t>Informations et bases de données</w:t>
      </w:r>
    </w:p>
    <w:p w:rsidR="008C3126" w:rsidRPr="008725ED" w:rsidRDefault="0052307B" w:rsidP="0052307B">
      <w:pPr>
        <w:spacing w:line="276" w:lineRule="auto"/>
        <w:ind w:left="1701" w:hanging="567"/>
        <w:rPr>
          <w:rFonts w:cs="Arial"/>
          <w:lang w:val="fr-FR"/>
        </w:rPr>
      </w:pPr>
      <w:r w:rsidRPr="008725ED">
        <w:rPr>
          <w:rFonts w:cs="Arial"/>
          <w:lang w:val="fr-FR"/>
        </w:rPr>
        <w:t>a)</w:t>
      </w:r>
      <w:r w:rsidRPr="008725ED">
        <w:rPr>
          <w:rFonts w:cs="Arial"/>
          <w:lang w:val="fr-FR"/>
        </w:rPr>
        <w:tab/>
        <w:t>Bases de données d</w:t>
      </w:r>
      <w:r w:rsidR="00EF1779" w:rsidRPr="008725ED">
        <w:rPr>
          <w:rFonts w:cs="Arial"/>
          <w:lang w:val="fr-FR"/>
        </w:rPr>
        <w:t>’</w:t>
      </w:r>
      <w:r w:rsidRPr="008725ED">
        <w:rPr>
          <w:rFonts w:cs="Arial"/>
          <w:lang w:val="fr-FR"/>
        </w:rPr>
        <w:t>information de l</w:t>
      </w:r>
      <w:r w:rsidR="00EF1779" w:rsidRPr="008725ED">
        <w:rPr>
          <w:rFonts w:cs="Arial"/>
          <w:lang w:val="fr-FR"/>
        </w:rPr>
        <w:t>’</w:t>
      </w:r>
      <w:r w:rsidRPr="008725ED">
        <w:rPr>
          <w:rFonts w:cs="Arial"/>
          <w:lang w:val="fr-FR"/>
        </w:rPr>
        <w:t>UPOV (document à établir par le Bureau de l</w:t>
      </w:r>
      <w:r w:rsidR="00EF1779" w:rsidRPr="008725ED">
        <w:rPr>
          <w:rFonts w:cs="Arial"/>
          <w:lang w:val="fr-FR"/>
        </w:rPr>
        <w:t>’</w:t>
      </w:r>
      <w:r w:rsidRPr="008725ED">
        <w:rPr>
          <w:rFonts w:cs="Arial"/>
          <w:lang w:val="fr-FR"/>
        </w:rPr>
        <w:t>Union)</w:t>
      </w:r>
    </w:p>
    <w:p w:rsidR="008C3126" w:rsidRPr="008725ED" w:rsidRDefault="0052307B" w:rsidP="0052307B">
      <w:pPr>
        <w:spacing w:line="276" w:lineRule="auto"/>
        <w:ind w:left="1701" w:hanging="567"/>
        <w:rPr>
          <w:rFonts w:cs="Arial"/>
          <w:lang w:val="fr-FR"/>
        </w:rPr>
      </w:pPr>
      <w:r w:rsidRPr="008725ED">
        <w:rPr>
          <w:rFonts w:cs="Arial"/>
          <w:lang w:val="fr-FR"/>
        </w:rPr>
        <w:t>b)</w:t>
      </w:r>
      <w:r w:rsidRPr="008725ED">
        <w:rPr>
          <w:rFonts w:cs="Arial"/>
          <w:lang w:val="fr-FR"/>
        </w:rPr>
        <w:tab/>
        <w:t>Bases de données sur les descriptions variétales (document à établir par le Bureau de l</w:t>
      </w:r>
      <w:r w:rsidR="00EF1779" w:rsidRPr="008725ED">
        <w:rPr>
          <w:rFonts w:cs="Arial"/>
          <w:lang w:val="fr-FR"/>
        </w:rPr>
        <w:t>’</w:t>
      </w:r>
      <w:r w:rsidRPr="008725ED">
        <w:rPr>
          <w:rFonts w:cs="Arial"/>
          <w:lang w:val="fr-FR"/>
        </w:rPr>
        <w:t>Union et documents sollicités)</w:t>
      </w:r>
    </w:p>
    <w:p w:rsidR="008C3126" w:rsidRPr="008725ED" w:rsidRDefault="0052307B" w:rsidP="0052307B">
      <w:pPr>
        <w:spacing w:line="276" w:lineRule="auto"/>
        <w:ind w:left="1701" w:hanging="567"/>
        <w:rPr>
          <w:rFonts w:cs="Arial"/>
          <w:lang w:val="fr-FR"/>
        </w:rPr>
      </w:pPr>
      <w:r w:rsidRPr="008725ED">
        <w:rPr>
          <w:rFonts w:cs="Arial"/>
          <w:lang w:val="fr-FR"/>
        </w:rPr>
        <w:t>c)</w:t>
      </w:r>
      <w:r w:rsidRPr="008725ED">
        <w:rPr>
          <w:rFonts w:cs="Arial"/>
          <w:lang w:val="fr-FR"/>
        </w:rPr>
        <w:tab/>
        <w:t>Logiciels échangeables (document à établir par le Bureau de l</w:t>
      </w:r>
      <w:r w:rsidR="00EF1779" w:rsidRPr="008725ED">
        <w:rPr>
          <w:rFonts w:cs="Arial"/>
          <w:lang w:val="fr-FR"/>
        </w:rPr>
        <w:t>’</w:t>
      </w:r>
      <w:r w:rsidRPr="008725ED">
        <w:rPr>
          <w:rFonts w:cs="Arial"/>
          <w:lang w:val="fr-FR"/>
        </w:rPr>
        <w:t>Union)</w:t>
      </w:r>
    </w:p>
    <w:p w:rsidR="008C3126" w:rsidRPr="008725ED" w:rsidRDefault="0052307B" w:rsidP="0052307B">
      <w:pPr>
        <w:spacing w:line="276" w:lineRule="auto"/>
        <w:ind w:left="1701" w:hanging="567"/>
        <w:rPr>
          <w:rFonts w:cs="Arial"/>
          <w:lang w:val="fr-FR"/>
        </w:rPr>
      </w:pPr>
      <w:r w:rsidRPr="008725ED">
        <w:rPr>
          <w:rFonts w:cs="Arial"/>
          <w:lang w:val="fr-FR"/>
        </w:rPr>
        <w:t>d)</w:t>
      </w:r>
      <w:r w:rsidRPr="008725ED">
        <w:rPr>
          <w:rFonts w:cs="Arial"/>
          <w:lang w:val="fr-FR"/>
        </w:rPr>
        <w:tab/>
        <w:t>Systèmes de dépôt électronique des demandes (document à établir par le Bureau de l</w:t>
      </w:r>
      <w:r w:rsidR="00EF1779" w:rsidRPr="008725ED">
        <w:rPr>
          <w:rFonts w:cs="Arial"/>
          <w:lang w:val="fr-FR"/>
        </w:rPr>
        <w:t>’</w:t>
      </w:r>
      <w:r w:rsidRPr="008725ED">
        <w:rPr>
          <w:rFonts w:cs="Arial"/>
          <w:lang w:val="fr-FR"/>
        </w:rPr>
        <w:t>Union et documents sollicités)</w:t>
      </w:r>
    </w:p>
    <w:p w:rsidR="008C3126" w:rsidRPr="008725ED" w:rsidRDefault="0052307B" w:rsidP="0052307B">
      <w:pPr>
        <w:spacing w:line="276" w:lineRule="auto"/>
        <w:ind w:left="1134" w:hanging="567"/>
        <w:rPr>
          <w:rFonts w:cs="Arial"/>
          <w:lang w:val="fr-FR"/>
        </w:rPr>
      </w:pPr>
      <w:r w:rsidRPr="008725ED">
        <w:rPr>
          <w:rFonts w:cs="Arial"/>
          <w:lang w:val="fr-FR"/>
        </w:rPr>
        <w:t>8.</w:t>
      </w:r>
      <w:r w:rsidRPr="008725ED">
        <w:rPr>
          <w:rFonts w:cs="Arial"/>
          <w:lang w:val="fr-FR"/>
        </w:rPr>
        <w:tab/>
        <w:t>Évaluation de l</w:t>
      </w:r>
      <w:r w:rsidR="00EF1779" w:rsidRPr="008725ED">
        <w:rPr>
          <w:rFonts w:cs="Arial"/>
          <w:lang w:val="fr-FR"/>
        </w:rPr>
        <w:t>’</w:t>
      </w:r>
      <w:r w:rsidRPr="008725ED">
        <w:rPr>
          <w:rFonts w:cs="Arial"/>
          <w:lang w:val="fr-FR"/>
        </w:rPr>
        <w:t>homogénéité par plante hors</w:t>
      </w:r>
      <w:r w:rsidR="00EF1779" w:rsidRPr="008725ED">
        <w:rPr>
          <w:rFonts w:cs="Arial"/>
          <w:lang w:val="fr-FR"/>
        </w:rPr>
        <w:t>-</w:t>
      </w:r>
      <w:r w:rsidRPr="008725ED">
        <w:rPr>
          <w:rFonts w:cs="Arial"/>
          <w:lang w:val="fr-FR"/>
        </w:rPr>
        <w:t>type (documents à établir par l</w:t>
      </w:r>
      <w:r w:rsidR="00EF1779" w:rsidRPr="008725ED">
        <w:rPr>
          <w:rFonts w:cs="Arial"/>
          <w:lang w:val="fr-FR"/>
        </w:rPr>
        <w:t>’</w:t>
      </w:r>
      <w:r w:rsidRPr="008725ED">
        <w:rPr>
          <w:rFonts w:cs="Arial"/>
          <w:lang w:val="fr-FR"/>
        </w:rPr>
        <w:t>Allemagne, la France, les Pays</w:t>
      </w:r>
      <w:r w:rsidR="00EF1779" w:rsidRPr="008725ED">
        <w:rPr>
          <w:rFonts w:cs="Arial"/>
          <w:lang w:val="fr-FR"/>
        </w:rPr>
        <w:t>-</w:t>
      </w:r>
      <w:r w:rsidRPr="008725ED">
        <w:rPr>
          <w:rFonts w:cs="Arial"/>
          <w:lang w:val="fr-FR"/>
        </w:rPr>
        <w:t>Bas, la Pologne et le Royaume</w:t>
      </w:r>
      <w:r w:rsidR="00EF1779" w:rsidRPr="008725ED">
        <w:rPr>
          <w:rFonts w:cs="Arial"/>
          <w:lang w:val="fr-FR"/>
        </w:rPr>
        <w:t>-</w:t>
      </w:r>
      <w:r w:rsidRPr="008725ED">
        <w:rPr>
          <w:rFonts w:cs="Arial"/>
          <w:lang w:val="fr-FR"/>
        </w:rPr>
        <w:t>Uni)</w:t>
      </w:r>
    </w:p>
    <w:p w:rsidR="008C3126" w:rsidRPr="008725ED" w:rsidRDefault="0052307B" w:rsidP="0052307B">
      <w:pPr>
        <w:spacing w:line="276" w:lineRule="auto"/>
        <w:ind w:left="1134" w:hanging="567"/>
        <w:rPr>
          <w:rFonts w:cs="Arial"/>
          <w:lang w:val="fr-FR"/>
        </w:rPr>
      </w:pPr>
      <w:r w:rsidRPr="008725ED">
        <w:rPr>
          <w:rFonts w:cs="Arial"/>
          <w:lang w:val="fr-FR"/>
        </w:rPr>
        <w:t>9.</w:t>
      </w:r>
      <w:r w:rsidRPr="008725ED">
        <w:rPr>
          <w:rFonts w:cs="Arial"/>
          <w:lang w:val="fr-FR"/>
        </w:rPr>
        <w:tab/>
        <w:t>Expériences de nouveaux types et espèces</w:t>
      </w:r>
    </w:p>
    <w:p w:rsidR="008C3126" w:rsidRPr="008725ED" w:rsidRDefault="0052307B" w:rsidP="0052307B">
      <w:pPr>
        <w:spacing w:line="276" w:lineRule="auto"/>
        <w:ind w:left="1134" w:hanging="567"/>
        <w:rPr>
          <w:rFonts w:cs="Arial"/>
          <w:lang w:val="fr-FR"/>
        </w:rPr>
      </w:pPr>
      <w:r w:rsidRPr="008725ED">
        <w:rPr>
          <w:rFonts w:cs="Arial"/>
          <w:lang w:val="fr-FR"/>
        </w:rPr>
        <w:t>10.</w:t>
      </w:r>
      <w:r w:rsidRPr="008725ED">
        <w:rPr>
          <w:rFonts w:cs="Arial"/>
          <w:lang w:val="fr-FR"/>
        </w:rPr>
        <w:tab/>
        <w:t>Incidence des endophytes sur les caractères DHS pour les graminées (documents à établir par le Mexique, la Nouvelle</w:t>
      </w:r>
      <w:r w:rsidR="00EF1779" w:rsidRPr="008725ED">
        <w:rPr>
          <w:rFonts w:cs="Arial"/>
          <w:lang w:val="fr-FR"/>
        </w:rPr>
        <w:t>-</w:t>
      </w:r>
      <w:r w:rsidRPr="008725ED">
        <w:rPr>
          <w:rFonts w:cs="Arial"/>
          <w:lang w:val="fr-FR"/>
        </w:rPr>
        <w:t>Zélande, l</w:t>
      </w:r>
      <w:r w:rsidR="00EF1779" w:rsidRPr="008725ED">
        <w:rPr>
          <w:rFonts w:cs="Arial"/>
          <w:lang w:val="fr-FR"/>
        </w:rPr>
        <w:t>’</w:t>
      </w:r>
      <w:r w:rsidRPr="008725ED">
        <w:rPr>
          <w:rFonts w:cs="Arial"/>
          <w:lang w:val="fr-FR"/>
        </w:rPr>
        <w:t>Union européenne et documents sollicités)</w:t>
      </w:r>
    </w:p>
    <w:p w:rsidR="008C3126" w:rsidRPr="008725ED" w:rsidRDefault="0052307B" w:rsidP="0052307B">
      <w:pPr>
        <w:spacing w:line="276" w:lineRule="auto"/>
        <w:ind w:left="1134" w:hanging="567"/>
        <w:rPr>
          <w:rFonts w:cs="Arial"/>
          <w:lang w:val="fr-FR"/>
        </w:rPr>
      </w:pPr>
      <w:r w:rsidRPr="008725ED">
        <w:rPr>
          <w:rFonts w:cs="Arial"/>
          <w:lang w:val="fr-FR"/>
        </w:rPr>
        <w:t>11.</w:t>
      </w:r>
      <w:r w:rsidRPr="008725ED">
        <w:rPr>
          <w:rFonts w:cs="Arial"/>
          <w:lang w:val="fr-FR"/>
        </w:rPr>
        <w:tab/>
        <w:t xml:space="preserve">Série régionale de variétés indiquées </w:t>
      </w:r>
      <w:r w:rsidR="00D43219" w:rsidRPr="008725ED">
        <w:rPr>
          <w:rFonts w:cs="Arial"/>
          <w:lang w:val="fr-FR"/>
        </w:rPr>
        <w:t>à titre d’exemple</w:t>
      </w:r>
      <w:r w:rsidRPr="008725ED">
        <w:rPr>
          <w:rFonts w:cs="Arial"/>
          <w:lang w:val="fr-FR"/>
        </w:rPr>
        <w:t xml:space="preserve"> pour le blé pour l</w:t>
      </w:r>
      <w:r w:rsidR="00EF1779" w:rsidRPr="008725ED">
        <w:rPr>
          <w:rFonts w:cs="Arial"/>
          <w:lang w:val="fr-FR"/>
        </w:rPr>
        <w:t>’</w:t>
      </w:r>
      <w:r w:rsidRPr="008725ED">
        <w:rPr>
          <w:rFonts w:cs="Arial"/>
          <w:lang w:val="fr-FR"/>
        </w:rPr>
        <w:t>Amérique du Sud (document à établir par le Brésil)</w:t>
      </w:r>
    </w:p>
    <w:p w:rsidR="008C3126" w:rsidRPr="008725ED" w:rsidRDefault="0052307B" w:rsidP="0052307B">
      <w:pPr>
        <w:spacing w:line="276" w:lineRule="auto"/>
        <w:ind w:left="1134" w:hanging="567"/>
        <w:rPr>
          <w:rFonts w:cs="Arial"/>
          <w:lang w:val="fr-FR"/>
        </w:rPr>
      </w:pPr>
      <w:r w:rsidRPr="008725ED">
        <w:rPr>
          <w:rFonts w:cs="Arial"/>
          <w:lang w:val="fr-FR"/>
        </w:rPr>
        <w:t>12.</w:t>
      </w:r>
      <w:r w:rsidRPr="008725ED">
        <w:rPr>
          <w:rFonts w:cs="Arial"/>
          <w:lang w:val="fr-FR"/>
        </w:rPr>
        <w:tab/>
        <w:t>Nombre de cycles de végétations pour l</w:t>
      </w:r>
      <w:r w:rsidR="00EF1779" w:rsidRPr="008725ED">
        <w:rPr>
          <w:rFonts w:cs="Arial"/>
          <w:lang w:val="fr-FR"/>
        </w:rPr>
        <w:t>’</w:t>
      </w:r>
      <w:r w:rsidRPr="008725ED">
        <w:rPr>
          <w:rFonts w:cs="Arial"/>
          <w:lang w:val="fr-FR"/>
        </w:rPr>
        <w:t>examen DHS (documents à établir par l</w:t>
      </w:r>
      <w:r w:rsidR="00EF1779" w:rsidRPr="008725ED">
        <w:rPr>
          <w:rFonts w:cs="Arial"/>
          <w:lang w:val="fr-FR"/>
        </w:rPr>
        <w:t>’</w:t>
      </w:r>
      <w:r w:rsidRPr="008725ED">
        <w:rPr>
          <w:rFonts w:cs="Arial"/>
          <w:lang w:val="fr-FR"/>
        </w:rPr>
        <w:t>Allemagne, la France, les Pays</w:t>
      </w:r>
      <w:r w:rsidR="00EF1779" w:rsidRPr="008725ED">
        <w:rPr>
          <w:rFonts w:cs="Arial"/>
          <w:lang w:val="fr-FR"/>
        </w:rPr>
        <w:t>-</w:t>
      </w:r>
      <w:r w:rsidRPr="008725ED">
        <w:rPr>
          <w:rFonts w:cs="Arial"/>
          <w:lang w:val="fr-FR"/>
        </w:rPr>
        <w:t>Bas, la Pologne et le Royaume</w:t>
      </w:r>
      <w:r w:rsidR="00EF1779" w:rsidRPr="008725ED">
        <w:rPr>
          <w:rFonts w:cs="Arial"/>
          <w:lang w:val="fr-FR"/>
        </w:rPr>
        <w:t>-</w:t>
      </w:r>
      <w:r w:rsidRPr="008725ED">
        <w:rPr>
          <w:rFonts w:cs="Arial"/>
          <w:lang w:val="fr-FR"/>
        </w:rPr>
        <w:t>Uni)</w:t>
      </w:r>
    </w:p>
    <w:p w:rsidR="008C3126" w:rsidRPr="008725ED" w:rsidRDefault="0052307B" w:rsidP="0052307B">
      <w:pPr>
        <w:spacing w:line="276" w:lineRule="auto"/>
        <w:ind w:left="1134" w:hanging="567"/>
        <w:rPr>
          <w:rFonts w:cs="Arial"/>
          <w:lang w:val="fr-FR"/>
        </w:rPr>
      </w:pPr>
      <w:r w:rsidRPr="008725ED">
        <w:rPr>
          <w:rFonts w:cs="Arial"/>
          <w:lang w:val="fr-FR"/>
        </w:rPr>
        <w:t>13.</w:t>
      </w:r>
      <w:r w:rsidRPr="008725ED">
        <w:rPr>
          <w:rFonts w:cs="Arial"/>
          <w:lang w:val="fr-FR"/>
        </w:rPr>
        <w:tab/>
        <w:t>Écart minimal entre les variétés (documents à établir par la République de Corée et l</w:t>
      </w:r>
      <w:r w:rsidR="00EF1779" w:rsidRPr="008725ED">
        <w:rPr>
          <w:rFonts w:cs="Arial"/>
          <w:lang w:val="fr-FR"/>
        </w:rPr>
        <w:t>’</w:t>
      </w:r>
      <w:r w:rsidRPr="008725ED">
        <w:rPr>
          <w:rFonts w:cs="Arial"/>
          <w:lang w:val="fr-FR"/>
        </w:rPr>
        <w:t>Union européenne)</w:t>
      </w:r>
    </w:p>
    <w:p w:rsidR="008C3126" w:rsidRPr="008725ED" w:rsidRDefault="0052307B" w:rsidP="0052307B">
      <w:pPr>
        <w:spacing w:line="276" w:lineRule="auto"/>
        <w:ind w:left="1134" w:hanging="567"/>
        <w:rPr>
          <w:rFonts w:cs="Arial"/>
          <w:lang w:val="fr-FR"/>
        </w:rPr>
      </w:pPr>
      <w:r w:rsidRPr="008725ED">
        <w:rPr>
          <w:rFonts w:cs="Arial"/>
          <w:lang w:val="fr-FR"/>
        </w:rPr>
        <w:t>14.</w:t>
      </w:r>
      <w:r w:rsidRPr="008725ED">
        <w:rPr>
          <w:rFonts w:cs="Arial"/>
          <w:lang w:val="fr-FR"/>
        </w:rPr>
        <w:tab/>
        <w:t>Utilisation de caractéristiques de résistance aux maladies et aux insectes dans l</w:t>
      </w:r>
      <w:r w:rsidR="00EF1779" w:rsidRPr="008725ED">
        <w:rPr>
          <w:rFonts w:cs="Arial"/>
          <w:lang w:val="fr-FR"/>
        </w:rPr>
        <w:t>’</w:t>
      </w:r>
      <w:r w:rsidRPr="008725ED">
        <w:rPr>
          <w:rFonts w:cs="Arial"/>
          <w:lang w:val="fr-FR"/>
        </w:rPr>
        <w:t>examen DHS (documents à établir par l</w:t>
      </w:r>
      <w:r w:rsidR="00EF1779" w:rsidRPr="008725ED">
        <w:rPr>
          <w:rFonts w:cs="Arial"/>
          <w:lang w:val="fr-FR"/>
        </w:rPr>
        <w:t>’</w:t>
      </w:r>
      <w:r w:rsidRPr="008725ED">
        <w:rPr>
          <w:rFonts w:cs="Arial"/>
          <w:lang w:val="fr-FR"/>
        </w:rPr>
        <w:t>Australie, le Brésil, la France et l</w:t>
      </w:r>
      <w:r w:rsidR="00EF1779" w:rsidRPr="008725ED">
        <w:rPr>
          <w:rFonts w:cs="Arial"/>
          <w:lang w:val="fr-FR"/>
        </w:rPr>
        <w:t>’</w:t>
      </w:r>
      <w:r w:rsidRPr="008725ED">
        <w:rPr>
          <w:rFonts w:cs="Arial"/>
          <w:lang w:val="fr-FR"/>
        </w:rPr>
        <w:t>Union européenne)</w:t>
      </w:r>
    </w:p>
    <w:p w:rsidR="008C3126" w:rsidRPr="008725ED" w:rsidRDefault="0052307B" w:rsidP="0052307B">
      <w:pPr>
        <w:spacing w:line="276" w:lineRule="auto"/>
        <w:ind w:left="1134" w:hanging="567"/>
        <w:rPr>
          <w:rFonts w:cs="Arial"/>
          <w:lang w:val="fr-FR"/>
        </w:rPr>
      </w:pPr>
      <w:r w:rsidRPr="008725ED">
        <w:rPr>
          <w:rFonts w:cs="Arial"/>
          <w:lang w:val="fr-FR"/>
        </w:rPr>
        <w:t>15.</w:t>
      </w:r>
      <w:r w:rsidRPr="008725ED">
        <w:rPr>
          <w:rFonts w:cs="Arial"/>
          <w:lang w:val="fr-FR"/>
        </w:rPr>
        <w:tab/>
        <w:t>Questions en suspens concernant les principes directeurs d</w:t>
      </w:r>
      <w:r w:rsidR="00EF1779" w:rsidRPr="008725ED">
        <w:rPr>
          <w:rFonts w:cs="Arial"/>
          <w:lang w:val="fr-FR"/>
        </w:rPr>
        <w:t>’</w:t>
      </w:r>
      <w:r w:rsidRPr="008725ED">
        <w:rPr>
          <w:rFonts w:cs="Arial"/>
          <w:lang w:val="fr-FR"/>
        </w:rPr>
        <w:t>examen adoptés par le Comité technique (le cas échéant)</w:t>
      </w:r>
    </w:p>
    <w:p w:rsidR="008C3126" w:rsidRPr="008725ED" w:rsidRDefault="0052307B" w:rsidP="0052307B">
      <w:pPr>
        <w:spacing w:line="276" w:lineRule="auto"/>
        <w:ind w:left="1134" w:hanging="567"/>
        <w:rPr>
          <w:rFonts w:cs="Arial"/>
          <w:lang w:val="fr-FR"/>
        </w:rPr>
      </w:pPr>
      <w:r w:rsidRPr="008725ED">
        <w:rPr>
          <w:rFonts w:cs="Arial"/>
          <w:lang w:val="fr-FR"/>
        </w:rPr>
        <w:t>16.</w:t>
      </w:r>
      <w:r w:rsidRPr="008725ED">
        <w:rPr>
          <w:rFonts w:cs="Arial"/>
          <w:lang w:val="fr-FR"/>
        </w:rPr>
        <w:tab/>
        <w:t>Examen des projets de principes directeurs d</w:t>
      </w:r>
      <w:r w:rsidR="00EF1779" w:rsidRPr="008725ED">
        <w:rPr>
          <w:rFonts w:cs="Arial"/>
          <w:lang w:val="fr-FR"/>
        </w:rPr>
        <w:t>’</w:t>
      </w:r>
      <w:r w:rsidRPr="008725ED">
        <w:rPr>
          <w:rFonts w:cs="Arial"/>
          <w:lang w:val="fr-FR"/>
        </w:rPr>
        <w:t>examen (sous</w:t>
      </w:r>
      <w:r w:rsidR="00EF1779" w:rsidRPr="008725ED">
        <w:rPr>
          <w:rFonts w:cs="Arial"/>
          <w:lang w:val="fr-FR"/>
        </w:rPr>
        <w:t>-</w:t>
      </w:r>
      <w:r w:rsidRPr="008725ED">
        <w:rPr>
          <w:rFonts w:cs="Arial"/>
          <w:lang w:val="fr-FR"/>
        </w:rPr>
        <w:t>groupes)</w:t>
      </w:r>
    </w:p>
    <w:p w:rsidR="008C3126" w:rsidRPr="008725ED" w:rsidRDefault="0052307B" w:rsidP="0052307B">
      <w:pPr>
        <w:spacing w:line="276" w:lineRule="auto"/>
        <w:ind w:left="1134" w:hanging="567"/>
        <w:rPr>
          <w:rFonts w:cs="Arial"/>
          <w:lang w:val="fr-FR"/>
        </w:rPr>
      </w:pPr>
      <w:r w:rsidRPr="008725ED">
        <w:rPr>
          <w:rFonts w:cs="Arial"/>
          <w:lang w:val="fr-FR"/>
        </w:rPr>
        <w:t>17.</w:t>
      </w:r>
      <w:r w:rsidRPr="008725ED">
        <w:rPr>
          <w:rFonts w:cs="Arial"/>
          <w:lang w:val="fr-FR"/>
        </w:rPr>
        <w:tab/>
        <w:t>Recommandations concernant les projets de principes directeurs d</w:t>
      </w:r>
      <w:r w:rsidR="00EF1779" w:rsidRPr="008725ED">
        <w:rPr>
          <w:rFonts w:cs="Arial"/>
          <w:lang w:val="fr-FR"/>
        </w:rPr>
        <w:t>’</w:t>
      </w:r>
      <w:r w:rsidRPr="008725ED">
        <w:rPr>
          <w:rFonts w:cs="Arial"/>
          <w:lang w:val="fr-FR"/>
        </w:rPr>
        <w:t>examen</w:t>
      </w:r>
    </w:p>
    <w:p w:rsidR="008C3126" w:rsidRPr="008725ED" w:rsidRDefault="0052307B" w:rsidP="0052307B">
      <w:pPr>
        <w:spacing w:line="276" w:lineRule="auto"/>
        <w:ind w:left="1134" w:hanging="567"/>
        <w:rPr>
          <w:rFonts w:cs="Arial"/>
          <w:lang w:val="fr-FR"/>
        </w:rPr>
      </w:pPr>
      <w:r w:rsidRPr="008725ED">
        <w:rPr>
          <w:rFonts w:cs="Arial"/>
          <w:lang w:val="fr-FR"/>
        </w:rPr>
        <w:t>18.</w:t>
      </w:r>
      <w:r w:rsidRPr="008725ED">
        <w:rPr>
          <w:rFonts w:cs="Arial"/>
          <w:lang w:val="fr-FR"/>
        </w:rPr>
        <w:tab/>
        <w:t>Orientations pour les rédacteurs de principes directeurs d</w:t>
      </w:r>
      <w:r w:rsidR="00EF1779" w:rsidRPr="008725ED">
        <w:rPr>
          <w:rFonts w:cs="Arial"/>
          <w:lang w:val="fr-FR"/>
        </w:rPr>
        <w:t>’</w:t>
      </w:r>
      <w:r w:rsidRPr="008725ED">
        <w:rPr>
          <w:rFonts w:cs="Arial"/>
          <w:lang w:val="fr-FR"/>
        </w:rPr>
        <w:t>examen</w:t>
      </w:r>
    </w:p>
    <w:p w:rsidR="008C3126" w:rsidRPr="008725ED" w:rsidRDefault="0052307B" w:rsidP="0052307B">
      <w:pPr>
        <w:spacing w:line="276" w:lineRule="auto"/>
        <w:ind w:left="1134" w:hanging="567"/>
        <w:rPr>
          <w:rFonts w:cs="Arial"/>
          <w:lang w:val="fr-FR"/>
        </w:rPr>
      </w:pPr>
      <w:r w:rsidRPr="008725ED">
        <w:rPr>
          <w:rFonts w:cs="Arial"/>
          <w:lang w:val="fr-FR"/>
        </w:rPr>
        <w:t>19.</w:t>
      </w:r>
      <w:r w:rsidRPr="008725ED">
        <w:rPr>
          <w:rFonts w:cs="Arial"/>
          <w:lang w:val="fr-FR"/>
        </w:rPr>
        <w:tab/>
        <w:t>Date et lieu de la prochaine session</w:t>
      </w:r>
    </w:p>
    <w:p w:rsidR="008C3126" w:rsidRPr="008725ED" w:rsidRDefault="0052307B" w:rsidP="0052307B">
      <w:pPr>
        <w:spacing w:line="276" w:lineRule="auto"/>
        <w:ind w:left="1134" w:hanging="567"/>
        <w:rPr>
          <w:rFonts w:cs="Arial"/>
          <w:lang w:val="fr-FR"/>
        </w:rPr>
      </w:pPr>
      <w:r w:rsidRPr="008725ED">
        <w:rPr>
          <w:rFonts w:cs="Arial"/>
          <w:lang w:val="fr-FR"/>
        </w:rPr>
        <w:t>20.</w:t>
      </w:r>
      <w:r w:rsidRPr="008725ED">
        <w:rPr>
          <w:rFonts w:cs="Arial"/>
          <w:lang w:val="fr-FR"/>
        </w:rPr>
        <w:tab/>
        <w:t>Programme futur</w:t>
      </w:r>
    </w:p>
    <w:p w:rsidR="008C3126" w:rsidRPr="008725ED" w:rsidRDefault="0052307B" w:rsidP="0052307B">
      <w:pPr>
        <w:spacing w:line="276" w:lineRule="auto"/>
        <w:ind w:left="1134" w:hanging="567"/>
        <w:rPr>
          <w:rFonts w:cs="Arial"/>
          <w:lang w:val="fr-FR"/>
        </w:rPr>
      </w:pPr>
      <w:r w:rsidRPr="008725ED">
        <w:rPr>
          <w:rFonts w:cs="Arial"/>
          <w:lang w:val="fr-FR"/>
        </w:rPr>
        <w:t>21.</w:t>
      </w:r>
      <w:r w:rsidRPr="008725ED">
        <w:rPr>
          <w:rFonts w:cs="Arial"/>
          <w:lang w:val="fr-FR"/>
        </w:rPr>
        <w:tab/>
        <w:t>Adoption du compte rendu de la session (selon le temps disponible)</w:t>
      </w:r>
    </w:p>
    <w:p w:rsidR="008C3126" w:rsidRPr="008725ED" w:rsidRDefault="0052307B" w:rsidP="0052307B">
      <w:pPr>
        <w:spacing w:line="276" w:lineRule="auto"/>
        <w:ind w:left="1134" w:hanging="567"/>
        <w:rPr>
          <w:rFonts w:cs="Arial"/>
          <w:lang w:val="fr-FR"/>
        </w:rPr>
      </w:pPr>
      <w:r w:rsidRPr="008725ED">
        <w:rPr>
          <w:rFonts w:cs="Arial"/>
          <w:lang w:val="fr-FR"/>
        </w:rPr>
        <w:t>22.</w:t>
      </w:r>
      <w:r w:rsidRPr="008725ED">
        <w:rPr>
          <w:rFonts w:cs="Arial"/>
          <w:lang w:val="fr-FR"/>
        </w:rPr>
        <w:tab/>
        <w:t>Clôture de la session</w:t>
      </w:r>
    </w:p>
    <w:p w:rsidR="008C3126" w:rsidRPr="008725ED" w:rsidRDefault="008C3126" w:rsidP="0052307B">
      <w:pPr>
        <w:contextualSpacing/>
        <w:rPr>
          <w:rFonts w:cs="Arial"/>
          <w:lang w:val="fr-FR"/>
        </w:rPr>
      </w:pPr>
    </w:p>
    <w:p w:rsidR="008C3126" w:rsidRPr="008725ED" w:rsidRDefault="0052307B" w:rsidP="0052307B">
      <w:pPr>
        <w:contextualSpacing/>
        <w:rPr>
          <w:rFonts w:cs="Arial"/>
          <w:shd w:val="clear" w:color="auto" w:fill="FFFFFF"/>
          <w:lang w:val="fr-FR"/>
        </w:rPr>
      </w:pPr>
      <w:r w:rsidRPr="008725ED">
        <w:rPr>
          <w:rFonts w:cs="Arial"/>
          <w:shd w:val="clear" w:color="auto" w:fill="FFFFFF"/>
          <w:lang w:val="fr-FR"/>
        </w:rPr>
        <w:fldChar w:fldCharType="begin"/>
      </w:r>
      <w:r w:rsidRPr="008725ED">
        <w:rPr>
          <w:rFonts w:cs="Arial"/>
          <w:shd w:val="clear" w:color="auto" w:fill="FFFFFF"/>
          <w:lang w:val="fr-FR"/>
        </w:rPr>
        <w:instrText xml:space="preserve"> AUTONUM  </w:instrText>
      </w:r>
      <w:r w:rsidRPr="008725ED">
        <w:rPr>
          <w:rFonts w:cs="Arial"/>
          <w:shd w:val="clear" w:color="auto" w:fill="FFFFFF"/>
          <w:lang w:val="fr-FR"/>
        </w:rPr>
        <w:fldChar w:fldCharType="end"/>
      </w:r>
      <w:r w:rsidRPr="008725ED">
        <w:rPr>
          <w:rFonts w:cs="Arial"/>
          <w:shd w:val="clear" w:color="auto" w:fill="FFFFFF"/>
          <w:lang w:val="fr-FR"/>
        </w:rPr>
        <w:tab/>
        <w:t>Le 13 juillet 2016, le TWA a visité le Centre international d</w:t>
      </w:r>
      <w:r w:rsidR="00EF1779" w:rsidRPr="008725ED">
        <w:rPr>
          <w:rFonts w:cs="Arial"/>
          <w:shd w:val="clear" w:color="auto" w:fill="FFFFFF"/>
          <w:lang w:val="fr-FR"/>
        </w:rPr>
        <w:t>’</w:t>
      </w:r>
      <w:r w:rsidRPr="008725ED">
        <w:rPr>
          <w:rFonts w:cs="Arial"/>
          <w:shd w:val="clear" w:color="auto" w:fill="FFFFFF"/>
          <w:lang w:val="fr-FR"/>
        </w:rPr>
        <w:t>amélioration du maïs et du blé (CIMMYT).  Mme Isabel Vianey Peña Mendoza, du département des Relations institutionnelles pour l</w:t>
      </w:r>
      <w:r w:rsidR="00EF1779" w:rsidRPr="008725ED">
        <w:rPr>
          <w:rFonts w:cs="Arial"/>
          <w:shd w:val="clear" w:color="auto" w:fill="FFFFFF"/>
          <w:lang w:val="fr-FR"/>
        </w:rPr>
        <w:t>’</w:t>
      </w:r>
      <w:r w:rsidRPr="008725ED">
        <w:rPr>
          <w:rFonts w:cs="Arial"/>
          <w:shd w:val="clear" w:color="auto" w:fill="FFFFFF"/>
          <w:lang w:val="fr-FR"/>
        </w:rPr>
        <w:t>Amérique latine,</w:t>
      </w:r>
      <w:r w:rsidRPr="008725ED">
        <w:rPr>
          <w:rFonts w:cs="Arial"/>
          <w:lang w:val="fr-FR"/>
        </w:rPr>
        <w:t xml:space="preserve"> a souhaité la bienvenue au </w:t>
      </w:r>
      <w:r w:rsidRPr="008725ED">
        <w:rPr>
          <w:rFonts w:cs="Arial"/>
          <w:shd w:val="clear" w:color="auto" w:fill="FFFFFF"/>
          <w:lang w:val="fr-FR"/>
        </w:rPr>
        <w:t>TWA, qui a suivi trois exposés</w:t>
      </w:r>
      <w:r w:rsidR="00EF1779" w:rsidRPr="008725ED">
        <w:rPr>
          <w:rFonts w:cs="Arial"/>
          <w:shd w:val="clear" w:color="auto" w:fill="FFFFFF"/>
          <w:lang w:val="fr-FR"/>
        </w:rPr>
        <w:t> :</w:t>
      </w:r>
      <w:r w:rsidRPr="008725ED">
        <w:rPr>
          <w:rFonts w:cs="Arial"/>
          <w:shd w:val="clear" w:color="auto" w:fill="FFFFFF"/>
          <w:lang w:val="fr-FR"/>
        </w:rPr>
        <w:t xml:space="preserve"> “Le CIMMYT – Vue d</w:t>
      </w:r>
      <w:r w:rsidR="00EF1779" w:rsidRPr="008725ED">
        <w:rPr>
          <w:rFonts w:cs="Arial"/>
          <w:shd w:val="clear" w:color="auto" w:fill="FFFFFF"/>
          <w:lang w:val="fr-FR"/>
        </w:rPr>
        <w:t>’</w:t>
      </w:r>
      <w:r w:rsidRPr="008725ED">
        <w:rPr>
          <w:rFonts w:cs="Arial"/>
          <w:shd w:val="clear" w:color="auto" w:fill="FFFFFF"/>
          <w:lang w:val="fr-FR"/>
        </w:rPr>
        <w:t>ensemble”, présenté par M. Bram Govaerts, représentant régional pour l</w:t>
      </w:r>
      <w:r w:rsidR="00EF1779" w:rsidRPr="008725ED">
        <w:rPr>
          <w:rFonts w:cs="Arial"/>
          <w:shd w:val="clear" w:color="auto" w:fill="FFFFFF"/>
          <w:lang w:val="fr-FR"/>
        </w:rPr>
        <w:t>’</w:t>
      </w:r>
      <w:r w:rsidRPr="008725ED">
        <w:rPr>
          <w:rFonts w:cs="Arial"/>
          <w:shd w:val="clear" w:color="auto" w:fill="FFFFFF"/>
          <w:lang w:val="fr-FR"/>
        </w:rPr>
        <w:t>Amérique latine;  “Le programme mondial du CIMMYT pour le blé”, présenté par M. Matthew Reynolds, scientifique émérite du programme mondial pour le blé;  et “Collaboration avec le secteur privé”, présenté par M. Arturo Silva Hinojosa, directeur, du Consortium international pour l</w:t>
      </w:r>
      <w:r w:rsidR="00EF1779" w:rsidRPr="008725ED">
        <w:rPr>
          <w:rFonts w:cs="Arial"/>
          <w:shd w:val="clear" w:color="auto" w:fill="FFFFFF"/>
          <w:lang w:val="fr-FR"/>
        </w:rPr>
        <w:t>’</w:t>
      </w:r>
      <w:r w:rsidRPr="008725ED">
        <w:rPr>
          <w:rFonts w:cs="Arial"/>
          <w:shd w:val="clear" w:color="auto" w:fill="FFFFFF"/>
          <w:lang w:val="fr-FR"/>
        </w:rPr>
        <w:t>amélioration du ma</w:t>
      </w:r>
      <w:r w:rsidR="00D43219" w:rsidRPr="008725ED">
        <w:rPr>
          <w:rFonts w:cs="Arial"/>
          <w:shd w:val="clear" w:color="auto" w:fill="FFFFFF"/>
          <w:lang w:val="fr-FR"/>
        </w:rPr>
        <w:t>ïs.  Le</w:t>
      </w:r>
      <w:r w:rsidRPr="008725ED">
        <w:rPr>
          <w:rFonts w:cs="Arial"/>
          <w:shd w:val="clear" w:color="auto" w:fill="FFFFFF"/>
          <w:lang w:val="fr-FR"/>
        </w:rPr>
        <w:t> TWA a visité la</w:t>
      </w:r>
      <w:r w:rsidRPr="008725ED">
        <w:rPr>
          <w:lang w:val="fr-FR"/>
        </w:rPr>
        <w:t xml:space="preserve"> </w:t>
      </w:r>
      <w:r w:rsidRPr="008725ED">
        <w:rPr>
          <w:rFonts w:cs="Arial"/>
          <w:shd w:val="clear" w:color="auto" w:fill="FFFFFF"/>
          <w:lang w:val="fr-FR"/>
        </w:rPr>
        <w:t>banque de germoplasme du CIMMYT et a été accueilli par M. Thomas Payne, chef du centre des ressources génétiqu</w:t>
      </w:r>
      <w:r w:rsidR="00D43219" w:rsidRPr="008725ED">
        <w:rPr>
          <w:rFonts w:cs="Arial"/>
          <w:shd w:val="clear" w:color="auto" w:fill="FFFFFF"/>
          <w:lang w:val="fr-FR"/>
        </w:rPr>
        <w:t>es.  Le</w:t>
      </w:r>
      <w:r w:rsidRPr="008725ED">
        <w:rPr>
          <w:rFonts w:cs="Arial"/>
          <w:shd w:val="clear" w:color="auto" w:fill="FFFFFF"/>
          <w:lang w:val="fr-FR"/>
        </w:rPr>
        <w:t> TWA, qui a également visité des essais de ricine et de quinoa à l</w:t>
      </w:r>
      <w:r w:rsidR="00EF1779" w:rsidRPr="008725ED">
        <w:rPr>
          <w:rFonts w:cs="Arial"/>
          <w:shd w:val="clear" w:color="auto" w:fill="FFFFFF"/>
          <w:lang w:val="fr-FR"/>
        </w:rPr>
        <w:t>’</w:t>
      </w:r>
      <w:r w:rsidRPr="008725ED">
        <w:rPr>
          <w:rFonts w:cs="Arial"/>
          <w:shd w:val="clear" w:color="auto" w:fill="FFFFFF"/>
          <w:lang w:val="fr-FR"/>
        </w:rPr>
        <w:t>Université autonome de Chapingo, a été accueilli par M. Augustín López Herrera, professeur et chercheur, et par Mme María Antonieta Goytia Jiménez, directrice générale chargée de l</w:t>
      </w:r>
      <w:r w:rsidR="00EF1779" w:rsidRPr="008725ED">
        <w:rPr>
          <w:rFonts w:cs="Arial"/>
          <w:shd w:val="clear" w:color="auto" w:fill="FFFFFF"/>
          <w:lang w:val="fr-FR"/>
        </w:rPr>
        <w:t>’</w:t>
      </w:r>
      <w:r w:rsidRPr="008725ED">
        <w:rPr>
          <w:rFonts w:cs="Arial"/>
          <w:shd w:val="clear" w:color="auto" w:fill="FFFFFF"/>
          <w:lang w:val="fr-FR"/>
        </w:rPr>
        <w:t>administration.</w:t>
      </w:r>
    </w:p>
    <w:p w:rsidR="008C3126" w:rsidRPr="008725ED" w:rsidRDefault="008C3126" w:rsidP="005E033E">
      <w:pPr>
        <w:spacing w:line="360" w:lineRule="auto"/>
        <w:contextualSpacing/>
        <w:rPr>
          <w:rFonts w:cs="Arial"/>
          <w:shd w:val="clear" w:color="auto" w:fill="FFFFFF"/>
          <w:lang w:val="fr-FR"/>
        </w:rPr>
      </w:pPr>
    </w:p>
    <w:p w:rsidR="008C3126" w:rsidRPr="008725ED" w:rsidRDefault="0052307B" w:rsidP="0052307B">
      <w:pPr>
        <w:pStyle w:val="Heading3"/>
      </w:pPr>
      <w:bookmarkStart w:id="47" w:name="_Toc494207984"/>
      <w:r w:rsidRPr="008725ED">
        <w:t>Groupe de travail technique sur les systèmes d</w:t>
      </w:r>
      <w:r w:rsidR="00EF1779" w:rsidRPr="008725ED">
        <w:t>’</w:t>
      </w:r>
      <w:r w:rsidRPr="008725ED">
        <w:t>automatisation et les programmes d</w:t>
      </w:r>
      <w:r w:rsidR="00EF1779" w:rsidRPr="008725ED">
        <w:t>’</w:t>
      </w:r>
      <w:r w:rsidRPr="008725ED">
        <w:t>ordinateur</w:t>
      </w:r>
      <w:bookmarkEnd w:id="47"/>
    </w:p>
    <w:p w:rsidR="008C3126" w:rsidRPr="008725ED" w:rsidRDefault="008C3126" w:rsidP="0052307B">
      <w:pPr>
        <w:keepNext/>
        <w:rPr>
          <w:lang w:val="fr-FR"/>
        </w:rPr>
      </w:pPr>
    </w:p>
    <w:p w:rsidR="008C3126" w:rsidRPr="008725ED" w:rsidRDefault="0052307B" w:rsidP="0052307B">
      <w:pPr>
        <w:tabs>
          <w:tab w:val="left" w:pos="567"/>
        </w:tabs>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Le Groupe de travail technique sur les systèmes d</w:t>
      </w:r>
      <w:r w:rsidR="00EF1779" w:rsidRPr="008725ED">
        <w:rPr>
          <w:rFonts w:cs="Arial"/>
          <w:lang w:val="fr-FR"/>
        </w:rPr>
        <w:t>’</w:t>
      </w:r>
      <w:r w:rsidRPr="008725ED">
        <w:rPr>
          <w:rFonts w:cs="Arial"/>
          <w:lang w:val="fr-FR"/>
        </w:rPr>
        <w:t>automatisation et les programmes d</w:t>
      </w:r>
      <w:r w:rsidR="00EF1779" w:rsidRPr="008725ED">
        <w:rPr>
          <w:rFonts w:cs="Arial"/>
          <w:lang w:val="fr-FR"/>
        </w:rPr>
        <w:t>’</w:t>
      </w:r>
      <w:r w:rsidRPr="008725ED">
        <w:rPr>
          <w:rFonts w:cs="Arial"/>
          <w:lang w:val="fr-FR"/>
        </w:rPr>
        <w:t>ordinateur (TWC) a tenu sa vingt</w:t>
      </w:r>
      <w:r w:rsidR="00EF1779" w:rsidRPr="008725ED">
        <w:rPr>
          <w:rFonts w:cs="Arial"/>
          <w:lang w:val="fr-FR"/>
        </w:rPr>
        <w:t>-</w:t>
      </w:r>
      <w:r w:rsidRPr="008725ED">
        <w:rPr>
          <w:rFonts w:cs="Arial"/>
          <w:lang w:val="fr-FR"/>
        </w:rPr>
        <w:t>quatr</w:t>
      </w:r>
      <w:r w:rsidR="00EF1779" w:rsidRPr="008725ED">
        <w:rPr>
          <w:rFonts w:cs="Arial"/>
          <w:lang w:val="fr-FR"/>
        </w:rPr>
        <w:t>ième session</w:t>
      </w:r>
      <w:r w:rsidRPr="008725ED">
        <w:rPr>
          <w:rFonts w:cs="Arial"/>
          <w:lang w:val="fr-FR"/>
        </w:rPr>
        <w:t xml:space="preserve"> à Shanghai (Chine) du 7 au 10 juin 2016, sous la présidence de M. Adrian Roberts (Royaume</w:t>
      </w:r>
      <w:r w:rsidR="00EF1779" w:rsidRPr="008725ED">
        <w:rPr>
          <w:rFonts w:cs="Arial"/>
          <w:lang w:val="fr-FR"/>
        </w:rPr>
        <w:t>-</w:t>
      </w:r>
      <w:r w:rsidRPr="008725ED">
        <w:rPr>
          <w:rFonts w:cs="Arial"/>
          <w:lang w:val="fr-FR"/>
        </w:rPr>
        <w:t>U</w:t>
      </w:r>
      <w:r w:rsidR="00D43219" w:rsidRPr="008725ED">
        <w:rPr>
          <w:rFonts w:cs="Arial"/>
          <w:lang w:val="fr-FR"/>
        </w:rPr>
        <w:t>ni).  Le</w:t>
      </w:r>
      <w:r w:rsidR="006A36A4" w:rsidRPr="008725ED">
        <w:rPr>
          <w:rFonts w:cs="Arial"/>
          <w:lang w:val="fr-FR"/>
        </w:rPr>
        <w:t xml:space="preserve"> compte rendu de la session </w:t>
      </w:r>
      <w:r w:rsidR="00335E38" w:rsidRPr="008725ED">
        <w:rPr>
          <w:rFonts w:cs="Arial"/>
          <w:lang w:val="fr-FR"/>
        </w:rPr>
        <w:t>fait l</w:t>
      </w:r>
      <w:r w:rsidR="00EF1779" w:rsidRPr="008725ED">
        <w:rPr>
          <w:rFonts w:cs="Arial"/>
          <w:lang w:val="fr-FR"/>
        </w:rPr>
        <w:t>’</w:t>
      </w:r>
      <w:r w:rsidR="00335E38" w:rsidRPr="008725ED">
        <w:rPr>
          <w:rFonts w:cs="Arial"/>
          <w:lang w:val="fr-FR"/>
        </w:rPr>
        <w:t>objet du</w:t>
      </w:r>
      <w:r w:rsidR="006A36A4" w:rsidRPr="008725ED">
        <w:rPr>
          <w:rFonts w:cs="Arial"/>
          <w:lang w:val="fr-FR"/>
        </w:rPr>
        <w:t xml:space="preserve"> document TWC/34/32 </w:t>
      </w:r>
      <w:r w:rsidR="00B0700F" w:rsidRPr="008725ED">
        <w:rPr>
          <w:rFonts w:cs="Arial"/>
          <w:lang w:val="fr-FR"/>
        </w:rPr>
        <w:t>“</w:t>
      </w:r>
      <w:r w:rsidR="006A36A4" w:rsidRPr="008725ED">
        <w:rPr>
          <w:rFonts w:cs="Arial"/>
          <w:lang w:val="fr-FR"/>
        </w:rPr>
        <w:t>Report</w:t>
      </w:r>
      <w:r w:rsidR="00B0700F" w:rsidRPr="008725ED">
        <w:rPr>
          <w:rFonts w:cs="Arial"/>
          <w:lang w:val="fr-FR"/>
        </w:rPr>
        <w:t>”</w:t>
      </w:r>
      <w:r w:rsidR="006A36A4" w:rsidRPr="008725ED">
        <w:rPr>
          <w:rFonts w:cs="Arial"/>
          <w:lang w:val="fr-FR"/>
        </w:rPr>
        <w:t>.</w:t>
      </w:r>
    </w:p>
    <w:p w:rsidR="008C3126" w:rsidRPr="008725ED" w:rsidRDefault="008C3126" w:rsidP="0052307B">
      <w:pPr>
        <w:tabs>
          <w:tab w:val="left" w:pos="567"/>
        </w:tabs>
        <w:rPr>
          <w:rFonts w:cs="Arial"/>
          <w:lang w:val="fr-FR"/>
        </w:rPr>
      </w:pPr>
    </w:p>
    <w:p w:rsidR="008C3126" w:rsidRPr="008725ED" w:rsidRDefault="0052307B" w:rsidP="0052307B">
      <w:pPr>
        <w:tabs>
          <w:tab w:val="left" w:pos="567"/>
        </w:tabs>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La session a réuni 34 participants représentant 10 membres de l</w:t>
      </w:r>
      <w:r w:rsidR="00EF1779" w:rsidRPr="008725ED">
        <w:rPr>
          <w:rFonts w:cs="Arial"/>
          <w:lang w:val="fr-FR"/>
        </w:rPr>
        <w:t>’</w:t>
      </w:r>
      <w:r w:rsidRPr="008725ED">
        <w:rPr>
          <w:rFonts w:cs="Arial"/>
          <w:lang w:val="fr-FR"/>
        </w:rPr>
        <w:t>Uni</w:t>
      </w:r>
      <w:r w:rsidR="00D43219" w:rsidRPr="008725ED">
        <w:rPr>
          <w:rFonts w:cs="Arial"/>
          <w:lang w:val="fr-FR"/>
        </w:rPr>
        <w:t>on.  L’a</w:t>
      </w:r>
      <w:r w:rsidRPr="008725ED">
        <w:rPr>
          <w:rFonts w:cs="Arial"/>
          <w:lang w:val="fr-FR"/>
        </w:rPr>
        <w:t>telier préparatoire, tenu l</w:t>
      </w:r>
      <w:r w:rsidR="00EF1779" w:rsidRPr="008725ED">
        <w:rPr>
          <w:rFonts w:cs="Arial"/>
          <w:lang w:val="fr-FR"/>
        </w:rPr>
        <w:t>’</w:t>
      </w:r>
      <w:r w:rsidR="006A36A4" w:rsidRPr="008725ED">
        <w:rPr>
          <w:rFonts w:cs="Arial"/>
          <w:lang w:val="fr-FR"/>
        </w:rPr>
        <w:t>après</w:t>
      </w:r>
      <w:r w:rsidR="00EF1779" w:rsidRPr="008725ED">
        <w:rPr>
          <w:rFonts w:cs="Arial"/>
          <w:lang w:val="fr-FR"/>
        </w:rPr>
        <w:t>-</w:t>
      </w:r>
      <w:r w:rsidR="006A36A4" w:rsidRPr="008725ED">
        <w:rPr>
          <w:rFonts w:cs="Arial"/>
          <w:lang w:val="fr-FR"/>
        </w:rPr>
        <w:t>midi du 6 </w:t>
      </w:r>
      <w:r w:rsidR="00EF1779" w:rsidRPr="008725ED">
        <w:rPr>
          <w:rFonts w:cs="Arial"/>
          <w:lang w:val="fr-FR"/>
        </w:rPr>
        <w:t>juin 20</w:t>
      </w:r>
      <w:r w:rsidR="006A36A4" w:rsidRPr="008725ED">
        <w:rPr>
          <w:rFonts w:cs="Arial"/>
          <w:lang w:val="fr-FR"/>
        </w:rPr>
        <w:t>16, a réuni huit participants représentant cinq</w:t>
      </w:r>
      <w:r w:rsidRPr="008725ED">
        <w:rPr>
          <w:rFonts w:cs="Arial"/>
          <w:lang w:val="fr-FR"/>
        </w:rPr>
        <w:t> membres de l</w:t>
      </w:r>
      <w:r w:rsidR="00EF1779" w:rsidRPr="008725ED">
        <w:rPr>
          <w:rFonts w:cs="Arial"/>
          <w:lang w:val="fr-FR"/>
        </w:rPr>
        <w:t>’</w:t>
      </w:r>
      <w:r w:rsidRPr="008725ED">
        <w:rPr>
          <w:rFonts w:cs="Arial"/>
          <w:lang w:val="fr-FR"/>
        </w:rPr>
        <w:t>Union.</w:t>
      </w:r>
    </w:p>
    <w:p w:rsidR="008C3126" w:rsidRPr="008725ED" w:rsidRDefault="008C3126" w:rsidP="0052307B">
      <w:pPr>
        <w:tabs>
          <w:tab w:val="left" w:pos="567"/>
        </w:tabs>
        <w:rPr>
          <w:rFonts w:cs="Arial"/>
          <w:lang w:val="fr-FR"/>
        </w:rPr>
      </w:pPr>
    </w:p>
    <w:p w:rsidR="008C3126" w:rsidRPr="008725ED" w:rsidRDefault="0052307B" w:rsidP="0052307B">
      <w:pPr>
        <w:tabs>
          <w:tab w:val="left" w:pos="567"/>
        </w:tabs>
        <w:autoSpaceDE w:val="0"/>
        <w:autoSpaceDN w:val="0"/>
        <w:adjustRightInd w:val="0"/>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M. Yang Xiongnian, directeur général du Centre de développement des sciences et des technologies, Ministère de l</w:t>
      </w:r>
      <w:r w:rsidR="00EF1779" w:rsidRPr="008725ED">
        <w:rPr>
          <w:rFonts w:cs="Arial"/>
          <w:lang w:val="fr-FR"/>
        </w:rPr>
        <w:t>’</w:t>
      </w:r>
      <w:r w:rsidRPr="008725ED">
        <w:rPr>
          <w:rFonts w:cs="Arial"/>
          <w:lang w:val="fr-FR"/>
        </w:rPr>
        <w:t>agriculture (directeur général de la station d</w:t>
      </w:r>
      <w:r w:rsidR="00EF1779" w:rsidRPr="008725ED">
        <w:rPr>
          <w:rFonts w:cs="Arial"/>
          <w:lang w:val="fr-FR"/>
        </w:rPr>
        <w:t>’</w:t>
      </w:r>
      <w:r w:rsidRPr="008725ED">
        <w:rPr>
          <w:rFonts w:cs="Arial"/>
          <w:lang w:val="fr-FR"/>
        </w:rPr>
        <w:t>examen DHS, Ministère de l</w:t>
      </w:r>
      <w:r w:rsidR="00EF1779" w:rsidRPr="008725ED">
        <w:rPr>
          <w:rFonts w:cs="Arial"/>
          <w:lang w:val="fr-FR"/>
        </w:rPr>
        <w:t>’</w:t>
      </w:r>
      <w:r w:rsidRPr="008725ED">
        <w:rPr>
          <w:rFonts w:cs="Arial"/>
          <w:lang w:val="fr-FR"/>
        </w:rPr>
        <w:t>agriculture), M. Cai Youming, président de l</w:t>
      </w:r>
      <w:r w:rsidR="00EF1779" w:rsidRPr="008725ED">
        <w:rPr>
          <w:rFonts w:cs="Arial"/>
          <w:lang w:val="fr-FR"/>
        </w:rPr>
        <w:t>’</w:t>
      </w:r>
      <w:r w:rsidRPr="008725ED">
        <w:rPr>
          <w:rFonts w:cs="Arial"/>
          <w:lang w:val="fr-FR"/>
        </w:rPr>
        <w:t>Académie d</w:t>
      </w:r>
      <w:r w:rsidR="00EF1779" w:rsidRPr="008725ED">
        <w:rPr>
          <w:rFonts w:cs="Arial"/>
          <w:lang w:val="fr-FR"/>
        </w:rPr>
        <w:t>’</w:t>
      </w:r>
      <w:r w:rsidRPr="008725ED">
        <w:rPr>
          <w:rFonts w:cs="Arial"/>
          <w:lang w:val="fr-FR"/>
        </w:rPr>
        <w:t>agronomie de Shanghai et M. Ma Zhiqiang, chef de la Division de la gestion des variétés, Bureau de la gestion des semences, Ministère de l</w:t>
      </w:r>
      <w:r w:rsidR="00EF1779" w:rsidRPr="008725ED">
        <w:rPr>
          <w:rFonts w:cs="Arial"/>
          <w:lang w:val="fr-FR"/>
        </w:rPr>
        <w:t>’</w:t>
      </w:r>
      <w:r w:rsidRPr="008725ED">
        <w:rPr>
          <w:rFonts w:cs="Arial"/>
          <w:lang w:val="fr-FR"/>
        </w:rPr>
        <w:t>agriculture, ont souhaité la bienvenue au </w:t>
      </w:r>
      <w:r w:rsidR="00D43219" w:rsidRPr="008725ED">
        <w:rPr>
          <w:rFonts w:cs="Arial"/>
          <w:lang w:val="fr-FR"/>
        </w:rPr>
        <w:t>TWC.  Le</w:t>
      </w:r>
      <w:r w:rsidRPr="008725ED">
        <w:rPr>
          <w:rFonts w:cs="Arial"/>
          <w:lang w:val="fr-FR"/>
        </w:rPr>
        <w:t> TWC a suivi un exposé sur le système de protection des variétés végétales en Chine, présenté par M. Cui Yehan, professeur et directeur de la Division de la protection des variétés végétales du Centre de développement des sciences et des technologies, Ministère de l</w:t>
      </w:r>
      <w:r w:rsidR="00EF1779" w:rsidRPr="008725ED">
        <w:rPr>
          <w:rFonts w:cs="Arial"/>
          <w:lang w:val="fr-FR"/>
        </w:rPr>
        <w:t>’</w:t>
      </w:r>
      <w:r w:rsidRPr="008725ED">
        <w:rPr>
          <w:rFonts w:cs="Arial"/>
          <w:lang w:val="fr-FR"/>
        </w:rPr>
        <w:t>agriculture.</w:t>
      </w:r>
    </w:p>
    <w:p w:rsidR="008C3126" w:rsidRPr="008725ED" w:rsidRDefault="008C3126" w:rsidP="0052307B">
      <w:pPr>
        <w:autoSpaceDE w:val="0"/>
        <w:autoSpaceDN w:val="0"/>
        <w:adjustRightInd w:val="0"/>
        <w:rPr>
          <w:rFonts w:cs="Arial"/>
          <w:lang w:val="fr-FR"/>
        </w:rPr>
      </w:pPr>
    </w:p>
    <w:p w:rsidR="008C3126" w:rsidRPr="008725ED" w:rsidRDefault="0052307B" w:rsidP="0052307B">
      <w:pPr>
        <w:tabs>
          <w:tab w:val="left" w:pos="567"/>
        </w:tabs>
        <w:autoSpaceDE w:val="0"/>
        <w:autoSpaceDN w:val="0"/>
        <w:adjustRightInd w:val="0"/>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L</w:t>
      </w:r>
      <w:r w:rsidR="00EF1779" w:rsidRPr="008725ED">
        <w:rPr>
          <w:rFonts w:cs="Arial"/>
          <w:lang w:val="fr-FR"/>
        </w:rPr>
        <w:t>’</w:t>
      </w:r>
      <w:r w:rsidRPr="008725ED">
        <w:rPr>
          <w:rFonts w:cs="Arial"/>
          <w:lang w:val="fr-FR"/>
        </w:rPr>
        <w:t>après</w:t>
      </w:r>
      <w:r w:rsidR="00EF1779" w:rsidRPr="008725ED">
        <w:rPr>
          <w:rFonts w:cs="Arial"/>
          <w:lang w:val="fr-FR"/>
        </w:rPr>
        <w:t>-</w:t>
      </w:r>
      <w:r w:rsidRPr="008725ED">
        <w:rPr>
          <w:rFonts w:cs="Arial"/>
          <w:lang w:val="fr-FR"/>
        </w:rPr>
        <w:t>midi du 9 juin 2016, le TWC a visité la station expérimentale Zhuanghang de l</w:t>
      </w:r>
      <w:r w:rsidR="00EF1779" w:rsidRPr="008725ED">
        <w:rPr>
          <w:rFonts w:cs="Arial"/>
          <w:lang w:val="fr-FR"/>
        </w:rPr>
        <w:t>’</w:t>
      </w:r>
      <w:r w:rsidRPr="008725ED">
        <w:rPr>
          <w:rFonts w:cs="Arial"/>
          <w:lang w:val="fr-FR"/>
        </w:rPr>
        <w:t>Académie d</w:t>
      </w:r>
      <w:r w:rsidR="00EF1779" w:rsidRPr="008725ED">
        <w:rPr>
          <w:rFonts w:cs="Arial"/>
          <w:lang w:val="fr-FR"/>
        </w:rPr>
        <w:t>’</w:t>
      </w:r>
      <w:r w:rsidRPr="008725ED">
        <w:rPr>
          <w:rFonts w:cs="Arial"/>
          <w:lang w:val="fr-FR"/>
        </w:rPr>
        <w:t>agronomie de Shanghai, où elle a suivi des exposés et visité les essais aux fins de l</w:t>
      </w:r>
      <w:r w:rsidR="00EF1779" w:rsidRPr="008725ED">
        <w:rPr>
          <w:rFonts w:cs="Arial"/>
          <w:lang w:val="fr-FR"/>
        </w:rPr>
        <w:t>’</w:t>
      </w:r>
      <w:r w:rsidRPr="008725ED">
        <w:rPr>
          <w:rFonts w:cs="Arial"/>
          <w:lang w:val="fr-FR"/>
        </w:rPr>
        <w:t>examen DHS, qui comprenaient des plantes ornementales et des plantes potagères.</w:t>
      </w:r>
    </w:p>
    <w:p w:rsidR="008C3126" w:rsidRPr="008725ED" w:rsidRDefault="008C3126" w:rsidP="0052307B">
      <w:pPr>
        <w:autoSpaceDE w:val="0"/>
        <w:autoSpaceDN w:val="0"/>
        <w:adjustRightInd w:val="0"/>
        <w:rPr>
          <w:rFonts w:cs="Arial"/>
          <w:lang w:val="fr-FR"/>
        </w:rPr>
      </w:pPr>
    </w:p>
    <w:p w:rsidR="008C3126" w:rsidRPr="008725ED" w:rsidRDefault="0052307B" w:rsidP="0052307B">
      <w:pPr>
        <w:tabs>
          <w:tab w:val="left" w:pos="567"/>
        </w:tabs>
        <w:autoSpaceDE w:val="0"/>
        <w:autoSpaceDN w:val="0"/>
        <w:adjustRightInd w:val="0"/>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Le TWC a écouté un rapport verbal sur la quinz</w:t>
      </w:r>
      <w:r w:rsidR="00EF1779" w:rsidRPr="008725ED">
        <w:rPr>
          <w:rFonts w:cs="Arial"/>
          <w:lang w:val="fr-FR"/>
        </w:rPr>
        <w:t>ième session</w:t>
      </w:r>
      <w:r w:rsidRPr="008725ED">
        <w:rPr>
          <w:rFonts w:cs="Arial"/>
          <w:lang w:val="fr-FR"/>
        </w:rPr>
        <w:t xml:space="preserve"> du BMT présenté par M. Kees van Ettekoven (Pays</w:t>
      </w:r>
      <w:r w:rsidR="00EF1779" w:rsidRPr="008725ED">
        <w:rPr>
          <w:rFonts w:cs="Arial"/>
          <w:lang w:val="fr-FR"/>
        </w:rPr>
        <w:t>-</w:t>
      </w:r>
      <w:r w:rsidRPr="008725ED">
        <w:rPr>
          <w:rFonts w:cs="Arial"/>
          <w:lang w:val="fr-FR"/>
        </w:rPr>
        <w:t>Bas), président du </w:t>
      </w:r>
      <w:r w:rsidR="00D43219" w:rsidRPr="008725ED">
        <w:rPr>
          <w:rFonts w:cs="Arial"/>
          <w:lang w:val="fr-FR"/>
        </w:rPr>
        <w:t>BMT.  Le</w:t>
      </w:r>
      <w:r w:rsidRPr="008725ED">
        <w:rPr>
          <w:rFonts w:cs="Arial"/>
          <w:lang w:val="fr-FR"/>
        </w:rPr>
        <w:t> TWC a également suivi un exposé sur la bio</w:t>
      </w:r>
      <w:r w:rsidR="00EF1779" w:rsidRPr="008725ED">
        <w:rPr>
          <w:rFonts w:cs="Arial"/>
          <w:lang w:val="fr-FR"/>
        </w:rPr>
        <w:t>-</w:t>
      </w:r>
      <w:r w:rsidRPr="008725ED">
        <w:rPr>
          <w:rFonts w:cs="Arial"/>
          <w:lang w:val="fr-FR"/>
        </w:rPr>
        <w:t>informatique présenté par un expert des Pays</w:t>
      </w:r>
      <w:r w:rsidR="00EF1779" w:rsidRPr="008725ED">
        <w:rPr>
          <w:rFonts w:cs="Arial"/>
          <w:lang w:val="fr-FR"/>
        </w:rPr>
        <w:t>-</w:t>
      </w:r>
      <w:r w:rsidRPr="008725ED">
        <w:rPr>
          <w:rFonts w:cs="Arial"/>
          <w:lang w:val="fr-FR"/>
        </w:rPr>
        <w:t>Bas (annexe du document TWC/34/24).  Le TWC est convenu que la bio</w:t>
      </w:r>
      <w:r w:rsidR="00EF1779" w:rsidRPr="008725ED">
        <w:rPr>
          <w:rFonts w:cs="Arial"/>
          <w:lang w:val="fr-FR"/>
        </w:rPr>
        <w:t>-</w:t>
      </w:r>
      <w:r w:rsidRPr="008725ED">
        <w:rPr>
          <w:rFonts w:cs="Arial"/>
          <w:lang w:val="fr-FR"/>
        </w:rPr>
        <w:t>informatique était un domaine de travail étroitement lié au mandat du TWC, en raison de questions posées dans les domaines des logiciels et des statistiqu</w:t>
      </w:r>
      <w:r w:rsidR="00D43219" w:rsidRPr="008725ED">
        <w:rPr>
          <w:rFonts w:cs="Arial"/>
          <w:lang w:val="fr-FR"/>
        </w:rPr>
        <w:t>es.  Le</w:t>
      </w:r>
      <w:r w:rsidRPr="008725ED">
        <w:rPr>
          <w:rFonts w:cs="Arial"/>
          <w:lang w:val="fr-FR"/>
        </w:rPr>
        <w:t> TWC s</w:t>
      </w:r>
      <w:r w:rsidR="00EF1779" w:rsidRPr="008725ED">
        <w:rPr>
          <w:rFonts w:cs="Arial"/>
          <w:lang w:val="fr-FR"/>
        </w:rPr>
        <w:t>’</w:t>
      </w:r>
      <w:r w:rsidRPr="008725ED">
        <w:rPr>
          <w:rFonts w:cs="Arial"/>
          <w:lang w:val="fr-FR"/>
        </w:rPr>
        <w:t>est félicité des propositions faites par la Chine, la France et les Pays</w:t>
      </w:r>
      <w:r w:rsidR="00EF1779" w:rsidRPr="008725ED">
        <w:rPr>
          <w:rFonts w:cs="Arial"/>
          <w:lang w:val="fr-FR"/>
        </w:rPr>
        <w:t>-</w:t>
      </w:r>
      <w:r w:rsidRPr="008725ED">
        <w:rPr>
          <w:rFonts w:cs="Arial"/>
          <w:lang w:val="fr-FR"/>
        </w:rPr>
        <w:t>Bas de faire rapport sur des projets et des expériences menées à l</w:t>
      </w:r>
      <w:r w:rsidR="00EF1779" w:rsidRPr="008725ED">
        <w:rPr>
          <w:rFonts w:cs="Arial"/>
          <w:lang w:val="fr-FR"/>
        </w:rPr>
        <w:t>’</w:t>
      </w:r>
      <w:r w:rsidRPr="008725ED">
        <w:rPr>
          <w:rFonts w:cs="Arial"/>
          <w:lang w:val="fr-FR"/>
        </w:rPr>
        <w:t>aide des techniques moléculair</w:t>
      </w:r>
      <w:r w:rsidR="00D43219" w:rsidRPr="008725ED">
        <w:rPr>
          <w:rFonts w:cs="Arial"/>
          <w:lang w:val="fr-FR"/>
        </w:rPr>
        <w:t>es.  Le</w:t>
      </w:r>
      <w:r w:rsidRPr="008725ED">
        <w:rPr>
          <w:rFonts w:cs="Arial"/>
          <w:lang w:val="fr-FR"/>
        </w:rPr>
        <w:t>s membres ont été invités à présenter,</w:t>
      </w:r>
      <w:r w:rsidRPr="008725ED">
        <w:rPr>
          <w:lang w:val="fr-FR"/>
        </w:rPr>
        <w:t xml:space="preserve"> </w:t>
      </w:r>
      <w:r w:rsidRPr="008725ED">
        <w:rPr>
          <w:rFonts w:cs="Arial"/>
          <w:lang w:val="fr-FR"/>
        </w:rPr>
        <w:t>pour la session suivante, des exposés sur les aspects statistiques de l</w:t>
      </w:r>
      <w:r w:rsidR="00EF1779" w:rsidRPr="008725ED">
        <w:rPr>
          <w:rFonts w:cs="Arial"/>
          <w:lang w:val="fr-FR"/>
        </w:rPr>
        <w:t>’</w:t>
      </w:r>
      <w:r w:rsidRPr="008725ED">
        <w:rPr>
          <w:rFonts w:cs="Arial"/>
          <w:lang w:val="fr-FR"/>
        </w:rPr>
        <w:t>utilisation de marqueurs moléculaires</w:t>
      </w:r>
      <w:r w:rsidRPr="008725ED">
        <w:rPr>
          <w:lang w:val="fr-FR"/>
        </w:rPr>
        <w:t xml:space="preserve"> </w:t>
      </w:r>
      <w:r w:rsidRPr="008725ED">
        <w:rPr>
          <w:rFonts w:cs="Arial"/>
          <w:lang w:val="fr-FR"/>
        </w:rPr>
        <w:t>dans l</w:t>
      </w:r>
      <w:r w:rsidR="00EF1779" w:rsidRPr="008725ED">
        <w:rPr>
          <w:rFonts w:cs="Arial"/>
          <w:lang w:val="fr-FR"/>
        </w:rPr>
        <w:t>’</w:t>
      </w:r>
      <w:r w:rsidRPr="008725ED">
        <w:rPr>
          <w:rFonts w:cs="Arial"/>
          <w:lang w:val="fr-FR"/>
        </w:rPr>
        <w:t>examen DHS.</w:t>
      </w:r>
    </w:p>
    <w:p w:rsidR="008C3126" w:rsidRPr="008725ED" w:rsidRDefault="008C3126" w:rsidP="0052307B">
      <w:pPr>
        <w:autoSpaceDE w:val="0"/>
        <w:autoSpaceDN w:val="0"/>
        <w:adjustRightInd w:val="0"/>
        <w:rPr>
          <w:rFonts w:cs="Arial"/>
          <w:lang w:val="fr-FR"/>
        </w:rPr>
      </w:pPr>
    </w:p>
    <w:p w:rsidR="008C3126" w:rsidRPr="008725ED" w:rsidRDefault="0052307B" w:rsidP="0052307B">
      <w:pPr>
        <w:tabs>
          <w:tab w:val="left" w:pos="567"/>
        </w:tabs>
        <w:autoSpaceDE w:val="0"/>
        <w:autoSpaceDN w:val="0"/>
        <w:adjustRightInd w:val="0"/>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Le TWC a examiné le document TWC/34/10 “Revision of document TGP/8</w:t>
      </w:r>
      <w:r w:rsidR="00B0700F" w:rsidRPr="008725ED">
        <w:rPr>
          <w:rFonts w:cs="Arial"/>
          <w:lang w:val="fr-FR"/>
        </w:rPr>
        <w:t> </w:t>
      </w:r>
      <w:r w:rsidRPr="008725ED">
        <w:rPr>
          <w:rFonts w:cs="Arial"/>
          <w:lang w:val="fr-FR"/>
        </w:rPr>
        <w:t>: Part II</w:t>
      </w:r>
      <w:r w:rsidR="00B0700F" w:rsidRPr="008725ED">
        <w:rPr>
          <w:rFonts w:cs="Arial"/>
          <w:lang w:val="fr-FR"/>
        </w:rPr>
        <w:t> </w:t>
      </w:r>
      <w:r w:rsidRPr="008725ED">
        <w:rPr>
          <w:rFonts w:cs="Arial"/>
          <w:lang w:val="fr-FR"/>
        </w:rPr>
        <w:t>: Section 9</w:t>
      </w:r>
      <w:r w:rsidR="00B0700F" w:rsidRPr="008725ED">
        <w:rPr>
          <w:rFonts w:cs="Arial"/>
          <w:lang w:val="fr-FR"/>
        </w:rPr>
        <w:t> </w:t>
      </w:r>
      <w:r w:rsidRPr="008725ED">
        <w:rPr>
          <w:rFonts w:cs="Arial"/>
          <w:lang w:val="fr-FR"/>
        </w:rPr>
        <w:t>: the Combined</w:t>
      </w:r>
      <w:r w:rsidR="00EF1779" w:rsidRPr="008725ED">
        <w:rPr>
          <w:rFonts w:cs="Arial"/>
          <w:lang w:val="fr-FR"/>
        </w:rPr>
        <w:t>-</w:t>
      </w:r>
      <w:r w:rsidRPr="008725ED">
        <w:rPr>
          <w:rFonts w:cs="Arial"/>
          <w:lang w:val="fr-FR"/>
        </w:rPr>
        <w:t>Over</w:t>
      </w:r>
      <w:r w:rsidR="00EF1779" w:rsidRPr="008725ED">
        <w:rPr>
          <w:rFonts w:cs="Arial"/>
          <w:lang w:val="fr-FR"/>
        </w:rPr>
        <w:t>-</w:t>
      </w:r>
      <w:r w:rsidRPr="008725ED">
        <w:rPr>
          <w:rFonts w:cs="Arial"/>
          <w:lang w:val="fr-FR"/>
        </w:rPr>
        <w:t>Years Uniformity Criterion (COYU)”, qui faisait état des progrès accomplis dans l</w:t>
      </w:r>
      <w:r w:rsidR="00EF1779" w:rsidRPr="008725ED">
        <w:rPr>
          <w:rFonts w:cs="Arial"/>
          <w:lang w:val="fr-FR"/>
        </w:rPr>
        <w:t>’</w:t>
      </w:r>
      <w:r w:rsidRPr="008725ED">
        <w:rPr>
          <w:rFonts w:cs="Arial"/>
          <w:lang w:val="fr-FR"/>
        </w:rPr>
        <w:t>amélioration de l</w:t>
      </w:r>
      <w:r w:rsidR="00EF1779" w:rsidRPr="008725ED">
        <w:rPr>
          <w:rFonts w:cs="Arial"/>
          <w:lang w:val="fr-FR"/>
        </w:rPr>
        <w:t>’</w:t>
      </w:r>
      <w:r w:rsidRPr="008725ED">
        <w:rPr>
          <w:rFonts w:cs="Arial"/>
          <w:lang w:val="fr-FR"/>
        </w:rPr>
        <w:t>analyse globale de l</w:t>
      </w:r>
      <w:r w:rsidR="00EF1779" w:rsidRPr="008725ED">
        <w:rPr>
          <w:rFonts w:cs="Arial"/>
          <w:lang w:val="fr-FR"/>
        </w:rPr>
        <w:t>’</w:t>
      </w:r>
      <w:r w:rsidRPr="008725ED">
        <w:rPr>
          <w:rFonts w:cs="Arial"/>
          <w:lang w:val="fr-FR"/>
        </w:rPr>
        <w:t>homogénéité sur plusieurs années (méthode d</w:t>
      </w:r>
      <w:r w:rsidR="00EF1779" w:rsidRPr="008725ED">
        <w:rPr>
          <w:rFonts w:cs="Arial"/>
          <w:lang w:val="fr-FR"/>
        </w:rPr>
        <w:t>’</w:t>
      </w:r>
      <w:r w:rsidRPr="008725ED">
        <w:rPr>
          <w:rFonts w:cs="Arial"/>
          <w:lang w:val="fr-FR"/>
        </w:rPr>
        <w:t>analyse COYU).  Le Bureau de l</w:t>
      </w:r>
      <w:r w:rsidR="00EF1779" w:rsidRPr="008725ED">
        <w:rPr>
          <w:rFonts w:cs="Arial"/>
          <w:lang w:val="fr-FR"/>
        </w:rPr>
        <w:t>’</w:t>
      </w:r>
      <w:r w:rsidRPr="008725ED">
        <w:rPr>
          <w:rFonts w:cs="Arial"/>
          <w:lang w:val="fr-FR"/>
        </w:rPr>
        <w:t>Union a publié une circulaire en vue de</w:t>
      </w:r>
      <w:r w:rsidRPr="008725ED">
        <w:rPr>
          <w:lang w:val="fr-FR"/>
        </w:rPr>
        <w:t xml:space="preserve"> </w:t>
      </w:r>
      <w:r w:rsidRPr="008725ED">
        <w:rPr>
          <w:rFonts w:cs="Arial"/>
          <w:lang w:val="fr-FR"/>
        </w:rPr>
        <w:t>rechercher des séries de données supplémentaires destinées à contribuer à l</w:t>
      </w:r>
      <w:r w:rsidR="00EF1779" w:rsidRPr="008725ED">
        <w:rPr>
          <w:rFonts w:cs="Arial"/>
          <w:lang w:val="fr-FR"/>
        </w:rPr>
        <w:t>’</w:t>
      </w:r>
      <w:r w:rsidRPr="008725ED">
        <w:rPr>
          <w:rFonts w:cs="Arial"/>
          <w:lang w:val="fr-FR"/>
        </w:rPr>
        <w:t>élaboration de seuils de probabilité pour la nouvelle métho</w:t>
      </w:r>
      <w:r w:rsidR="00D43219" w:rsidRPr="008725ED">
        <w:rPr>
          <w:rFonts w:cs="Arial"/>
          <w:lang w:val="fr-FR"/>
        </w:rPr>
        <w:t>de.  Un</w:t>
      </w:r>
      <w:r w:rsidRPr="008725ED">
        <w:rPr>
          <w:rFonts w:cs="Arial"/>
          <w:lang w:val="fr-FR"/>
        </w:rPr>
        <w:t xml:space="preserve"> expert du Royaume</w:t>
      </w:r>
      <w:r w:rsidR="00EF1779" w:rsidRPr="008725ED">
        <w:rPr>
          <w:rFonts w:cs="Arial"/>
          <w:lang w:val="fr-FR"/>
        </w:rPr>
        <w:t>-</w:t>
      </w:r>
      <w:r w:rsidRPr="008725ED">
        <w:rPr>
          <w:rFonts w:cs="Arial"/>
          <w:lang w:val="fr-FR"/>
        </w:rPr>
        <w:t>Uni a indiqué que des séries de données avaient depuis été proposées par le Danemark et la Slovaqu</w:t>
      </w:r>
      <w:r w:rsidR="00D43219" w:rsidRPr="008725ED">
        <w:rPr>
          <w:rFonts w:cs="Arial"/>
          <w:lang w:val="fr-FR"/>
        </w:rPr>
        <w:t>ie.  Le</w:t>
      </w:r>
      <w:r w:rsidRPr="008725ED">
        <w:rPr>
          <w:rFonts w:cs="Arial"/>
          <w:lang w:val="fr-FR"/>
        </w:rPr>
        <w:t> TWC s</w:t>
      </w:r>
      <w:r w:rsidR="00EF1779" w:rsidRPr="008725ED">
        <w:rPr>
          <w:rFonts w:cs="Arial"/>
          <w:lang w:val="fr-FR"/>
        </w:rPr>
        <w:t>’</w:t>
      </w:r>
      <w:r w:rsidRPr="008725ED">
        <w:rPr>
          <w:rFonts w:cs="Arial"/>
          <w:lang w:val="fr-FR"/>
        </w:rPr>
        <w:t>est félicité des propositions faites par la Chine et la France de fournir des séries de donné</w:t>
      </w:r>
      <w:r w:rsidR="00D43219" w:rsidRPr="008725ED">
        <w:rPr>
          <w:rFonts w:cs="Arial"/>
          <w:lang w:val="fr-FR"/>
        </w:rPr>
        <w:t>es.  L’e</w:t>
      </w:r>
      <w:r w:rsidRPr="008725ED">
        <w:rPr>
          <w:rFonts w:cs="Arial"/>
          <w:lang w:val="fr-FR"/>
        </w:rPr>
        <w:t>xpert du Royaume</w:t>
      </w:r>
      <w:r w:rsidR="00EF1779" w:rsidRPr="008725ED">
        <w:rPr>
          <w:rFonts w:cs="Arial"/>
          <w:lang w:val="fr-FR"/>
        </w:rPr>
        <w:t>-</w:t>
      </w:r>
      <w:r w:rsidRPr="008725ED">
        <w:rPr>
          <w:rFonts w:cs="Arial"/>
          <w:lang w:val="fr-FR"/>
        </w:rPr>
        <w:t>Uni est convenu de faire état des progrès accomplis à la trente</w:t>
      </w:r>
      <w:r w:rsidR="00EF1779" w:rsidRPr="008725ED">
        <w:rPr>
          <w:rFonts w:cs="Arial"/>
          <w:lang w:val="fr-FR"/>
        </w:rPr>
        <w:t>-</w:t>
      </w:r>
      <w:r w:rsidRPr="008725ED">
        <w:rPr>
          <w:rFonts w:cs="Arial"/>
          <w:lang w:val="fr-FR"/>
        </w:rPr>
        <w:t>cinqu</w:t>
      </w:r>
      <w:r w:rsidR="00EF1779" w:rsidRPr="008725ED">
        <w:rPr>
          <w:rFonts w:cs="Arial"/>
          <w:lang w:val="fr-FR"/>
        </w:rPr>
        <w:t>ième session</w:t>
      </w:r>
      <w:r w:rsidRPr="008725ED">
        <w:rPr>
          <w:rFonts w:cs="Arial"/>
          <w:lang w:val="fr-FR"/>
        </w:rPr>
        <w:t xml:space="preserve"> du TWC.</w:t>
      </w:r>
    </w:p>
    <w:p w:rsidR="008C3126" w:rsidRPr="008725ED" w:rsidRDefault="008C3126" w:rsidP="0052307B">
      <w:pPr>
        <w:autoSpaceDE w:val="0"/>
        <w:autoSpaceDN w:val="0"/>
        <w:adjustRightInd w:val="0"/>
        <w:rPr>
          <w:rFonts w:cs="Arial"/>
          <w:lang w:val="fr-FR"/>
        </w:rPr>
      </w:pPr>
    </w:p>
    <w:p w:rsidR="008C3126" w:rsidRPr="008725ED" w:rsidRDefault="0052307B" w:rsidP="0052307B">
      <w:pPr>
        <w:tabs>
          <w:tab w:val="left" w:pos="567"/>
        </w:tabs>
        <w:autoSpaceDE w:val="0"/>
        <w:autoSpaceDN w:val="0"/>
        <w:adjustRightInd w:val="0"/>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Le TWC a examiné un document présenté par un expert de la France, qui compare différentes méthodes de production de descriptions variétales à partir des caractères qualitatifs sur une série de données relatives au lin cultivé (annexe I du document TWC/34/12).  La répartition des différences et points communs entre les méthodes figurant dans ce document a été utile et le TWC a demandé que l</w:t>
      </w:r>
      <w:r w:rsidR="00EF1779" w:rsidRPr="008725ED">
        <w:rPr>
          <w:rFonts w:cs="Arial"/>
          <w:lang w:val="fr-FR"/>
        </w:rPr>
        <w:t>’</w:t>
      </w:r>
      <w:r w:rsidRPr="008725ED">
        <w:rPr>
          <w:rFonts w:cs="Arial"/>
          <w:lang w:val="fr-FR"/>
        </w:rPr>
        <w:t>expert de la France continue de développer l</w:t>
      </w:r>
      <w:r w:rsidR="00EF1779" w:rsidRPr="008725ED">
        <w:rPr>
          <w:rFonts w:cs="Arial"/>
          <w:lang w:val="fr-FR"/>
        </w:rPr>
        <w:t>’</w:t>
      </w:r>
      <w:r w:rsidRPr="008725ED">
        <w:rPr>
          <w:rFonts w:cs="Arial"/>
          <w:lang w:val="fr-FR"/>
        </w:rPr>
        <w:t>étude afin de rendre plus claires les différentes méthod</w:t>
      </w:r>
      <w:r w:rsidR="00D43219" w:rsidRPr="008725ED">
        <w:rPr>
          <w:rFonts w:cs="Arial"/>
          <w:lang w:val="fr-FR"/>
        </w:rPr>
        <w:t>es.  En</w:t>
      </w:r>
      <w:r w:rsidRPr="008725ED">
        <w:rPr>
          <w:rFonts w:cs="Arial"/>
          <w:lang w:val="fr-FR"/>
        </w:rPr>
        <w:t xml:space="preserve"> outre, un expert du Royaume</w:t>
      </w:r>
      <w:r w:rsidR="00EF1779" w:rsidRPr="008725ED">
        <w:rPr>
          <w:rFonts w:cs="Arial"/>
          <w:lang w:val="fr-FR"/>
        </w:rPr>
        <w:t>-</w:t>
      </w:r>
      <w:r w:rsidRPr="008725ED">
        <w:rPr>
          <w:rFonts w:cs="Arial"/>
          <w:lang w:val="fr-FR"/>
        </w:rPr>
        <w:t>Uni a fourni une brève description des méthodes utilisées au Royaume</w:t>
      </w:r>
      <w:r w:rsidR="00EF1779" w:rsidRPr="008725ED">
        <w:rPr>
          <w:rFonts w:cs="Arial"/>
          <w:lang w:val="fr-FR"/>
        </w:rPr>
        <w:t>-</w:t>
      </w:r>
      <w:r w:rsidRPr="008725ED">
        <w:rPr>
          <w:rFonts w:cs="Arial"/>
          <w:lang w:val="fr-FR"/>
        </w:rPr>
        <w:t>Uni ainsi que des situations indiquées à titre d</w:t>
      </w:r>
      <w:r w:rsidR="00EF1779" w:rsidRPr="008725ED">
        <w:rPr>
          <w:rFonts w:cs="Arial"/>
          <w:lang w:val="fr-FR"/>
        </w:rPr>
        <w:t>’</w:t>
      </w:r>
      <w:r w:rsidRPr="008725ED">
        <w:rPr>
          <w:rFonts w:cs="Arial"/>
          <w:lang w:val="fr-FR"/>
        </w:rPr>
        <w:t>exemple où ces méthodes peuvent ou ne peuvent pas être utilisées (document TWC/34/12 Add.).  Le TWC a invité des experts de la France, de l</w:t>
      </w:r>
      <w:r w:rsidR="00EF1779" w:rsidRPr="008725ED">
        <w:rPr>
          <w:rFonts w:cs="Arial"/>
          <w:lang w:val="fr-FR"/>
        </w:rPr>
        <w:t>’</w:t>
      </w:r>
      <w:r w:rsidRPr="008725ED">
        <w:rPr>
          <w:rFonts w:cs="Arial"/>
          <w:lang w:val="fr-FR"/>
        </w:rPr>
        <w:t>Allemagne, de l</w:t>
      </w:r>
      <w:r w:rsidR="00EF1779" w:rsidRPr="008725ED">
        <w:rPr>
          <w:rFonts w:cs="Arial"/>
          <w:lang w:val="fr-FR"/>
        </w:rPr>
        <w:t>’</w:t>
      </w:r>
      <w:r w:rsidRPr="008725ED">
        <w:rPr>
          <w:rFonts w:cs="Arial"/>
          <w:lang w:val="fr-FR"/>
        </w:rPr>
        <w:t xml:space="preserve">Italie et du Japon </w:t>
      </w:r>
      <w:r w:rsidR="006A36A4" w:rsidRPr="008725ED">
        <w:rPr>
          <w:rFonts w:cs="Arial"/>
          <w:lang w:val="fr-FR"/>
        </w:rPr>
        <w:t>à</w:t>
      </w:r>
      <w:r w:rsidRPr="008725ED">
        <w:rPr>
          <w:rFonts w:cs="Arial"/>
          <w:lang w:val="fr-FR"/>
        </w:rPr>
        <w:t xml:space="preserve"> fourni</w:t>
      </w:r>
      <w:r w:rsidR="006A36A4" w:rsidRPr="008725ED">
        <w:rPr>
          <w:rFonts w:cs="Arial"/>
          <w:lang w:val="fr-FR"/>
        </w:rPr>
        <w:t>r</w:t>
      </w:r>
      <w:r w:rsidRPr="008725ED">
        <w:rPr>
          <w:rFonts w:cs="Arial"/>
          <w:lang w:val="fr-FR"/>
        </w:rPr>
        <w:t xml:space="preserve"> des descriptions semblables de leurs méthodes afin de les incorporer à l</w:t>
      </w:r>
      <w:r w:rsidR="00EF1779" w:rsidRPr="008725ED">
        <w:rPr>
          <w:rFonts w:cs="Arial"/>
          <w:lang w:val="fr-FR"/>
        </w:rPr>
        <w:t>’</w:t>
      </w:r>
      <w:r w:rsidRPr="008725ED">
        <w:rPr>
          <w:rFonts w:cs="Arial"/>
          <w:lang w:val="fr-FR"/>
        </w:rPr>
        <w:t>avenir dans les orientations.</w:t>
      </w:r>
    </w:p>
    <w:p w:rsidR="008C3126" w:rsidRPr="008725ED" w:rsidRDefault="008C3126" w:rsidP="0052307B">
      <w:pPr>
        <w:autoSpaceDE w:val="0"/>
        <w:autoSpaceDN w:val="0"/>
        <w:adjustRightInd w:val="0"/>
        <w:rPr>
          <w:rFonts w:cs="Arial"/>
          <w:lang w:val="fr-FR"/>
        </w:rPr>
      </w:pPr>
    </w:p>
    <w:p w:rsidR="008C3126" w:rsidRPr="008725ED" w:rsidRDefault="0052307B" w:rsidP="0052307B">
      <w:pPr>
        <w:tabs>
          <w:tab w:val="left" w:pos="567"/>
        </w:tabs>
        <w:autoSpaceDE w:val="0"/>
        <w:autoSpaceDN w:val="0"/>
        <w:adjustRightInd w:val="0"/>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Des experts de la Finlande et de l</w:t>
      </w:r>
      <w:r w:rsidR="00EF1779" w:rsidRPr="008725ED">
        <w:rPr>
          <w:rFonts w:cs="Arial"/>
          <w:lang w:val="fr-FR"/>
        </w:rPr>
        <w:t>’</w:t>
      </w:r>
      <w:r w:rsidRPr="008725ED">
        <w:rPr>
          <w:rFonts w:cs="Arial"/>
          <w:lang w:val="fr-FR"/>
        </w:rPr>
        <w:t>Italie ont présenté un exposé commun intitulé “Genotype by Environment Interaction (GEI) – DUS test and data transformation into notes” (annexe du document TWC/34/17).  Ils ont examiné les incidences sur les descriptions variétales produites à partir des caractères quantitatifs d</w:t>
      </w:r>
      <w:r w:rsidR="00EF1779" w:rsidRPr="008725ED">
        <w:rPr>
          <w:rFonts w:cs="Arial"/>
          <w:lang w:val="fr-FR"/>
        </w:rPr>
        <w:t>’</w:t>
      </w:r>
      <w:r w:rsidRPr="008725ED">
        <w:rPr>
          <w:rFonts w:cs="Arial"/>
          <w:lang w:val="fr-FR"/>
        </w:rPr>
        <w:t>interaction</w:t>
      </w:r>
      <w:r w:rsidRPr="008725ED">
        <w:rPr>
          <w:lang w:val="fr-FR"/>
        </w:rPr>
        <w:t xml:space="preserve"> entre </w:t>
      </w:r>
      <w:r w:rsidRPr="008725ED">
        <w:rPr>
          <w:rFonts w:cs="Arial"/>
          <w:lang w:val="fr-FR"/>
        </w:rPr>
        <w:t>génotype et environneme</w:t>
      </w:r>
      <w:r w:rsidR="00D43219" w:rsidRPr="008725ED">
        <w:rPr>
          <w:rFonts w:cs="Arial"/>
          <w:lang w:val="fr-FR"/>
        </w:rPr>
        <w:t>nt.  Le</w:t>
      </w:r>
      <w:r w:rsidRPr="008725ED">
        <w:rPr>
          <w:rFonts w:cs="Arial"/>
          <w:lang w:val="fr-FR"/>
        </w:rPr>
        <w:t>s experts ont proposé des mesures, telles que le choix judicieux de variétés de délimitation, pour améliorer ce point.</w:t>
      </w:r>
    </w:p>
    <w:p w:rsidR="008C3126" w:rsidRPr="008725ED" w:rsidRDefault="008C3126" w:rsidP="0052307B">
      <w:pPr>
        <w:autoSpaceDE w:val="0"/>
        <w:autoSpaceDN w:val="0"/>
        <w:adjustRightInd w:val="0"/>
        <w:rPr>
          <w:rFonts w:cs="Arial"/>
          <w:lang w:val="fr-FR"/>
        </w:rPr>
      </w:pPr>
    </w:p>
    <w:p w:rsidR="008C3126" w:rsidRPr="008725ED" w:rsidRDefault="0052307B" w:rsidP="0052307B">
      <w:pPr>
        <w:tabs>
          <w:tab w:val="left" w:pos="567"/>
        </w:tabs>
        <w:autoSpaceDE w:val="0"/>
        <w:autoSpaceDN w:val="0"/>
        <w:adjustRightInd w:val="0"/>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Le TWC a examiné le document intitulé “Revision of document TGP/10</w:t>
      </w:r>
      <w:r w:rsidR="00B0700F" w:rsidRPr="008725ED">
        <w:rPr>
          <w:rFonts w:cs="Arial"/>
          <w:lang w:val="fr-FR"/>
        </w:rPr>
        <w:t> </w:t>
      </w:r>
      <w:r w:rsidRPr="008725ED">
        <w:rPr>
          <w:rFonts w:cs="Arial"/>
          <w:lang w:val="fr-FR"/>
        </w:rPr>
        <w:t>: New Section</w:t>
      </w:r>
      <w:r w:rsidR="00B0700F" w:rsidRPr="008725ED">
        <w:rPr>
          <w:rFonts w:cs="Arial"/>
          <w:lang w:val="fr-FR"/>
        </w:rPr>
        <w:t> </w:t>
      </w:r>
      <w:r w:rsidRPr="008725ED">
        <w:rPr>
          <w:rFonts w:cs="Arial"/>
          <w:lang w:val="fr-FR"/>
        </w:rPr>
        <w:t>: Assessing uniformity by off</w:t>
      </w:r>
      <w:r w:rsidR="00EF1779" w:rsidRPr="008725ED">
        <w:rPr>
          <w:rFonts w:cs="Arial"/>
          <w:lang w:val="fr-FR"/>
        </w:rPr>
        <w:t>-</w:t>
      </w:r>
      <w:r w:rsidRPr="008725ED">
        <w:rPr>
          <w:rFonts w:cs="Arial"/>
          <w:lang w:val="fr-FR"/>
        </w:rPr>
        <w:t>types on basis of more than one growing cycle or on the basis of sub</w:t>
      </w:r>
      <w:r w:rsidR="00EF1779" w:rsidRPr="008725ED">
        <w:rPr>
          <w:rFonts w:cs="Arial"/>
          <w:lang w:val="fr-FR"/>
        </w:rPr>
        <w:t>-</w:t>
      </w:r>
      <w:r w:rsidRPr="008725ED">
        <w:rPr>
          <w:rFonts w:cs="Arial"/>
          <w:lang w:val="fr-FR"/>
        </w:rPr>
        <w:t>samples” (TWC/34/13).  Le TWC est convenu que des</w:t>
      </w:r>
      <w:r w:rsidRPr="008725ED">
        <w:rPr>
          <w:lang w:val="fr-FR"/>
        </w:rPr>
        <w:t xml:space="preserve"> </w:t>
      </w:r>
      <w:r w:rsidRPr="008725ED">
        <w:rPr>
          <w:rFonts w:cs="Arial"/>
          <w:lang w:val="fr-FR"/>
        </w:rPr>
        <w:t>conseils devraient être mis au point afin de faciliter le choix de la méthode la plus appropriée pour chaque situation, de sorte que le coût des essais, la cohérence des résultats, le temps nécessaire pour prendre les décisions et les aspects techniques de chaque méthode aient tous une influence sur le cho</w:t>
      </w:r>
      <w:r w:rsidR="00D43219" w:rsidRPr="008725ED">
        <w:rPr>
          <w:rFonts w:cs="Arial"/>
          <w:lang w:val="fr-FR"/>
        </w:rPr>
        <w:t>ix.  Un</w:t>
      </w:r>
      <w:r w:rsidRPr="008725ED">
        <w:rPr>
          <w:rFonts w:cs="Arial"/>
          <w:lang w:val="fr-FR"/>
        </w:rPr>
        <w:t xml:space="preserve"> expert de la France a présenté un exposé comparant les trois méthodes sur des séries de données relatives au</w:t>
      </w:r>
      <w:r w:rsidRPr="008725ED">
        <w:rPr>
          <w:lang w:val="fr-FR"/>
        </w:rPr>
        <w:t xml:space="preserve"> </w:t>
      </w:r>
      <w:r w:rsidRPr="008725ED">
        <w:rPr>
          <w:rFonts w:cs="Arial"/>
          <w:lang w:val="fr-FR"/>
        </w:rPr>
        <w:t>colza oléagineux et au chou</w:t>
      </w:r>
      <w:r w:rsidR="00EF1779" w:rsidRPr="008725ED">
        <w:rPr>
          <w:rFonts w:cs="Arial"/>
          <w:lang w:val="fr-FR"/>
        </w:rPr>
        <w:t>-</w:t>
      </w:r>
      <w:r w:rsidRPr="008725ED">
        <w:rPr>
          <w:rFonts w:cs="Arial"/>
          <w:lang w:val="fr-FR"/>
        </w:rPr>
        <w:t>fleur (document TWC/34/27).  Cet exercice a montré que les cas de résultats divergents entre les trois méthodes n</w:t>
      </w:r>
      <w:r w:rsidR="00EF1779" w:rsidRPr="008725ED">
        <w:rPr>
          <w:rFonts w:cs="Arial"/>
          <w:lang w:val="fr-FR"/>
        </w:rPr>
        <w:t>’</w:t>
      </w:r>
      <w:r w:rsidRPr="008725ED">
        <w:rPr>
          <w:rFonts w:cs="Arial"/>
          <w:lang w:val="fr-FR"/>
        </w:rPr>
        <w:t>étaient pas très fréquen</w:t>
      </w:r>
      <w:r w:rsidR="00D43219" w:rsidRPr="008725ED">
        <w:rPr>
          <w:rFonts w:cs="Arial"/>
          <w:lang w:val="fr-FR"/>
        </w:rPr>
        <w:t>ts.  Le</w:t>
      </w:r>
      <w:r w:rsidRPr="008725ED">
        <w:rPr>
          <w:rFonts w:cs="Arial"/>
          <w:lang w:val="fr-FR"/>
        </w:rPr>
        <w:t> TWC était d</w:t>
      </w:r>
      <w:r w:rsidR="00EF1779" w:rsidRPr="008725ED">
        <w:rPr>
          <w:rFonts w:cs="Arial"/>
          <w:lang w:val="fr-FR"/>
        </w:rPr>
        <w:t>’</w:t>
      </w:r>
      <w:r w:rsidRPr="008725ED">
        <w:rPr>
          <w:rFonts w:cs="Arial"/>
          <w:lang w:val="fr-FR"/>
        </w:rPr>
        <w:t>avis que de nouveaux exemples seraient utiles pour mettre au point des</w:t>
      </w:r>
      <w:r w:rsidRPr="008725ED">
        <w:rPr>
          <w:lang w:val="fr-FR"/>
        </w:rPr>
        <w:t xml:space="preserve"> </w:t>
      </w:r>
      <w:r w:rsidRPr="008725ED">
        <w:rPr>
          <w:rFonts w:cs="Arial"/>
          <w:lang w:val="fr-FR"/>
        </w:rPr>
        <w:t>conseils et s</w:t>
      </w:r>
      <w:r w:rsidR="00EF1779" w:rsidRPr="008725ED">
        <w:rPr>
          <w:rFonts w:cs="Arial"/>
          <w:lang w:val="fr-FR"/>
        </w:rPr>
        <w:t>’</w:t>
      </w:r>
      <w:r w:rsidRPr="008725ED">
        <w:rPr>
          <w:rFonts w:cs="Arial"/>
          <w:lang w:val="fr-FR"/>
        </w:rPr>
        <w:t>est félicité des propositions de l</w:t>
      </w:r>
      <w:r w:rsidR="00EF1779" w:rsidRPr="008725ED">
        <w:rPr>
          <w:rFonts w:cs="Arial"/>
          <w:lang w:val="fr-FR"/>
        </w:rPr>
        <w:t>’</w:t>
      </w:r>
      <w:r w:rsidRPr="008725ED">
        <w:rPr>
          <w:rFonts w:cs="Arial"/>
          <w:lang w:val="fr-FR"/>
        </w:rPr>
        <w:t>Allemagne, des Pays</w:t>
      </w:r>
      <w:r w:rsidR="00EF1779" w:rsidRPr="008725ED">
        <w:rPr>
          <w:rFonts w:cs="Arial"/>
          <w:lang w:val="fr-FR"/>
        </w:rPr>
        <w:t>-</w:t>
      </w:r>
      <w:r w:rsidRPr="008725ED">
        <w:rPr>
          <w:rFonts w:cs="Arial"/>
          <w:lang w:val="fr-FR"/>
        </w:rPr>
        <w:t>Bas et du Royaume</w:t>
      </w:r>
      <w:r w:rsidR="00EF1779" w:rsidRPr="008725ED">
        <w:rPr>
          <w:rFonts w:cs="Arial"/>
          <w:lang w:val="fr-FR"/>
        </w:rPr>
        <w:t>-</w:t>
      </w:r>
      <w:r w:rsidRPr="008725ED">
        <w:rPr>
          <w:rFonts w:cs="Arial"/>
          <w:lang w:val="fr-FR"/>
        </w:rPr>
        <w:t>Uni de présenter des exemples à la trente</w:t>
      </w:r>
      <w:r w:rsidR="00EF1779" w:rsidRPr="008725ED">
        <w:rPr>
          <w:rFonts w:cs="Arial"/>
          <w:lang w:val="fr-FR"/>
        </w:rPr>
        <w:t>-</w:t>
      </w:r>
      <w:r w:rsidRPr="008725ED">
        <w:rPr>
          <w:rFonts w:cs="Arial"/>
          <w:lang w:val="fr-FR"/>
        </w:rPr>
        <w:t>cinqu</w:t>
      </w:r>
      <w:r w:rsidR="00EF1779" w:rsidRPr="008725ED">
        <w:rPr>
          <w:rFonts w:cs="Arial"/>
          <w:lang w:val="fr-FR"/>
        </w:rPr>
        <w:t>ième sessi</w:t>
      </w:r>
      <w:r w:rsidR="00D43219" w:rsidRPr="008725ED">
        <w:rPr>
          <w:rFonts w:cs="Arial"/>
          <w:lang w:val="fr-FR"/>
        </w:rPr>
        <w:t>on.  Le</w:t>
      </w:r>
      <w:r w:rsidRPr="008725ED">
        <w:rPr>
          <w:rFonts w:cs="Arial"/>
          <w:lang w:val="fr-FR"/>
        </w:rPr>
        <w:t> TWC a indiqué que le TWA est convenu de demander une liaison vidéo avec les experts du TWC en vue d</w:t>
      </w:r>
      <w:r w:rsidR="00EF1779" w:rsidRPr="008725ED">
        <w:rPr>
          <w:rFonts w:cs="Arial"/>
          <w:lang w:val="fr-FR"/>
        </w:rPr>
        <w:t>’</w:t>
      </w:r>
      <w:r w:rsidRPr="008725ED">
        <w:rPr>
          <w:rFonts w:cs="Arial"/>
          <w:lang w:val="fr-FR"/>
        </w:rPr>
        <w:t>examiner ce sujet à la quarante</w:t>
      </w:r>
      <w:r w:rsidR="00EF1779" w:rsidRPr="008725ED">
        <w:rPr>
          <w:rFonts w:cs="Arial"/>
          <w:lang w:val="fr-FR"/>
        </w:rPr>
        <w:t>-</w:t>
      </w:r>
      <w:r w:rsidRPr="008725ED">
        <w:rPr>
          <w:rFonts w:cs="Arial"/>
          <w:lang w:val="fr-FR"/>
        </w:rPr>
        <w:t>cinqu</w:t>
      </w:r>
      <w:r w:rsidR="00EF1779" w:rsidRPr="008725ED">
        <w:rPr>
          <w:rFonts w:cs="Arial"/>
          <w:lang w:val="fr-FR"/>
        </w:rPr>
        <w:t>ième session</w:t>
      </w:r>
      <w:r w:rsidRPr="008725ED">
        <w:rPr>
          <w:rFonts w:cs="Arial"/>
          <w:lang w:val="fr-FR"/>
        </w:rPr>
        <w:t>.</w:t>
      </w:r>
    </w:p>
    <w:p w:rsidR="008C3126" w:rsidRPr="008725ED" w:rsidRDefault="008C3126" w:rsidP="0052307B">
      <w:pPr>
        <w:tabs>
          <w:tab w:val="left" w:pos="567"/>
        </w:tabs>
        <w:autoSpaceDE w:val="0"/>
        <w:autoSpaceDN w:val="0"/>
        <w:adjustRightInd w:val="0"/>
        <w:rPr>
          <w:rFonts w:cs="Arial"/>
          <w:lang w:val="fr-FR"/>
        </w:rPr>
      </w:pPr>
    </w:p>
    <w:p w:rsidR="008C3126" w:rsidRPr="008725ED" w:rsidRDefault="0052307B" w:rsidP="0052307B">
      <w:pPr>
        <w:tabs>
          <w:tab w:val="left" w:pos="567"/>
        </w:tabs>
        <w:autoSpaceDE w:val="0"/>
        <w:autoSpaceDN w:val="0"/>
        <w:adjustRightInd w:val="0"/>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Plusieurs exposés ont été présentés sur les systèmes logiciels utilisés ou développés par les membr</w:t>
      </w:r>
      <w:r w:rsidR="00D43219" w:rsidRPr="008725ED">
        <w:rPr>
          <w:rFonts w:cs="Arial"/>
          <w:lang w:val="fr-FR"/>
        </w:rPr>
        <w:t>es.  Il</w:t>
      </w:r>
      <w:r w:rsidRPr="008725ED">
        <w:rPr>
          <w:rFonts w:cs="Arial"/>
          <w:lang w:val="fr-FR"/>
        </w:rPr>
        <w:t xml:space="preserve"> s</w:t>
      </w:r>
      <w:r w:rsidR="00EF1779" w:rsidRPr="008725ED">
        <w:rPr>
          <w:rFonts w:cs="Arial"/>
          <w:lang w:val="fr-FR"/>
        </w:rPr>
        <w:t>’</w:t>
      </w:r>
      <w:r w:rsidRPr="008725ED">
        <w:rPr>
          <w:rFonts w:cs="Arial"/>
          <w:lang w:val="fr-FR"/>
        </w:rPr>
        <w:t>agit des exposés suivants</w:t>
      </w:r>
      <w:r w:rsidR="00EF1779" w:rsidRPr="008725ED">
        <w:rPr>
          <w:rFonts w:cs="Arial"/>
          <w:lang w:val="fr-FR"/>
        </w:rPr>
        <w:t> :</w:t>
      </w:r>
    </w:p>
    <w:p w:rsidR="008C3126" w:rsidRPr="008725ED" w:rsidRDefault="008C3126" w:rsidP="0052307B">
      <w:pPr>
        <w:autoSpaceDE w:val="0"/>
        <w:autoSpaceDN w:val="0"/>
        <w:adjustRightInd w:val="0"/>
        <w:rPr>
          <w:rFonts w:cs="Arial"/>
          <w:lang w:val="fr-FR"/>
        </w:rPr>
      </w:pPr>
    </w:p>
    <w:p w:rsidR="008C3126" w:rsidRPr="008725ED" w:rsidRDefault="0052307B" w:rsidP="0052307B">
      <w:pPr>
        <w:pStyle w:val="ListParagraph"/>
        <w:numPr>
          <w:ilvl w:val="0"/>
          <w:numId w:val="3"/>
        </w:numPr>
        <w:tabs>
          <w:tab w:val="left" w:pos="1134"/>
        </w:tabs>
        <w:autoSpaceDE w:val="0"/>
        <w:autoSpaceDN w:val="0"/>
        <w:adjustRightInd w:val="0"/>
        <w:spacing w:after="120" w:line="240" w:lineRule="auto"/>
        <w:ind w:left="1134" w:hanging="567"/>
        <w:contextualSpacing w:val="0"/>
        <w:jc w:val="both"/>
        <w:rPr>
          <w:rFonts w:ascii="Arial" w:hAnsi="Arial" w:cs="Arial"/>
          <w:sz w:val="20"/>
          <w:szCs w:val="20"/>
          <w:lang w:val="fr-FR"/>
        </w:rPr>
      </w:pPr>
      <w:r w:rsidRPr="008725ED">
        <w:rPr>
          <w:rFonts w:ascii="Arial" w:hAnsi="Arial" w:cs="Arial"/>
          <w:sz w:val="20"/>
          <w:szCs w:val="20"/>
          <w:lang w:val="fr-FR"/>
        </w:rPr>
        <w:t>Un exposé présenté par les Pays</w:t>
      </w:r>
      <w:r w:rsidR="00EF1779" w:rsidRPr="008725ED">
        <w:rPr>
          <w:rFonts w:ascii="Arial" w:hAnsi="Arial" w:cs="Arial"/>
          <w:sz w:val="20"/>
          <w:szCs w:val="20"/>
          <w:lang w:val="fr-FR"/>
        </w:rPr>
        <w:t>-</w:t>
      </w:r>
      <w:r w:rsidRPr="008725ED">
        <w:rPr>
          <w:rFonts w:ascii="Arial" w:hAnsi="Arial" w:cs="Arial"/>
          <w:sz w:val="20"/>
          <w:szCs w:val="20"/>
          <w:lang w:val="fr-FR"/>
        </w:rPr>
        <w:t>Bas, intitulé “Naktuinbouw application and information database</w:t>
      </w:r>
      <w:r w:rsidR="00B0700F" w:rsidRPr="008725ED">
        <w:rPr>
          <w:rFonts w:ascii="Arial" w:hAnsi="Arial" w:cs="Arial"/>
          <w:sz w:val="20"/>
          <w:szCs w:val="20"/>
          <w:lang w:val="fr-FR"/>
        </w:rPr>
        <w:t> </w:t>
      </w:r>
      <w:r w:rsidRPr="008725ED">
        <w:rPr>
          <w:rFonts w:ascii="Arial" w:hAnsi="Arial" w:cs="Arial"/>
          <w:sz w:val="20"/>
          <w:szCs w:val="20"/>
          <w:lang w:val="fr-FR"/>
        </w:rPr>
        <w:t>: Integrated IT</w:t>
      </w:r>
      <w:r w:rsidR="00EF1779" w:rsidRPr="008725ED">
        <w:rPr>
          <w:rFonts w:ascii="Arial" w:hAnsi="Arial" w:cs="Arial"/>
          <w:sz w:val="20"/>
          <w:szCs w:val="20"/>
          <w:lang w:val="fr-FR"/>
        </w:rPr>
        <w:t>-</w:t>
      </w:r>
      <w:r w:rsidRPr="008725ED">
        <w:rPr>
          <w:rFonts w:ascii="Arial" w:hAnsi="Arial" w:cs="Arial"/>
          <w:sz w:val="20"/>
          <w:szCs w:val="20"/>
          <w:lang w:val="fr-FR"/>
        </w:rPr>
        <w:t>tool to manage applications, requests, trials, reports and variety collections” (document TWC/34/22).  Il s</w:t>
      </w:r>
      <w:r w:rsidR="00EF1779" w:rsidRPr="008725ED">
        <w:rPr>
          <w:rFonts w:ascii="Arial" w:hAnsi="Arial" w:cs="Arial"/>
          <w:sz w:val="20"/>
          <w:szCs w:val="20"/>
          <w:lang w:val="fr-FR"/>
        </w:rPr>
        <w:t>’</w:t>
      </w:r>
      <w:r w:rsidRPr="008725ED">
        <w:rPr>
          <w:rFonts w:ascii="Arial" w:hAnsi="Arial" w:cs="Arial"/>
          <w:sz w:val="20"/>
          <w:szCs w:val="20"/>
          <w:lang w:val="fr-FR"/>
        </w:rPr>
        <w:t>agit d</w:t>
      </w:r>
      <w:r w:rsidR="00EF1779" w:rsidRPr="008725ED">
        <w:rPr>
          <w:rFonts w:ascii="Arial" w:hAnsi="Arial" w:cs="Arial"/>
          <w:sz w:val="20"/>
          <w:szCs w:val="20"/>
          <w:lang w:val="fr-FR"/>
        </w:rPr>
        <w:t>’</w:t>
      </w:r>
      <w:r w:rsidRPr="008725ED">
        <w:rPr>
          <w:rFonts w:ascii="Arial" w:hAnsi="Arial" w:cs="Arial"/>
          <w:sz w:val="20"/>
          <w:szCs w:val="20"/>
          <w:lang w:val="fr-FR"/>
        </w:rPr>
        <w:t>un</w:t>
      </w:r>
      <w:r w:rsidRPr="008725ED">
        <w:rPr>
          <w:rFonts w:ascii="Arial" w:hAnsi="Arial"/>
          <w:sz w:val="20"/>
          <w:szCs w:val="20"/>
          <w:lang w:val="fr-FR"/>
        </w:rPr>
        <w:t xml:space="preserve"> </w:t>
      </w:r>
      <w:r w:rsidRPr="008725ED">
        <w:rPr>
          <w:rFonts w:ascii="Arial" w:hAnsi="Arial" w:cs="Arial"/>
          <w:sz w:val="20"/>
          <w:szCs w:val="20"/>
          <w:lang w:val="fr-FR"/>
        </w:rPr>
        <w:t>système central adapté aux exigences locales.</w:t>
      </w:r>
    </w:p>
    <w:p w:rsidR="008C3126" w:rsidRPr="008725ED" w:rsidRDefault="0052307B" w:rsidP="0052307B">
      <w:pPr>
        <w:pStyle w:val="ListParagraph"/>
        <w:numPr>
          <w:ilvl w:val="0"/>
          <w:numId w:val="3"/>
        </w:numPr>
        <w:tabs>
          <w:tab w:val="left" w:pos="1134"/>
        </w:tabs>
        <w:autoSpaceDE w:val="0"/>
        <w:autoSpaceDN w:val="0"/>
        <w:adjustRightInd w:val="0"/>
        <w:spacing w:after="120" w:line="240" w:lineRule="auto"/>
        <w:ind w:left="1134" w:hanging="567"/>
        <w:contextualSpacing w:val="0"/>
        <w:jc w:val="both"/>
        <w:rPr>
          <w:rFonts w:ascii="Arial" w:hAnsi="Arial" w:cs="Arial"/>
          <w:sz w:val="20"/>
          <w:szCs w:val="20"/>
          <w:lang w:val="fr-FR"/>
        </w:rPr>
      </w:pPr>
      <w:r w:rsidRPr="008725ED">
        <w:rPr>
          <w:rFonts w:ascii="Arial" w:hAnsi="Arial" w:cs="Arial"/>
          <w:sz w:val="20"/>
          <w:szCs w:val="20"/>
          <w:lang w:val="fr-FR"/>
        </w:rPr>
        <w:t>Un exposé présenté par les Pays</w:t>
      </w:r>
      <w:r w:rsidR="00EF1779" w:rsidRPr="008725ED">
        <w:rPr>
          <w:rFonts w:ascii="Arial" w:hAnsi="Arial" w:cs="Arial"/>
          <w:sz w:val="20"/>
          <w:szCs w:val="20"/>
          <w:lang w:val="fr-FR"/>
        </w:rPr>
        <w:t>-</w:t>
      </w:r>
      <w:r w:rsidRPr="008725ED">
        <w:rPr>
          <w:rFonts w:ascii="Arial" w:hAnsi="Arial" w:cs="Arial"/>
          <w:sz w:val="20"/>
          <w:szCs w:val="20"/>
          <w:lang w:val="fr-FR"/>
        </w:rPr>
        <w:t>Bas, intitulé “Search Plant</w:t>
      </w:r>
      <w:r w:rsidR="00B0700F" w:rsidRPr="008725ED">
        <w:rPr>
          <w:rFonts w:ascii="Arial" w:hAnsi="Arial" w:cs="Arial"/>
          <w:sz w:val="20"/>
          <w:szCs w:val="20"/>
          <w:lang w:val="fr-FR"/>
        </w:rPr>
        <w:t> </w:t>
      </w:r>
      <w:r w:rsidRPr="008725ED">
        <w:rPr>
          <w:rFonts w:ascii="Arial" w:hAnsi="Arial" w:cs="Arial"/>
          <w:sz w:val="20"/>
          <w:szCs w:val="20"/>
          <w:lang w:val="fr-FR"/>
        </w:rPr>
        <w:t>: A search portal to facilitate tracking and tracing of ornamental varieties” (document TWC/34/20).  Ce service Web permet aux utilisateurs de rechercher des variétés dans plusieurs bases de données ayant des architectures diverses.</w:t>
      </w:r>
    </w:p>
    <w:p w:rsidR="008C3126" w:rsidRPr="008725ED" w:rsidRDefault="0052307B" w:rsidP="0052307B">
      <w:pPr>
        <w:pStyle w:val="ListParagraph"/>
        <w:numPr>
          <w:ilvl w:val="0"/>
          <w:numId w:val="3"/>
        </w:numPr>
        <w:tabs>
          <w:tab w:val="left" w:pos="1134"/>
        </w:tabs>
        <w:autoSpaceDE w:val="0"/>
        <w:autoSpaceDN w:val="0"/>
        <w:adjustRightInd w:val="0"/>
        <w:spacing w:after="120" w:line="240" w:lineRule="auto"/>
        <w:ind w:left="1134" w:hanging="567"/>
        <w:contextualSpacing w:val="0"/>
        <w:jc w:val="both"/>
        <w:rPr>
          <w:rFonts w:ascii="Arial" w:hAnsi="Arial" w:cs="Arial"/>
          <w:sz w:val="20"/>
          <w:szCs w:val="20"/>
          <w:lang w:val="fr-FR"/>
        </w:rPr>
      </w:pPr>
      <w:r w:rsidRPr="008725ED">
        <w:rPr>
          <w:rFonts w:ascii="Arial" w:hAnsi="Arial" w:cs="Arial"/>
          <w:sz w:val="20"/>
          <w:szCs w:val="20"/>
          <w:lang w:val="fr-FR"/>
        </w:rPr>
        <w:t>Un exposé présenté par la Chine, intitulé “Méthodes statistiques utilisées dans le cadre du progiciel DUSTC”.  Il comprenait une démonstration du</w:t>
      </w:r>
      <w:r w:rsidRPr="008725ED">
        <w:rPr>
          <w:sz w:val="20"/>
          <w:szCs w:val="20"/>
          <w:lang w:val="fr-FR"/>
        </w:rPr>
        <w:t xml:space="preserve"> </w:t>
      </w:r>
      <w:r w:rsidRPr="008725ED">
        <w:rPr>
          <w:rFonts w:ascii="Arial" w:hAnsi="Arial" w:cs="Arial"/>
          <w:sz w:val="20"/>
          <w:szCs w:val="20"/>
          <w:lang w:val="fr-FR"/>
        </w:rPr>
        <w:t>progiciel DUSTC qui englobe les procédures d</w:t>
      </w:r>
      <w:r w:rsidR="00EF1779" w:rsidRPr="008725ED">
        <w:rPr>
          <w:rFonts w:ascii="Arial" w:hAnsi="Arial" w:cs="Arial"/>
          <w:sz w:val="20"/>
          <w:szCs w:val="20"/>
          <w:lang w:val="fr-FR"/>
        </w:rPr>
        <w:t>’</w:t>
      </w:r>
      <w:r w:rsidRPr="008725ED">
        <w:rPr>
          <w:rFonts w:ascii="Arial" w:hAnsi="Arial" w:cs="Arial"/>
          <w:sz w:val="20"/>
          <w:szCs w:val="20"/>
          <w:lang w:val="fr-FR"/>
        </w:rPr>
        <w:t>analyses statistiques, notamment les méthodes de calcul de la COYU et COYD.</w:t>
      </w:r>
    </w:p>
    <w:p w:rsidR="008C3126" w:rsidRPr="008725ED" w:rsidRDefault="0052307B" w:rsidP="0052307B">
      <w:pPr>
        <w:pStyle w:val="ListParagraph"/>
        <w:numPr>
          <w:ilvl w:val="0"/>
          <w:numId w:val="3"/>
        </w:numPr>
        <w:tabs>
          <w:tab w:val="left" w:pos="1134"/>
        </w:tabs>
        <w:autoSpaceDE w:val="0"/>
        <w:autoSpaceDN w:val="0"/>
        <w:adjustRightInd w:val="0"/>
        <w:spacing w:after="120" w:line="240" w:lineRule="auto"/>
        <w:ind w:left="1134" w:hanging="567"/>
        <w:contextualSpacing w:val="0"/>
        <w:jc w:val="both"/>
        <w:rPr>
          <w:rFonts w:ascii="Arial" w:hAnsi="Arial" w:cs="Arial"/>
          <w:sz w:val="20"/>
          <w:szCs w:val="20"/>
          <w:lang w:val="fr-FR"/>
        </w:rPr>
      </w:pPr>
      <w:r w:rsidRPr="008725ED">
        <w:rPr>
          <w:rFonts w:ascii="Arial" w:hAnsi="Arial" w:cs="Arial"/>
          <w:sz w:val="20"/>
          <w:szCs w:val="20"/>
          <w:lang w:val="fr-FR"/>
        </w:rPr>
        <w:t>Un exposé présenté par la Chine, une démonstration du logiciel d</w:t>
      </w:r>
      <w:r w:rsidR="00EF1779" w:rsidRPr="008725ED">
        <w:rPr>
          <w:rFonts w:ascii="Arial" w:hAnsi="Arial" w:cs="Arial"/>
          <w:sz w:val="20"/>
          <w:szCs w:val="20"/>
          <w:lang w:val="fr-FR"/>
        </w:rPr>
        <w:t>’</w:t>
      </w:r>
      <w:r w:rsidRPr="008725ED">
        <w:rPr>
          <w:rFonts w:ascii="Arial" w:hAnsi="Arial" w:cs="Arial"/>
          <w:sz w:val="20"/>
          <w:szCs w:val="20"/>
          <w:lang w:val="fr-FR"/>
        </w:rPr>
        <w:t>analyse d</w:t>
      </w:r>
      <w:r w:rsidR="00EF1779" w:rsidRPr="008725ED">
        <w:rPr>
          <w:rFonts w:ascii="Arial" w:hAnsi="Arial" w:cs="Arial"/>
          <w:sz w:val="20"/>
          <w:szCs w:val="20"/>
          <w:lang w:val="fr-FR"/>
        </w:rPr>
        <w:t>’</w:t>
      </w:r>
      <w:r w:rsidRPr="008725ED">
        <w:rPr>
          <w:rFonts w:ascii="Arial" w:hAnsi="Arial" w:cs="Arial"/>
          <w:sz w:val="20"/>
          <w:szCs w:val="20"/>
          <w:lang w:val="fr-FR"/>
        </w:rPr>
        <w:t>image.</w:t>
      </w:r>
    </w:p>
    <w:p w:rsidR="008C3126" w:rsidRPr="008725ED" w:rsidRDefault="0052307B" w:rsidP="0052307B">
      <w:pPr>
        <w:pStyle w:val="ListParagraph"/>
        <w:numPr>
          <w:ilvl w:val="0"/>
          <w:numId w:val="3"/>
        </w:numPr>
        <w:tabs>
          <w:tab w:val="left" w:pos="1134"/>
        </w:tabs>
        <w:autoSpaceDE w:val="0"/>
        <w:autoSpaceDN w:val="0"/>
        <w:adjustRightInd w:val="0"/>
        <w:spacing w:after="120" w:line="240" w:lineRule="auto"/>
        <w:ind w:left="1134" w:hanging="567"/>
        <w:contextualSpacing w:val="0"/>
        <w:jc w:val="both"/>
        <w:rPr>
          <w:rFonts w:ascii="Arial" w:hAnsi="Arial" w:cs="Arial"/>
          <w:sz w:val="20"/>
          <w:szCs w:val="20"/>
          <w:lang w:val="fr-FR"/>
        </w:rPr>
      </w:pPr>
      <w:r w:rsidRPr="008725ED">
        <w:rPr>
          <w:rFonts w:ascii="Arial" w:hAnsi="Arial" w:cs="Arial"/>
          <w:sz w:val="20"/>
          <w:szCs w:val="20"/>
          <w:lang w:val="fr-FR"/>
        </w:rPr>
        <w:t>Un exposé présenté par la France, intitulé “Un outil pour définir les collections de référence” (document TWC/34/28).  Il s</w:t>
      </w:r>
      <w:r w:rsidR="00EF1779" w:rsidRPr="008725ED">
        <w:rPr>
          <w:rFonts w:ascii="Arial" w:hAnsi="Arial" w:cs="Arial"/>
          <w:sz w:val="20"/>
          <w:szCs w:val="20"/>
          <w:lang w:val="fr-FR"/>
        </w:rPr>
        <w:t>’</w:t>
      </w:r>
      <w:r w:rsidRPr="008725ED">
        <w:rPr>
          <w:rFonts w:ascii="Arial" w:hAnsi="Arial" w:cs="Arial"/>
          <w:sz w:val="20"/>
          <w:szCs w:val="20"/>
          <w:lang w:val="fr-FR"/>
        </w:rPr>
        <w:t>agit d</w:t>
      </w:r>
      <w:r w:rsidR="00EF1779" w:rsidRPr="008725ED">
        <w:rPr>
          <w:rFonts w:ascii="Arial" w:hAnsi="Arial" w:cs="Arial"/>
          <w:sz w:val="20"/>
          <w:szCs w:val="20"/>
          <w:lang w:val="fr-FR"/>
        </w:rPr>
        <w:t>’</w:t>
      </w:r>
      <w:r w:rsidRPr="008725ED">
        <w:rPr>
          <w:rFonts w:ascii="Arial" w:hAnsi="Arial" w:cs="Arial"/>
          <w:sz w:val="20"/>
          <w:szCs w:val="20"/>
          <w:lang w:val="fr-FR"/>
        </w:rPr>
        <w:t>un logiciel aidant à la gestion des collections de référence depuis la collecte de variétés notoirement connues jusqu</w:t>
      </w:r>
      <w:r w:rsidR="00EF1779" w:rsidRPr="008725ED">
        <w:rPr>
          <w:rFonts w:ascii="Arial" w:hAnsi="Arial" w:cs="Arial"/>
          <w:sz w:val="20"/>
          <w:szCs w:val="20"/>
          <w:lang w:val="fr-FR"/>
        </w:rPr>
        <w:t>’</w:t>
      </w:r>
      <w:r w:rsidRPr="008725ED">
        <w:rPr>
          <w:rFonts w:ascii="Arial" w:hAnsi="Arial" w:cs="Arial"/>
          <w:sz w:val="20"/>
          <w:szCs w:val="20"/>
          <w:lang w:val="fr-FR"/>
        </w:rPr>
        <w:t>à la sélection pour les essais.</w:t>
      </w:r>
    </w:p>
    <w:p w:rsidR="008C3126" w:rsidRPr="008725ED" w:rsidRDefault="0052307B" w:rsidP="0052307B">
      <w:pPr>
        <w:pStyle w:val="ListParagraph"/>
        <w:numPr>
          <w:ilvl w:val="0"/>
          <w:numId w:val="3"/>
        </w:numPr>
        <w:tabs>
          <w:tab w:val="left" w:pos="1134"/>
        </w:tabs>
        <w:autoSpaceDE w:val="0"/>
        <w:autoSpaceDN w:val="0"/>
        <w:adjustRightInd w:val="0"/>
        <w:spacing w:after="0" w:line="240" w:lineRule="auto"/>
        <w:ind w:left="1134" w:hanging="567"/>
        <w:jc w:val="both"/>
        <w:rPr>
          <w:rFonts w:ascii="Arial" w:hAnsi="Arial" w:cs="Arial"/>
          <w:sz w:val="20"/>
          <w:szCs w:val="20"/>
          <w:lang w:val="fr-FR"/>
        </w:rPr>
      </w:pPr>
      <w:r w:rsidRPr="008725ED">
        <w:rPr>
          <w:rFonts w:ascii="Arial" w:hAnsi="Arial" w:cs="Arial"/>
          <w:sz w:val="20"/>
          <w:szCs w:val="20"/>
          <w:lang w:val="fr-FR"/>
        </w:rPr>
        <w:t>Un exposé présenté par la France, intitulé “A single tool for DUS computation process” (document TWC/34/29).  Cet exposé décrivait les progrès réalisés dans le développement d</w:t>
      </w:r>
      <w:r w:rsidR="00EF1779" w:rsidRPr="008725ED">
        <w:rPr>
          <w:rFonts w:ascii="Arial" w:hAnsi="Arial" w:cs="Arial"/>
          <w:sz w:val="20"/>
          <w:szCs w:val="20"/>
          <w:lang w:val="fr-FR"/>
        </w:rPr>
        <w:t>’</w:t>
      </w:r>
      <w:r w:rsidRPr="008725ED">
        <w:rPr>
          <w:rFonts w:ascii="Arial" w:hAnsi="Arial" w:cs="Arial"/>
          <w:sz w:val="20"/>
          <w:szCs w:val="20"/>
          <w:lang w:val="fr-FR"/>
        </w:rPr>
        <w:t>un nouveau progiciel comprenant le logiciel existant GAIA et utilisant la même interface pour permettre l</w:t>
      </w:r>
      <w:r w:rsidR="00EF1779" w:rsidRPr="008725ED">
        <w:rPr>
          <w:rFonts w:ascii="Arial" w:hAnsi="Arial" w:cs="Arial"/>
          <w:sz w:val="20"/>
          <w:szCs w:val="20"/>
          <w:lang w:val="fr-FR"/>
        </w:rPr>
        <w:t>’</w:t>
      </w:r>
      <w:r w:rsidRPr="008725ED">
        <w:rPr>
          <w:rFonts w:ascii="Arial" w:hAnsi="Arial" w:cs="Arial"/>
          <w:sz w:val="20"/>
          <w:szCs w:val="20"/>
          <w:lang w:val="fr-FR"/>
        </w:rPr>
        <w:t>accès à des méthodes telles que COYD et COYU.</w:t>
      </w:r>
    </w:p>
    <w:p w:rsidR="008C3126" w:rsidRPr="008725ED" w:rsidRDefault="008C3126" w:rsidP="0052307B">
      <w:pPr>
        <w:autoSpaceDE w:val="0"/>
        <w:autoSpaceDN w:val="0"/>
        <w:adjustRightInd w:val="0"/>
        <w:rPr>
          <w:rFonts w:cs="Arial"/>
          <w:lang w:val="fr-FR"/>
        </w:rPr>
      </w:pPr>
    </w:p>
    <w:p w:rsidR="008C3126" w:rsidRPr="008725ED" w:rsidRDefault="0052307B" w:rsidP="0052307B">
      <w:pPr>
        <w:tabs>
          <w:tab w:val="left" w:pos="567"/>
        </w:tabs>
        <w:autoSpaceDE w:val="0"/>
        <w:autoSpaceDN w:val="0"/>
        <w:adjustRightInd w:val="0"/>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r>
      <w:r w:rsidRPr="008725ED">
        <w:rPr>
          <w:lang w:val="fr-FR"/>
        </w:rPr>
        <w:t xml:space="preserve">Le </w:t>
      </w:r>
      <w:r w:rsidRPr="008725ED">
        <w:rPr>
          <w:rFonts w:cs="Arial"/>
          <w:lang w:val="fr-FR"/>
        </w:rPr>
        <w:t>TWC a pris note de l</w:t>
      </w:r>
      <w:r w:rsidR="00EF1779" w:rsidRPr="008725ED">
        <w:rPr>
          <w:rFonts w:cs="Arial"/>
          <w:lang w:val="fr-FR"/>
        </w:rPr>
        <w:t>’</w:t>
      </w:r>
      <w:r w:rsidRPr="008725ED">
        <w:rPr>
          <w:rFonts w:cs="Arial"/>
          <w:lang w:val="fr-FR"/>
        </w:rPr>
        <w:t>expérience de la France et de l</w:t>
      </w:r>
      <w:r w:rsidR="00EF1779" w:rsidRPr="008725ED">
        <w:rPr>
          <w:rFonts w:cs="Arial"/>
          <w:lang w:val="fr-FR"/>
        </w:rPr>
        <w:t>’</w:t>
      </w:r>
      <w:r w:rsidRPr="008725ED">
        <w:rPr>
          <w:rFonts w:cs="Arial"/>
          <w:lang w:val="fr-FR"/>
        </w:rPr>
        <w:t>Allemagne en matière d</w:t>
      </w:r>
      <w:r w:rsidR="00EF1779" w:rsidRPr="008725ED">
        <w:rPr>
          <w:rFonts w:cs="Arial"/>
          <w:lang w:val="fr-FR"/>
        </w:rPr>
        <w:t>’</w:t>
      </w:r>
      <w:r w:rsidRPr="008725ED">
        <w:rPr>
          <w:rFonts w:cs="Arial"/>
          <w:lang w:val="fr-FR"/>
        </w:rPr>
        <w:t>élaboration, de gestion et de partage de différentes bases de données et a suggéré que des orientations sur l</w:t>
      </w:r>
      <w:r w:rsidR="00EF1779" w:rsidRPr="008725ED">
        <w:rPr>
          <w:rFonts w:cs="Arial"/>
          <w:lang w:val="fr-FR"/>
        </w:rPr>
        <w:t>’</w:t>
      </w:r>
      <w:r w:rsidRPr="008725ED">
        <w:rPr>
          <w:rFonts w:cs="Arial"/>
          <w:lang w:val="fr-FR"/>
        </w:rPr>
        <w:t>élaboration et la gestion de bases de données pourraient être bénéfiques pour les membr</w:t>
      </w:r>
      <w:r w:rsidR="00D43219" w:rsidRPr="008725ED">
        <w:rPr>
          <w:rFonts w:cs="Arial"/>
          <w:lang w:val="fr-FR"/>
        </w:rPr>
        <w:t>es.  Le</w:t>
      </w:r>
      <w:r w:rsidRPr="008725ED">
        <w:rPr>
          <w:rFonts w:cs="Arial"/>
          <w:lang w:val="fr-FR"/>
        </w:rPr>
        <w:t> TWC a invité les membres à présenter des exposés sur leurs expériences sur l</w:t>
      </w:r>
      <w:r w:rsidR="00EF1779" w:rsidRPr="008725ED">
        <w:rPr>
          <w:rFonts w:cs="Arial"/>
          <w:lang w:val="fr-FR"/>
        </w:rPr>
        <w:t>’</w:t>
      </w:r>
      <w:r w:rsidRPr="008725ED">
        <w:rPr>
          <w:rFonts w:cs="Arial"/>
          <w:lang w:val="fr-FR"/>
        </w:rPr>
        <w:t>utilisation des bases de données et à proposer des orientations.</w:t>
      </w:r>
    </w:p>
    <w:p w:rsidR="008C3126" w:rsidRPr="008725ED" w:rsidRDefault="008C3126" w:rsidP="0052307B">
      <w:pPr>
        <w:autoSpaceDE w:val="0"/>
        <w:autoSpaceDN w:val="0"/>
        <w:adjustRightInd w:val="0"/>
        <w:rPr>
          <w:rFonts w:cs="Arial"/>
          <w:lang w:val="fr-FR"/>
        </w:rPr>
      </w:pPr>
    </w:p>
    <w:p w:rsidR="008C3126" w:rsidRPr="008725ED" w:rsidRDefault="0052307B" w:rsidP="0052307B">
      <w:pPr>
        <w:tabs>
          <w:tab w:val="left" w:pos="567"/>
        </w:tabs>
        <w:autoSpaceDE w:val="0"/>
        <w:autoSpaceDN w:val="0"/>
        <w:adjustRightInd w:val="0"/>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La Chine a présenté un exposé intitulé “A ring</w:t>
      </w:r>
      <w:r w:rsidR="00EF1779" w:rsidRPr="008725ED">
        <w:rPr>
          <w:rFonts w:cs="Arial"/>
          <w:lang w:val="fr-FR"/>
        </w:rPr>
        <w:t>-</w:t>
      </w:r>
      <w:r w:rsidRPr="008725ED">
        <w:rPr>
          <w:rFonts w:cs="Arial"/>
          <w:lang w:val="fr-FR"/>
        </w:rPr>
        <w:t>test comparing three different software packages for COYD” (document TWC/34/30).  La méthode COYD a été appliquée à la même série de données au moyen de différents logiciels utilisés par les membres</w:t>
      </w:r>
      <w:r w:rsidR="00EF1779" w:rsidRPr="008725ED">
        <w:rPr>
          <w:rFonts w:cs="Arial"/>
          <w:lang w:val="fr-FR"/>
        </w:rPr>
        <w:t> :</w:t>
      </w:r>
      <w:r w:rsidRPr="008725ED">
        <w:rPr>
          <w:rFonts w:cs="Arial"/>
          <w:lang w:val="fr-FR"/>
        </w:rPr>
        <w:t xml:space="preserve"> DUSTC (Chine), logiciel basé sur SAS (Allemagne) et DUST (Royaume</w:t>
      </w:r>
      <w:r w:rsidR="00EF1779" w:rsidRPr="008725ED">
        <w:rPr>
          <w:rFonts w:cs="Arial"/>
          <w:lang w:val="fr-FR"/>
        </w:rPr>
        <w:t>-</w:t>
      </w:r>
      <w:r w:rsidRPr="008725ED">
        <w:rPr>
          <w:rFonts w:cs="Arial"/>
          <w:lang w:val="fr-FR"/>
        </w:rPr>
        <w:t>U</w:t>
      </w:r>
      <w:r w:rsidR="00D43219" w:rsidRPr="008725ED">
        <w:rPr>
          <w:rFonts w:cs="Arial"/>
          <w:lang w:val="fr-FR"/>
        </w:rPr>
        <w:t>ni).  Le</w:t>
      </w:r>
      <w:r w:rsidRPr="008725ED">
        <w:rPr>
          <w:rFonts w:cs="Arial"/>
          <w:lang w:val="fr-FR"/>
        </w:rPr>
        <w:t xml:space="preserve"> même résultat a été obtenu des trois logiciels.</w:t>
      </w:r>
    </w:p>
    <w:p w:rsidR="008C3126" w:rsidRPr="008725ED" w:rsidRDefault="008C3126" w:rsidP="0052307B">
      <w:pPr>
        <w:autoSpaceDE w:val="0"/>
        <w:autoSpaceDN w:val="0"/>
        <w:adjustRightInd w:val="0"/>
        <w:rPr>
          <w:rFonts w:cs="Arial"/>
          <w:lang w:val="fr-FR"/>
        </w:rPr>
      </w:pPr>
    </w:p>
    <w:p w:rsidR="008C3126" w:rsidRPr="008725ED" w:rsidRDefault="0052307B" w:rsidP="0052307B">
      <w:pPr>
        <w:tabs>
          <w:tab w:val="left" w:pos="567"/>
        </w:tabs>
        <w:autoSpaceDE w:val="0"/>
        <w:autoSpaceDN w:val="0"/>
        <w:adjustRightInd w:val="0"/>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S</w:t>
      </w:r>
      <w:r w:rsidR="00EF1779" w:rsidRPr="008725ED">
        <w:rPr>
          <w:rFonts w:cs="Arial"/>
          <w:lang w:val="fr-FR"/>
        </w:rPr>
        <w:t>’</w:t>
      </w:r>
      <w:r w:rsidRPr="008725ED">
        <w:rPr>
          <w:rFonts w:cs="Arial"/>
          <w:lang w:val="fr-FR"/>
        </w:rPr>
        <w:t>agissant du document UPOV/INF/22 “Logiciels et équipements utilisés par les membres de l</w:t>
      </w:r>
      <w:r w:rsidR="00EF1779" w:rsidRPr="008725ED">
        <w:rPr>
          <w:rFonts w:cs="Arial"/>
          <w:lang w:val="fr-FR"/>
        </w:rPr>
        <w:t>’</w:t>
      </w:r>
      <w:r w:rsidRPr="008725ED">
        <w:rPr>
          <w:rFonts w:cs="Arial"/>
          <w:lang w:val="fr-FR"/>
        </w:rPr>
        <w:t>Union”, le TWC a suggéré</w:t>
      </w:r>
    </w:p>
    <w:p w:rsidR="008C3126" w:rsidRPr="008725ED" w:rsidRDefault="008C3126" w:rsidP="0052307B">
      <w:pPr>
        <w:autoSpaceDE w:val="0"/>
        <w:autoSpaceDN w:val="0"/>
        <w:adjustRightInd w:val="0"/>
        <w:rPr>
          <w:rFonts w:cs="Arial"/>
          <w:lang w:val="fr-FR"/>
        </w:rPr>
      </w:pPr>
    </w:p>
    <w:p w:rsidR="008C3126" w:rsidRPr="008725ED" w:rsidRDefault="0052307B" w:rsidP="0052307B">
      <w:pPr>
        <w:pStyle w:val="ListParagraph"/>
        <w:numPr>
          <w:ilvl w:val="0"/>
          <w:numId w:val="4"/>
        </w:numPr>
        <w:tabs>
          <w:tab w:val="left" w:pos="1134"/>
        </w:tabs>
        <w:autoSpaceDE w:val="0"/>
        <w:autoSpaceDN w:val="0"/>
        <w:adjustRightInd w:val="0"/>
        <w:spacing w:after="120" w:line="240" w:lineRule="auto"/>
        <w:ind w:left="1134" w:hanging="567"/>
        <w:contextualSpacing w:val="0"/>
        <w:jc w:val="both"/>
        <w:rPr>
          <w:rFonts w:ascii="Arial" w:hAnsi="Arial" w:cs="Arial"/>
          <w:sz w:val="20"/>
          <w:szCs w:val="20"/>
          <w:lang w:val="fr-FR"/>
        </w:rPr>
      </w:pPr>
      <w:r w:rsidRPr="008725ED">
        <w:rPr>
          <w:rFonts w:ascii="Arial" w:hAnsi="Arial" w:cs="Arial"/>
          <w:sz w:val="20"/>
          <w:szCs w:val="20"/>
          <w:lang w:val="fr-FR"/>
        </w:rPr>
        <w:t>d</w:t>
      </w:r>
      <w:r w:rsidR="00EF1779" w:rsidRPr="008725ED">
        <w:rPr>
          <w:rFonts w:ascii="Arial" w:hAnsi="Arial" w:cs="Arial"/>
          <w:sz w:val="20"/>
          <w:szCs w:val="20"/>
          <w:lang w:val="fr-FR"/>
        </w:rPr>
        <w:t>’</w:t>
      </w:r>
      <w:r w:rsidRPr="008725ED">
        <w:rPr>
          <w:rFonts w:ascii="Arial" w:hAnsi="Arial" w:cs="Arial"/>
          <w:sz w:val="20"/>
          <w:szCs w:val="20"/>
          <w:lang w:val="fr-FR"/>
        </w:rPr>
        <w:t>ajouter au document une note expliquant que les informations contenues dans ce document relèvent de la responsabilité du service payant une contribution,</w:t>
      </w:r>
    </w:p>
    <w:p w:rsidR="008C3126" w:rsidRPr="008725ED" w:rsidRDefault="0052307B" w:rsidP="0052307B">
      <w:pPr>
        <w:pStyle w:val="ListParagraph"/>
        <w:numPr>
          <w:ilvl w:val="0"/>
          <w:numId w:val="4"/>
        </w:numPr>
        <w:tabs>
          <w:tab w:val="left" w:pos="1134"/>
        </w:tabs>
        <w:autoSpaceDE w:val="0"/>
        <w:autoSpaceDN w:val="0"/>
        <w:adjustRightInd w:val="0"/>
        <w:spacing w:after="120" w:line="240" w:lineRule="auto"/>
        <w:ind w:left="1134" w:hanging="567"/>
        <w:contextualSpacing w:val="0"/>
        <w:jc w:val="both"/>
        <w:rPr>
          <w:rFonts w:ascii="Arial" w:hAnsi="Arial" w:cs="Arial"/>
          <w:sz w:val="20"/>
          <w:szCs w:val="20"/>
          <w:lang w:val="fr-FR"/>
        </w:rPr>
      </w:pPr>
      <w:r w:rsidRPr="008725ED">
        <w:rPr>
          <w:rFonts w:ascii="Arial" w:hAnsi="Arial" w:cs="Arial"/>
          <w:sz w:val="20"/>
          <w:szCs w:val="20"/>
          <w:lang w:val="fr-FR"/>
        </w:rPr>
        <w:t>que, dans les documents UPOV/INF/16 et UPOV/INF/22, il pouvait être fait référence au matériel didactique et aux exposés,</w:t>
      </w:r>
    </w:p>
    <w:p w:rsidR="008C3126" w:rsidRPr="008725ED" w:rsidRDefault="0052307B" w:rsidP="0052307B">
      <w:pPr>
        <w:pStyle w:val="ListParagraph"/>
        <w:numPr>
          <w:ilvl w:val="0"/>
          <w:numId w:val="4"/>
        </w:numPr>
        <w:tabs>
          <w:tab w:val="left" w:pos="1134"/>
        </w:tabs>
        <w:autoSpaceDE w:val="0"/>
        <w:autoSpaceDN w:val="0"/>
        <w:adjustRightInd w:val="0"/>
        <w:spacing w:after="0" w:line="240" w:lineRule="auto"/>
        <w:ind w:left="1134" w:hanging="567"/>
        <w:jc w:val="both"/>
        <w:rPr>
          <w:rFonts w:ascii="Arial" w:hAnsi="Arial" w:cs="Arial"/>
          <w:sz w:val="20"/>
          <w:szCs w:val="20"/>
          <w:lang w:val="fr-FR"/>
        </w:rPr>
      </w:pPr>
      <w:r w:rsidRPr="008725ED">
        <w:rPr>
          <w:rFonts w:ascii="Arial" w:hAnsi="Arial" w:cs="Arial"/>
          <w:sz w:val="20"/>
          <w:szCs w:val="20"/>
          <w:lang w:val="fr-FR"/>
        </w:rPr>
        <w:t>qu</w:t>
      </w:r>
      <w:r w:rsidR="00EF1779" w:rsidRPr="008725ED">
        <w:rPr>
          <w:rFonts w:ascii="Arial" w:hAnsi="Arial" w:cs="Arial"/>
          <w:sz w:val="20"/>
          <w:szCs w:val="20"/>
          <w:lang w:val="fr-FR"/>
        </w:rPr>
        <w:t>’</w:t>
      </w:r>
      <w:r w:rsidRPr="008725ED">
        <w:rPr>
          <w:rFonts w:ascii="Arial" w:hAnsi="Arial" w:cs="Arial"/>
          <w:sz w:val="20"/>
          <w:szCs w:val="20"/>
          <w:lang w:val="fr-FR"/>
        </w:rPr>
        <w:t>un autre format soit envisagé pour les informations contenues dans UPOV/INF/22, par exemple une page Web en ligne, afin d</w:t>
      </w:r>
      <w:r w:rsidR="00EF1779" w:rsidRPr="008725ED">
        <w:rPr>
          <w:rFonts w:ascii="Arial" w:hAnsi="Arial" w:cs="Arial"/>
          <w:sz w:val="20"/>
          <w:szCs w:val="20"/>
          <w:lang w:val="fr-FR"/>
        </w:rPr>
        <w:t>’</w:t>
      </w:r>
      <w:r w:rsidRPr="008725ED">
        <w:rPr>
          <w:rFonts w:ascii="Arial" w:hAnsi="Arial" w:cs="Arial"/>
          <w:sz w:val="20"/>
          <w:szCs w:val="20"/>
          <w:lang w:val="fr-FR"/>
        </w:rPr>
        <w:t>en faciliter l</w:t>
      </w:r>
      <w:r w:rsidR="00EF1779" w:rsidRPr="008725ED">
        <w:rPr>
          <w:rFonts w:ascii="Arial" w:hAnsi="Arial" w:cs="Arial"/>
          <w:sz w:val="20"/>
          <w:szCs w:val="20"/>
          <w:lang w:val="fr-FR"/>
        </w:rPr>
        <w:t>’</w:t>
      </w:r>
      <w:r w:rsidRPr="008725ED">
        <w:rPr>
          <w:rFonts w:ascii="Arial" w:hAnsi="Arial" w:cs="Arial"/>
          <w:sz w:val="20"/>
          <w:szCs w:val="20"/>
          <w:lang w:val="fr-FR"/>
        </w:rPr>
        <w:t>accès.</w:t>
      </w:r>
    </w:p>
    <w:p w:rsidR="008C3126" w:rsidRPr="008725ED" w:rsidRDefault="008C3126" w:rsidP="0052307B">
      <w:pPr>
        <w:autoSpaceDE w:val="0"/>
        <w:autoSpaceDN w:val="0"/>
        <w:adjustRightInd w:val="0"/>
        <w:rPr>
          <w:rFonts w:cs="Arial"/>
          <w:lang w:val="fr-FR"/>
        </w:rPr>
      </w:pPr>
    </w:p>
    <w:p w:rsidR="008C3126" w:rsidRPr="008725ED" w:rsidRDefault="0052307B" w:rsidP="0052307B">
      <w:pPr>
        <w:tabs>
          <w:tab w:val="left" w:pos="567"/>
        </w:tabs>
        <w:autoSpaceDE w:val="0"/>
        <w:autoSpaceDN w:val="0"/>
        <w:adjustRightInd w:val="0"/>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Un expert du Royaume</w:t>
      </w:r>
      <w:r w:rsidR="00EF1779" w:rsidRPr="008725ED">
        <w:rPr>
          <w:rFonts w:cs="Arial"/>
          <w:lang w:val="fr-FR"/>
        </w:rPr>
        <w:t>-</w:t>
      </w:r>
      <w:r w:rsidRPr="008725ED">
        <w:rPr>
          <w:rFonts w:cs="Arial"/>
          <w:lang w:val="fr-FR"/>
        </w:rPr>
        <w:t>Uni a présenté un exposé sur “</w:t>
      </w:r>
      <w:r w:rsidRPr="008725ED">
        <w:rPr>
          <w:lang w:val="fr-FR"/>
        </w:rPr>
        <w:t>Calcul des seuils afin d</w:t>
      </w:r>
      <w:r w:rsidR="00EF1779" w:rsidRPr="008725ED">
        <w:rPr>
          <w:lang w:val="fr-FR"/>
        </w:rPr>
        <w:t>’</w:t>
      </w:r>
      <w:r w:rsidRPr="008725ED">
        <w:rPr>
          <w:rFonts w:cs="Arial"/>
          <w:lang w:val="fr-FR"/>
        </w:rPr>
        <w:t>exclure les variétés notoirement connues du second cycle de végétation lorsque l</w:t>
      </w:r>
      <w:r w:rsidR="00EF1779" w:rsidRPr="008725ED">
        <w:rPr>
          <w:rFonts w:cs="Arial"/>
          <w:lang w:val="fr-FR"/>
        </w:rPr>
        <w:t>’</w:t>
      </w:r>
      <w:r w:rsidRPr="008725ED">
        <w:rPr>
          <w:rFonts w:cs="Arial"/>
          <w:lang w:val="fr-FR"/>
        </w:rPr>
        <w:t>on applique la méthode COYD” (document TWC/34/8).  L</w:t>
      </w:r>
      <w:r w:rsidR="00EF1779" w:rsidRPr="008725ED">
        <w:rPr>
          <w:rFonts w:cs="Arial"/>
          <w:lang w:val="fr-FR"/>
        </w:rPr>
        <w:t>’</w:t>
      </w:r>
      <w:r w:rsidRPr="008725ED">
        <w:rPr>
          <w:rFonts w:cs="Arial"/>
          <w:lang w:val="fr-FR"/>
        </w:rPr>
        <w:t>exposé décrivait une méthode de sélection de variétés voisines aux fins d</w:t>
      </w:r>
      <w:r w:rsidR="00EF1779" w:rsidRPr="008725ED">
        <w:rPr>
          <w:rFonts w:cs="Arial"/>
          <w:lang w:val="fr-FR"/>
        </w:rPr>
        <w:t>’</w:t>
      </w:r>
      <w:r w:rsidRPr="008725ED">
        <w:rPr>
          <w:rFonts w:cs="Arial"/>
          <w:lang w:val="fr-FR"/>
        </w:rPr>
        <w:t>une comparaison fondée sur les caractères quantitatifs après le premier cycle de végétati</w:t>
      </w:r>
      <w:r w:rsidR="00D43219" w:rsidRPr="008725ED">
        <w:rPr>
          <w:rFonts w:cs="Arial"/>
          <w:lang w:val="fr-FR"/>
        </w:rPr>
        <w:t>on.  La</w:t>
      </w:r>
      <w:r w:rsidRPr="008725ED">
        <w:rPr>
          <w:rFonts w:cs="Arial"/>
          <w:lang w:val="fr-FR"/>
        </w:rPr>
        <w:t xml:space="preserve"> méthode a été évaluée sur une série de données relatives au pois provenant du Royaume</w:t>
      </w:r>
      <w:r w:rsidR="00EF1779" w:rsidRPr="008725ED">
        <w:rPr>
          <w:rFonts w:cs="Arial"/>
          <w:lang w:val="fr-FR"/>
        </w:rPr>
        <w:t>-</w:t>
      </w:r>
      <w:r w:rsidRPr="008725ED">
        <w:rPr>
          <w:rFonts w:cs="Arial"/>
          <w:lang w:val="fr-FR"/>
        </w:rPr>
        <w:t>U</w:t>
      </w:r>
      <w:r w:rsidR="00D43219" w:rsidRPr="008725ED">
        <w:rPr>
          <w:rFonts w:cs="Arial"/>
          <w:lang w:val="fr-FR"/>
        </w:rPr>
        <w:t>ni.  Il</w:t>
      </w:r>
      <w:r w:rsidRPr="008725ED">
        <w:rPr>
          <w:rFonts w:cs="Arial"/>
          <w:lang w:val="fr-FR"/>
        </w:rPr>
        <w:t xml:space="preserve"> a été convenu que de nouvelles séries de données seraient très utiles pour développer la méthode et les propositions du Danemark, de la Finlande, de l</w:t>
      </w:r>
      <w:r w:rsidR="00EF1779" w:rsidRPr="008725ED">
        <w:rPr>
          <w:rFonts w:cs="Arial"/>
          <w:lang w:val="fr-FR"/>
        </w:rPr>
        <w:t>’</w:t>
      </w:r>
      <w:r w:rsidRPr="008725ED">
        <w:rPr>
          <w:rFonts w:cs="Arial"/>
          <w:lang w:val="fr-FR"/>
        </w:rPr>
        <w:t>Allemagne et de la Slovaquie d</w:t>
      </w:r>
      <w:r w:rsidR="00EF1779" w:rsidRPr="008725ED">
        <w:rPr>
          <w:rFonts w:cs="Arial"/>
          <w:lang w:val="fr-FR"/>
        </w:rPr>
        <w:t>’</w:t>
      </w:r>
      <w:r w:rsidRPr="008725ED">
        <w:rPr>
          <w:rFonts w:cs="Arial"/>
          <w:lang w:val="fr-FR"/>
        </w:rPr>
        <w:t>en fournir ont été favorablement accueilli</w:t>
      </w:r>
      <w:r w:rsidR="00D43219" w:rsidRPr="008725ED">
        <w:rPr>
          <w:rFonts w:cs="Arial"/>
          <w:lang w:val="fr-FR"/>
        </w:rPr>
        <w:t>es.  Le</w:t>
      </w:r>
      <w:r w:rsidRPr="008725ED">
        <w:rPr>
          <w:rFonts w:cs="Arial"/>
          <w:lang w:val="fr-FR"/>
        </w:rPr>
        <w:t> TWC a indiqué qu</w:t>
      </w:r>
      <w:r w:rsidR="00EF1779" w:rsidRPr="008725ED">
        <w:rPr>
          <w:rFonts w:cs="Arial"/>
          <w:lang w:val="fr-FR"/>
        </w:rPr>
        <w:t>’</w:t>
      </w:r>
      <w:r w:rsidRPr="008725ED">
        <w:rPr>
          <w:rFonts w:cs="Arial"/>
          <w:lang w:val="fr-FR"/>
        </w:rPr>
        <w:t>un logiciel mettant en œuvre la méthode et pouvant être intégré dans le logiciel GAIA serait mis au point.</w:t>
      </w:r>
    </w:p>
    <w:p w:rsidR="008C3126" w:rsidRPr="008725ED" w:rsidRDefault="008C3126" w:rsidP="0052307B">
      <w:pPr>
        <w:autoSpaceDE w:val="0"/>
        <w:autoSpaceDN w:val="0"/>
        <w:adjustRightInd w:val="0"/>
        <w:rPr>
          <w:rFonts w:cs="Arial"/>
          <w:lang w:val="fr-FR"/>
        </w:rPr>
      </w:pPr>
    </w:p>
    <w:p w:rsidR="008C3126" w:rsidRPr="008725ED" w:rsidRDefault="0052307B" w:rsidP="0052307B">
      <w:pPr>
        <w:tabs>
          <w:tab w:val="left" w:pos="567"/>
        </w:tabs>
        <w:autoSpaceDE w:val="0"/>
        <w:autoSpaceDN w:val="0"/>
        <w:adjustRightInd w:val="0"/>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Un expert de la Finlande a présenté un exposé intitulé “Minimizing variation between observers – practical example from Finland” (document TWC/34/19).  En Finlande, des mesures sont prises en vue de minimiser la variation entre observateurs dans l</w:t>
      </w:r>
      <w:r w:rsidR="00EF1779" w:rsidRPr="008725ED">
        <w:rPr>
          <w:rFonts w:cs="Arial"/>
          <w:lang w:val="fr-FR"/>
        </w:rPr>
        <w:t>’</w:t>
      </w:r>
      <w:r w:rsidRPr="008725ED">
        <w:rPr>
          <w:rFonts w:cs="Arial"/>
          <w:lang w:val="fr-FR"/>
        </w:rPr>
        <w:t>évaluation des caractères MS/VS chez la navet</w:t>
      </w:r>
      <w:r w:rsidR="00D43219" w:rsidRPr="008725ED">
        <w:rPr>
          <w:rFonts w:cs="Arial"/>
          <w:lang w:val="fr-FR"/>
        </w:rPr>
        <w:t>te.  Un</w:t>
      </w:r>
      <w:r w:rsidRPr="008725ED">
        <w:rPr>
          <w:rFonts w:cs="Arial"/>
          <w:lang w:val="fr-FR"/>
        </w:rPr>
        <w:t>e formation de niveau avancé est dispensée avant le début des travaux et un calibrage est effectué à différentes reprises pendant la journée.</w:t>
      </w:r>
    </w:p>
    <w:p w:rsidR="008C3126" w:rsidRPr="008725ED" w:rsidRDefault="008C3126" w:rsidP="0052307B">
      <w:pPr>
        <w:autoSpaceDE w:val="0"/>
        <w:autoSpaceDN w:val="0"/>
        <w:adjustRightInd w:val="0"/>
        <w:rPr>
          <w:rFonts w:cs="Arial"/>
          <w:lang w:val="fr-FR"/>
        </w:rPr>
      </w:pPr>
    </w:p>
    <w:p w:rsidR="008C3126" w:rsidRPr="008725ED" w:rsidRDefault="0052307B" w:rsidP="005E033E">
      <w:pPr>
        <w:tabs>
          <w:tab w:val="left" w:pos="567"/>
        </w:tabs>
        <w:autoSpaceDE w:val="0"/>
        <w:autoSpaceDN w:val="0"/>
        <w:adjustRightInd w:val="0"/>
        <w:spacing w:after="240"/>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r>
      <w:r w:rsidRPr="008725ED">
        <w:rPr>
          <w:lang w:val="fr-FR"/>
        </w:rPr>
        <w:t xml:space="preserve">Le </w:t>
      </w:r>
      <w:r w:rsidRPr="008725ED">
        <w:rPr>
          <w:rFonts w:cs="Arial"/>
          <w:lang w:val="fr-FR"/>
        </w:rPr>
        <w:t>TWC a suivi un exposé sur le nombre de cycles de végétation pour l</w:t>
      </w:r>
      <w:r w:rsidR="00EF1779" w:rsidRPr="008725ED">
        <w:rPr>
          <w:rFonts w:cs="Arial"/>
          <w:lang w:val="fr-FR"/>
        </w:rPr>
        <w:t>’</w:t>
      </w:r>
      <w:r w:rsidRPr="008725ED">
        <w:rPr>
          <w:rFonts w:cs="Arial"/>
          <w:lang w:val="fr-FR"/>
        </w:rPr>
        <w:t>examen DHS et la simulation de l</w:t>
      </w:r>
      <w:r w:rsidR="00EF1779" w:rsidRPr="008725ED">
        <w:rPr>
          <w:rFonts w:cs="Arial"/>
          <w:lang w:val="fr-FR"/>
        </w:rPr>
        <w:t>’</w:t>
      </w:r>
      <w:r w:rsidRPr="008725ED">
        <w:rPr>
          <w:rFonts w:cs="Arial"/>
          <w:lang w:val="fr-FR"/>
        </w:rPr>
        <w:t>incidence sur les décisions relatives à l</w:t>
      </w:r>
      <w:r w:rsidR="00EF1779" w:rsidRPr="008725ED">
        <w:rPr>
          <w:rFonts w:cs="Arial"/>
          <w:lang w:val="fr-FR"/>
        </w:rPr>
        <w:t>’</w:t>
      </w:r>
      <w:r w:rsidRPr="008725ED">
        <w:rPr>
          <w:rFonts w:cs="Arial"/>
          <w:lang w:val="fr-FR"/>
        </w:rPr>
        <w:t>examen DHS (document TWC/34/15) présenté par l</w:t>
      </w:r>
      <w:r w:rsidR="00EF1779" w:rsidRPr="008725ED">
        <w:rPr>
          <w:rFonts w:cs="Arial"/>
          <w:lang w:val="fr-FR"/>
        </w:rPr>
        <w:t>’</w:t>
      </w:r>
      <w:r w:rsidRPr="008725ED">
        <w:rPr>
          <w:rFonts w:cs="Arial"/>
          <w:lang w:val="fr-FR"/>
        </w:rPr>
        <w:t>expert de la Finlan</w:t>
      </w:r>
      <w:r w:rsidR="00D43219" w:rsidRPr="008725ED">
        <w:rPr>
          <w:rFonts w:cs="Arial"/>
          <w:lang w:val="fr-FR"/>
        </w:rPr>
        <w:t>de.  Ce</w:t>
      </w:r>
      <w:r w:rsidRPr="008725ED">
        <w:rPr>
          <w:rFonts w:cs="Arial"/>
          <w:lang w:val="fr-FR"/>
        </w:rPr>
        <w:t>tte étude évaluait si deux ou trois cycles étaient nécessaires pour les espèces allogames suivantes</w:t>
      </w:r>
      <w:r w:rsidR="00EF1779" w:rsidRPr="008725ED">
        <w:rPr>
          <w:rFonts w:cs="Arial"/>
          <w:lang w:val="fr-FR"/>
        </w:rPr>
        <w:t> :</w:t>
      </w:r>
      <w:r w:rsidRPr="008725ED">
        <w:rPr>
          <w:rFonts w:cs="Arial"/>
          <w:lang w:val="fr-FR"/>
        </w:rPr>
        <w:t xml:space="preserve"> fléole, fétuque des prés, trèfle violet, trèfle blanc et navet</w:t>
      </w:r>
      <w:r w:rsidR="00D43219" w:rsidRPr="008725ED">
        <w:rPr>
          <w:rFonts w:cs="Arial"/>
          <w:lang w:val="fr-FR"/>
        </w:rPr>
        <w:t>te.  Le</w:t>
      </w:r>
      <w:r w:rsidRPr="008725ED">
        <w:rPr>
          <w:rFonts w:cs="Arial"/>
          <w:lang w:val="fr-FR"/>
        </w:rPr>
        <w:t xml:space="preserve"> nombre prédominant de cycles requis dépendait de l</w:t>
      </w:r>
      <w:r w:rsidR="00EF1779" w:rsidRPr="008725ED">
        <w:rPr>
          <w:rFonts w:cs="Arial"/>
          <w:lang w:val="fr-FR"/>
        </w:rPr>
        <w:t>’</w:t>
      </w:r>
      <w:r w:rsidRPr="008725ED">
        <w:rPr>
          <w:rFonts w:cs="Arial"/>
          <w:lang w:val="fr-FR"/>
        </w:rPr>
        <w:t>espè</w:t>
      </w:r>
      <w:r w:rsidR="00D43219" w:rsidRPr="008725ED">
        <w:rPr>
          <w:rFonts w:cs="Arial"/>
          <w:lang w:val="fr-FR"/>
        </w:rPr>
        <w:t>ce.  Un</w:t>
      </w:r>
      <w:r w:rsidRPr="008725ED">
        <w:rPr>
          <w:rFonts w:cs="Arial"/>
          <w:lang w:val="fr-FR"/>
        </w:rPr>
        <w:t xml:space="preserve"> expert des Pays</w:t>
      </w:r>
      <w:r w:rsidR="00EF1779" w:rsidRPr="008725ED">
        <w:rPr>
          <w:rFonts w:cs="Arial"/>
          <w:lang w:val="fr-FR"/>
        </w:rPr>
        <w:t>-</w:t>
      </w:r>
      <w:r w:rsidRPr="008725ED">
        <w:rPr>
          <w:rFonts w:cs="Arial"/>
          <w:lang w:val="fr-FR"/>
        </w:rPr>
        <w:t>Bas a également présenté un exposé intitulé “Minimum number of growing cycles” (document TWC/34/21), qui rappelait les facteurs susceptibles de déterminer le nombre de cycles de végétation requis et suggérait d</w:t>
      </w:r>
      <w:r w:rsidR="00EF1779" w:rsidRPr="008725ED">
        <w:rPr>
          <w:rFonts w:cs="Arial"/>
          <w:lang w:val="fr-FR"/>
        </w:rPr>
        <w:t>’</w:t>
      </w:r>
      <w:r w:rsidRPr="008725ED">
        <w:rPr>
          <w:rFonts w:cs="Arial"/>
          <w:lang w:val="fr-FR"/>
        </w:rPr>
        <w:t>utiliser des essais supplémentaires relatifs, par exemple, à la résistance aux maladies, à la germination ou à l</w:t>
      </w:r>
      <w:r w:rsidR="00EF1779" w:rsidRPr="008725ED">
        <w:rPr>
          <w:rFonts w:cs="Arial"/>
          <w:lang w:val="fr-FR"/>
        </w:rPr>
        <w:t>’</w:t>
      </w:r>
      <w:r w:rsidRPr="008725ED">
        <w:rPr>
          <w:rFonts w:cs="Arial"/>
          <w:lang w:val="fr-FR"/>
        </w:rPr>
        <w:t>ADN afin de réduire le nombre de cycles requis dans certains c</w:t>
      </w:r>
      <w:r w:rsidR="00D43219" w:rsidRPr="008725ED">
        <w:rPr>
          <w:rFonts w:cs="Arial"/>
          <w:lang w:val="fr-FR"/>
        </w:rPr>
        <w:t>as.  Le</w:t>
      </w:r>
      <w:r w:rsidRPr="008725ED">
        <w:rPr>
          <w:rFonts w:cs="Arial"/>
          <w:lang w:val="fr-FR"/>
        </w:rPr>
        <w:t> TWC a indiqué que, chez certains membres de l</w:t>
      </w:r>
      <w:r w:rsidR="00EF1779" w:rsidRPr="008725ED">
        <w:rPr>
          <w:rFonts w:cs="Arial"/>
          <w:lang w:val="fr-FR"/>
        </w:rPr>
        <w:t>’</w:t>
      </w:r>
      <w:r w:rsidRPr="008725ED">
        <w:rPr>
          <w:rFonts w:cs="Arial"/>
          <w:lang w:val="fr-FR"/>
        </w:rPr>
        <w:t>Union, des tests d</w:t>
      </w:r>
      <w:r w:rsidR="00EF1779" w:rsidRPr="008725ED">
        <w:rPr>
          <w:rFonts w:cs="Arial"/>
          <w:lang w:val="fr-FR"/>
        </w:rPr>
        <w:t>’</w:t>
      </w:r>
      <w:r w:rsidRPr="008725ED">
        <w:rPr>
          <w:rFonts w:cs="Arial"/>
          <w:lang w:val="fr-FR"/>
        </w:rPr>
        <w:t>ADN étaient envisagés afin de réduire le nombre de cycles de végétation, tout en maintenant les décisions fondées sur un essai en cultu</w:t>
      </w:r>
      <w:r w:rsidR="00D43219" w:rsidRPr="008725ED">
        <w:rPr>
          <w:rFonts w:cs="Arial"/>
          <w:lang w:val="fr-FR"/>
        </w:rPr>
        <w:t>re.  Un</w:t>
      </w:r>
      <w:r w:rsidRPr="008725ED">
        <w:rPr>
          <w:rFonts w:cs="Arial"/>
          <w:lang w:val="fr-FR"/>
        </w:rPr>
        <w:t xml:space="preserve"> expert de l</w:t>
      </w:r>
      <w:r w:rsidR="00EF1779" w:rsidRPr="008725ED">
        <w:rPr>
          <w:rFonts w:cs="Arial"/>
          <w:lang w:val="fr-FR"/>
        </w:rPr>
        <w:t>’</w:t>
      </w:r>
      <w:r w:rsidRPr="008725ED">
        <w:rPr>
          <w:rFonts w:cs="Arial"/>
          <w:lang w:val="fr-FR"/>
        </w:rPr>
        <w:t>Argentine a indiqué que, dans le cas des espèces multipliées par voie végétative et des espèces autogames, un second cycle de végétation ne serait pas nécessaire dans les cas où la distinction serait confirmée avec des différences évidentes entre variétés (par exemple, les caractères de résistance aux maladies) dans un premier cycle de végétati</w:t>
      </w:r>
      <w:r w:rsidR="00D43219" w:rsidRPr="008725ED">
        <w:rPr>
          <w:rFonts w:cs="Arial"/>
          <w:lang w:val="fr-FR"/>
        </w:rPr>
        <w:t>on.  Le</w:t>
      </w:r>
      <w:r w:rsidRPr="008725ED">
        <w:rPr>
          <w:rFonts w:cs="Arial"/>
          <w:lang w:val="fr-FR"/>
        </w:rPr>
        <w:t> TWC s</w:t>
      </w:r>
      <w:r w:rsidR="00EF1779" w:rsidRPr="008725ED">
        <w:rPr>
          <w:rFonts w:cs="Arial"/>
          <w:lang w:val="fr-FR"/>
        </w:rPr>
        <w:t>’</w:t>
      </w:r>
      <w:r w:rsidRPr="008725ED">
        <w:rPr>
          <w:rFonts w:cs="Arial"/>
          <w:lang w:val="fr-FR"/>
        </w:rPr>
        <w:t>est félicité des propositions de la France, de l</w:t>
      </w:r>
      <w:r w:rsidR="00EF1779" w:rsidRPr="008725ED">
        <w:rPr>
          <w:rFonts w:cs="Arial"/>
          <w:lang w:val="fr-FR"/>
        </w:rPr>
        <w:t>’</w:t>
      </w:r>
      <w:r w:rsidRPr="008725ED">
        <w:rPr>
          <w:rFonts w:cs="Arial"/>
          <w:lang w:val="fr-FR"/>
        </w:rPr>
        <w:t>Allemagne et des Pays</w:t>
      </w:r>
      <w:r w:rsidR="00EF1779" w:rsidRPr="008725ED">
        <w:rPr>
          <w:rFonts w:cs="Arial"/>
          <w:lang w:val="fr-FR"/>
        </w:rPr>
        <w:t>-</w:t>
      </w:r>
      <w:r w:rsidRPr="008725ED">
        <w:rPr>
          <w:rFonts w:cs="Arial"/>
          <w:lang w:val="fr-FR"/>
        </w:rPr>
        <w:t>Bas de présenter des exposés sur les simulations démontrant l</w:t>
      </w:r>
      <w:r w:rsidR="00EF1779" w:rsidRPr="008725ED">
        <w:rPr>
          <w:rFonts w:cs="Arial"/>
          <w:lang w:val="fr-FR"/>
        </w:rPr>
        <w:t>’</w:t>
      </w:r>
      <w:r w:rsidRPr="008725ED">
        <w:rPr>
          <w:rFonts w:cs="Arial"/>
          <w:lang w:val="fr-FR"/>
        </w:rPr>
        <w:t>incidence de l</w:t>
      </w:r>
      <w:r w:rsidR="00EF1779" w:rsidRPr="008725ED">
        <w:rPr>
          <w:rFonts w:cs="Arial"/>
          <w:lang w:val="fr-FR"/>
        </w:rPr>
        <w:t>’</w:t>
      </w:r>
      <w:r w:rsidRPr="008725ED">
        <w:rPr>
          <w:rFonts w:cs="Arial"/>
          <w:lang w:val="fr-FR"/>
        </w:rPr>
        <w:t>utilisation de différents nombres de cycles de végétation sur les décisions relatives à l</w:t>
      </w:r>
      <w:r w:rsidR="00EF1779" w:rsidRPr="008725ED">
        <w:rPr>
          <w:rFonts w:cs="Arial"/>
          <w:lang w:val="fr-FR"/>
        </w:rPr>
        <w:t>’</w:t>
      </w:r>
      <w:r w:rsidRPr="008725ED">
        <w:rPr>
          <w:rFonts w:cs="Arial"/>
          <w:lang w:val="fr-FR"/>
        </w:rPr>
        <w:t>examen DHS à la trente</w:t>
      </w:r>
      <w:r w:rsidR="00EF1779" w:rsidRPr="008725ED">
        <w:rPr>
          <w:rFonts w:cs="Arial"/>
          <w:lang w:val="fr-FR"/>
        </w:rPr>
        <w:t>-</w:t>
      </w:r>
      <w:r w:rsidRPr="008725ED">
        <w:rPr>
          <w:rFonts w:cs="Arial"/>
          <w:lang w:val="fr-FR"/>
        </w:rPr>
        <w:t>cinqu</w:t>
      </w:r>
      <w:r w:rsidR="00EF1779" w:rsidRPr="008725ED">
        <w:rPr>
          <w:rFonts w:cs="Arial"/>
          <w:lang w:val="fr-FR"/>
        </w:rPr>
        <w:t>ième session</w:t>
      </w:r>
      <w:r w:rsidRPr="008725ED">
        <w:rPr>
          <w:rFonts w:cs="Arial"/>
          <w:lang w:val="fr-FR"/>
        </w:rPr>
        <w:t>.</w:t>
      </w:r>
    </w:p>
    <w:p w:rsidR="008C3126" w:rsidRPr="008725ED" w:rsidRDefault="0052307B" w:rsidP="0052307B">
      <w:pPr>
        <w:tabs>
          <w:tab w:val="left" w:pos="567"/>
        </w:tabs>
        <w:autoSpaceDE w:val="0"/>
        <w:autoSpaceDN w:val="0"/>
        <w:adjustRightInd w:val="0"/>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Le TWC est convenu que les logiciels et les bases de données ainsi que les méthodes statistiques associées sont des éléments importants de l</w:t>
      </w:r>
      <w:r w:rsidR="00EF1779" w:rsidRPr="008725ED">
        <w:rPr>
          <w:rFonts w:cs="Arial"/>
          <w:lang w:val="fr-FR"/>
        </w:rPr>
        <w:t>’</w:t>
      </w:r>
      <w:r w:rsidRPr="008725ED">
        <w:rPr>
          <w:rFonts w:cs="Arial"/>
          <w:lang w:val="fr-FR"/>
        </w:rPr>
        <w:t>examen DHS et qu</w:t>
      </w:r>
      <w:r w:rsidR="00EF1779" w:rsidRPr="008725ED">
        <w:rPr>
          <w:rFonts w:cs="Arial"/>
          <w:lang w:val="fr-FR"/>
        </w:rPr>
        <w:t>’</w:t>
      </w:r>
      <w:r w:rsidRPr="008725ED">
        <w:rPr>
          <w:rFonts w:cs="Arial"/>
          <w:lang w:val="fr-FR"/>
        </w:rPr>
        <w:t>ils présentent un intérêt croissant pour la protection des obtentions végétales.</w:t>
      </w:r>
    </w:p>
    <w:p w:rsidR="008C3126" w:rsidRPr="008725ED" w:rsidRDefault="008C3126" w:rsidP="0052307B">
      <w:pPr>
        <w:autoSpaceDE w:val="0"/>
        <w:autoSpaceDN w:val="0"/>
        <w:adjustRightInd w:val="0"/>
        <w:rPr>
          <w:rFonts w:cs="Arial"/>
          <w:lang w:val="fr-FR"/>
        </w:rPr>
      </w:pPr>
    </w:p>
    <w:p w:rsidR="008C3126" w:rsidRPr="008725ED" w:rsidRDefault="0052307B" w:rsidP="0052307B">
      <w:pPr>
        <w:tabs>
          <w:tab w:val="left" w:pos="567"/>
        </w:tabs>
        <w:autoSpaceDE w:val="0"/>
        <w:autoSpaceDN w:val="0"/>
        <w:adjustRightInd w:val="0"/>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Le TWC est convenu de proposer au</w:t>
      </w:r>
      <w:r w:rsidR="00EF1779" w:rsidRPr="008725ED">
        <w:rPr>
          <w:rFonts w:cs="Arial"/>
          <w:lang w:val="fr-FR"/>
        </w:rPr>
        <w:t> TC</w:t>
      </w:r>
      <w:r w:rsidRPr="008725ED">
        <w:rPr>
          <w:rFonts w:cs="Arial"/>
          <w:lang w:val="fr-FR"/>
        </w:rPr>
        <w:t xml:space="preserve"> de recommander au Conseil d</w:t>
      </w:r>
      <w:r w:rsidR="00EF1779" w:rsidRPr="008725ED">
        <w:rPr>
          <w:rFonts w:cs="Arial"/>
          <w:lang w:val="fr-FR"/>
        </w:rPr>
        <w:t>’</w:t>
      </w:r>
      <w:r w:rsidRPr="008725ED">
        <w:rPr>
          <w:rFonts w:cs="Arial"/>
          <w:lang w:val="fr-FR"/>
        </w:rPr>
        <w:t>élire M. Christophe Chevalier (France) prochain président du TWC.</w:t>
      </w:r>
    </w:p>
    <w:p w:rsidR="008C3126" w:rsidRPr="008725ED" w:rsidRDefault="008C3126" w:rsidP="0052307B">
      <w:pPr>
        <w:autoSpaceDE w:val="0"/>
        <w:autoSpaceDN w:val="0"/>
        <w:adjustRightInd w:val="0"/>
        <w:rPr>
          <w:rFonts w:cs="Arial"/>
          <w:lang w:val="fr-FR"/>
        </w:rPr>
      </w:pPr>
    </w:p>
    <w:p w:rsidR="008C3126" w:rsidRPr="008725ED" w:rsidRDefault="0052307B" w:rsidP="0052307B">
      <w:pPr>
        <w:tabs>
          <w:tab w:val="left" w:pos="567"/>
        </w:tabs>
        <w:autoSpaceDE w:val="0"/>
        <w:autoSpaceDN w:val="0"/>
        <w:adjustRightInd w:val="0"/>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r>
      <w:r w:rsidRPr="008725ED">
        <w:rPr>
          <w:lang w:val="fr-FR"/>
        </w:rPr>
        <w:t xml:space="preserve">Le </w:t>
      </w:r>
      <w:r w:rsidRPr="008725ED">
        <w:rPr>
          <w:rFonts w:cs="Arial"/>
          <w:lang w:val="fr-FR"/>
        </w:rPr>
        <w:t>TWC est convenu de tenir sa trente</w:t>
      </w:r>
      <w:r w:rsidR="00EF1779" w:rsidRPr="008725ED">
        <w:rPr>
          <w:rFonts w:cs="Arial"/>
          <w:lang w:val="fr-FR"/>
        </w:rPr>
        <w:t>-</w:t>
      </w:r>
      <w:r w:rsidRPr="008725ED">
        <w:rPr>
          <w:rFonts w:cs="Arial"/>
          <w:lang w:val="fr-FR"/>
        </w:rPr>
        <w:t>cinqu</w:t>
      </w:r>
      <w:r w:rsidR="00EF1779" w:rsidRPr="008725ED">
        <w:rPr>
          <w:rFonts w:cs="Arial"/>
          <w:lang w:val="fr-FR"/>
        </w:rPr>
        <w:t>ième session</w:t>
      </w:r>
      <w:r w:rsidRPr="008725ED">
        <w:rPr>
          <w:rFonts w:cs="Arial"/>
          <w:lang w:val="fr-FR"/>
        </w:rPr>
        <w:t xml:space="preserve"> à Buenos Aires (Argentine), du 14 au 17 novembre 2017, un atelier préparatoire étant prévu le 13 novembre 2017.</w:t>
      </w:r>
    </w:p>
    <w:p w:rsidR="008C3126" w:rsidRPr="008725ED" w:rsidRDefault="008C3126" w:rsidP="0052307B">
      <w:pPr>
        <w:autoSpaceDE w:val="0"/>
        <w:autoSpaceDN w:val="0"/>
        <w:adjustRightInd w:val="0"/>
        <w:rPr>
          <w:rFonts w:cs="Arial"/>
          <w:lang w:val="fr-FR"/>
        </w:rPr>
      </w:pPr>
    </w:p>
    <w:p w:rsidR="008C3126" w:rsidRPr="008725ED" w:rsidRDefault="0052307B" w:rsidP="0052307B">
      <w:pPr>
        <w:keepNext/>
        <w:keepLines/>
        <w:tabs>
          <w:tab w:val="left" w:pos="567"/>
        </w:tabs>
        <w:autoSpaceDE w:val="0"/>
        <w:autoSpaceDN w:val="0"/>
        <w:adjustRightInd w:val="0"/>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Le TWC a proposé d</w:t>
      </w:r>
      <w:r w:rsidR="00EF1779" w:rsidRPr="008725ED">
        <w:rPr>
          <w:rFonts w:cs="Arial"/>
          <w:lang w:val="fr-FR"/>
        </w:rPr>
        <w:t>’</w:t>
      </w:r>
      <w:r w:rsidRPr="008725ED">
        <w:rPr>
          <w:rFonts w:cs="Arial"/>
          <w:lang w:val="fr-FR"/>
        </w:rPr>
        <w:t>examiner les points suivants à sa trente</w:t>
      </w:r>
      <w:r w:rsidR="00EF1779" w:rsidRPr="008725ED">
        <w:rPr>
          <w:rFonts w:cs="Arial"/>
          <w:lang w:val="fr-FR"/>
        </w:rPr>
        <w:t>-</w:t>
      </w:r>
      <w:r w:rsidRPr="008725ED">
        <w:rPr>
          <w:rFonts w:cs="Arial"/>
          <w:lang w:val="fr-FR"/>
        </w:rPr>
        <w:t>cinqu</w:t>
      </w:r>
      <w:r w:rsidR="00EF1779" w:rsidRPr="008725ED">
        <w:rPr>
          <w:rFonts w:cs="Arial"/>
          <w:lang w:val="fr-FR"/>
        </w:rPr>
        <w:t>ième session :</w:t>
      </w:r>
    </w:p>
    <w:p w:rsidR="008C3126" w:rsidRPr="008725ED" w:rsidRDefault="008C3126" w:rsidP="0052307B">
      <w:pPr>
        <w:keepNext/>
        <w:keepLines/>
        <w:autoSpaceDE w:val="0"/>
        <w:autoSpaceDN w:val="0"/>
        <w:adjustRightInd w:val="0"/>
        <w:rPr>
          <w:rFonts w:cs="Arial"/>
          <w:lang w:val="fr-FR"/>
        </w:rPr>
      </w:pPr>
    </w:p>
    <w:p w:rsidR="008C3126" w:rsidRPr="008725ED" w:rsidRDefault="0052307B" w:rsidP="0052307B">
      <w:pPr>
        <w:pStyle w:val="ListParagraph"/>
        <w:keepNext/>
        <w:keepLines/>
        <w:numPr>
          <w:ilvl w:val="0"/>
          <w:numId w:val="2"/>
        </w:numPr>
        <w:tabs>
          <w:tab w:val="left" w:pos="1134"/>
        </w:tabs>
        <w:autoSpaceDE w:val="0"/>
        <w:autoSpaceDN w:val="0"/>
        <w:adjustRightInd w:val="0"/>
        <w:spacing w:after="0"/>
        <w:ind w:left="567" w:firstLine="0"/>
        <w:rPr>
          <w:rFonts w:ascii="Arial" w:hAnsi="Arial" w:cs="Arial"/>
          <w:sz w:val="20"/>
          <w:szCs w:val="20"/>
          <w:lang w:val="fr-FR"/>
        </w:rPr>
      </w:pPr>
      <w:r w:rsidRPr="008725ED">
        <w:rPr>
          <w:rFonts w:ascii="Arial" w:hAnsi="Arial" w:cs="Arial"/>
          <w:sz w:val="20"/>
          <w:szCs w:val="20"/>
          <w:lang w:val="fr-FR"/>
        </w:rPr>
        <w:t>Ouverture de la session</w:t>
      </w:r>
    </w:p>
    <w:p w:rsidR="008C3126" w:rsidRPr="008725ED" w:rsidRDefault="0052307B" w:rsidP="0052307B">
      <w:pPr>
        <w:pStyle w:val="ListParagraph"/>
        <w:numPr>
          <w:ilvl w:val="0"/>
          <w:numId w:val="2"/>
        </w:numPr>
        <w:tabs>
          <w:tab w:val="left" w:pos="1134"/>
        </w:tabs>
        <w:autoSpaceDE w:val="0"/>
        <w:autoSpaceDN w:val="0"/>
        <w:adjustRightInd w:val="0"/>
        <w:spacing w:after="0"/>
        <w:ind w:left="567" w:firstLine="0"/>
        <w:rPr>
          <w:rFonts w:ascii="Arial" w:hAnsi="Arial" w:cs="Arial"/>
          <w:sz w:val="20"/>
          <w:szCs w:val="20"/>
          <w:lang w:val="fr-FR"/>
        </w:rPr>
      </w:pPr>
      <w:r w:rsidRPr="008725ED">
        <w:rPr>
          <w:rFonts w:ascii="Arial" w:hAnsi="Arial" w:cs="Arial"/>
          <w:sz w:val="20"/>
          <w:szCs w:val="20"/>
          <w:lang w:val="fr-FR"/>
        </w:rPr>
        <w:t>Adoption de l</w:t>
      </w:r>
      <w:r w:rsidR="00EF1779" w:rsidRPr="008725ED">
        <w:rPr>
          <w:rFonts w:ascii="Arial" w:hAnsi="Arial" w:cs="Arial"/>
          <w:sz w:val="20"/>
          <w:szCs w:val="20"/>
          <w:lang w:val="fr-FR"/>
        </w:rPr>
        <w:t>’</w:t>
      </w:r>
      <w:r w:rsidRPr="008725ED">
        <w:rPr>
          <w:rFonts w:ascii="Arial" w:hAnsi="Arial" w:cs="Arial"/>
          <w:sz w:val="20"/>
          <w:szCs w:val="20"/>
          <w:lang w:val="fr-FR"/>
        </w:rPr>
        <w:t>ordre du jour</w:t>
      </w:r>
    </w:p>
    <w:p w:rsidR="008C3126" w:rsidRPr="008725ED" w:rsidRDefault="0052307B" w:rsidP="005E033E">
      <w:pPr>
        <w:pStyle w:val="ListParagraph"/>
        <w:keepNext/>
        <w:numPr>
          <w:ilvl w:val="0"/>
          <w:numId w:val="2"/>
        </w:numPr>
        <w:tabs>
          <w:tab w:val="left" w:pos="1134"/>
        </w:tabs>
        <w:autoSpaceDE w:val="0"/>
        <w:autoSpaceDN w:val="0"/>
        <w:adjustRightInd w:val="0"/>
        <w:spacing w:after="0"/>
        <w:ind w:left="1134" w:hanging="567"/>
        <w:rPr>
          <w:rFonts w:ascii="Arial" w:hAnsi="Arial" w:cs="Arial"/>
          <w:sz w:val="20"/>
          <w:szCs w:val="20"/>
          <w:lang w:val="fr-FR"/>
        </w:rPr>
      </w:pPr>
      <w:r w:rsidRPr="008725ED">
        <w:rPr>
          <w:rFonts w:ascii="Arial" w:hAnsi="Arial" w:cs="Arial"/>
          <w:sz w:val="20"/>
          <w:szCs w:val="20"/>
          <w:lang w:val="fr-FR"/>
        </w:rPr>
        <w:t>Rapports succincts sur l</w:t>
      </w:r>
      <w:r w:rsidR="00EF1779" w:rsidRPr="008725ED">
        <w:rPr>
          <w:rFonts w:ascii="Arial" w:hAnsi="Arial" w:cs="Arial"/>
          <w:sz w:val="20"/>
          <w:szCs w:val="20"/>
          <w:lang w:val="fr-FR"/>
        </w:rPr>
        <w:t>’</w:t>
      </w:r>
      <w:r w:rsidRPr="008725ED">
        <w:rPr>
          <w:rFonts w:ascii="Arial" w:hAnsi="Arial" w:cs="Arial"/>
          <w:sz w:val="20"/>
          <w:szCs w:val="20"/>
          <w:lang w:val="fr-FR"/>
        </w:rPr>
        <w:t>évolution de la situation en matière de protection des obtentions végétales</w:t>
      </w:r>
    </w:p>
    <w:p w:rsidR="008C3126" w:rsidRPr="008725ED" w:rsidRDefault="0052307B" w:rsidP="0052307B">
      <w:pPr>
        <w:pStyle w:val="ListParagraph"/>
        <w:numPr>
          <w:ilvl w:val="1"/>
          <w:numId w:val="2"/>
        </w:numPr>
        <w:tabs>
          <w:tab w:val="left" w:pos="1134"/>
          <w:tab w:val="left" w:pos="1701"/>
        </w:tabs>
        <w:autoSpaceDE w:val="0"/>
        <w:autoSpaceDN w:val="0"/>
        <w:adjustRightInd w:val="0"/>
        <w:spacing w:after="0"/>
        <w:ind w:left="1134" w:firstLine="0"/>
        <w:rPr>
          <w:rFonts w:ascii="Arial" w:hAnsi="Arial" w:cs="Arial"/>
          <w:sz w:val="20"/>
          <w:szCs w:val="20"/>
          <w:lang w:val="fr-FR"/>
        </w:rPr>
      </w:pPr>
      <w:r w:rsidRPr="008725ED">
        <w:rPr>
          <w:rFonts w:ascii="Arial" w:hAnsi="Arial" w:cs="Arial"/>
          <w:sz w:val="20"/>
          <w:szCs w:val="20"/>
          <w:lang w:val="fr-FR"/>
        </w:rPr>
        <w:t>Rapports des membres et des observateurs</w:t>
      </w:r>
    </w:p>
    <w:p w:rsidR="008C3126" w:rsidRPr="008725ED" w:rsidRDefault="0052307B" w:rsidP="0052307B">
      <w:pPr>
        <w:pStyle w:val="ListParagraph"/>
        <w:numPr>
          <w:ilvl w:val="1"/>
          <w:numId w:val="2"/>
        </w:numPr>
        <w:tabs>
          <w:tab w:val="left" w:pos="1134"/>
          <w:tab w:val="left" w:pos="1701"/>
        </w:tabs>
        <w:autoSpaceDE w:val="0"/>
        <w:autoSpaceDN w:val="0"/>
        <w:adjustRightInd w:val="0"/>
        <w:spacing w:after="0"/>
        <w:ind w:left="1134" w:firstLine="0"/>
        <w:rPr>
          <w:rFonts w:ascii="Arial" w:hAnsi="Arial" w:cs="Arial"/>
          <w:sz w:val="20"/>
          <w:szCs w:val="20"/>
          <w:lang w:val="fr-FR"/>
        </w:rPr>
      </w:pPr>
      <w:r w:rsidRPr="008725ED">
        <w:rPr>
          <w:rFonts w:ascii="Arial" w:hAnsi="Arial" w:cs="Arial"/>
          <w:sz w:val="20"/>
          <w:szCs w:val="20"/>
          <w:lang w:val="fr-FR"/>
        </w:rPr>
        <w:t>Rapports sur les faits nouveaux intervenus à l</w:t>
      </w:r>
      <w:r w:rsidR="00EF1779" w:rsidRPr="008725ED">
        <w:rPr>
          <w:rFonts w:ascii="Arial" w:hAnsi="Arial" w:cs="Arial"/>
          <w:sz w:val="20"/>
          <w:szCs w:val="20"/>
          <w:lang w:val="fr-FR"/>
        </w:rPr>
        <w:t>’</w:t>
      </w:r>
      <w:r w:rsidRPr="008725ED">
        <w:rPr>
          <w:rFonts w:ascii="Arial" w:hAnsi="Arial" w:cs="Arial"/>
          <w:sz w:val="20"/>
          <w:szCs w:val="20"/>
          <w:lang w:val="fr-FR"/>
        </w:rPr>
        <w:t>UPOV</w:t>
      </w:r>
    </w:p>
    <w:p w:rsidR="008C3126" w:rsidRPr="008725ED" w:rsidRDefault="0052307B" w:rsidP="0052307B">
      <w:pPr>
        <w:pStyle w:val="ListParagraph"/>
        <w:numPr>
          <w:ilvl w:val="0"/>
          <w:numId w:val="2"/>
        </w:numPr>
        <w:tabs>
          <w:tab w:val="left" w:pos="1134"/>
        </w:tabs>
        <w:autoSpaceDE w:val="0"/>
        <w:autoSpaceDN w:val="0"/>
        <w:adjustRightInd w:val="0"/>
        <w:spacing w:after="0"/>
        <w:ind w:left="567" w:firstLine="0"/>
        <w:rPr>
          <w:rFonts w:ascii="Arial" w:hAnsi="Arial" w:cs="Arial"/>
          <w:sz w:val="20"/>
          <w:szCs w:val="20"/>
          <w:lang w:val="fr-FR"/>
        </w:rPr>
      </w:pPr>
      <w:r w:rsidRPr="008725ED">
        <w:rPr>
          <w:rFonts w:ascii="Arial" w:hAnsi="Arial" w:cs="Arial"/>
          <w:sz w:val="20"/>
          <w:szCs w:val="20"/>
          <w:lang w:val="fr-FR"/>
        </w:rPr>
        <w:t>Dénominations variétales</w:t>
      </w:r>
    </w:p>
    <w:p w:rsidR="008C3126" w:rsidRPr="008725ED" w:rsidRDefault="0052307B" w:rsidP="0052307B">
      <w:pPr>
        <w:pStyle w:val="ListParagraph"/>
        <w:numPr>
          <w:ilvl w:val="0"/>
          <w:numId w:val="2"/>
        </w:numPr>
        <w:tabs>
          <w:tab w:val="left" w:pos="1134"/>
        </w:tabs>
        <w:autoSpaceDE w:val="0"/>
        <w:autoSpaceDN w:val="0"/>
        <w:adjustRightInd w:val="0"/>
        <w:spacing w:after="0"/>
        <w:ind w:left="567" w:firstLine="0"/>
        <w:rPr>
          <w:rFonts w:ascii="Arial" w:hAnsi="Arial" w:cs="Arial"/>
          <w:sz w:val="20"/>
          <w:szCs w:val="20"/>
          <w:lang w:val="fr-FR"/>
        </w:rPr>
      </w:pPr>
      <w:r w:rsidRPr="008725ED">
        <w:rPr>
          <w:rFonts w:ascii="Arial" w:hAnsi="Arial" w:cs="Arial"/>
          <w:sz w:val="20"/>
          <w:szCs w:val="20"/>
          <w:lang w:val="fr-FR"/>
        </w:rPr>
        <w:t>Questions concernant les descriptions variétales</w:t>
      </w:r>
    </w:p>
    <w:p w:rsidR="008C3126" w:rsidRPr="008725ED" w:rsidRDefault="0052307B" w:rsidP="0052307B">
      <w:pPr>
        <w:pStyle w:val="ListParagraph"/>
        <w:numPr>
          <w:ilvl w:val="0"/>
          <w:numId w:val="2"/>
        </w:numPr>
        <w:tabs>
          <w:tab w:val="left" w:pos="1134"/>
        </w:tabs>
        <w:autoSpaceDE w:val="0"/>
        <w:autoSpaceDN w:val="0"/>
        <w:adjustRightInd w:val="0"/>
        <w:spacing w:after="0"/>
        <w:ind w:left="567" w:firstLine="0"/>
        <w:rPr>
          <w:rFonts w:ascii="Arial" w:hAnsi="Arial" w:cs="Arial"/>
          <w:sz w:val="20"/>
          <w:szCs w:val="20"/>
          <w:lang w:val="fr-FR"/>
        </w:rPr>
      </w:pPr>
      <w:r w:rsidRPr="008725ED">
        <w:rPr>
          <w:rFonts w:ascii="Arial" w:hAnsi="Arial" w:cs="Arial"/>
          <w:sz w:val="20"/>
          <w:szCs w:val="20"/>
          <w:lang w:val="fr-FR"/>
        </w:rPr>
        <w:t>Documents TGP</w:t>
      </w:r>
    </w:p>
    <w:p w:rsidR="008C3126" w:rsidRPr="008725ED" w:rsidRDefault="0052307B" w:rsidP="0052307B">
      <w:pPr>
        <w:pStyle w:val="ListParagraph"/>
        <w:numPr>
          <w:ilvl w:val="0"/>
          <w:numId w:val="2"/>
        </w:numPr>
        <w:tabs>
          <w:tab w:val="left" w:pos="1134"/>
        </w:tabs>
        <w:autoSpaceDE w:val="0"/>
        <w:autoSpaceDN w:val="0"/>
        <w:adjustRightInd w:val="0"/>
        <w:spacing w:after="0"/>
        <w:ind w:left="567" w:firstLine="0"/>
        <w:rPr>
          <w:rFonts w:ascii="Arial" w:hAnsi="Arial" w:cs="Arial"/>
          <w:sz w:val="20"/>
          <w:szCs w:val="20"/>
          <w:lang w:val="fr-FR"/>
        </w:rPr>
      </w:pPr>
      <w:r w:rsidRPr="008725ED">
        <w:rPr>
          <w:rFonts w:ascii="Arial" w:hAnsi="Arial" w:cs="Arial"/>
          <w:sz w:val="20"/>
          <w:szCs w:val="20"/>
          <w:lang w:val="fr-FR"/>
        </w:rPr>
        <w:t>Considération d</w:t>
      </w:r>
      <w:r w:rsidR="00EF1779" w:rsidRPr="008725ED">
        <w:rPr>
          <w:rFonts w:ascii="Arial" w:hAnsi="Arial" w:cs="Arial"/>
          <w:sz w:val="20"/>
          <w:szCs w:val="20"/>
          <w:lang w:val="fr-FR"/>
        </w:rPr>
        <w:t>’</w:t>
      </w:r>
      <w:r w:rsidRPr="008725ED">
        <w:rPr>
          <w:rFonts w:ascii="Arial" w:hAnsi="Arial" w:cs="Arial"/>
          <w:sz w:val="20"/>
          <w:szCs w:val="20"/>
          <w:lang w:val="fr-FR"/>
        </w:rPr>
        <w:t>une éventuelle réorganisation de TGP/8</w:t>
      </w:r>
    </w:p>
    <w:p w:rsidR="008C3126" w:rsidRPr="008725ED" w:rsidRDefault="0052307B" w:rsidP="0052307B">
      <w:pPr>
        <w:pStyle w:val="ListParagraph"/>
        <w:keepNext/>
        <w:numPr>
          <w:ilvl w:val="0"/>
          <w:numId w:val="2"/>
        </w:numPr>
        <w:tabs>
          <w:tab w:val="left" w:pos="1134"/>
        </w:tabs>
        <w:autoSpaceDE w:val="0"/>
        <w:autoSpaceDN w:val="0"/>
        <w:adjustRightInd w:val="0"/>
        <w:spacing w:after="0"/>
        <w:ind w:left="567" w:firstLine="0"/>
        <w:rPr>
          <w:rFonts w:ascii="Arial" w:hAnsi="Arial" w:cs="Arial"/>
          <w:sz w:val="20"/>
          <w:szCs w:val="20"/>
          <w:lang w:val="fr-FR"/>
        </w:rPr>
      </w:pPr>
      <w:r w:rsidRPr="008725ED">
        <w:rPr>
          <w:rFonts w:ascii="Arial" w:hAnsi="Arial" w:cs="Arial"/>
          <w:sz w:val="20"/>
          <w:szCs w:val="20"/>
          <w:lang w:val="fr-FR"/>
        </w:rPr>
        <w:t>Détermination de l</w:t>
      </w:r>
      <w:r w:rsidR="00EF1779" w:rsidRPr="008725ED">
        <w:rPr>
          <w:rFonts w:ascii="Arial" w:hAnsi="Arial" w:cs="Arial"/>
          <w:sz w:val="20"/>
          <w:szCs w:val="20"/>
          <w:lang w:val="fr-FR"/>
        </w:rPr>
        <w:t>’</w:t>
      </w:r>
      <w:r w:rsidRPr="008725ED">
        <w:rPr>
          <w:rFonts w:ascii="Arial" w:hAnsi="Arial" w:cs="Arial"/>
          <w:sz w:val="20"/>
          <w:szCs w:val="20"/>
          <w:lang w:val="fr-FR"/>
        </w:rPr>
        <w:t>homogénéité au moyen des plantes hors</w:t>
      </w:r>
      <w:r w:rsidR="00EF1779" w:rsidRPr="008725ED">
        <w:rPr>
          <w:rFonts w:ascii="Arial" w:hAnsi="Arial" w:cs="Arial"/>
          <w:sz w:val="20"/>
          <w:szCs w:val="20"/>
          <w:lang w:val="fr-FR"/>
        </w:rPr>
        <w:t>-</w:t>
      </w:r>
      <w:r w:rsidRPr="008725ED">
        <w:rPr>
          <w:rFonts w:ascii="Arial" w:hAnsi="Arial" w:cs="Arial"/>
          <w:sz w:val="20"/>
          <w:szCs w:val="20"/>
          <w:lang w:val="fr-FR"/>
        </w:rPr>
        <w:t>type</w:t>
      </w:r>
    </w:p>
    <w:p w:rsidR="008C3126" w:rsidRPr="008725ED" w:rsidRDefault="0052307B" w:rsidP="0052307B">
      <w:pPr>
        <w:pStyle w:val="ListParagraph"/>
        <w:numPr>
          <w:ilvl w:val="1"/>
          <w:numId w:val="2"/>
        </w:numPr>
        <w:tabs>
          <w:tab w:val="left" w:pos="1134"/>
          <w:tab w:val="left" w:pos="1701"/>
        </w:tabs>
        <w:autoSpaceDE w:val="0"/>
        <w:autoSpaceDN w:val="0"/>
        <w:adjustRightInd w:val="0"/>
        <w:spacing w:after="0"/>
        <w:ind w:left="1134" w:firstLine="0"/>
        <w:rPr>
          <w:rFonts w:ascii="Arial" w:hAnsi="Arial" w:cs="Arial"/>
          <w:sz w:val="20"/>
          <w:szCs w:val="20"/>
          <w:lang w:val="fr-FR"/>
        </w:rPr>
      </w:pPr>
      <w:r w:rsidRPr="008725ED">
        <w:rPr>
          <w:rFonts w:ascii="Arial" w:hAnsi="Arial" w:cs="Arial"/>
          <w:sz w:val="20"/>
          <w:szCs w:val="20"/>
          <w:lang w:val="fr-FR"/>
        </w:rPr>
        <w:t>Données d</w:t>
      </w:r>
      <w:r w:rsidR="00EF1779" w:rsidRPr="008725ED">
        <w:rPr>
          <w:rFonts w:ascii="Arial" w:hAnsi="Arial" w:cs="Arial"/>
          <w:sz w:val="20"/>
          <w:szCs w:val="20"/>
          <w:lang w:val="fr-FR"/>
        </w:rPr>
        <w:t>’</w:t>
      </w:r>
      <w:r w:rsidRPr="008725ED">
        <w:rPr>
          <w:rFonts w:ascii="Arial" w:hAnsi="Arial" w:cs="Arial"/>
          <w:sz w:val="20"/>
          <w:szCs w:val="20"/>
          <w:lang w:val="fr-FR"/>
        </w:rPr>
        <w:t>expérience concrètes de l</w:t>
      </w:r>
      <w:r w:rsidR="00EF1779" w:rsidRPr="008725ED">
        <w:rPr>
          <w:rFonts w:ascii="Arial" w:hAnsi="Arial" w:cs="Arial"/>
          <w:sz w:val="20"/>
          <w:szCs w:val="20"/>
          <w:lang w:val="fr-FR"/>
        </w:rPr>
        <w:t>’</w:t>
      </w:r>
      <w:r w:rsidRPr="008725ED">
        <w:rPr>
          <w:rFonts w:ascii="Arial" w:hAnsi="Arial" w:cs="Arial"/>
          <w:sz w:val="20"/>
          <w:szCs w:val="20"/>
          <w:lang w:val="fr-FR"/>
        </w:rPr>
        <w:t>évaluation de l</w:t>
      </w:r>
      <w:r w:rsidR="00EF1779" w:rsidRPr="008725ED">
        <w:rPr>
          <w:rFonts w:ascii="Arial" w:hAnsi="Arial" w:cs="Arial"/>
          <w:sz w:val="20"/>
          <w:szCs w:val="20"/>
          <w:lang w:val="fr-FR"/>
        </w:rPr>
        <w:t>’</w:t>
      </w:r>
      <w:r w:rsidRPr="008725ED">
        <w:rPr>
          <w:rFonts w:ascii="Arial" w:hAnsi="Arial" w:cs="Arial"/>
          <w:sz w:val="20"/>
          <w:szCs w:val="20"/>
          <w:lang w:val="fr-FR"/>
        </w:rPr>
        <w:t>homogénéité</w:t>
      </w:r>
    </w:p>
    <w:p w:rsidR="008C3126" w:rsidRPr="008725ED" w:rsidRDefault="0052307B" w:rsidP="005E033E">
      <w:pPr>
        <w:pStyle w:val="ListParagraph"/>
        <w:numPr>
          <w:ilvl w:val="1"/>
          <w:numId w:val="2"/>
        </w:numPr>
        <w:tabs>
          <w:tab w:val="left" w:pos="1134"/>
          <w:tab w:val="left" w:pos="1701"/>
        </w:tabs>
        <w:autoSpaceDE w:val="0"/>
        <w:autoSpaceDN w:val="0"/>
        <w:adjustRightInd w:val="0"/>
        <w:spacing w:after="0"/>
        <w:ind w:left="1701" w:hanging="567"/>
        <w:rPr>
          <w:rFonts w:ascii="Arial" w:hAnsi="Arial" w:cs="Arial"/>
          <w:sz w:val="20"/>
          <w:szCs w:val="20"/>
          <w:lang w:val="fr-FR"/>
        </w:rPr>
      </w:pPr>
      <w:r w:rsidRPr="008725ED">
        <w:rPr>
          <w:rFonts w:ascii="Arial" w:hAnsi="Arial" w:cs="Arial"/>
          <w:sz w:val="20"/>
          <w:szCs w:val="20"/>
          <w:lang w:val="fr-FR"/>
        </w:rPr>
        <w:t>Facteurs influençant le choix de la méthode pour les plantes hors</w:t>
      </w:r>
      <w:r w:rsidR="00EF1779" w:rsidRPr="008725ED">
        <w:rPr>
          <w:rFonts w:ascii="Arial" w:hAnsi="Arial" w:cs="Arial"/>
          <w:sz w:val="20"/>
          <w:szCs w:val="20"/>
          <w:lang w:val="fr-FR"/>
        </w:rPr>
        <w:t>-</w:t>
      </w:r>
      <w:r w:rsidRPr="008725ED">
        <w:rPr>
          <w:rFonts w:ascii="Arial" w:hAnsi="Arial" w:cs="Arial"/>
          <w:sz w:val="20"/>
          <w:szCs w:val="20"/>
          <w:lang w:val="fr-FR"/>
        </w:rPr>
        <w:t>type sur au moins deux cycles</w:t>
      </w:r>
    </w:p>
    <w:p w:rsidR="008C3126" w:rsidRPr="008725ED" w:rsidRDefault="0052307B" w:rsidP="0052307B">
      <w:pPr>
        <w:pStyle w:val="ListParagraph"/>
        <w:keepNext/>
        <w:numPr>
          <w:ilvl w:val="0"/>
          <w:numId w:val="2"/>
        </w:numPr>
        <w:tabs>
          <w:tab w:val="left" w:pos="1134"/>
        </w:tabs>
        <w:autoSpaceDE w:val="0"/>
        <w:autoSpaceDN w:val="0"/>
        <w:adjustRightInd w:val="0"/>
        <w:spacing w:after="0"/>
        <w:ind w:left="567" w:firstLine="0"/>
        <w:rPr>
          <w:rFonts w:ascii="Arial" w:hAnsi="Arial" w:cs="Arial"/>
          <w:sz w:val="20"/>
          <w:szCs w:val="20"/>
          <w:lang w:val="fr-FR"/>
        </w:rPr>
      </w:pPr>
      <w:r w:rsidRPr="008725ED">
        <w:rPr>
          <w:rFonts w:ascii="Arial" w:hAnsi="Arial" w:cs="Arial"/>
          <w:sz w:val="20"/>
          <w:szCs w:val="20"/>
          <w:lang w:val="fr-FR"/>
        </w:rPr>
        <w:t>Techniques moléculaires</w:t>
      </w:r>
    </w:p>
    <w:p w:rsidR="008C3126" w:rsidRPr="008725ED" w:rsidRDefault="0052307B" w:rsidP="005E033E">
      <w:pPr>
        <w:pStyle w:val="ListParagraph"/>
        <w:numPr>
          <w:ilvl w:val="1"/>
          <w:numId w:val="2"/>
        </w:numPr>
        <w:tabs>
          <w:tab w:val="left" w:pos="1701"/>
        </w:tabs>
        <w:autoSpaceDE w:val="0"/>
        <w:autoSpaceDN w:val="0"/>
        <w:adjustRightInd w:val="0"/>
        <w:spacing w:after="0"/>
        <w:ind w:left="1701" w:hanging="567"/>
        <w:rPr>
          <w:rFonts w:ascii="Arial" w:hAnsi="Arial" w:cs="Arial"/>
          <w:sz w:val="20"/>
          <w:szCs w:val="20"/>
          <w:lang w:val="fr-FR"/>
        </w:rPr>
      </w:pPr>
      <w:r w:rsidRPr="008725ED">
        <w:rPr>
          <w:rFonts w:ascii="Arial" w:hAnsi="Arial" w:cs="Arial"/>
          <w:sz w:val="20"/>
          <w:szCs w:val="20"/>
          <w:lang w:val="fr-FR"/>
        </w:rPr>
        <w:t>Sélection de variétés voisines pour le maïs, le riz et le blé au moyen d</w:t>
      </w:r>
      <w:r w:rsidR="00EF1779" w:rsidRPr="008725ED">
        <w:rPr>
          <w:rFonts w:ascii="Arial" w:hAnsi="Arial" w:cs="Arial"/>
          <w:sz w:val="20"/>
          <w:szCs w:val="20"/>
          <w:lang w:val="fr-FR"/>
        </w:rPr>
        <w:t>’</w:t>
      </w:r>
      <w:r w:rsidRPr="008725ED">
        <w:rPr>
          <w:rFonts w:ascii="Arial" w:hAnsi="Arial" w:cs="Arial"/>
          <w:sz w:val="20"/>
          <w:szCs w:val="20"/>
          <w:lang w:val="fr-FR"/>
        </w:rPr>
        <w:t>une base de données ADN</w:t>
      </w:r>
    </w:p>
    <w:p w:rsidR="008C3126" w:rsidRPr="008725ED" w:rsidRDefault="0052307B" w:rsidP="0052307B">
      <w:pPr>
        <w:pStyle w:val="ListParagraph"/>
        <w:numPr>
          <w:ilvl w:val="1"/>
          <w:numId w:val="2"/>
        </w:numPr>
        <w:tabs>
          <w:tab w:val="left" w:pos="1701"/>
        </w:tabs>
        <w:autoSpaceDE w:val="0"/>
        <w:autoSpaceDN w:val="0"/>
        <w:adjustRightInd w:val="0"/>
        <w:spacing w:after="0"/>
        <w:ind w:left="1134" w:firstLine="0"/>
        <w:rPr>
          <w:rFonts w:ascii="Arial" w:hAnsi="Arial" w:cs="Arial"/>
          <w:sz w:val="20"/>
          <w:szCs w:val="20"/>
          <w:lang w:val="fr-FR"/>
        </w:rPr>
      </w:pPr>
      <w:r w:rsidRPr="008725ED">
        <w:rPr>
          <w:rFonts w:ascii="Arial" w:hAnsi="Arial" w:cs="Arial"/>
          <w:sz w:val="20"/>
          <w:szCs w:val="20"/>
          <w:lang w:val="fr-FR"/>
        </w:rPr>
        <w:t>Utilisation de marqueurs moléculaires dans l</w:t>
      </w:r>
      <w:r w:rsidR="00EF1779" w:rsidRPr="008725ED">
        <w:rPr>
          <w:rFonts w:ascii="Arial" w:hAnsi="Arial" w:cs="Arial"/>
          <w:sz w:val="20"/>
          <w:szCs w:val="20"/>
          <w:lang w:val="fr-FR"/>
        </w:rPr>
        <w:t>’</w:t>
      </w:r>
      <w:r w:rsidRPr="008725ED">
        <w:rPr>
          <w:rFonts w:ascii="Arial" w:hAnsi="Arial" w:cs="Arial"/>
          <w:sz w:val="20"/>
          <w:szCs w:val="20"/>
          <w:lang w:val="fr-FR"/>
        </w:rPr>
        <w:t>examen DHS</w:t>
      </w:r>
    </w:p>
    <w:p w:rsidR="008C3126" w:rsidRPr="008725ED" w:rsidRDefault="0052307B" w:rsidP="0052307B">
      <w:pPr>
        <w:pStyle w:val="ListParagraph"/>
        <w:numPr>
          <w:ilvl w:val="1"/>
          <w:numId w:val="2"/>
        </w:numPr>
        <w:tabs>
          <w:tab w:val="left" w:pos="1701"/>
        </w:tabs>
        <w:autoSpaceDE w:val="0"/>
        <w:autoSpaceDN w:val="0"/>
        <w:adjustRightInd w:val="0"/>
        <w:spacing w:after="0"/>
        <w:ind w:left="1134" w:firstLine="0"/>
        <w:rPr>
          <w:rFonts w:ascii="Arial" w:hAnsi="Arial" w:cs="Arial"/>
          <w:sz w:val="20"/>
          <w:szCs w:val="20"/>
          <w:lang w:val="fr-FR"/>
        </w:rPr>
      </w:pPr>
      <w:r w:rsidRPr="008725ED">
        <w:rPr>
          <w:rFonts w:ascii="Arial" w:hAnsi="Arial" w:cs="Arial"/>
          <w:sz w:val="20"/>
          <w:szCs w:val="20"/>
          <w:lang w:val="fr-FR"/>
        </w:rPr>
        <w:t>Expérience dans l</w:t>
      </w:r>
      <w:r w:rsidR="00EF1779" w:rsidRPr="008725ED">
        <w:rPr>
          <w:rFonts w:ascii="Arial" w:hAnsi="Arial" w:cs="Arial"/>
          <w:sz w:val="20"/>
          <w:szCs w:val="20"/>
          <w:lang w:val="fr-FR"/>
        </w:rPr>
        <w:t>’</w:t>
      </w:r>
      <w:r w:rsidRPr="008725ED">
        <w:rPr>
          <w:rFonts w:ascii="Arial" w:hAnsi="Arial" w:cs="Arial"/>
          <w:sz w:val="20"/>
          <w:szCs w:val="20"/>
          <w:lang w:val="fr-FR"/>
        </w:rPr>
        <w:t>utilisation de marqueurs moléculaires dans l</w:t>
      </w:r>
      <w:r w:rsidR="00EF1779" w:rsidRPr="008725ED">
        <w:rPr>
          <w:rFonts w:ascii="Arial" w:hAnsi="Arial" w:cs="Arial"/>
          <w:sz w:val="20"/>
          <w:szCs w:val="20"/>
          <w:lang w:val="fr-FR"/>
        </w:rPr>
        <w:t>’</w:t>
      </w:r>
      <w:r w:rsidRPr="008725ED">
        <w:rPr>
          <w:rFonts w:ascii="Arial" w:hAnsi="Arial" w:cs="Arial"/>
          <w:sz w:val="20"/>
          <w:szCs w:val="20"/>
          <w:lang w:val="fr-FR"/>
        </w:rPr>
        <w:t>examen DHS</w:t>
      </w:r>
    </w:p>
    <w:p w:rsidR="008C3126" w:rsidRPr="008725ED" w:rsidRDefault="0052307B" w:rsidP="005E033E">
      <w:pPr>
        <w:pStyle w:val="ListParagraph"/>
        <w:numPr>
          <w:ilvl w:val="1"/>
          <w:numId w:val="2"/>
        </w:numPr>
        <w:tabs>
          <w:tab w:val="left" w:pos="1701"/>
        </w:tabs>
        <w:autoSpaceDE w:val="0"/>
        <w:autoSpaceDN w:val="0"/>
        <w:adjustRightInd w:val="0"/>
        <w:spacing w:after="0"/>
        <w:ind w:left="1701" w:hanging="567"/>
        <w:rPr>
          <w:rFonts w:ascii="Arial" w:hAnsi="Arial" w:cs="Arial"/>
          <w:sz w:val="20"/>
          <w:szCs w:val="20"/>
          <w:lang w:val="fr-FR"/>
        </w:rPr>
      </w:pPr>
      <w:r w:rsidRPr="008725ED">
        <w:rPr>
          <w:rFonts w:ascii="Arial" w:hAnsi="Arial" w:cs="Arial"/>
          <w:sz w:val="20"/>
          <w:szCs w:val="20"/>
          <w:lang w:val="fr-FR"/>
        </w:rPr>
        <w:t>Questions de statistique (bio</w:t>
      </w:r>
      <w:r w:rsidR="00EF1779" w:rsidRPr="008725ED">
        <w:rPr>
          <w:rFonts w:ascii="Arial" w:hAnsi="Arial" w:cs="Arial"/>
          <w:sz w:val="20"/>
          <w:szCs w:val="20"/>
          <w:lang w:val="fr-FR"/>
        </w:rPr>
        <w:t>-</w:t>
      </w:r>
      <w:r w:rsidRPr="008725ED">
        <w:rPr>
          <w:rFonts w:ascii="Arial" w:hAnsi="Arial" w:cs="Arial"/>
          <w:sz w:val="20"/>
          <w:szCs w:val="20"/>
          <w:lang w:val="fr-FR"/>
        </w:rPr>
        <w:t>informatique) relatives à l</w:t>
      </w:r>
      <w:r w:rsidR="00EF1779" w:rsidRPr="008725ED">
        <w:rPr>
          <w:rFonts w:ascii="Arial" w:hAnsi="Arial" w:cs="Arial"/>
          <w:sz w:val="20"/>
          <w:szCs w:val="20"/>
          <w:lang w:val="fr-FR"/>
        </w:rPr>
        <w:t>’</w:t>
      </w:r>
      <w:r w:rsidRPr="008725ED">
        <w:rPr>
          <w:rFonts w:ascii="Arial" w:hAnsi="Arial" w:cs="Arial"/>
          <w:sz w:val="20"/>
          <w:szCs w:val="20"/>
          <w:lang w:val="fr-FR"/>
        </w:rPr>
        <w:t>utilisation de marqueurs moléculaires</w:t>
      </w:r>
    </w:p>
    <w:p w:rsidR="008C3126" w:rsidRPr="008725ED" w:rsidRDefault="0052307B" w:rsidP="0052307B">
      <w:pPr>
        <w:pStyle w:val="ListParagraph"/>
        <w:numPr>
          <w:ilvl w:val="0"/>
          <w:numId w:val="2"/>
        </w:numPr>
        <w:tabs>
          <w:tab w:val="left" w:pos="1134"/>
        </w:tabs>
        <w:autoSpaceDE w:val="0"/>
        <w:autoSpaceDN w:val="0"/>
        <w:adjustRightInd w:val="0"/>
        <w:spacing w:after="0"/>
        <w:ind w:left="567" w:firstLine="0"/>
        <w:rPr>
          <w:rFonts w:ascii="Arial" w:hAnsi="Arial" w:cs="Arial"/>
          <w:sz w:val="20"/>
          <w:szCs w:val="20"/>
          <w:lang w:val="fr-FR"/>
        </w:rPr>
      </w:pPr>
      <w:r w:rsidRPr="008725ED">
        <w:rPr>
          <w:rFonts w:ascii="Arial" w:hAnsi="Arial" w:cs="Arial"/>
          <w:sz w:val="20"/>
          <w:szCs w:val="20"/>
          <w:lang w:val="fr-FR"/>
        </w:rPr>
        <w:t>Nombre de cycles de végétation dans le cadre de l</w:t>
      </w:r>
      <w:r w:rsidR="00EF1779" w:rsidRPr="008725ED">
        <w:rPr>
          <w:rFonts w:ascii="Arial" w:hAnsi="Arial" w:cs="Arial"/>
          <w:sz w:val="20"/>
          <w:szCs w:val="20"/>
          <w:lang w:val="fr-FR"/>
        </w:rPr>
        <w:t>’</w:t>
      </w:r>
      <w:r w:rsidRPr="008725ED">
        <w:rPr>
          <w:rFonts w:ascii="Arial" w:hAnsi="Arial" w:cs="Arial"/>
          <w:sz w:val="20"/>
          <w:szCs w:val="20"/>
          <w:lang w:val="fr-FR"/>
        </w:rPr>
        <w:t>examen DHS</w:t>
      </w:r>
    </w:p>
    <w:p w:rsidR="008C3126" w:rsidRPr="008725ED" w:rsidRDefault="0052307B" w:rsidP="005E033E">
      <w:pPr>
        <w:pStyle w:val="ListParagraph"/>
        <w:keepNext/>
        <w:numPr>
          <w:ilvl w:val="0"/>
          <w:numId w:val="2"/>
        </w:numPr>
        <w:tabs>
          <w:tab w:val="left" w:pos="1134"/>
        </w:tabs>
        <w:autoSpaceDE w:val="0"/>
        <w:autoSpaceDN w:val="0"/>
        <w:adjustRightInd w:val="0"/>
        <w:spacing w:after="0"/>
        <w:ind w:left="1134" w:hanging="567"/>
        <w:rPr>
          <w:rFonts w:ascii="Arial" w:hAnsi="Arial" w:cs="Arial"/>
          <w:sz w:val="20"/>
          <w:szCs w:val="20"/>
          <w:lang w:val="fr-FR"/>
        </w:rPr>
      </w:pPr>
      <w:r w:rsidRPr="008725ED">
        <w:rPr>
          <w:rFonts w:ascii="Arial" w:hAnsi="Arial" w:cs="Arial"/>
          <w:sz w:val="20"/>
          <w:szCs w:val="20"/>
          <w:lang w:val="fr-FR"/>
        </w:rPr>
        <w:t>Traitement des données aux fins de l</w:t>
      </w:r>
      <w:r w:rsidR="00EF1779" w:rsidRPr="008725ED">
        <w:rPr>
          <w:rFonts w:ascii="Arial" w:hAnsi="Arial" w:cs="Arial"/>
          <w:sz w:val="20"/>
          <w:szCs w:val="20"/>
          <w:lang w:val="fr-FR"/>
        </w:rPr>
        <w:t>’</w:t>
      </w:r>
      <w:r w:rsidRPr="008725ED">
        <w:rPr>
          <w:rFonts w:ascii="Arial" w:hAnsi="Arial" w:cs="Arial"/>
          <w:sz w:val="20"/>
          <w:szCs w:val="20"/>
          <w:lang w:val="fr-FR"/>
        </w:rPr>
        <w:t>évaluation de la distinction et de l</w:t>
      </w:r>
      <w:r w:rsidR="00EF1779" w:rsidRPr="008725ED">
        <w:rPr>
          <w:rFonts w:ascii="Arial" w:hAnsi="Arial" w:cs="Arial"/>
          <w:sz w:val="20"/>
          <w:szCs w:val="20"/>
          <w:lang w:val="fr-FR"/>
        </w:rPr>
        <w:t>’</w:t>
      </w:r>
      <w:r w:rsidRPr="008725ED">
        <w:rPr>
          <w:rFonts w:ascii="Arial" w:hAnsi="Arial" w:cs="Arial"/>
          <w:sz w:val="20"/>
          <w:szCs w:val="20"/>
          <w:lang w:val="fr-FR"/>
        </w:rPr>
        <w:t>élaboration de descriptions variétales</w:t>
      </w:r>
    </w:p>
    <w:p w:rsidR="008C3126" w:rsidRPr="008725ED" w:rsidRDefault="0052307B" w:rsidP="0052307B">
      <w:pPr>
        <w:pStyle w:val="ListParagraph"/>
        <w:numPr>
          <w:ilvl w:val="1"/>
          <w:numId w:val="2"/>
        </w:numPr>
        <w:tabs>
          <w:tab w:val="left" w:pos="1701"/>
        </w:tabs>
        <w:autoSpaceDE w:val="0"/>
        <w:autoSpaceDN w:val="0"/>
        <w:adjustRightInd w:val="0"/>
        <w:spacing w:after="0"/>
        <w:ind w:left="1134" w:firstLine="0"/>
        <w:rPr>
          <w:rFonts w:ascii="Arial" w:hAnsi="Arial" w:cs="Arial"/>
          <w:sz w:val="20"/>
          <w:szCs w:val="20"/>
          <w:lang w:val="fr-FR"/>
        </w:rPr>
      </w:pPr>
      <w:r w:rsidRPr="008725ED">
        <w:rPr>
          <w:rFonts w:ascii="Arial" w:hAnsi="Arial" w:cs="Arial"/>
          <w:sz w:val="20"/>
          <w:szCs w:val="20"/>
          <w:lang w:val="fr-FR"/>
        </w:rPr>
        <w:t>Brèves descriptions</w:t>
      </w:r>
    </w:p>
    <w:p w:rsidR="008C3126" w:rsidRPr="008725ED" w:rsidRDefault="0052307B" w:rsidP="0052307B">
      <w:pPr>
        <w:pStyle w:val="ListParagraph"/>
        <w:numPr>
          <w:ilvl w:val="1"/>
          <w:numId w:val="2"/>
        </w:numPr>
        <w:tabs>
          <w:tab w:val="left" w:pos="1701"/>
        </w:tabs>
        <w:autoSpaceDE w:val="0"/>
        <w:autoSpaceDN w:val="0"/>
        <w:adjustRightInd w:val="0"/>
        <w:spacing w:after="0"/>
        <w:ind w:left="1134" w:firstLine="0"/>
        <w:rPr>
          <w:rFonts w:ascii="Arial" w:hAnsi="Arial" w:cs="Arial"/>
          <w:sz w:val="20"/>
          <w:szCs w:val="20"/>
          <w:lang w:val="fr-FR"/>
        </w:rPr>
      </w:pPr>
      <w:r w:rsidRPr="008725ED">
        <w:rPr>
          <w:rFonts w:ascii="Arial" w:hAnsi="Arial" w:cs="Arial"/>
          <w:sz w:val="20"/>
          <w:szCs w:val="20"/>
          <w:lang w:val="fr-FR"/>
        </w:rPr>
        <w:t>Examiner les</w:t>
      </w:r>
      <w:r w:rsidRPr="008725ED">
        <w:rPr>
          <w:sz w:val="20"/>
          <w:szCs w:val="20"/>
          <w:lang w:val="fr-FR"/>
        </w:rPr>
        <w:t xml:space="preserve"> </w:t>
      </w:r>
      <w:r w:rsidRPr="008725ED">
        <w:rPr>
          <w:rFonts w:ascii="Arial" w:hAnsi="Arial" w:cs="Arial"/>
          <w:sz w:val="20"/>
          <w:szCs w:val="20"/>
          <w:lang w:val="fr-FR"/>
        </w:rPr>
        <w:t>résultats de l</w:t>
      </w:r>
      <w:r w:rsidR="00EF1779" w:rsidRPr="008725ED">
        <w:rPr>
          <w:rFonts w:ascii="Arial" w:hAnsi="Arial" w:cs="Arial"/>
          <w:sz w:val="20"/>
          <w:szCs w:val="20"/>
          <w:lang w:val="fr-FR"/>
        </w:rPr>
        <w:t>’</w:t>
      </w:r>
      <w:r w:rsidRPr="008725ED">
        <w:rPr>
          <w:rFonts w:ascii="Arial" w:hAnsi="Arial" w:cs="Arial"/>
          <w:sz w:val="20"/>
          <w:szCs w:val="20"/>
          <w:lang w:val="fr-FR"/>
        </w:rPr>
        <w:t>exercice pratique</w:t>
      </w:r>
    </w:p>
    <w:p w:rsidR="008C3126" w:rsidRPr="008725ED" w:rsidRDefault="0052307B" w:rsidP="005E033E">
      <w:pPr>
        <w:pStyle w:val="ListParagraph"/>
        <w:numPr>
          <w:ilvl w:val="1"/>
          <w:numId w:val="2"/>
        </w:numPr>
        <w:tabs>
          <w:tab w:val="left" w:pos="1701"/>
        </w:tabs>
        <w:autoSpaceDE w:val="0"/>
        <w:autoSpaceDN w:val="0"/>
        <w:adjustRightInd w:val="0"/>
        <w:spacing w:after="0"/>
        <w:ind w:left="1701" w:hanging="567"/>
        <w:rPr>
          <w:rFonts w:ascii="Arial" w:hAnsi="Arial" w:cs="Arial"/>
          <w:sz w:val="20"/>
          <w:szCs w:val="20"/>
          <w:lang w:val="fr-FR"/>
        </w:rPr>
      </w:pPr>
      <w:r w:rsidRPr="008725ED">
        <w:rPr>
          <w:rFonts w:ascii="Arial" w:hAnsi="Arial" w:cs="Arial"/>
          <w:sz w:val="20"/>
          <w:szCs w:val="20"/>
          <w:lang w:val="fr-FR"/>
        </w:rPr>
        <w:t>Interaction entre génotype et environnement, essai DHS et conversion des données en notes</w:t>
      </w:r>
    </w:p>
    <w:p w:rsidR="008C3126" w:rsidRPr="008725ED" w:rsidRDefault="0052307B" w:rsidP="0052307B">
      <w:pPr>
        <w:pStyle w:val="ListParagraph"/>
        <w:keepNext/>
        <w:numPr>
          <w:ilvl w:val="0"/>
          <w:numId w:val="2"/>
        </w:numPr>
        <w:tabs>
          <w:tab w:val="left" w:pos="1134"/>
        </w:tabs>
        <w:autoSpaceDE w:val="0"/>
        <w:autoSpaceDN w:val="0"/>
        <w:adjustRightInd w:val="0"/>
        <w:spacing w:after="0"/>
        <w:ind w:left="567" w:firstLine="0"/>
        <w:rPr>
          <w:rFonts w:ascii="Arial" w:hAnsi="Arial" w:cs="Arial"/>
          <w:sz w:val="20"/>
          <w:szCs w:val="20"/>
          <w:lang w:val="fr-FR"/>
        </w:rPr>
      </w:pPr>
      <w:r w:rsidRPr="008725ED">
        <w:rPr>
          <w:rFonts w:ascii="Arial" w:hAnsi="Arial" w:cs="Arial"/>
          <w:sz w:val="20"/>
          <w:szCs w:val="20"/>
          <w:lang w:val="fr-FR"/>
        </w:rPr>
        <w:t>Logiciels, informations et bases de données</w:t>
      </w:r>
    </w:p>
    <w:p w:rsidR="008C3126" w:rsidRPr="008725ED" w:rsidRDefault="0052307B" w:rsidP="0052307B">
      <w:pPr>
        <w:pStyle w:val="ListParagraph"/>
        <w:numPr>
          <w:ilvl w:val="1"/>
          <w:numId w:val="2"/>
        </w:numPr>
        <w:tabs>
          <w:tab w:val="left" w:pos="1701"/>
        </w:tabs>
        <w:autoSpaceDE w:val="0"/>
        <w:autoSpaceDN w:val="0"/>
        <w:adjustRightInd w:val="0"/>
        <w:spacing w:after="0"/>
        <w:ind w:left="1134" w:firstLine="0"/>
        <w:rPr>
          <w:rFonts w:ascii="Arial" w:hAnsi="Arial" w:cs="Arial"/>
          <w:sz w:val="20"/>
          <w:szCs w:val="20"/>
          <w:lang w:val="fr-FR"/>
        </w:rPr>
      </w:pPr>
      <w:r w:rsidRPr="008725ED">
        <w:rPr>
          <w:rFonts w:ascii="Arial" w:hAnsi="Arial" w:cs="Arial"/>
          <w:sz w:val="20"/>
          <w:szCs w:val="20"/>
          <w:lang w:val="fr-FR"/>
        </w:rPr>
        <w:t>Bases de données d</w:t>
      </w:r>
      <w:r w:rsidR="00EF1779" w:rsidRPr="008725ED">
        <w:rPr>
          <w:rFonts w:ascii="Arial" w:hAnsi="Arial" w:cs="Arial"/>
          <w:sz w:val="20"/>
          <w:szCs w:val="20"/>
          <w:lang w:val="fr-FR"/>
        </w:rPr>
        <w:t>’</w:t>
      </w:r>
      <w:r w:rsidRPr="008725ED">
        <w:rPr>
          <w:rFonts w:ascii="Arial" w:hAnsi="Arial" w:cs="Arial"/>
          <w:sz w:val="20"/>
          <w:szCs w:val="20"/>
          <w:lang w:val="fr-FR"/>
        </w:rPr>
        <w:t>information de l</w:t>
      </w:r>
      <w:r w:rsidR="00EF1779" w:rsidRPr="008725ED">
        <w:rPr>
          <w:rFonts w:ascii="Arial" w:hAnsi="Arial" w:cs="Arial"/>
          <w:sz w:val="20"/>
          <w:szCs w:val="20"/>
          <w:lang w:val="fr-FR"/>
        </w:rPr>
        <w:t>’</w:t>
      </w:r>
      <w:r w:rsidRPr="008725ED">
        <w:rPr>
          <w:rFonts w:ascii="Arial" w:hAnsi="Arial" w:cs="Arial"/>
          <w:sz w:val="20"/>
          <w:szCs w:val="20"/>
          <w:lang w:val="fr-FR"/>
        </w:rPr>
        <w:t>UPOV</w:t>
      </w:r>
    </w:p>
    <w:p w:rsidR="008C3126" w:rsidRPr="008725ED" w:rsidRDefault="0052307B" w:rsidP="0052307B">
      <w:pPr>
        <w:pStyle w:val="ListParagraph"/>
        <w:numPr>
          <w:ilvl w:val="1"/>
          <w:numId w:val="2"/>
        </w:numPr>
        <w:tabs>
          <w:tab w:val="left" w:pos="1701"/>
        </w:tabs>
        <w:autoSpaceDE w:val="0"/>
        <w:autoSpaceDN w:val="0"/>
        <w:adjustRightInd w:val="0"/>
        <w:spacing w:after="0"/>
        <w:ind w:left="1134" w:firstLine="0"/>
        <w:rPr>
          <w:rFonts w:ascii="Arial" w:hAnsi="Arial" w:cs="Arial"/>
          <w:sz w:val="20"/>
          <w:szCs w:val="20"/>
          <w:lang w:val="fr-FR"/>
        </w:rPr>
      </w:pPr>
      <w:r w:rsidRPr="008725ED">
        <w:rPr>
          <w:rFonts w:ascii="Arial" w:hAnsi="Arial" w:cs="Arial"/>
          <w:sz w:val="20"/>
          <w:szCs w:val="20"/>
          <w:lang w:val="fr-FR"/>
        </w:rPr>
        <w:t>Bases de données sur les descriptions variétales</w:t>
      </w:r>
    </w:p>
    <w:p w:rsidR="008C3126" w:rsidRPr="008725ED" w:rsidRDefault="0052307B" w:rsidP="0052307B">
      <w:pPr>
        <w:pStyle w:val="ListParagraph"/>
        <w:numPr>
          <w:ilvl w:val="1"/>
          <w:numId w:val="2"/>
        </w:numPr>
        <w:tabs>
          <w:tab w:val="left" w:pos="1701"/>
        </w:tabs>
        <w:autoSpaceDE w:val="0"/>
        <w:autoSpaceDN w:val="0"/>
        <w:adjustRightInd w:val="0"/>
        <w:spacing w:after="0"/>
        <w:ind w:left="1134" w:firstLine="0"/>
        <w:rPr>
          <w:rFonts w:ascii="Arial" w:hAnsi="Arial" w:cs="Arial"/>
          <w:sz w:val="20"/>
          <w:szCs w:val="20"/>
          <w:lang w:val="fr-FR"/>
        </w:rPr>
      </w:pPr>
      <w:r w:rsidRPr="008725ED">
        <w:rPr>
          <w:rFonts w:ascii="Arial" w:hAnsi="Arial" w:cs="Arial"/>
          <w:sz w:val="20"/>
          <w:szCs w:val="20"/>
          <w:lang w:val="fr-FR"/>
        </w:rPr>
        <w:t>Échange et utilisation de logiciels et d</w:t>
      </w:r>
      <w:r w:rsidR="00EF1779" w:rsidRPr="008725ED">
        <w:rPr>
          <w:rFonts w:ascii="Arial" w:hAnsi="Arial" w:cs="Arial"/>
          <w:sz w:val="20"/>
          <w:szCs w:val="20"/>
          <w:lang w:val="fr-FR"/>
        </w:rPr>
        <w:t>’</w:t>
      </w:r>
      <w:r w:rsidRPr="008725ED">
        <w:rPr>
          <w:rFonts w:ascii="Arial" w:hAnsi="Arial" w:cs="Arial"/>
          <w:sz w:val="20"/>
          <w:szCs w:val="20"/>
          <w:lang w:val="fr-FR"/>
        </w:rPr>
        <w:t>équipements</w:t>
      </w:r>
    </w:p>
    <w:p w:rsidR="008C3126" w:rsidRPr="008725ED" w:rsidRDefault="0052307B" w:rsidP="0052307B">
      <w:pPr>
        <w:pStyle w:val="ListParagraph"/>
        <w:numPr>
          <w:ilvl w:val="1"/>
          <w:numId w:val="2"/>
        </w:numPr>
        <w:tabs>
          <w:tab w:val="left" w:pos="1701"/>
        </w:tabs>
        <w:autoSpaceDE w:val="0"/>
        <w:autoSpaceDN w:val="0"/>
        <w:adjustRightInd w:val="0"/>
        <w:spacing w:after="0"/>
        <w:ind w:left="1134" w:firstLine="0"/>
        <w:rPr>
          <w:rFonts w:ascii="Arial" w:hAnsi="Arial" w:cs="Arial"/>
          <w:sz w:val="20"/>
          <w:szCs w:val="20"/>
          <w:lang w:val="fr-FR"/>
        </w:rPr>
      </w:pPr>
      <w:r w:rsidRPr="008725ED">
        <w:rPr>
          <w:rFonts w:ascii="Arial" w:hAnsi="Arial" w:cs="Arial"/>
          <w:sz w:val="20"/>
          <w:szCs w:val="20"/>
          <w:lang w:val="fr-FR"/>
        </w:rPr>
        <w:t>Systèmes de dépôt électronique des demandes</w:t>
      </w:r>
    </w:p>
    <w:p w:rsidR="008C3126" w:rsidRPr="008725ED" w:rsidRDefault="0052307B" w:rsidP="0052307B">
      <w:pPr>
        <w:pStyle w:val="ListParagraph"/>
        <w:keepNext/>
        <w:numPr>
          <w:ilvl w:val="1"/>
          <w:numId w:val="2"/>
        </w:numPr>
        <w:tabs>
          <w:tab w:val="left" w:pos="1701"/>
        </w:tabs>
        <w:autoSpaceDE w:val="0"/>
        <w:autoSpaceDN w:val="0"/>
        <w:adjustRightInd w:val="0"/>
        <w:spacing w:after="0"/>
        <w:ind w:left="1134" w:firstLine="0"/>
        <w:rPr>
          <w:rFonts w:ascii="Arial" w:hAnsi="Arial" w:cs="Arial"/>
          <w:sz w:val="20"/>
          <w:szCs w:val="20"/>
          <w:lang w:val="fr-FR"/>
        </w:rPr>
      </w:pPr>
      <w:r w:rsidRPr="008725ED">
        <w:rPr>
          <w:rFonts w:ascii="Arial" w:hAnsi="Arial" w:cs="Arial"/>
          <w:sz w:val="20"/>
          <w:szCs w:val="20"/>
          <w:lang w:val="fr-FR"/>
        </w:rPr>
        <w:t>Gestion des bases de données</w:t>
      </w:r>
    </w:p>
    <w:p w:rsidR="008C3126" w:rsidRPr="008725ED" w:rsidRDefault="0052307B" w:rsidP="0052307B">
      <w:pPr>
        <w:pStyle w:val="ListParagraph"/>
        <w:numPr>
          <w:ilvl w:val="2"/>
          <w:numId w:val="2"/>
        </w:numPr>
        <w:tabs>
          <w:tab w:val="left" w:pos="2268"/>
        </w:tabs>
        <w:autoSpaceDE w:val="0"/>
        <w:autoSpaceDN w:val="0"/>
        <w:adjustRightInd w:val="0"/>
        <w:spacing w:after="0"/>
        <w:ind w:left="1843" w:firstLine="0"/>
        <w:rPr>
          <w:rFonts w:ascii="Arial" w:hAnsi="Arial" w:cs="Arial"/>
          <w:sz w:val="20"/>
          <w:szCs w:val="20"/>
          <w:lang w:val="fr-FR"/>
        </w:rPr>
      </w:pPr>
      <w:r w:rsidRPr="008725ED">
        <w:rPr>
          <w:rFonts w:ascii="Arial" w:hAnsi="Arial" w:cs="Arial"/>
          <w:sz w:val="20"/>
          <w:szCs w:val="20"/>
          <w:lang w:val="fr-FR"/>
        </w:rPr>
        <w:t>Expérience des membres en ce qui concerne l</w:t>
      </w:r>
      <w:r w:rsidR="00EF1779" w:rsidRPr="008725ED">
        <w:rPr>
          <w:rFonts w:ascii="Arial" w:hAnsi="Arial" w:cs="Arial"/>
          <w:sz w:val="20"/>
          <w:szCs w:val="20"/>
          <w:lang w:val="fr-FR"/>
        </w:rPr>
        <w:t>’</w:t>
      </w:r>
      <w:r w:rsidRPr="008725ED">
        <w:rPr>
          <w:rFonts w:ascii="Arial" w:hAnsi="Arial" w:cs="Arial"/>
          <w:sz w:val="20"/>
          <w:szCs w:val="20"/>
          <w:lang w:val="fr-FR"/>
        </w:rPr>
        <w:t>application des bases de données</w:t>
      </w:r>
    </w:p>
    <w:p w:rsidR="008C3126" w:rsidRPr="008725ED" w:rsidRDefault="0052307B" w:rsidP="0052307B">
      <w:pPr>
        <w:pStyle w:val="ListParagraph"/>
        <w:numPr>
          <w:ilvl w:val="2"/>
          <w:numId w:val="2"/>
        </w:numPr>
        <w:tabs>
          <w:tab w:val="left" w:pos="2268"/>
        </w:tabs>
        <w:autoSpaceDE w:val="0"/>
        <w:autoSpaceDN w:val="0"/>
        <w:adjustRightInd w:val="0"/>
        <w:spacing w:after="0"/>
        <w:ind w:left="1843" w:firstLine="0"/>
        <w:rPr>
          <w:rFonts w:ascii="Arial" w:hAnsi="Arial" w:cs="Arial"/>
          <w:sz w:val="20"/>
          <w:szCs w:val="20"/>
          <w:lang w:val="fr-FR"/>
        </w:rPr>
      </w:pPr>
      <w:r w:rsidRPr="008725ED">
        <w:rPr>
          <w:rFonts w:ascii="Arial" w:hAnsi="Arial" w:cs="Arial"/>
          <w:sz w:val="20"/>
          <w:szCs w:val="20"/>
          <w:lang w:val="fr-FR"/>
        </w:rPr>
        <w:t>Création de nouvelles idées concernant la gestion des informations</w:t>
      </w:r>
    </w:p>
    <w:p w:rsidR="008C3126" w:rsidRPr="008725ED" w:rsidRDefault="0052307B" w:rsidP="0052307B">
      <w:pPr>
        <w:pStyle w:val="ListParagraph"/>
        <w:numPr>
          <w:ilvl w:val="2"/>
          <w:numId w:val="2"/>
        </w:numPr>
        <w:tabs>
          <w:tab w:val="left" w:pos="1134"/>
          <w:tab w:val="left" w:pos="2268"/>
        </w:tabs>
        <w:autoSpaceDE w:val="0"/>
        <w:autoSpaceDN w:val="0"/>
        <w:adjustRightInd w:val="0"/>
        <w:spacing w:after="0"/>
        <w:ind w:left="1843" w:firstLine="0"/>
        <w:rPr>
          <w:rFonts w:ascii="Arial" w:hAnsi="Arial" w:cs="Arial"/>
          <w:sz w:val="20"/>
          <w:szCs w:val="20"/>
          <w:lang w:val="fr-FR"/>
        </w:rPr>
      </w:pPr>
      <w:r w:rsidRPr="008725ED">
        <w:rPr>
          <w:rFonts w:ascii="Arial" w:hAnsi="Arial" w:cs="Arial"/>
          <w:sz w:val="20"/>
          <w:szCs w:val="20"/>
          <w:lang w:val="fr-FR"/>
        </w:rPr>
        <w:t>Orientation sur la gestion des bases de données</w:t>
      </w:r>
    </w:p>
    <w:p w:rsidR="008C3126" w:rsidRPr="008725ED" w:rsidRDefault="0052307B" w:rsidP="0052307B">
      <w:pPr>
        <w:pStyle w:val="ListParagraph"/>
        <w:numPr>
          <w:ilvl w:val="1"/>
          <w:numId w:val="2"/>
        </w:numPr>
        <w:tabs>
          <w:tab w:val="left" w:pos="1701"/>
        </w:tabs>
        <w:autoSpaceDE w:val="0"/>
        <w:autoSpaceDN w:val="0"/>
        <w:adjustRightInd w:val="0"/>
        <w:spacing w:after="0"/>
        <w:ind w:left="1134" w:firstLine="0"/>
        <w:rPr>
          <w:rFonts w:ascii="Arial" w:hAnsi="Arial" w:cs="Arial"/>
          <w:sz w:val="20"/>
          <w:szCs w:val="20"/>
          <w:lang w:val="fr-FR"/>
        </w:rPr>
      </w:pPr>
      <w:r w:rsidRPr="008725ED">
        <w:rPr>
          <w:rFonts w:ascii="Arial" w:hAnsi="Arial" w:cs="Arial"/>
          <w:sz w:val="20"/>
          <w:szCs w:val="20"/>
          <w:lang w:val="fr-FR"/>
        </w:rPr>
        <w:t>Un outil unique pour le processus de calcul DHS</w:t>
      </w:r>
    </w:p>
    <w:p w:rsidR="008C3126" w:rsidRPr="008725ED" w:rsidRDefault="0052307B" w:rsidP="0052307B">
      <w:pPr>
        <w:pStyle w:val="ListParagraph"/>
        <w:keepNext/>
        <w:numPr>
          <w:ilvl w:val="0"/>
          <w:numId w:val="2"/>
        </w:numPr>
        <w:tabs>
          <w:tab w:val="left" w:pos="1134"/>
        </w:tabs>
        <w:autoSpaceDE w:val="0"/>
        <w:autoSpaceDN w:val="0"/>
        <w:adjustRightInd w:val="0"/>
        <w:spacing w:after="0"/>
        <w:ind w:left="567" w:firstLine="0"/>
        <w:rPr>
          <w:rFonts w:ascii="Arial" w:hAnsi="Arial" w:cs="Arial"/>
          <w:sz w:val="20"/>
          <w:szCs w:val="20"/>
          <w:lang w:val="fr-FR"/>
        </w:rPr>
      </w:pPr>
      <w:r w:rsidRPr="008725ED">
        <w:rPr>
          <w:rFonts w:ascii="Arial" w:hAnsi="Arial" w:cs="Arial"/>
          <w:sz w:val="20"/>
          <w:szCs w:val="20"/>
          <w:lang w:val="fr-FR"/>
        </w:rPr>
        <w:t>Méthodes statistiques</w:t>
      </w:r>
    </w:p>
    <w:p w:rsidR="008C3126" w:rsidRPr="008725ED" w:rsidRDefault="0052307B" w:rsidP="0052307B">
      <w:pPr>
        <w:pStyle w:val="ListParagraph"/>
        <w:keepNext/>
        <w:numPr>
          <w:ilvl w:val="1"/>
          <w:numId w:val="2"/>
        </w:numPr>
        <w:tabs>
          <w:tab w:val="left" w:pos="1701"/>
        </w:tabs>
        <w:autoSpaceDE w:val="0"/>
        <w:autoSpaceDN w:val="0"/>
        <w:adjustRightInd w:val="0"/>
        <w:spacing w:after="0"/>
        <w:ind w:left="1134" w:firstLine="0"/>
        <w:rPr>
          <w:rFonts w:ascii="Arial" w:hAnsi="Arial" w:cs="Arial"/>
          <w:sz w:val="20"/>
          <w:szCs w:val="20"/>
          <w:lang w:val="fr-FR"/>
        </w:rPr>
      </w:pPr>
      <w:r w:rsidRPr="008725ED">
        <w:rPr>
          <w:rFonts w:ascii="Arial" w:hAnsi="Arial" w:cs="Arial"/>
          <w:sz w:val="20"/>
          <w:szCs w:val="20"/>
          <w:lang w:val="fr-FR"/>
        </w:rPr>
        <w:t>Exclusion des variétés notoirement connues du second cycle de végétation</w:t>
      </w:r>
    </w:p>
    <w:p w:rsidR="008C3126" w:rsidRPr="008725ED" w:rsidRDefault="0052307B" w:rsidP="0052307B">
      <w:pPr>
        <w:pStyle w:val="ListParagraph"/>
        <w:keepNext/>
        <w:numPr>
          <w:ilvl w:val="1"/>
          <w:numId w:val="2"/>
        </w:numPr>
        <w:tabs>
          <w:tab w:val="left" w:pos="1701"/>
        </w:tabs>
        <w:autoSpaceDE w:val="0"/>
        <w:autoSpaceDN w:val="0"/>
        <w:adjustRightInd w:val="0"/>
        <w:spacing w:after="0"/>
        <w:ind w:left="1134" w:firstLine="0"/>
        <w:rPr>
          <w:rFonts w:ascii="Arial" w:hAnsi="Arial" w:cs="Arial"/>
          <w:sz w:val="20"/>
          <w:szCs w:val="20"/>
          <w:lang w:val="fr-FR"/>
        </w:rPr>
      </w:pPr>
      <w:r w:rsidRPr="008725ED">
        <w:rPr>
          <w:rFonts w:ascii="Arial" w:hAnsi="Arial" w:cs="Arial"/>
          <w:sz w:val="20"/>
          <w:szCs w:val="20"/>
          <w:lang w:val="fr-FR"/>
        </w:rPr>
        <w:t>Méthodes statistiques et logiciel applicables aux caractères observés visuellement</w:t>
      </w:r>
    </w:p>
    <w:p w:rsidR="008C3126" w:rsidRPr="008725ED" w:rsidRDefault="0052307B" w:rsidP="0052307B">
      <w:pPr>
        <w:pStyle w:val="ListParagraph"/>
        <w:numPr>
          <w:ilvl w:val="1"/>
          <w:numId w:val="2"/>
        </w:numPr>
        <w:tabs>
          <w:tab w:val="left" w:pos="1701"/>
        </w:tabs>
        <w:autoSpaceDE w:val="0"/>
        <w:autoSpaceDN w:val="0"/>
        <w:adjustRightInd w:val="0"/>
        <w:spacing w:after="0"/>
        <w:ind w:left="1134" w:firstLine="0"/>
        <w:rPr>
          <w:rFonts w:ascii="Arial" w:hAnsi="Arial" w:cs="Arial"/>
          <w:sz w:val="20"/>
          <w:szCs w:val="20"/>
          <w:lang w:val="fr-FR"/>
        </w:rPr>
      </w:pPr>
      <w:r w:rsidRPr="008725ED">
        <w:rPr>
          <w:rFonts w:ascii="Arial" w:hAnsi="Arial" w:cs="Arial"/>
          <w:sz w:val="20"/>
          <w:szCs w:val="20"/>
          <w:lang w:val="fr-FR"/>
        </w:rPr>
        <w:t>Analyse globale de l</w:t>
      </w:r>
      <w:r w:rsidR="00EF1779" w:rsidRPr="008725ED">
        <w:rPr>
          <w:rFonts w:ascii="Arial" w:hAnsi="Arial" w:cs="Arial"/>
          <w:sz w:val="20"/>
          <w:szCs w:val="20"/>
          <w:lang w:val="fr-FR"/>
        </w:rPr>
        <w:t>’</w:t>
      </w:r>
      <w:r w:rsidRPr="008725ED">
        <w:rPr>
          <w:rFonts w:ascii="Arial" w:hAnsi="Arial" w:cs="Arial"/>
          <w:sz w:val="20"/>
          <w:szCs w:val="20"/>
          <w:lang w:val="fr-FR"/>
        </w:rPr>
        <w:t>homogénéité sur plusieurs années (COYU)</w:t>
      </w:r>
    </w:p>
    <w:p w:rsidR="008C3126" w:rsidRPr="008725ED" w:rsidRDefault="0052307B" w:rsidP="0052307B">
      <w:pPr>
        <w:pStyle w:val="ListParagraph"/>
        <w:numPr>
          <w:ilvl w:val="0"/>
          <w:numId w:val="2"/>
        </w:numPr>
        <w:tabs>
          <w:tab w:val="left" w:pos="1134"/>
        </w:tabs>
        <w:autoSpaceDE w:val="0"/>
        <w:autoSpaceDN w:val="0"/>
        <w:adjustRightInd w:val="0"/>
        <w:spacing w:after="0"/>
        <w:ind w:left="567" w:firstLine="0"/>
        <w:rPr>
          <w:rFonts w:ascii="Arial" w:hAnsi="Arial" w:cs="Arial"/>
          <w:sz w:val="20"/>
          <w:szCs w:val="20"/>
          <w:lang w:val="fr-FR"/>
        </w:rPr>
      </w:pPr>
      <w:r w:rsidRPr="008725ED">
        <w:rPr>
          <w:rFonts w:ascii="Arial" w:hAnsi="Arial" w:cs="Arial"/>
          <w:sz w:val="20"/>
          <w:szCs w:val="20"/>
          <w:lang w:val="fr-FR"/>
        </w:rPr>
        <w:t>Analyse d</w:t>
      </w:r>
      <w:r w:rsidR="00EF1779" w:rsidRPr="008725ED">
        <w:rPr>
          <w:rFonts w:ascii="Arial" w:hAnsi="Arial" w:cs="Arial"/>
          <w:sz w:val="20"/>
          <w:szCs w:val="20"/>
          <w:lang w:val="fr-FR"/>
        </w:rPr>
        <w:t>’</w:t>
      </w:r>
      <w:r w:rsidRPr="008725ED">
        <w:rPr>
          <w:rFonts w:ascii="Arial" w:hAnsi="Arial" w:cs="Arial"/>
          <w:sz w:val="20"/>
          <w:szCs w:val="20"/>
          <w:lang w:val="fr-FR"/>
        </w:rPr>
        <w:t>images</w:t>
      </w:r>
    </w:p>
    <w:p w:rsidR="008C3126" w:rsidRPr="008725ED" w:rsidRDefault="0052307B" w:rsidP="0052307B">
      <w:pPr>
        <w:pStyle w:val="ListParagraph"/>
        <w:numPr>
          <w:ilvl w:val="0"/>
          <w:numId w:val="2"/>
        </w:numPr>
        <w:tabs>
          <w:tab w:val="left" w:pos="1134"/>
        </w:tabs>
        <w:autoSpaceDE w:val="0"/>
        <w:autoSpaceDN w:val="0"/>
        <w:adjustRightInd w:val="0"/>
        <w:spacing w:after="0"/>
        <w:ind w:left="567" w:firstLine="0"/>
        <w:rPr>
          <w:rFonts w:ascii="Arial" w:hAnsi="Arial" w:cs="Arial"/>
          <w:sz w:val="20"/>
          <w:szCs w:val="20"/>
          <w:lang w:val="fr-FR"/>
        </w:rPr>
      </w:pPr>
      <w:r w:rsidRPr="008725ED">
        <w:rPr>
          <w:rFonts w:ascii="Arial" w:hAnsi="Arial" w:cs="Arial"/>
          <w:sz w:val="20"/>
          <w:szCs w:val="20"/>
          <w:lang w:val="fr-FR"/>
        </w:rPr>
        <w:t>Date et lieu de la prochaine session</w:t>
      </w:r>
    </w:p>
    <w:p w:rsidR="008C3126" w:rsidRPr="008725ED" w:rsidRDefault="0052307B" w:rsidP="0052307B">
      <w:pPr>
        <w:pStyle w:val="ListParagraph"/>
        <w:numPr>
          <w:ilvl w:val="0"/>
          <w:numId w:val="2"/>
        </w:numPr>
        <w:tabs>
          <w:tab w:val="left" w:pos="1134"/>
        </w:tabs>
        <w:autoSpaceDE w:val="0"/>
        <w:autoSpaceDN w:val="0"/>
        <w:adjustRightInd w:val="0"/>
        <w:spacing w:after="0"/>
        <w:ind w:left="567" w:firstLine="0"/>
        <w:rPr>
          <w:rFonts w:ascii="Arial" w:hAnsi="Arial" w:cs="Arial"/>
          <w:sz w:val="20"/>
          <w:szCs w:val="20"/>
          <w:lang w:val="fr-FR"/>
        </w:rPr>
      </w:pPr>
      <w:r w:rsidRPr="008725ED">
        <w:rPr>
          <w:rFonts w:ascii="Arial" w:hAnsi="Arial" w:cs="Arial"/>
          <w:sz w:val="20"/>
          <w:szCs w:val="20"/>
          <w:lang w:val="fr-FR"/>
        </w:rPr>
        <w:t>Programme futur</w:t>
      </w:r>
    </w:p>
    <w:p w:rsidR="008C3126" w:rsidRPr="008725ED" w:rsidRDefault="0052307B" w:rsidP="0052307B">
      <w:pPr>
        <w:pStyle w:val="ListParagraph"/>
        <w:numPr>
          <w:ilvl w:val="0"/>
          <w:numId w:val="2"/>
        </w:numPr>
        <w:tabs>
          <w:tab w:val="left" w:pos="1134"/>
        </w:tabs>
        <w:autoSpaceDE w:val="0"/>
        <w:autoSpaceDN w:val="0"/>
        <w:adjustRightInd w:val="0"/>
        <w:spacing w:after="0"/>
        <w:ind w:left="567" w:firstLine="0"/>
        <w:rPr>
          <w:rFonts w:ascii="Arial" w:hAnsi="Arial" w:cs="Arial"/>
          <w:sz w:val="20"/>
          <w:szCs w:val="20"/>
          <w:lang w:val="fr-FR"/>
        </w:rPr>
      </w:pPr>
      <w:r w:rsidRPr="008725ED">
        <w:rPr>
          <w:rFonts w:ascii="Arial" w:hAnsi="Arial" w:cs="Arial"/>
          <w:sz w:val="20"/>
          <w:szCs w:val="20"/>
          <w:lang w:val="fr-FR"/>
        </w:rPr>
        <w:t>Compte rendu de la session</w:t>
      </w:r>
    </w:p>
    <w:p w:rsidR="008C3126" w:rsidRPr="008725ED" w:rsidRDefault="0052307B" w:rsidP="0052307B">
      <w:pPr>
        <w:pStyle w:val="ListParagraph"/>
        <w:numPr>
          <w:ilvl w:val="0"/>
          <w:numId w:val="2"/>
        </w:numPr>
        <w:tabs>
          <w:tab w:val="left" w:pos="1134"/>
        </w:tabs>
        <w:autoSpaceDE w:val="0"/>
        <w:autoSpaceDN w:val="0"/>
        <w:adjustRightInd w:val="0"/>
        <w:spacing w:after="0"/>
        <w:ind w:left="567" w:firstLine="0"/>
        <w:rPr>
          <w:rFonts w:ascii="Arial" w:hAnsi="Arial" w:cs="Arial"/>
          <w:sz w:val="20"/>
          <w:szCs w:val="20"/>
          <w:lang w:val="fr-FR"/>
        </w:rPr>
      </w:pPr>
      <w:r w:rsidRPr="008725ED">
        <w:rPr>
          <w:rFonts w:ascii="Arial" w:hAnsi="Arial" w:cs="Arial"/>
          <w:sz w:val="20"/>
          <w:szCs w:val="20"/>
          <w:lang w:val="fr-FR"/>
        </w:rPr>
        <w:t>Clôture de la session</w:t>
      </w:r>
    </w:p>
    <w:p w:rsidR="008C3126" w:rsidRPr="008725ED" w:rsidRDefault="008C3126" w:rsidP="005E033E">
      <w:pPr>
        <w:spacing w:line="360" w:lineRule="auto"/>
        <w:contextualSpacing/>
        <w:rPr>
          <w:rFonts w:cs="Arial"/>
          <w:lang w:val="fr-FR"/>
        </w:rPr>
      </w:pPr>
    </w:p>
    <w:p w:rsidR="008C3126" w:rsidRPr="008725ED" w:rsidRDefault="0052307B" w:rsidP="0052307B">
      <w:pPr>
        <w:pStyle w:val="Heading3"/>
      </w:pPr>
      <w:bookmarkStart w:id="48" w:name="_Toc494207985"/>
      <w:r w:rsidRPr="008725ED">
        <w:t>Groupe de travail technique sur les plantes fruitières</w:t>
      </w:r>
      <w:bookmarkEnd w:id="48"/>
    </w:p>
    <w:p w:rsidR="008C3126" w:rsidRPr="008725ED" w:rsidRDefault="008C3126" w:rsidP="0052307B">
      <w:pPr>
        <w:keepNext/>
        <w:rPr>
          <w:lang w:val="fr-FR"/>
        </w:rPr>
      </w:pPr>
    </w:p>
    <w:p w:rsidR="008C3126" w:rsidRPr="008725ED" w:rsidRDefault="0052307B" w:rsidP="0052307B">
      <w:pPr>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Le Groupe de travail technique sur les plantes fruitières (TWF) a tenu sa quarante</w:t>
      </w:r>
      <w:r w:rsidR="00EF1779" w:rsidRPr="008725ED">
        <w:rPr>
          <w:rFonts w:cs="Arial"/>
          <w:lang w:val="fr-FR"/>
        </w:rPr>
        <w:t>-</w:t>
      </w:r>
      <w:r w:rsidRPr="008725ED">
        <w:rPr>
          <w:rFonts w:cs="Arial"/>
          <w:lang w:val="fr-FR"/>
        </w:rPr>
        <w:t>sept</w:t>
      </w:r>
      <w:r w:rsidR="00EF1779" w:rsidRPr="008725ED">
        <w:rPr>
          <w:rFonts w:cs="Arial"/>
          <w:lang w:val="fr-FR"/>
        </w:rPr>
        <w:t>ième session</w:t>
      </w:r>
      <w:r w:rsidRPr="008725ED">
        <w:rPr>
          <w:rFonts w:cs="Arial"/>
          <w:lang w:val="fr-FR"/>
        </w:rPr>
        <w:t xml:space="preserve"> à Angers (Fr</w:t>
      </w:r>
      <w:r w:rsidR="003F0149" w:rsidRPr="008725ED">
        <w:rPr>
          <w:rFonts w:cs="Arial"/>
          <w:lang w:val="fr-FR"/>
        </w:rPr>
        <w:t xml:space="preserve">ance) du 14 au 18 novembre 2016, sous la présidence de </w:t>
      </w:r>
      <w:r w:rsidRPr="008725ED">
        <w:rPr>
          <w:lang w:val="fr-FR"/>
        </w:rPr>
        <w:t>M.</w:t>
      </w:r>
      <w:r w:rsidRPr="008725ED">
        <w:rPr>
          <w:rFonts w:cs="Arial"/>
          <w:lang w:val="fr-FR"/>
        </w:rPr>
        <w:t> Katsumi Yamaguchi (Jap</w:t>
      </w:r>
      <w:r w:rsidR="00D43219" w:rsidRPr="008725ED">
        <w:rPr>
          <w:rFonts w:cs="Arial"/>
          <w:lang w:val="fr-FR"/>
        </w:rPr>
        <w:t>on).  Le</w:t>
      </w:r>
      <w:r w:rsidR="003F0149" w:rsidRPr="008725ED">
        <w:rPr>
          <w:rFonts w:cs="Arial"/>
          <w:lang w:val="fr-FR"/>
        </w:rPr>
        <w:t xml:space="preserve"> compte rendu de la session </w:t>
      </w:r>
      <w:r w:rsidR="00335E38" w:rsidRPr="008725ED">
        <w:rPr>
          <w:rFonts w:cs="Arial"/>
          <w:lang w:val="fr-FR"/>
        </w:rPr>
        <w:t>fait l</w:t>
      </w:r>
      <w:r w:rsidR="00EF1779" w:rsidRPr="008725ED">
        <w:rPr>
          <w:rFonts w:cs="Arial"/>
          <w:lang w:val="fr-FR"/>
        </w:rPr>
        <w:t>’</w:t>
      </w:r>
      <w:r w:rsidR="00335E38" w:rsidRPr="008725ED">
        <w:rPr>
          <w:rFonts w:cs="Arial"/>
          <w:lang w:val="fr-FR"/>
        </w:rPr>
        <w:t>objet du</w:t>
      </w:r>
      <w:r w:rsidR="003F0149" w:rsidRPr="008725ED">
        <w:rPr>
          <w:rFonts w:cs="Arial"/>
          <w:lang w:val="fr-FR"/>
        </w:rPr>
        <w:t xml:space="preserve"> document TWF/47/25 </w:t>
      </w:r>
      <w:r w:rsidR="00B0700F" w:rsidRPr="008725ED">
        <w:rPr>
          <w:rFonts w:cs="Arial"/>
          <w:lang w:val="fr-FR"/>
        </w:rPr>
        <w:t>“</w:t>
      </w:r>
      <w:r w:rsidR="003F0149" w:rsidRPr="008725ED">
        <w:rPr>
          <w:rFonts w:cs="Arial"/>
          <w:lang w:val="fr-FR"/>
        </w:rPr>
        <w:t>Report</w:t>
      </w:r>
      <w:r w:rsidR="00B0700F" w:rsidRPr="008725ED">
        <w:rPr>
          <w:rFonts w:cs="Arial"/>
          <w:lang w:val="fr-FR"/>
        </w:rPr>
        <w:t>”</w:t>
      </w:r>
      <w:r w:rsidR="003F0149" w:rsidRPr="008725ED">
        <w:rPr>
          <w:rFonts w:cs="Arial"/>
          <w:lang w:val="fr-FR"/>
        </w:rPr>
        <w:t>.</w:t>
      </w:r>
    </w:p>
    <w:p w:rsidR="008C3126" w:rsidRPr="008725ED" w:rsidRDefault="008C3126" w:rsidP="0052307B">
      <w:pPr>
        <w:rPr>
          <w:rFonts w:cs="Arial"/>
          <w:lang w:val="fr-FR"/>
        </w:rPr>
      </w:pPr>
    </w:p>
    <w:p w:rsidR="008C3126" w:rsidRPr="008725ED" w:rsidRDefault="0052307B" w:rsidP="0052307B">
      <w:pPr>
        <w:spacing w:after="240"/>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La session a réuni 45 participants représentant 23 membres de l</w:t>
      </w:r>
      <w:r w:rsidR="00EF1779" w:rsidRPr="008725ED">
        <w:rPr>
          <w:rFonts w:cs="Arial"/>
          <w:lang w:val="fr-FR"/>
        </w:rPr>
        <w:t>’</w:t>
      </w:r>
      <w:r w:rsidRPr="008725ED">
        <w:rPr>
          <w:rFonts w:cs="Arial"/>
          <w:lang w:val="fr-FR"/>
        </w:rPr>
        <w:t xml:space="preserve">Union et </w:t>
      </w:r>
      <w:r w:rsidR="00C53995" w:rsidRPr="008725ED">
        <w:rPr>
          <w:rFonts w:cs="Arial"/>
          <w:lang w:val="fr-FR"/>
        </w:rPr>
        <w:t>une</w:t>
      </w:r>
      <w:r w:rsidRPr="008725ED">
        <w:rPr>
          <w:rFonts w:cs="Arial"/>
          <w:lang w:val="fr-FR"/>
        </w:rPr>
        <w:t> organisation ayant le statut d</w:t>
      </w:r>
      <w:r w:rsidR="00EF1779" w:rsidRPr="008725ED">
        <w:rPr>
          <w:rFonts w:cs="Arial"/>
          <w:lang w:val="fr-FR"/>
        </w:rPr>
        <w:t>’</w:t>
      </w:r>
      <w:r w:rsidRPr="008725ED">
        <w:rPr>
          <w:rFonts w:cs="Arial"/>
          <w:lang w:val="fr-FR"/>
        </w:rPr>
        <w:t>observate</w:t>
      </w:r>
      <w:r w:rsidR="00D43219" w:rsidRPr="008725ED">
        <w:rPr>
          <w:rFonts w:cs="Arial"/>
          <w:lang w:val="fr-FR"/>
        </w:rPr>
        <w:t>ur.  L’a</w:t>
      </w:r>
      <w:r w:rsidRPr="008725ED">
        <w:rPr>
          <w:rFonts w:cs="Arial"/>
          <w:lang w:val="fr-FR"/>
        </w:rPr>
        <w:t>telier préparatoire</w:t>
      </w:r>
      <w:r w:rsidR="00C53995" w:rsidRPr="008725ED">
        <w:rPr>
          <w:rFonts w:cs="Arial"/>
          <w:lang w:val="fr-FR"/>
        </w:rPr>
        <w:t>, tenu l</w:t>
      </w:r>
      <w:r w:rsidR="00EF1779" w:rsidRPr="008725ED">
        <w:rPr>
          <w:rFonts w:cs="Arial"/>
          <w:lang w:val="fr-FR"/>
        </w:rPr>
        <w:t>’</w:t>
      </w:r>
      <w:r w:rsidR="00C53995" w:rsidRPr="008725ED">
        <w:rPr>
          <w:rFonts w:cs="Arial"/>
          <w:lang w:val="fr-FR"/>
        </w:rPr>
        <w:t>après</w:t>
      </w:r>
      <w:r w:rsidR="00EF1779" w:rsidRPr="008725ED">
        <w:rPr>
          <w:rFonts w:cs="Arial"/>
          <w:lang w:val="fr-FR"/>
        </w:rPr>
        <w:t>-</w:t>
      </w:r>
      <w:r w:rsidR="00C53995" w:rsidRPr="008725ED">
        <w:rPr>
          <w:rFonts w:cs="Arial"/>
          <w:lang w:val="fr-FR"/>
        </w:rPr>
        <w:t>midi du 1</w:t>
      </w:r>
      <w:r w:rsidR="00EF1779" w:rsidRPr="008725ED">
        <w:rPr>
          <w:rFonts w:cs="Arial"/>
          <w:lang w:val="fr-FR"/>
        </w:rPr>
        <w:t>3 novembre 20</w:t>
      </w:r>
      <w:r w:rsidR="00C53995" w:rsidRPr="008725ED">
        <w:rPr>
          <w:rFonts w:cs="Arial"/>
          <w:lang w:val="fr-FR"/>
        </w:rPr>
        <w:t xml:space="preserve">16, </w:t>
      </w:r>
      <w:r w:rsidRPr="008725ED">
        <w:rPr>
          <w:rFonts w:cs="Arial"/>
          <w:lang w:val="fr-FR"/>
        </w:rPr>
        <w:t>a réuni 21 participants représentant 16 membres de l</w:t>
      </w:r>
      <w:r w:rsidR="00EF1779" w:rsidRPr="008725ED">
        <w:rPr>
          <w:rFonts w:cs="Arial"/>
          <w:lang w:val="fr-FR"/>
        </w:rPr>
        <w:t>’</w:t>
      </w:r>
      <w:r w:rsidRPr="008725ED">
        <w:rPr>
          <w:rFonts w:cs="Arial"/>
          <w:lang w:val="fr-FR"/>
        </w:rPr>
        <w:t>Union.</w:t>
      </w:r>
    </w:p>
    <w:p w:rsidR="008C3126" w:rsidRPr="008725ED" w:rsidRDefault="0052307B" w:rsidP="0052307B">
      <w:pPr>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M. Martin Ekvad, président de l</w:t>
      </w:r>
      <w:r w:rsidR="00EF1779" w:rsidRPr="008725ED">
        <w:rPr>
          <w:rFonts w:cs="Arial"/>
          <w:lang w:val="fr-FR"/>
        </w:rPr>
        <w:t>’</w:t>
      </w:r>
      <w:r w:rsidRPr="008725ED">
        <w:rPr>
          <w:rFonts w:cs="Arial"/>
          <w:lang w:val="fr-FR"/>
        </w:rPr>
        <w:t>Office communautaire des variétés végétales de l</w:t>
      </w:r>
      <w:r w:rsidR="00EF1779" w:rsidRPr="008725ED">
        <w:rPr>
          <w:rFonts w:cs="Arial"/>
          <w:lang w:val="fr-FR"/>
        </w:rPr>
        <w:t>’</w:t>
      </w:r>
      <w:r w:rsidRPr="008725ED">
        <w:rPr>
          <w:rFonts w:cs="Arial"/>
          <w:lang w:val="fr-FR"/>
        </w:rPr>
        <w:t>Union européenne (OCVV) a souhaité la bienvenue aux participants et présenté un exposé sur le système de protection des obtentions végétales au sein de l</w:t>
      </w:r>
      <w:r w:rsidR="00EF1779" w:rsidRPr="008725ED">
        <w:rPr>
          <w:rFonts w:cs="Arial"/>
          <w:lang w:val="fr-FR"/>
        </w:rPr>
        <w:t>’</w:t>
      </w:r>
      <w:r w:rsidRPr="008725ED">
        <w:rPr>
          <w:rFonts w:cs="Arial"/>
          <w:lang w:val="fr-FR"/>
        </w:rPr>
        <w:t>Union européenne.</w:t>
      </w:r>
    </w:p>
    <w:p w:rsidR="008C3126" w:rsidRPr="008725ED" w:rsidRDefault="008C3126" w:rsidP="0052307B">
      <w:pPr>
        <w:rPr>
          <w:rFonts w:cs="Arial"/>
          <w:lang w:val="fr-FR"/>
        </w:rPr>
      </w:pPr>
    </w:p>
    <w:p w:rsidR="008C3126" w:rsidRPr="008725ED" w:rsidRDefault="0052307B" w:rsidP="0052307B">
      <w:pPr>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r>
      <w:r w:rsidRPr="008725ED">
        <w:rPr>
          <w:lang w:val="fr-FR"/>
        </w:rPr>
        <w:t xml:space="preserve">Le </w:t>
      </w:r>
      <w:r w:rsidRPr="008725ED">
        <w:rPr>
          <w:rFonts w:cs="Arial"/>
          <w:lang w:val="fr-FR"/>
        </w:rPr>
        <w:t>TWF a examiné le document TWF/47/19 “Duration of DUS Tests in the Fruit Sector” et la proposition d</w:t>
      </w:r>
      <w:r w:rsidR="00EF1779" w:rsidRPr="008725ED">
        <w:rPr>
          <w:rFonts w:cs="Arial"/>
          <w:lang w:val="fr-FR"/>
        </w:rPr>
        <w:t>’</w:t>
      </w:r>
      <w:r w:rsidRPr="008725ED">
        <w:rPr>
          <w:rFonts w:cs="Arial"/>
          <w:lang w:val="fr-FR"/>
        </w:rPr>
        <w:t>un expert de l</w:t>
      </w:r>
      <w:r w:rsidR="00EF1779" w:rsidRPr="008725ED">
        <w:rPr>
          <w:rFonts w:cs="Arial"/>
          <w:lang w:val="fr-FR"/>
        </w:rPr>
        <w:t>’</w:t>
      </w:r>
      <w:r w:rsidRPr="008725ED">
        <w:rPr>
          <w:rFonts w:cs="Arial"/>
          <w:lang w:val="fr-FR"/>
        </w:rPr>
        <w:t>Union européenne et il est convenu de proposer une modification du libellé du document TGP/7 comme suit, dans le but de faire ressortir les pratiques communes dans le secteur des fruits (voir les paragraphes 47 à 48 du document TWF/47/25 “Report”)</w:t>
      </w:r>
      <w:r w:rsidR="00EF1779" w:rsidRPr="008725ED">
        <w:rPr>
          <w:rFonts w:cs="Arial"/>
          <w:lang w:val="fr-FR"/>
        </w:rPr>
        <w:t> :</w:t>
      </w:r>
    </w:p>
    <w:p w:rsidR="008C3126" w:rsidRPr="008725ED" w:rsidRDefault="008C3126" w:rsidP="0052307B">
      <w:pPr>
        <w:rPr>
          <w:rFonts w:cs="Arial"/>
          <w:lang w:val="fr-FR"/>
        </w:rPr>
      </w:pPr>
    </w:p>
    <w:p w:rsidR="008C3126" w:rsidRPr="008725ED" w:rsidRDefault="0052307B" w:rsidP="0052307B">
      <w:pPr>
        <w:ind w:left="567"/>
        <w:rPr>
          <w:rFonts w:cs="Arial"/>
          <w:lang w:val="fr-FR"/>
        </w:rPr>
      </w:pPr>
      <w:r w:rsidRPr="008725ED">
        <w:rPr>
          <w:rFonts w:cs="Arial"/>
          <w:lang w:val="fr-FR"/>
        </w:rPr>
        <w:t>“3.1 Nombre de cycles de végétation</w:t>
      </w:r>
    </w:p>
    <w:p w:rsidR="008C3126" w:rsidRPr="008725ED" w:rsidRDefault="0052307B" w:rsidP="0052307B">
      <w:pPr>
        <w:ind w:left="567"/>
        <w:rPr>
          <w:rFonts w:cs="Arial"/>
          <w:lang w:val="fr-FR"/>
        </w:rPr>
      </w:pPr>
      <w:r w:rsidRPr="008725ED">
        <w:rPr>
          <w:rFonts w:cs="Arial"/>
          <w:lang w:val="fr-FR"/>
        </w:rPr>
        <w:t>“En règle générale, la durée minimale des essais doit être de</w:t>
      </w:r>
    </w:p>
    <w:p w:rsidR="008C3126" w:rsidRPr="008725ED" w:rsidRDefault="0052307B" w:rsidP="0052307B">
      <w:pPr>
        <w:ind w:left="567" w:right="567"/>
        <w:rPr>
          <w:rFonts w:cs="Arial"/>
          <w:u w:val="single"/>
          <w:lang w:val="fr-FR"/>
        </w:rPr>
      </w:pPr>
      <w:r w:rsidRPr="008725ED">
        <w:rPr>
          <w:rFonts w:cs="Arial"/>
          <w:highlight w:val="lightGray"/>
          <w:lang w:val="fr-FR"/>
        </w:rPr>
        <w:t>“</w:t>
      </w:r>
      <w:r w:rsidRPr="008725ED">
        <w:rPr>
          <w:rFonts w:cs="Arial"/>
          <w:highlight w:val="lightGray"/>
          <w:u w:val="single"/>
          <w:lang w:val="fr-FR"/>
        </w:rPr>
        <w:t>Dès qu</w:t>
      </w:r>
      <w:r w:rsidR="00EF1779" w:rsidRPr="008725ED">
        <w:rPr>
          <w:rFonts w:cs="Arial"/>
          <w:highlight w:val="lightGray"/>
          <w:u w:val="single"/>
          <w:lang w:val="fr-FR"/>
        </w:rPr>
        <w:t>’</w:t>
      </w:r>
      <w:r w:rsidRPr="008725ED">
        <w:rPr>
          <w:rFonts w:cs="Arial"/>
          <w:highlight w:val="lightGray"/>
          <w:u w:val="single"/>
          <w:lang w:val="fr-FR"/>
        </w:rPr>
        <w:t>il est possible d</w:t>
      </w:r>
      <w:r w:rsidR="00EF1779" w:rsidRPr="008725ED">
        <w:rPr>
          <w:rFonts w:cs="Arial"/>
          <w:highlight w:val="lightGray"/>
          <w:u w:val="single"/>
          <w:lang w:val="fr-FR"/>
        </w:rPr>
        <w:t>’</w:t>
      </w:r>
      <w:r w:rsidRPr="008725ED">
        <w:rPr>
          <w:rFonts w:cs="Arial"/>
          <w:highlight w:val="lightGray"/>
          <w:u w:val="single"/>
          <w:lang w:val="fr-FR"/>
        </w:rPr>
        <w:t>établir de façon certaine que le résultat des examens DHS sera négatif, ceux</w:t>
      </w:r>
      <w:r w:rsidR="00EF1779" w:rsidRPr="008725ED">
        <w:rPr>
          <w:rFonts w:cs="Arial"/>
          <w:highlight w:val="lightGray"/>
          <w:u w:val="single"/>
          <w:lang w:val="fr-FR"/>
        </w:rPr>
        <w:t>-</w:t>
      </w:r>
      <w:r w:rsidRPr="008725ED">
        <w:rPr>
          <w:rFonts w:cs="Arial"/>
          <w:highlight w:val="lightGray"/>
          <w:u w:val="single"/>
          <w:lang w:val="fr-FR"/>
        </w:rPr>
        <w:t>ci peuvent être interrompus, indépendamment du nombre de cycles de végétation menés jusqu</w:t>
      </w:r>
      <w:r w:rsidR="00EF1779" w:rsidRPr="008725ED">
        <w:rPr>
          <w:rFonts w:cs="Arial"/>
          <w:highlight w:val="lightGray"/>
          <w:u w:val="single"/>
          <w:lang w:val="fr-FR"/>
        </w:rPr>
        <w:t>’</w:t>
      </w:r>
      <w:r w:rsidRPr="008725ED">
        <w:rPr>
          <w:rFonts w:cs="Arial"/>
          <w:highlight w:val="lightGray"/>
          <w:u w:val="single"/>
          <w:lang w:val="fr-FR"/>
        </w:rPr>
        <w:t>alors.</w:t>
      </w:r>
      <w:r w:rsidRPr="008725ED">
        <w:rPr>
          <w:rFonts w:cs="Arial"/>
          <w:highlight w:val="lightGray"/>
          <w:lang w:val="fr-FR"/>
        </w:rPr>
        <w:t>”</w:t>
      </w:r>
    </w:p>
    <w:p w:rsidR="008C3126" w:rsidRPr="008725ED" w:rsidRDefault="008C3126" w:rsidP="0052307B">
      <w:pPr>
        <w:rPr>
          <w:rFonts w:cs="Arial"/>
          <w:lang w:val="fr-FR"/>
        </w:rPr>
      </w:pPr>
    </w:p>
    <w:p w:rsidR="008C3126" w:rsidRPr="008725ED" w:rsidRDefault="0052307B" w:rsidP="0052307B">
      <w:pPr>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r>
      <w:r w:rsidRPr="008725ED">
        <w:rPr>
          <w:lang w:val="fr-FR"/>
        </w:rPr>
        <w:t xml:space="preserve">Le </w:t>
      </w:r>
      <w:r w:rsidRPr="008725ED">
        <w:rPr>
          <w:rFonts w:cs="Arial"/>
          <w:lang w:val="fr-FR"/>
        </w:rPr>
        <w:t>TWF a examiné le document TWF/47/15 “Number of Growing Cycles in DUS Examination” et a suivi un exposé sur le nombre de cycles de végétation dans le cadre de l</w:t>
      </w:r>
      <w:r w:rsidR="00EF1779" w:rsidRPr="008725ED">
        <w:rPr>
          <w:rFonts w:cs="Arial"/>
          <w:lang w:val="fr-FR"/>
        </w:rPr>
        <w:t>’</w:t>
      </w:r>
      <w:r w:rsidRPr="008725ED">
        <w:rPr>
          <w:rFonts w:cs="Arial"/>
          <w:lang w:val="fr-FR"/>
        </w:rPr>
        <w:t>examen DHS pour les espèces fruitières par un expert de la France, un exposé sur la variabilité des données d</w:t>
      </w:r>
      <w:r w:rsidR="00EF1779" w:rsidRPr="008725ED">
        <w:rPr>
          <w:rFonts w:cs="Arial"/>
          <w:lang w:val="fr-FR"/>
        </w:rPr>
        <w:t>’</w:t>
      </w:r>
      <w:r w:rsidRPr="008725ED">
        <w:rPr>
          <w:rFonts w:cs="Arial"/>
          <w:lang w:val="fr-FR"/>
        </w:rPr>
        <w:t xml:space="preserve">évaluation </w:t>
      </w:r>
      <w:r w:rsidR="00FF7B88" w:rsidRPr="008725ED">
        <w:rPr>
          <w:rFonts w:cs="Arial"/>
          <w:lang w:val="fr-FR"/>
        </w:rPr>
        <w:t xml:space="preserve">du </w:t>
      </w:r>
      <w:r w:rsidRPr="008725ED">
        <w:rPr>
          <w:rFonts w:cs="Arial"/>
          <w:lang w:val="fr-FR"/>
        </w:rPr>
        <w:t>pommier au fil des ans par un expert de l</w:t>
      </w:r>
      <w:r w:rsidR="00EF1779" w:rsidRPr="008725ED">
        <w:rPr>
          <w:rFonts w:cs="Arial"/>
          <w:lang w:val="fr-FR"/>
        </w:rPr>
        <w:t>’</w:t>
      </w:r>
      <w:r w:rsidRPr="008725ED">
        <w:rPr>
          <w:rFonts w:cs="Arial"/>
          <w:lang w:val="fr-FR"/>
        </w:rPr>
        <w:t>Allemagne et un exposé sur l</w:t>
      </w:r>
      <w:r w:rsidR="00EF1779" w:rsidRPr="008725ED">
        <w:rPr>
          <w:rFonts w:cs="Arial"/>
          <w:lang w:val="fr-FR"/>
        </w:rPr>
        <w:t>’</w:t>
      </w:r>
      <w:r w:rsidRPr="008725ED">
        <w:rPr>
          <w:rFonts w:cs="Arial"/>
          <w:lang w:val="fr-FR"/>
        </w:rPr>
        <w:t>interprétation des descriptions variétales du pommier et sur</w:t>
      </w:r>
      <w:r w:rsidRPr="008725ED">
        <w:rPr>
          <w:lang w:val="fr-FR"/>
        </w:rPr>
        <w:t xml:space="preserve"> </w:t>
      </w:r>
      <w:r w:rsidRPr="008725ED">
        <w:rPr>
          <w:rFonts w:cs="Arial"/>
          <w:lang w:val="fr-FR"/>
        </w:rPr>
        <w:t>l</w:t>
      </w:r>
      <w:r w:rsidR="00EF1779" w:rsidRPr="008725ED">
        <w:rPr>
          <w:rFonts w:cs="Arial"/>
          <w:lang w:val="fr-FR"/>
        </w:rPr>
        <w:t>’</w:t>
      </w:r>
      <w:r w:rsidRPr="008725ED">
        <w:rPr>
          <w:rFonts w:cs="Arial"/>
          <w:lang w:val="fr-FR"/>
        </w:rPr>
        <w:t>impact de l</w:t>
      </w:r>
      <w:r w:rsidR="00EF1779" w:rsidRPr="008725ED">
        <w:rPr>
          <w:rFonts w:cs="Arial"/>
          <w:lang w:val="fr-FR"/>
        </w:rPr>
        <w:t>’</w:t>
      </w:r>
      <w:r w:rsidRPr="008725ED">
        <w:rPr>
          <w:rFonts w:cs="Arial"/>
          <w:lang w:val="fr-FR"/>
        </w:rPr>
        <w:t>environnement sur les caractères quantitatifs par un expert de la Nouvelle</w:t>
      </w:r>
      <w:r w:rsidR="005E033E">
        <w:rPr>
          <w:rFonts w:cs="Arial"/>
          <w:lang w:val="fr-FR"/>
        </w:rPr>
        <w:noBreakHyphen/>
      </w:r>
      <w:r w:rsidRPr="008725ED">
        <w:rPr>
          <w:rFonts w:cs="Arial"/>
          <w:lang w:val="fr-FR"/>
        </w:rPr>
        <w:t>Zélan</w:t>
      </w:r>
      <w:r w:rsidR="00D43219" w:rsidRPr="008725ED">
        <w:rPr>
          <w:rFonts w:cs="Arial"/>
          <w:lang w:val="fr-FR"/>
        </w:rPr>
        <w:t>de.  Le</w:t>
      </w:r>
      <w:r w:rsidRPr="008725ED">
        <w:rPr>
          <w:rFonts w:cs="Arial"/>
          <w:lang w:val="fr-FR"/>
        </w:rPr>
        <w:t> TWF a reconnu l</w:t>
      </w:r>
      <w:r w:rsidR="00EF1779" w:rsidRPr="008725ED">
        <w:rPr>
          <w:rFonts w:cs="Arial"/>
          <w:lang w:val="fr-FR"/>
        </w:rPr>
        <w:t>’</w:t>
      </w:r>
      <w:r w:rsidRPr="008725ED">
        <w:rPr>
          <w:rFonts w:cs="Arial"/>
          <w:lang w:val="fr-FR"/>
        </w:rPr>
        <w:t>importance des collections de variété pour disposer de données fiables lors de la comparaison de variétés pendant l</w:t>
      </w:r>
      <w:r w:rsidR="00EF1779" w:rsidRPr="008725ED">
        <w:rPr>
          <w:rFonts w:cs="Arial"/>
          <w:lang w:val="fr-FR"/>
        </w:rPr>
        <w:t>’</w:t>
      </w:r>
      <w:r w:rsidRPr="008725ED">
        <w:rPr>
          <w:rFonts w:cs="Arial"/>
          <w:lang w:val="fr-FR"/>
        </w:rPr>
        <w:t>examen DHS et est convenu que certains caractères sont plus efficaces que d</w:t>
      </w:r>
      <w:r w:rsidR="00EF1779" w:rsidRPr="008725ED">
        <w:rPr>
          <w:rFonts w:cs="Arial"/>
          <w:lang w:val="fr-FR"/>
        </w:rPr>
        <w:t>’</w:t>
      </w:r>
      <w:r w:rsidRPr="008725ED">
        <w:rPr>
          <w:rFonts w:cs="Arial"/>
          <w:lang w:val="fr-FR"/>
        </w:rPr>
        <w:t>autres pour examiner la</w:t>
      </w:r>
      <w:r w:rsidRPr="008725ED">
        <w:rPr>
          <w:lang w:val="fr-FR"/>
        </w:rPr>
        <w:t xml:space="preserve"> </w:t>
      </w:r>
      <w:r w:rsidRPr="008725ED">
        <w:rPr>
          <w:rFonts w:cs="Arial"/>
          <w:lang w:val="fr-FR"/>
        </w:rPr>
        <w:t>distinction.</w:t>
      </w:r>
    </w:p>
    <w:p w:rsidR="008C3126" w:rsidRPr="008725ED" w:rsidRDefault="008C3126" w:rsidP="0052307B">
      <w:pPr>
        <w:rPr>
          <w:rFonts w:cs="Arial"/>
          <w:lang w:val="fr-FR"/>
        </w:rPr>
      </w:pPr>
    </w:p>
    <w:p w:rsidR="008C3126" w:rsidRPr="008725ED" w:rsidRDefault="0052307B" w:rsidP="0052307B">
      <w:pPr>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Le TWF a examiné le document TWF/47/23 “Calibration book for harmonized variety description in apple” et suivi un exposé d</w:t>
      </w:r>
      <w:r w:rsidR="00EF1779" w:rsidRPr="008725ED">
        <w:rPr>
          <w:rFonts w:cs="Arial"/>
          <w:lang w:val="fr-FR"/>
        </w:rPr>
        <w:t>’</w:t>
      </w:r>
      <w:r w:rsidRPr="008725ED">
        <w:rPr>
          <w:rFonts w:cs="Arial"/>
          <w:lang w:val="fr-FR"/>
        </w:rPr>
        <w:t>un expert de l</w:t>
      </w:r>
      <w:r w:rsidR="00EF1779" w:rsidRPr="008725ED">
        <w:rPr>
          <w:rFonts w:cs="Arial"/>
          <w:lang w:val="fr-FR"/>
        </w:rPr>
        <w:t>’</w:t>
      </w:r>
      <w:r w:rsidRPr="008725ED">
        <w:rPr>
          <w:rFonts w:cs="Arial"/>
          <w:lang w:val="fr-FR"/>
        </w:rPr>
        <w:t>Union européen</w:t>
      </w:r>
      <w:r w:rsidR="00D43219" w:rsidRPr="008725ED">
        <w:rPr>
          <w:rFonts w:cs="Arial"/>
          <w:lang w:val="fr-FR"/>
        </w:rPr>
        <w:t>ne.  Il</w:t>
      </w:r>
      <w:r w:rsidRPr="008725ED">
        <w:rPr>
          <w:rFonts w:cs="Arial"/>
          <w:lang w:val="fr-FR"/>
        </w:rPr>
        <w:t xml:space="preserve"> a souligné que les principes directeurs d</w:t>
      </w:r>
      <w:r w:rsidR="00EF1779" w:rsidRPr="008725ED">
        <w:rPr>
          <w:rFonts w:cs="Arial"/>
          <w:lang w:val="fr-FR"/>
        </w:rPr>
        <w:t>’</w:t>
      </w:r>
      <w:r w:rsidRPr="008725ED">
        <w:rPr>
          <w:rFonts w:cs="Arial"/>
          <w:lang w:val="fr-FR"/>
        </w:rPr>
        <w:t>examen contribuaient à l</w:t>
      </w:r>
      <w:r w:rsidR="00EF1779" w:rsidRPr="008725ED">
        <w:rPr>
          <w:rFonts w:cs="Arial"/>
          <w:lang w:val="fr-FR"/>
        </w:rPr>
        <w:t>’</w:t>
      </w:r>
      <w:r w:rsidRPr="008725ED">
        <w:rPr>
          <w:rFonts w:cs="Arial"/>
          <w:lang w:val="fr-FR"/>
        </w:rPr>
        <w:t>harmonisation de l</w:t>
      </w:r>
      <w:r w:rsidR="00EF1779" w:rsidRPr="008725ED">
        <w:rPr>
          <w:rFonts w:cs="Arial"/>
          <w:lang w:val="fr-FR"/>
        </w:rPr>
        <w:t>’</w:t>
      </w:r>
      <w:r w:rsidRPr="008725ED">
        <w:rPr>
          <w:rFonts w:cs="Arial"/>
          <w:lang w:val="fr-FR"/>
        </w:rPr>
        <w:t>examen DHS entre les membres de l</w:t>
      </w:r>
      <w:r w:rsidR="00EF1779" w:rsidRPr="008725ED">
        <w:rPr>
          <w:rFonts w:cs="Arial"/>
          <w:lang w:val="fr-FR"/>
        </w:rPr>
        <w:t>’</w:t>
      </w:r>
      <w:r w:rsidRPr="008725ED">
        <w:rPr>
          <w:rFonts w:cs="Arial"/>
          <w:lang w:val="fr-FR"/>
        </w:rPr>
        <w:t>U</w:t>
      </w:r>
      <w:r w:rsidR="00D43219" w:rsidRPr="008725ED">
        <w:rPr>
          <w:rFonts w:cs="Arial"/>
          <w:lang w:val="fr-FR"/>
        </w:rPr>
        <w:t>POV.  Il</w:t>
      </w:r>
      <w:r w:rsidRPr="008725ED">
        <w:rPr>
          <w:rFonts w:cs="Arial"/>
          <w:lang w:val="fr-FR"/>
        </w:rPr>
        <w:t xml:space="preserve"> est également convenu</w:t>
      </w:r>
    </w:p>
    <w:p w:rsidR="008C3126" w:rsidRPr="008725ED" w:rsidRDefault="008C3126" w:rsidP="0052307B">
      <w:pPr>
        <w:rPr>
          <w:rFonts w:cs="Arial"/>
          <w:lang w:val="fr-FR"/>
        </w:rPr>
      </w:pPr>
    </w:p>
    <w:p w:rsidR="008C3126" w:rsidRPr="008725ED" w:rsidRDefault="0052307B" w:rsidP="00D95F3A">
      <w:pPr>
        <w:pStyle w:val="ListParagraph"/>
        <w:numPr>
          <w:ilvl w:val="0"/>
          <w:numId w:val="41"/>
        </w:numPr>
        <w:tabs>
          <w:tab w:val="left" w:pos="1134"/>
        </w:tabs>
        <w:spacing w:after="60" w:line="240" w:lineRule="auto"/>
        <w:ind w:left="1134" w:hanging="567"/>
        <w:contextualSpacing w:val="0"/>
        <w:rPr>
          <w:rFonts w:ascii="Arial" w:hAnsi="Arial" w:cs="Arial"/>
          <w:sz w:val="20"/>
          <w:szCs w:val="20"/>
          <w:lang w:val="fr-FR"/>
        </w:rPr>
      </w:pPr>
      <w:r w:rsidRPr="008725ED">
        <w:rPr>
          <w:rFonts w:ascii="Arial" w:hAnsi="Arial" w:cs="Arial"/>
          <w:sz w:val="20"/>
          <w:szCs w:val="20"/>
          <w:lang w:val="fr-FR"/>
        </w:rPr>
        <w:t>que, dans le cadre des délibérations sur les principes directeurs d</w:t>
      </w:r>
      <w:r w:rsidR="00EF1779" w:rsidRPr="008725ED">
        <w:rPr>
          <w:rFonts w:ascii="Arial" w:hAnsi="Arial" w:cs="Arial"/>
          <w:sz w:val="20"/>
          <w:szCs w:val="20"/>
          <w:lang w:val="fr-FR"/>
        </w:rPr>
        <w:t>’</w:t>
      </w:r>
      <w:r w:rsidRPr="008725ED">
        <w:rPr>
          <w:rFonts w:ascii="Arial" w:hAnsi="Arial" w:cs="Arial"/>
          <w:sz w:val="20"/>
          <w:szCs w:val="20"/>
          <w:lang w:val="fr-FR"/>
        </w:rPr>
        <w:t>examen, les experts devaient se mettre d</w:t>
      </w:r>
      <w:r w:rsidR="00EF1779" w:rsidRPr="008725ED">
        <w:rPr>
          <w:rFonts w:ascii="Arial" w:hAnsi="Arial" w:cs="Arial"/>
          <w:sz w:val="20"/>
          <w:szCs w:val="20"/>
          <w:lang w:val="fr-FR"/>
        </w:rPr>
        <w:t>’</w:t>
      </w:r>
      <w:r w:rsidRPr="008725ED">
        <w:rPr>
          <w:rFonts w:ascii="Arial" w:hAnsi="Arial" w:cs="Arial"/>
          <w:sz w:val="20"/>
          <w:szCs w:val="20"/>
          <w:lang w:val="fr-FR"/>
        </w:rPr>
        <w:t>accord sur la clarté des niveaux d</w:t>
      </w:r>
      <w:r w:rsidR="00EF1779" w:rsidRPr="008725ED">
        <w:rPr>
          <w:rFonts w:ascii="Arial" w:hAnsi="Arial" w:cs="Arial"/>
          <w:sz w:val="20"/>
          <w:szCs w:val="20"/>
          <w:lang w:val="fr-FR"/>
        </w:rPr>
        <w:t>’</w:t>
      </w:r>
      <w:r w:rsidRPr="008725ED">
        <w:rPr>
          <w:rFonts w:ascii="Arial" w:hAnsi="Arial" w:cs="Arial"/>
          <w:sz w:val="20"/>
          <w:szCs w:val="20"/>
          <w:lang w:val="fr-FR"/>
        </w:rPr>
        <w:t>expression et sur l</w:t>
      </w:r>
      <w:r w:rsidR="00EF1779" w:rsidRPr="008725ED">
        <w:rPr>
          <w:rFonts w:ascii="Arial" w:hAnsi="Arial" w:cs="Arial"/>
          <w:sz w:val="20"/>
          <w:szCs w:val="20"/>
          <w:lang w:val="fr-FR"/>
        </w:rPr>
        <w:t>’</w:t>
      </w:r>
      <w:r w:rsidRPr="008725ED">
        <w:rPr>
          <w:rFonts w:ascii="Arial" w:hAnsi="Arial" w:cs="Arial"/>
          <w:sz w:val="20"/>
          <w:szCs w:val="20"/>
          <w:lang w:val="fr-FR"/>
        </w:rPr>
        <w:t>échelle à utiliser, afin de limiter le risque d</w:t>
      </w:r>
      <w:r w:rsidR="00EF1779" w:rsidRPr="008725ED">
        <w:rPr>
          <w:rFonts w:ascii="Arial" w:hAnsi="Arial" w:cs="Arial"/>
          <w:sz w:val="20"/>
          <w:szCs w:val="20"/>
          <w:lang w:val="fr-FR"/>
        </w:rPr>
        <w:t>’</w:t>
      </w:r>
      <w:r w:rsidRPr="008725ED">
        <w:rPr>
          <w:rFonts w:ascii="Arial" w:hAnsi="Arial" w:cs="Arial"/>
          <w:sz w:val="20"/>
          <w:szCs w:val="20"/>
          <w:lang w:val="fr-FR"/>
        </w:rPr>
        <w:t>écarts entre les interprétations des différents examinateurs,</w:t>
      </w:r>
    </w:p>
    <w:p w:rsidR="008C3126" w:rsidRPr="008725ED" w:rsidRDefault="0052307B" w:rsidP="00D95F3A">
      <w:pPr>
        <w:pStyle w:val="ListParagraph"/>
        <w:numPr>
          <w:ilvl w:val="0"/>
          <w:numId w:val="41"/>
        </w:numPr>
        <w:tabs>
          <w:tab w:val="left" w:pos="1134"/>
        </w:tabs>
        <w:spacing w:after="60" w:line="240" w:lineRule="auto"/>
        <w:ind w:left="1134" w:hanging="567"/>
        <w:contextualSpacing w:val="0"/>
        <w:rPr>
          <w:rFonts w:ascii="Arial" w:hAnsi="Arial" w:cs="Arial"/>
          <w:sz w:val="20"/>
          <w:szCs w:val="20"/>
          <w:lang w:val="fr-FR"/>
        </w:rPr>
      </w:pPr>
      <w:r w:rsidRPr="008725ED">
        <w:rPr>
          <w:rFonts w:ascii="Arial" w:hAnsi="Arial" w:cs="Arial"/>
          <w:sz w:val="20"/>
          <w:szCs w:val="20"/>
          <w:lang w:val="fr-FR"/>
        </w:rPr>
        <w:t>que chaque caractère devait remplir les conditions relatives à un caractère et que cette question devait rester à l</w:t>
      </w:r>
      <w:r w:rsidR="00EF1779" w:rsidRPr="008725ED">
        <w:rPr>
          <w:rFonts w:ascii="Arial" w:hAnsi="Arial" w:cs="Arial"/>
          <w:sz w:val="20"/>
          <w:szCs w:val="20"/>
          <w:lang w:val="fr-FR"/>
        </w:rPr>
        <w:t>’</w:t>
      </w:r>
      <w:r w:rsidRPr="008725ED">
        <w:rPr>
          <w:rFonts w:ascii="Arial" w:hAnsi="Arial" w:cs="Arial"/>
          <w:sz w:val="20"/>
          <w:szCs w:val="20"/>
          <w:lang w:val="fr-FR"/>
        </w:rPr>
        <w:t>étude,</w:t>
      </w:r>
    </w:p>
    <w:p w:rsidR="008C3126" w:rsidRPr="008725ED" w:rsidRDefault="0052307B" w:rsidP="00D95F3A">
      <w:pPr>
        <w:pStyle w:val="ListParagraph"/>
        <w:numPr>
          <w:ilvl w:val="0"/>
          <w:numId w:val="41"/>
        </w:numPr>
        <w:tabs>
          <w:tab w:val="left" w:pos="1134"/>
        </w:tabs>
        <w:spacing w:after="60" w:line="240" w:lineRule="auto"/>
        <w:ind w:left="1134" w:hanging="567"/>
        <w:contextualSpacing w:val="0"/>
        <w:rPr>
          <w:rFonts w:ascii="Arial" w:hAnsi="Arial" w:cs="Arial"/>
          <w:sz w:val="20"/>
          <w:szCs w:val="20"/>
          <w:lang w:val="fr-FR"/>
        </w:rPr>
      </w:pPr>
      <w:r w:rsidRPr="008725ED">
        <w:rPr>
          <w:rFonts w:ascii="Arial" w:hAnsi="Arial" w:cs="Arial"/>
          <w:sz w:val="20"/>
          <w:szCs w:val="20"/>
          <w:lang w:val="fr-FR"/>
        </w:rPr>
        <w:t>que certains principes directeurs d</w:t>
      </w:r>
      <w:r w:rsidR="00EF1779" w:rsidRPr="008725ED">
        <w:rPr>
          <w:rFonts w:ascii="Arial" w:hAnsi="Arial" w:cs="Arial"/>
          <w:sz w:val="20"/>
          <w:szCs w:val="20"/>
          <w:lang w:val="fr-FR"/>
        </w:rPr>
        <w:t>’</w:t>
      </w:r>
      <w:r w:rsidRPr="008725ED">
        <w:rPr>
          <w:rFonts w:ascii="Arial" w:hAnsi="Arial" w:cs="Arial"/>
          <w:sz w:val="20"/>
          <w:szCs w:val="20"/>
          <w:lang w:val="fr-FR"/>
        </w:rPr>
        <w:t>examen qui avaient été adoptés devaient être révisés et que les niveaux d</w:t>
      </w:r>
      <w:r w:rsidR="00EF1779" w:rsidRPr="008725ED">
        <w:rPr>
          <w:rFonts w:ascii="Arial" w:hAnsi="Arial" w:cs="Arial"/>
          <w:sz w:val="20"/>
          <w:szCs w:val="20"/>
          <w:lang w:val="fr-FR"/>
        </w:rPr>
        <w:t>’</w:t>
      </w:r>
      <w:r w:rsidRPr="008725ED">
        <w:rPr>
          <w:rFonts w:ascii="Arial" w:hAnsi="Arial" w:cs="Arial"/>
          <w:sz w:val="20"/>
          <w:szCs w:val="20"/>
          <w:lang w:val="fr-FR"/>
        </w:rPr>
        <w:t>expression et les notes devaient être adaptés en conséquence,</w:t>
      </w:r>
    </w:p>
    <w:p w:rsidR="008C3126" w:rsidRPr="008725ED" w:rsidRDefault="0052307B" w:rsidP="00D95F3A">
      <w:pPr>
        <w:pStyle w:val="ListParagraph"/>
        <w:numPr>
          <w:ilvl w:val="0"/>
          <w:numId w:val="41"/>
        </w:numPr>
        <w:tabs>
          <w:tab w:val="left" w:pos="1134"/>
        </w:tabs>
        <w:spacing w:after="60" w:line="240" w:lineRule="auto"/>
        <w:ind w:left="1134" w:hanging="567"/>
        <w:contextualSpacing w:val="0"/>
        <w:rPr>
          <w:rFonts w:ascii="Arial" w:hAnsi="Arial" w:cs="Arial"/>
          <w:sz w:val="20"/>
          <w:szCs w:val="20"/>
          <w:lang w:val="fr-FR"/>
        </w:rPr>
      </w:pPr>
      <w:r w:rsidRPr="008725ED">
        <w:rPr>
          <w:rFonts w:ascii="Arial" w:hAnsi="Arial" w:cs="Arial"/>
          <w:sz w:val="20"/>
          <w:szCs w:val="20"/>
          <w:lang w:val="fr-FR"/>
        </w:rPr>
        <w:t xml:space="preserve">que les variétés indiquées </w:t>
      </w:r>
      <w:r w:rsidR="00D43219" w:rsidRPr="008725ED">
        <w:rPr>
          <w:rFonts w:ascii="Arial" w:hAnsi="Arial" w:cs="Arial"/>
          <w:sz w:val="20"/>
          <w:szCs w:val="20"/>
          <w:lang w:val="fr-FR"/>
        </w:rPr>
        <w:t>à titre d’exemple</w:t>
      </w:r>
      <w:r w:rsidRPr="008725ED">
        <w:rPr>
          <w:rFonts w:ascii="Arial" w:hAnsi="Arial" w:cs="Arial"/>
          <w:sz w:val="20"/>
          <w:szCs w:val="20"/>
          <w:lang w:val="fr-FR"/>
        </w:rPr>
        <w:t xml:space="preserve"> jouaient un rôle essentiel pour chaque niveau d</w:t>
      </w:r>
      <w:r w:rsidR="00EF1779" w:rsidRPr="008725ED">
        <w:rPr>
          <w:rFonts w:ascii="Arial" w:hAnsi="Arial" w:cs="Arial"/>
          <w:sz w:val="20"/>
          <w:szCs w:val="20"/>
          <w:lang w:val="fr-FR"/>
        </w:rPr>
        <w:t>’</w:t>
      </w:r>
      <w:r w:rsidRPr="008725ED">
        <w:rPr>
          <w:rFonts w:ascii="Arial" w:hAnsi="Arial" w:cs="Arial"/>
          <w:sz w:val="20"/>
          <w:szCs w:val="20"/>
          <w:lang w:val="fr-FR"/>
        </w:rPr>
        <w:t>expression,</w:t>
      </w:r>
    </w:p>
    <w:p w:rsidR="008C3126" w:rsidRPr="008725ED" w:rsidRDefault="0052307B" w:rsidP="00D95F3A">
      <w:pPr>
        <w:pStyle w:val="ListParagraph"/>
        <w:numPr>
          <w:ilvl w:val="0"/>
          <w:numId w:val="41"/>
        </w:numPr>
        <w:tabs>
          <w:tab w:val="left" w:pos="1134"/>
        </w:tabs>
        <w:spacing w:after="60" w:line="240" w:lineRule="auto"/>
        <w:ind w:left="1134" w:hanging="567"/>
        <w:contextualSpacing w:val="0"/>
        <w:rPr>
          <w:rFonts w:ascii="Arial" w:hAnsi="Arial" w:cs="Arial"/>
          <w:sz w:val="20"/>
          <w:szCs w:val="20"/>
          <w:lang w:val="fr-FR"/>
        </w:rPr>
      </w:pPr>
      <w:r w:rsidRPr="008725ED">
        <w:rPr>
          <w:rFonts w:ascii="Arial" w:hAnsi="Arial" w:cs="Arial"/>
          <w:sz w:val="20"/>
          <w:szCs w:val="20"/>
          <w:lang w:val="fr-FR"/>
        </w:rPr>
        <w:t>que la méthode d</w:t>
      </w:r>
      <w:r w:rsidR="00EF1779" w:rsidRPr="008725ED">
        <w:rPr>
          <w:rFonts w:ascii="Arial" w:hAnsi="Arial" w:cs="Arial"/>
          <w:sz w:val="20"/>
          <w:szCs w:val="20"/>
          <w:lang w:val="fr-FR"/>
        </w:rPr>
        <w:t>’</w:t>
      </w:r>
      <w:r w:rsidRPr="008725ED">
        <w:rPr>
          <w:rFonts w:ascii="Arial" w:hAnsi="Arial" w:cs="Arial"/>
          <w:sz w:val="20"/>
          <w:szCs w:val="20"/>
          <w:lang w:val="fr-FR"/>
        </w:rPr>
        <w:t>observation et les explications étaient essentielles, car elles permettaient d</w:t>
      </w:r>
      <w:r w:rsidR="00EF1779" w:rsidRPr="008725ED">
        <w:rPr>
          <w:rFonts w:ascii="Arial" w:hAnsi="Arial" w:cs="Arial"/>
          <w:sz w:val="20"/>
          <w:szCs w:val="20"/>
          <w:lang w:val="fr-FR"/>
        </w:rPr>
        <w:t>’</w:t>
      </w:r>
      <w:r w:rsidRPr="008725ED">
        <w:rPr>
          <w:rFonts w:ascii="Arial" w:hAnsi="Arial" w:cs="Arial"/>
          <w:sz w:val="20"/>
          <w:szCs w:val="20"/>
          <w:lang w:val="fr-FR"/>
        </w:rPr>
        <w:t>indiquer clairement aux examinateurs quand et comment faire des mesures ou des observations et de réduire ainsi les écarts entre les observateurs et les observations,</w:t>
      </w:r>
    </w:p>
    <w:p w:rsidR="008C3126" w:rsidRPr="008725ED" w:rsidRDefault="0052307B" w:rsidP="00D95F3A">
      <w:pPr>
        <w:pStyle w:val="ListParagraph"/>
        <w:numPr>
          <w:ilvl w:val="0"/>
          <w:numId w:val="41"/>
        </w:numPr>
        <w:tabs>
          <w:tab w:val="left" w:pos="1134"/>
        </w:tabs>
        <w:spacing w:after="0" w:line="240" w:lineRule="auto"/>
        <w:ind w:left="1134" w:hanging="567"/>
        <w:rPr>
          <w:rFonts w:ascii="Arial" w:hAnsi="Arial" w:cs="Arial"/>
          <w:sz w:val="20"/>
          <w:szCs w:val="20"/>
          <w:lang w:val="fr-FR"/>
        </w:rPr>
      </w:pPr>
      <w:r w:rsidRPr="008725ED">
        <w:rPr>
          <w:rFonts w:ascii="Arial" w:hAnsi="Arial" w:cs="Arial"/>
          <w:sz w:val="20"/>
          <w:szCs w:val="20"/>
          <w:lang w:val="fr-FR"/>
        </w:rPr>
        <w:t>que le milieu pouvait avoir une influence sur l</w:t>
      </w:r>
      <w:r w:rsidR="00EF1779" w:rsidRPr="008725ED">
        <w:rPr>
          <w:rFonts w:ascii="Arial" w:hAnsi="Arial" w:cs="Arial"/>
          <w:sz w:val="20"/>
          <w:szCs w:val="20"/>
          <w:lang w:val="fr-FR"/>
        </w:rPr>
        <w:t>’</w:t>
      </w:r>
      <w:r w:rsidRPr="008725ED">
        <w:rPr>
          <w:rFonts w:ascii="Arial" w:hAnsi="Arial" w:cs="Arial"/>
          <w:sz w:val="20"/>
          <w:szCs w:val="20"/>
          <w:lang w:val="fr-FR"/>
        </w:rPr>
        <w:t>expression du caractère.</w:t>
      </w:r>
    </w:p>
    <w:p w:rsidR="008C3126" w:rsidRPr="008725ED" w:rsidRDefault="008C3126" w:rsidP="0052307B">
      <w:pPr>
        <w:rPr>
          <w:rFonts w:cs="Arial"/>
          <w:lang w:val="fr-FR"/>
        </w:rPr>
      </w:pPr>
    </w:p>
    <w:p w:rsidR="008C3126" w:rsidRPr="008725ED" w:rsidRDefault="0052307B" w:rsidP="0052307B">
      <w:pPr>
        <w:rPr>
          <w:rFonts w:cs="Arial"/>
          <w:snapToGrid w:val="0"/>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r>
      <w:r w:rsidRPr="008725ED">
        <w:rPr>
          <w:lang w:val="fr-FR"/>
        </w:rPr>
        <w:t xml:space="preserve">Le </w:t>
      </w:r>
      <w:r w:rsidRPr="008725ED">
        <w:rPr>
          <w:rFonts w:cs="Arial"/>
          <w:lang w:val="fr-FR"/>
        </w:rPr>
        <w:t>TWF a pris note des différences démontrées entre les descriptions variétales des différents services pour une même varié</w:t>
      </w:r>
      <w:r w:rsidR="00D43219" w:rsidRPr="008725ED">
        <w:rPr>
          <w:rFonts w:cs="Arial"/>
          <w:lang w:val="fr-FR"/>
        </w:rPr>
        <w:t>té.  Il</w:t>
      </w:r>
      <w:r w:rsidRPr="008725ED">
        <w:rPr>
          <w:rFonts w:cs="Arial"/>
          <w:lang w:val="fr-FR"/>
        </w:rPr>
        <w:t xml:space="preserve"> est convenu qu</w:t>
      </w:r>
      <w:r w:rsidR="00EF1779" w:rsidRPr="008725ED">
        <w:rPr>
          <w:rFonts w:cs="Arial"/>
          <w:lang w:val="fr-FR"/>
        </w:rPr>
        <w:t>’</w:t>
      </w:r>
      <w:r w:rsidRPr="008725ED">
        <w:rPr>
          <w:rFonts w:cs="Arial"/>
          <w:lang w:val="fr-FR"/>
        </w:rPr>
        <w:t>il serait intéressant d</w:t>
      </w:r>
      <w:r w:rsidR="00EF1779" w:rsidRPr="008725ED">
        <w:rPr>
          <w:rFonts w:cs="Arial"/>
          <w:lang w:val="fr-FR"/>
        </w:rPr>
        <w:t>’</w:t>
      </w:r>
      <w:r w:rsidRPr="008725ED">
        <w:rPr>
          <w:rFonts w:cs="Arial"/>
          <w:lang w:val="fr-FR"/>
        </w:rPr>
        <w:t>examiner ces informations pour chaque caractère dans une future révision des principes directeurs d</w:t>
      </w:r>
      <w:r w:rsidR="00EF1779" w:rsidRPr="008725ED">
        <w:rPr>
          <w:rFonts w:cs="Arial"/>
          <w:lang w:val="fr-FR"/>
        </w:rPr>
        <w:t>’</w:t>
      </w:r>
      <w:r w:rsidRPr="008725ED">
        <w:rPr>
          <w:rFonts w:cs="Arial"/>
          <w:lang w:val="fr-FR"/>
        </w:rPr>
        <w:t>examen et en particulier dans le cas précis du pommi</w:t>
      </w:r>
      <w:r w:rsidR="00D43219" w:rsidRPr="008725ED">
        <w:rPr>
          <w:rFonts w:cs="Arial"/>
          <w:lang w:val="fr-FR"/>
        </w:rPr>
        <w:t>er.  Le</w:t>
      </w:r>
      <w:r w:rsidRPr="008725ED">
        <w:rPr>
          <w:rFonts w:cs="Arial"/>
          <w:lang w:val="fr-FR"/>
        </w:rPr>
        <w:t> TWF a accueilli avec satisfaction la proposition d</w:t>
      </w:r>
      <w:r w:rsidR="00EF1779" w:rsidRPr="008725ED">
        <w:rPr>
          <w:rFonts w:cs="Arial"/>
          <w:lang w:val="fr-FR"/>
        </w:rPr>
        <w:t>’</w:t>
      </w:r>
      <w:r w:rsidRPr="008725ED">
        <w:rPr>
          <w:rFonts w:cs="Arial"/>
          <w:lang w:val="fr-FR"/>
        </w:rPr>
        <w:t>examiner le pouvoir discriminant des caractères sur la base d</w:t>
      </w:r>
      <w:r w:rsidR="00EF1779" w:rsidRPr="008725ED">
        <w:rPr>
          <w:rFonts w:cs="Arial"/>
          <w:lang w:val="fr-FR"/>
        </w:rPr>
        <w:t>’</w:t>
      </w:r>
      <w:r w:rsidRPr="008725ED">
        <w:rPr>
          <w:rFonts w:cs="Arial"/>
          <w:lang w:val="fr-FR"/>
        </w:rPr>
        <w:t>une étude type élaborée précédemment par le TWV concernant les pois (voir le document TWV/47/25 “Pea Database Study”).</w:t>
      </w:r>
      <w:r w:rsidRPr="008725ED">
        <w:rPr>
          <w:lang w:val="fr-FR"/>
        </w:rPr>
        <w:t xml:space="preserve">  </w:t>
      </w:r>
      <w:r w:rsidRPr="008725ED">
        <w:rPr>
          <w:rFonts w:cs="Arial"/>
          <w:lang w:val="fr-FR"/>
        </w:rPr>
        <w:t>Cette étude viserait à indiquer précisément quel est l</w:t>
      </w:r>
      <w:r w:rsidR="00EF1779" w:rsidRPr="008725ED">
        <w:rPr>
          <w:rFonts w:cs="Arial"/>
          <w:lang w:val="fr-FR"/>
        </w:rPr>
        <w:t>’</w:t>
      </w:r>
      <w:r w:rsidRPr="008725ED">
        <w:rPr>
          <w:rFonts w:cs="Arial"/>
          <w:lang w:val="fr-FR"/>
        </w:rPr>
        <w:t>intérêt de chaque caractère dans l</w:t>
      </w:r>
      <w:r w:rsidR="00EF1779" w:rsidRPr="008725ED">
        <w:rPr>
          <w:rFonts w:cs="Arial"/>
          <w:lang w:val="fr-FR"/>
        </w:rPr>
        <w:t>’</w:t>
      </w:r>
      <w:r w:rsidRPr="008725ED">
        <w:rPr>
          <w:rFonts w:cs="Arial"/>
          <w:lang w:val="fr-FR"/>
        </w:rPr>
        <w:t>examen DHS et dans quelle mesure il permet de décrire la variété ou d</w:t>
      </w:r>
      <w:r w:rsidR="00EF1779" w:rsidRPr="008725ED">
        <w:rPr>
          <w:rFonts w:cs="Arial"/>
          <w:lang w:val="fr-FR"/>
        </w:rPr>
        <w:t>’</w:t>
      </w:r>
      <w:r w:rsidRPr="008725ED">
        <w:rPr>
          <w:rFonts w:cs="Arial"/>
          <w:lang w:val="fr-FR"/>
        </w:rPr>
        <w:t>évaluer la distinction de manière efficace.</w:t>
      </w:r>
    </w:p>
    <w:p w:rsidR="008C3126" w:rsidRPr="008725ED" w:rsidRDefault="008C3126" w:rsidP="0052307B">
      <w:pPr>
        <w:rPr>
          <w:rFonts w:cs="Arial"/>
          <w:snapToGrid w:val="0"/>
          <w:lang w:val="fr-FR"/>
        </w:rPr>
      </w:pPr>
    </w:p>
    <w:p w:rsidR="008C3126" w:rsidRPr="008725ED" w:rsidRDefault="0052307B" w:rsidP="0052307B">
      <w:pPr>
        <w:spacing w:after="240"/>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r>
      <w:r w:rsidRPr="008725ED">
        <w:rPr>
          <w:lang w:val="fr-FR"/>
        </w:rPr>
        <w:t xml:space="preserve">Le </w:t>
      </w:r>
      <w:r w:rsidRPr="008725ED">
        <w:rPr>
          <w:rFonts w:cs="Arial"/>
          <w:lang w:val="fr-FR"/>
        </w:rPr>
        <w:t>TWF a examiné le document TWF/47/21 intitulé “DUS examination of mutant varieties of apple” et suivi un exposé présenté par un expert de l</w:t>
      </w:r>
      <w:r w:rsidR="00EF1779" w:rsidRPr="008725ED">
        <w:rPr>
          <w:rFonts w:cs="Arial"/>
          <w:lang w:val="fr-FR"/>
        </w:rPr>
        <w:t>’</w:t>
      </w:r>
      <w:r w:rsidRPr="008725ED">
        <w:rPr>
          <w:rFonts w:cs="Arial"/>
          <w:lang w:val="fr-FR"/>
        </w:rPr>
        <w:t>Union européen</w:t>
      </w:r>
      <w:r w:rsidR="00D43219" w:rsidRPr="008725ED">
        <w:rPr>
          <w:rFonts w:cs="Arial"/>
          <w:lang w:val="fr-FR"/>
        </w:rPr>
        <w:t>ne.  Le</w:t>
      </w:r>
      <w:r w:rsidRPr="008725ED">
        <w:rPr>
          <w:rFonts w:cs="Arial"/>
          <w:lang w:val="fr-FR"/>
        </w:rPr>
        <w:t> TWF est convenu de la nécessité d</w:t>
      </w:r>
      <w:r w:rsidR="00EF1779" w:rsidRPr="008725ED">
        <w:rPr>
          <w:rFonts w:cs="Arial"/>
          <w:lang w:val="fr-FR"/>
        </w:rPr>
        <w:t>’</w:t>
      </w:r>
      <w:r w:rsidRPr="008725ED">
        <w:rPr>
          <w:rFonts w:cs="Arial"/>
          <w:lang w:val="fr-FR"/>
        </w:rPr>
        <w:t>échanger des informations entre les services de protection des obtentions végétales sur les demandes reçues par les membres de l</w:t>
      </w:r>
      <w:r w:rsidR="00EF1779" w:rsidRPr="008725ED">
        <w:rPr>
          <w:rFonts w:cs="Arial"/>
          <w:lang w:val="fr-FR"/>
        </w:rPr>
        <w:t>’</w:t>
      </w:r>
      <w:r w:rsidRPr="008725ED">
        <w:rPr>
          <w:rFonts w:cs="Arial"/>
          <w:lang w:val="fr-FR"/>
        </w:rPr>
        <w:t>Union, notamment en ce qui concerne certains groupes de mutations du pommier pour lesquels des variétés voisines peuvent être soumises dans plusieurs pa</w:t>
      </w:r>
      <w:r w:rsidR="00D43219" w:rsidRPr="008725ED">
        <w:rPr>
          <w:rFonts w:cs="Arial"/>
          <w:lang w:val="fr-FR"/>
        </w:rPr>
        <w:t>ys.  Ce</w:t>
      </w:r>
      <w:r w:rsidRPr="008725ED">
        <w:rPr>
          <w:rFonts w:cs="Arial"/>
          <w:lang w:val="fr-FR"/>
        </w:rPr>
        <w:t>s échanges contribueraient à ce que toutes les variétés notoirement connues soient prises en considération et, le cas échéant, à ce qu</w:t>
      </w:r>
      <w:r w:rsidR="00EF1779" w:rsidRPr="008725ED">
        <w:rPr>
          <w:rFonts w:cs="Arial"/>
          <w:lang w:val="fr-FR"/>
        </w:rPr>
        <w:t>’</w:t>
      </w:r>
      <w:r w:rsidRPr="008725ED">
        <w:rPr>
          <w:rFonts w:cs="Arial"/>
          <w:lang w:val="fr-FR"/>
        </w:rPr>
        <w:t>elles soient incluses dans l</w:t>
      </w:r>
      <w:r w:rsidR="00EF1779" w:rsidRPr="008725ED">
        <w:rPr>
          <w:rFonts w:cs="Arial"/>
          <w:lang w:val="fr-FR"/>
        </w:rPr>
        <w:t>’</w:t>
      </w:r>
      <w:r w:rsidRPr="008725ED">
        <w:rPr>
          <w:rFonts w:cs="Arial"/>
          <w:lang w:val="fr-FR"/>
        </w:rPr>
        <w:t>essai en culture aux fins de l</w:t>
      </w:r>
      <w:r w:rsidR="00EF1779" w:rsidRPr="008725ED">
        <w:rPr>
          <w:rFonts w:cs="Arial"/>
          <w:lang w:val="fr-FR"/>
        </w:rPr>
        <w:t>’</w:t>
      </w:r>
      <w:r w:rsidRPr="008725ED">
        <w:rPr>
          <w:rFonts w:cs="Arial"/>
          <w:lang w:val="fr-FR"/>
        </w:rPr>
        <w:t>examen de la distincti</w:t>
      </w:r>
      <w:r w:rsidR="00D43219" w:rsidRPr="008725ED">
        <w:rPr>
          <w:rFonts w:cs="Arial"/>
          <w:lang w:val="fr-FR"/>
        </w:rPr>
        <w:t>on.  Le</w:t>
      </w:r>
      <w:r w:rsidRPr="008725ED">
        <w:rPr>
          <w:rFonts w:cs="Arial"/>
          <w:lang w:val="fr-FR"/>
        </w:rPr>
        <w:t> TWF est également convenu de la nécessité d</w:t>
      </w:r>
      <w:r w:rsidR="00EF1779" w:rsidRPr="008725ED">
        <w:rPr>
          <w:rFonts w:cs="Arial"/>
          <w:lang w:val="fr-FR"/>
        </w:rPr>
        <w:t>’</w:t>
      </w:r>
      <w:r w:rsidRPr="008725ED">
        <w:rPr>
          <w:rFonts w:cs="Arial"/>
          <w:lang w:val="fr-FR"/>
        </w:rPr>
        <w:t>échanger des informations sur les variétés rejetées pouvant faire l</w:t>
      </w:r>
      <w:r w:rsidR="00EF1779" w:rsidRPr="008725ED">
        <w:rPr>
          <w:rFonts w:cs="Arial"/>
          <w:lang w:val="fr-FR"/>
        </w:rPr>
        <w:t>’</w:t>
      </w:r>
      <w:r w:rsidRPr="008725ED">
        <w:rPr>
          <w:rFonts w:cs="Arial"/>
          <w:lang w:val="fr-FR"/>
        </w:rPr>
        <w:t>objet de procédures en cours chez d</w:t>
      </w:r>
      <w:r w:rsidR="00EF1779" w:rsidRPr="008725ED">
        <w:rPr>
          <w:rFonts w:cs="Arial"/>
          <w:lang w:val="fr-FR"/>
        </w:rPr>
        <w:t>’</w:t>
      </w:r>
      <w:r w:rsidRPr="008725ED">
        <w:rPr>
          <w:rFonts w:cs="Arial"/>
          <w:lang w:val="fr-FR"/>
        </w:rPr>
        <w:t>autres membres de l</w:t>
      </w:r>
      <w:r w:rsidR="00EF1779" w:rsidRPr="008725ED">
        <w:rPr>
          <w:rFonts w:cs="Arial"/>
          <w:lang w:val="fr-FR"/>
        </w:rPr>
        <w:t>’</w:t>
      </w:r>
      <w:r w:rsidRPr="008725ED">
        <w:rPr>
          <w:rFonts w:cs="Arial"/>
          <w:lang w:val="fr-FR"/>
        </w:rPr>
        <w:t>Union.</w:t>
      </w:r>
    </w:p>
    <w:p w:rsidR="008C3126" w:rsidRPr="008725ED" w:rsidRDefault="0052307B" w:rsidP="0052307B">
      <w:pPr>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 xml:space="preserve">Le TWF a examiné le document TWF/47/18 intitulé “Proposal concerning the </w:t>
      </w:r>
      <w:r w:rsidR="0064330D" w:rsidRPr="008725ED">
        <w:rPr>
          <w:rFonts w:cs="Arial"/>
          <w:lang w:val="fr-FR"/>
        </w:rPr>
        <w:t>‘</w:t>
      </w:r>
      <w:r w:rsidRPr="008725ED">
        <w:rPr>
          <w:rFonts w:cs="Arial"/>
          <w:lang w:val="fr-FR"/>
        </w:rPr>
        <w:t>Guide to the UPOV Code System</w:t>
      </w:r>
      <w:r w:rsidR="0064330D" w:rsidRPr="008725ED">
        <w:rPr>
          <w:rFonts w:cs="Arial"/>
          <w:lang w:val="fr-FR"/>
        </w:rPr>
        <w:t>’</w:t>
      </w:r>
      <w:r w:rsidRPr="008725ED">
        <w:rPr>
          <w:rFonts w:cs="Arial"/>
          <w:lang w:val="fr-FR"/>
        </w:rPr>
        <w:t xml:space="preserve"> on the Principal Botanical name for Inter</w:t>
      </w:r>
      <w:r w:rsidR="00EF1779" w:rsidRPr="008725ED">
        <w:rPr>
          <w:rFonts w:cs="Arial"/>
          <w:lang w:val="fr-FR"/>
        </w:rPr>
        <w:t>-</w:t>
      </w:r>
      <w:r w:rsidRPr="008725ED">
        <w:rPr>
          <w:rFonts w:cs="Arial"/>
          <w:lang w:val="fr-FR"/>
        </w:rPr>
        <w:t>Generic and Interspecific Hybrids” ainsi que la proposition de présenter le nom botanique principal pour les codes UPOV de genres et espèces hybrides en indiquant les parents dans l</w:t>
      </w:r>
      <w:r w:rsidR="00EF1779" w:rsidRPr="008725ED">
        <w:rPr>
          <w:rFonts w:cs="Arial"/>
          <w:lang w:val="fr-FR"/>
        </w:rPr>
        <w:t>’</w:t>
      </w:r>
      <w:r w:rsidRPr="008725ED">
        <w:rPr>
          <w:rFonts w:cs="Arial"/>
          <w:lang w:val="fr-FR"/>
        </w:rPr>
        <w:t>ordre alphabétiq</w:t>
      </w:r>
      <w:r w:rsidR="00D43219" w:rsidRPr="008725ED">
        <w:rPr>
          <w:rFonts w:cs="Arial"/>
          <w:lang w:val="fr-FR"/>
        </w:rPr>
        <w:t>ue.  Le</w:t>
      </w:r>
      <w:r w:rsidRPr="008725ED">
        <w:rPr>
          <w:rFonts w:cs="Arial"/>
          <w:lang w:val="fr-FR"/>
        </w:rPr>
        <w:t> TWF a pris note de l</w:t>
      </w:r>
      <w:r w:rsidR="00EF1779" w:rsidRPr="008725ED">
        <w:rPr>
          <w:rFonts w:cs="Arial"/>
          <w:lang w:val="fr-FR"/>
        </w:rPr>
        <w:t>’</w:t>
      </w:r>
      <w:r w:rsidRPr="008725ED">
        <w:rPr>
          <w:rFonts w:cs="Arial"/>
          <w:lang w:val="fr-FR"/>
        </w:rPr>
        <w:t>existence de diverses procédures parmi les membres de l</w:t>
      </w:r>
      <w:r w:rsidR="00EF1779" w:rsidRPr="008725ED">
        <w:rPr>
          <w:rFonts w:cs="Arial"/>
          <w:lang w:val="fr-FR"/>
        </w:rPr>
        <w:t>’</w:t>
      </w:r>
      <w:r w:rsidRPr="008725ED">
        <w:rPr>
          <w:rFonts w:cs="Arial"/>
          <w:lang w:val="fr-FR"/>
        </w:rPr>
        <w:t>Union et a constaté que, pour certains de ces membres, les informations relatives aux parents d</w:t>
      </w:r>
      <w:r w:rsidR="00EF1779" w:rsidRPr="008725ED">
        <w:rPr>
          <w:rFonts w:cs="Arial"/>
          <w:lang w:val="fr-FR"/>
        </w:rPr>
        <w:t>’</w:t>
      </w:r>
      <w:r w:rsidRPr="008725ED">
        <w:rPr>
          <w:rFonts w:cs="Arial"/>
          <w:lang w:val="fr-FR"/>
        </w:rPr>
        <w:t>une variété hybride intergénérique ou interspécifique étaient publiées en</w:t>
      </w:r>
      <w:r w:rsidRPr="008725ED">
        <w:rPr>
          <w:lang w:val="fr-FR"/>
        </w:rPr>
        <w:t xml:space="preserve"> </w:t>
      </w:r>
      <w:r w:rsidRPr="008725ED">
        <w:rPr>
          <w:rFonts w:cs="Arial"/>
          <w:lang w:val="fr-FR"/>
        </w:rPr>
        <w:t>indiquant le parent femelle en premi</w:t>
      </w:r>
      <w:r w:rsidR="00D43219" w:rsidRPr="008725ED">
        <w:rPr>
          <w:rFonts w:cs="Arial"/>
          <w:lang w:val="fr-FR"/>
        </w:rPr>
        <w:t>er.  Su</w:t>
      </w:r>
      <w:r w:rsidRPr="008725ED">
        <w:rPr>
          <w:rFonts w:cs="Arial"/>
          <w:lang w:val="fr-FR"/>
        </w:rPr>
        <w:t>r la base de ce qui précède, le TWF est convenu avec le TWV et le TWA qu</w:t>
      </w:r>
      <w:r w:rsidR="00EF1779" w:rsidRPr="008725ED">
        <w:rPr>
          <w:rFonts w:cs="Arial"/>
          <w:lang w:val="fr-FR"/>
        </w:rPr>
        <w:t>’</w:t>
      </w:r>
      <w:r w:rsidRPr="008725ED">
        <w:rPr>
          <w:rFonts w:cs="Arial"/>
          <w:lang w:val="fr-FR"/>
        </w:rPr>
        <w:t>il ne serait pas approprié de réviser le Guide relatif aux systèmes de codes UPOV concernant le nom botanique principal pour les hybrides intergénériques et interspécifiques.</w:t>
      </w:r>
    </w:p>
    <w:p w:rsidR="008C3126" w:rsidRPr="008725ED" w:rsidRDefault="008C3126" w:rsidP="0052307B">
      <w:pPr>
        <w:rPr>
          <w:rFonts w:cs="Arial"/>
          <w:lang w:val="fr-FR"/>
        </w:rPr>
      </w:pPr>
    </w:p>
    <w:p w:rsidR="008C3126" w:rsidRPr="008725ED" w:rsidRDefault="0052307B" w:rsidP="0052307B">
      <w:pPr>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Le TWF est convenu que les principes directeurs d</w:t>
      </w:r>
      <w:r w:rsidR="00EF1779" w:rsidRPr="008725ED">
        <w:rPr>
          <w:rFonts w:cs="Arial"/>
          <w:lang w:val="fr-FR"/>
        </w:rPr>
        <w:t>’</w:t>
      </w:r>
      <w:r w:rsidRPr="008725ED">
        <w:rPr>
          <w:rFonts w:cs="Arial"/>
          <w:lang w:val="fr-FR"/>
        </w:rPr>
        <w:t>examen ci</w:t>
      </w:r>
      <w:r w:rsidR="00EF1779" w:rsidRPr="008725ED">
        <w:rPr>
          <w:rFonts w:cs="Arial"/>
          <w:lang w:val="fr-FR"/>
        </w:rPr>
        <w:t>-</w:t>
      </w:r>
      <w:r w:rsidRPr="008725ED">
        <w:rPr>
          <w:rFonts w:cs="Arial"/>
          <w:lang w:val="fr-FR"/>
        </w:rPr>
        <w:t>après devraient être soumis au</w:t>
      </w:r>
      <w:r w:rsidR="00EF1779" w:rsidRPr="008725ED">
        <w:rPr>
          <w:rFonts w:cs="Arial"/>
          <w:lang w:val="fr-FR"/>
        </w:rPr>
        <w:t> TC</w:t>
      </w:r>
      <w:r w:rsidRPr="008725ED">
        <w:rPr>
          <w:rFonts w:cs="Arial"/>
          <w:lang w:val="fr-FR"/>
        </w:rPr>
        <w:t xml:space="preserve"> pour adoption</w:t>
      </w:r>
      <w:r w:rsidR="00EF1779" w:rsidRPr="008725ED">
        <w:rPr>
          <w:rFonts w:cs="Arial"/>
          <w:lang w:val="fr-FR"/>
        </w:rPr>
        <w:t> :</w:t>
      </w:r>
      <w:r w:rsidRPr="008725ED">
        <w:rPr>
          <w:rFonts w:cs="Arial"/>
          <w:lang w:val="fr-FR"/>
        </w:rPr>
        <w:t xml:space="preserve"> châtaign</w:t>
      </w:r>
      <w:r w:rsidR="00D43219" w:rsidRPr="008725ED">
        <w:rPr>
          <w:rFonts w:cs="Arial"/>
          <w:lang w:val="fr-FR"/>
        </w:rPr>
        <w:t>ie</w:t>
      </w:r>
      <w:r w:rsidRPr="008725ED">
        <w:rPr>
          <w:rFonts w:cs="Arial"/>
          <w:lang w:val="fr-FR"/>
        </w:rPr>
        <w:t>r, papayer et noy</w:t>
      </w:r>
      <w:r w:rsidR="00D43219" w:rsidRPr="008725ED">
        <w:rPr>
          <w:rFonts w:cs="Arial"/>
          <w:lang w:val="fr-FR"/>
        </w:rPr>
        <w:t xml:space="preserve">er.  </w:t>
      </w:r>
      <w:r w:rsidR="00D43219" w:rsidRPr="008725ED">
        <w:rPr>
          <w:rFonts w:cs="Arial"/>
          <w:iCs/>
          <w:lang w:val="fr-FR"/>
        </w:rPr>
        <w:t>Le</w:t>
      </w:r>
      <w:r w:rsidRPr="008725ED">
        <w:rPr>
          <w:rFonts w:cs="Arial"/>
          <w:iCs/>
          <w:lang w:val="fr-FR"/>
        </w:rPr>
        <w:t> TWF est convenu d</w:t>
      </w:r>
      <w:r w:rsidR="00EF1779" w:rsidRPr="008725ED">
        <w:rPr>
          <w:rFonts w:cs="Arial"/>
          <w:iCs/>
          <w:lang w:val="fr-FR"/>
        </w:rPr>
        <w:t>’</w:t>
      </w:r>
      <w:r w:rsidRPr="008725ED">
        <w:rPr>
          <w:rFonts w:cs="Arial"/>
          <w:iCs/>
          <w:lang w:val="fr-FR"/>
        </w:rPr>
        <w:t>examiner 10 projets de principes directeurs d</w:t>
      </w:r>
      <w:r w:rsidR="00EF1779" w:rsidRPr="008725ED">
        <w:rPr>
          <w:rFonts w:cs="Arial"/>
          <w:iCs/>
          <w:lang w:val="fr-FR"/>
        </w:rPr>
        <w:t>’</w:t>
      </w:r>
      <w:r w:rsidRPr="008725ED">
        <w:rPr>
          <w:rFonts w:cs="Arial"/>
          <w:iCs/>
          <w:lang w:val="fr-FR"/>
        </w:rPr>
        <w:t>examen à sa quarante</w:t>
      </w:r>
      <w:r w:rsidR="00EF1779" w:rsidRPr="008725ED">
        <w:rPr>
          <w:rFonts w:cs="Arial"/>
          <w:iCs/>
          <w:lang w:val="fr-FR"/>
        </w:rPr>
        <w:t>-</w:t>
      </w:r>
      <w:r w:rsidRPr="008725ED">
        <w:rPr>
          <w:rFonts w:cs="Arial"/>
          <w:iCs/>
          <w:lang w:val="fr-FR"/>
        </w:rPr>
        <w:t>huit</w:t>
      </w:r>
      <w:r w:rsidR="00EF1779" w:rsidRPr="008725ED">
        <w:rPr>
          <w:rFonts w:cs="Arial"/>
          <w:iCs/>
          <w:lang w:val="fr-FR"/>
        </w:rPr>
        <w:t>ième session</w:t>
      </w:r>
      <w:r w:rsidRPr="008725ED">
        <w:rPr>
          <w:rFonts w:cs="Arial"/>
          <w:iCs/>
          <w:lang w:val="fr-FR"/>
        </w:rPr>
        <w:t>.</w:t>
      </w:r>
    </w:p>
    <w:p w:rsidR="008C3126" w:rsidRPr="008725ED" w:rsidRDefault="008C3126" w:rsidP="0052307B">
      <w:pPr>
        <w:rPr>
          <w:rFonts w:cs="Arial"/>
          <w:lang w:val="fr-FR"/>
        </w:rPr>
      </w:pPr>
    </w:p>
    <w:p w:rsidR="008C3126" w:rsidRPr="008725ED" w:rsidRDefault="0052307B" w:rsidP="0052307B">
      <w:pPr>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Sur l</w:t>
      </w:r>
      <w:r w:rsidR="00EF1779" w:rsidRPr="008725ED">
        <w:rPr>
          <w:rFonts w:cs="Arial"/>
          <w:lang w:val="fr-FR"/>
        </w:rPr>
        <w:t>’</w:t>
      </w:r>
      <w:r w:rsidRPr="008725ED">
        <w:rPr>
          <w:rFonts w:cs="Arial"/>
          <w:lang w:val="fr-FR"/>
        </w:rPr>
        <w:t>invitation du Canada, le TWF est convenu de tenir sa quarante</w:t>
      </w:r>
      <w:r w:rsidR="00EF1779" w:rsidRPr="008725ED">
        <w:rPr>
          <w:rFonts w:cs="Arial"/>
          <w:lang w:val="fr-FR"/>
        </w:rPr>
        <w:t>-</w:t>
      </w:r>
      <w:r w:rsidRPr="008725ED">
        <w:rPr>
          <w:rFonts w:cs="Arial"/>
          <w:lang w:val="fr-FR"/>
        </w:rPr>
        <w:t>huit</w:t>
      </w:r>
      <w:r w:rsidR="00EF1779" w:rsidRPr="008725ED">
        <w:rPr>
          <w:rFonts w:cs="Arial"/>
          <w:lang w:val="fr-FR"/>
        </w:rPr>
        <w:t>ième session</w:t>
      </w:r>
      <w:r w:rsidRPr="008725ED">
        <w:rPr>
          <w:rFonts w:cs="Arial"/>
          <w:lang w:val="fr-FR"/>
        </w:rPr>
        <w:t xml:space="preserve"> à Kelowna, Colombie</w:t>
      </w:r>
      <w:r w:rsidR="0064330D" w:rsidRPr="008725ED">
        <w:rPr>
          <w:rFonts w:cs="Arial"/>
          <w:lang w:val="fr-FR"/>
        </w:rPr>
        <w:t>-Britannique</w:t>
      </w:r>
      <w:r w:rsidRPr="008725ED">
        <w:rPr>
          <w:rFonts w:cs="Arial"/>
          <w:lang w:val="fr-FR"/>
        </w:rPr>
        <w:t xml:space="preserve"> (Canada), du 18 au 22 septembre 2017, un atelier préparatoire étant prévu le 17 septembre 2017.</w:t>
      </w:r>
    </w:p>
    <w:p w:rsidR="008C3126" w:rsidRPr="008725ED" w:rsidRDefault="008C3126" w:rsidP="0052307B">
      <w:pPr>
        <w:rPr>
          <w:rFonts w:cs="Arial"/>
          <w:lang w:val="fr-FR"/>
        </w:rPr>
      </w:pPr>
    </w:p>
    <w:p w:rsidR="008C3126" w:rsidRPr="008725ED" w:rsidRDefault="0052307B" w:rsidP="0052307B">
      <w:pPr>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Le TWF est convenu de proposer au</w:t>
      </w:r>
      <w:r w:rsidR="00EF1779" w:rsidRPr="008725ED">
        <w:rPr>
          <w:rFonts w:cs="Arial"/>
          <w:lang w:val="fr-FR"/>
        </w:rPr>
        <w:t> TC</w:t>
      </w:r>
      <w:r w:rsidRPr="008725ED">
        <w:rPr>
          <w:rFonts w:cs="Arial"/>
          <w:lang w:val="fr-FR"/>
        </w:rPr>
        <w:t xml:space="preserve"> qu</w:t>
      </w:r>
      <w:r w:rsidR="00EF1779" w:rsidRPr="008725ED">
        <w:rPr>
          <w:rFonts w:cs="Arial"/>
          <w:lang w:val="fr-FR"/>
        </w:rPr>
        <w:t>’</w:t>
      </w:r>
      <w:r w:rsidRPr="008725ED">
        <w:rPr>
          <w:rFonts w:cs="Arial"/>
          <w:lang w:val="fr-FR"/>
        </w:rPr>
        <w:t>il recommande au Conseil d</w:t>
      </w:r>
      <w:r w:rsidR="00EF1779" w:rsidRPr="008725ED">
        <w:rPr>
          <w:rFonts w:cs="Arial"/>
          <w:lang w:val="fr-FR"/>
        </w:rPr>
        <w:t>’</w:t>
      </w:r>
      <w:r w:rsidRPr="008725ED">
        <w:rPr>
          <w:rFonts w:cs="Arial"/>
          <w:lang w:val="fr-FR"/>
        </w:rPr>
        <w:t>élire M. Jean Maison (Union européenne) prochain président du TWF.</w:t>
      </w:r>
    </w:p>
    <w:p w:rsidR="008C3126" w:rsidRPr="008725ED" w:rsidRDefault="008C3126" w:rsidP="0052307B">
      <w:pPr>
        <w:rPr>
          <w:rFonts w:cs="Arial"/>
          <w:lang w:val="fr-FR"/>
        </w:rPr>
      </w:pPr>
    </w:p>
    <w:p w:rsidR="008C3126" w:rsidRPr="008725ED" w:rsidRDefault="0052307B" w:rsidP="0052307B">
      <w:pPr>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Le TWF a proposé d</w:t>
      </w:r>
      <w:r w:rsidR="00EF1779" w:rsidRPr="008725ED">
        <w:rPr>
          <w:rFonts w:cs="Arial"/>
          <w:lang w:val="fr-FR"/>
        </w:rPr>
        <w:t>’</w:t>
      </w:r>
      <w:r w:rsidRPr="008725ED">
        <w:rPr>
          <w:rFonts w:cs="Arial"/>
          <w:lang w:val="fr-FR"/>
        </w:rPr>
        <w:t>examiner les points suivants à sa prochaine session</w:t>
      </w:r>
      <w:r w:rsidR="00EF1779" w:rsidRPr="008725ED">
        <w:rPr>
          <w:rFonts w:cs="Arial"/>
          <w:lang w:val="fr-FR"/>
        </w:rPr>
        <w:t> :</w:t>
      </w:r>
    </w:p>
    <w:p w:rsidR="008C3126" w:rsidRPr="008725ED" w:rsidRDefault="008C3126" w:rsidP="0052307B">
      <w:pPr>
        <w:rPr>
          <w:rFonts w:cs="Arial"/>
          <w:lang w:val="fr-FR"/>
        </w:rPr>
      </w:pPr>
    </w:p>
    <w:p w:rsidR="008C3126" w:rsidRPr="008725ED" w:rsidRDefault="0052307B" w:rsidP="0052307B">
      <w:pPr>
        <w:spacing w:after="60"/>
        <w:ind w:left="567"/>
        <w:rPr>
          <w:rFonts w:cs="Arial"/>
          <w:lang w:val="fr-FR"/>
        </w:rPr>
      </w:pPr>
      <w:r w:rsidRPr="008725ED">
        <w:rPr>
          <w:rFonts w:cs="Arial"/>
          <w:lang w:val="fr-FR"/>
        </w:rPr>
        <w:t>1.</w:t>
      </w:r>
      <w:r w:rsidRPr="008725ED">
        <w:rPr>
          <w:rFonts w:cs="Arial"/>
          <w:lang w:val="fr-FR"/>
        </w:rPr>
        <w:tab/>
        <w:t>Ouverture de la session</w:t>
      </w:r>
    </w:p>
    <w:p w:rsidR="008C3126" w:rsidRPr="008725ED" w:rsidRDefault="0052307B" w:rsidP="0052307B">
      <w:pPr>
        <w:spacing w:after="60"/>
        <w:ind w:left="567"/>
        <w:rPr>
          <w:rFonts w:cs="Arial"/>
          <w:lang w:val="fr-FR"/>
        </w:rPr>
      </w:pPr>
      <w:r w:rsidRPr="008725ED">
        <w:rPr>
          <w:rFonts w:cs="Arial"/>
          <w:lang w:val="fr-FR"/>
        </w:rPr>
        <w:t>2.</w:t>
      </w:r>
      <w:r w:rsidRPr="008725ED">
        <w:rPr>
          <w:rFonts w:cs="Arial"/>
          <w:lang w:val="fr-FR"/>
        </w:rPr>
        <w:tab/>
        <w:t>Adoption de l</w:t>
      </w:r>
      <w:r w:rsidR="00EF1779" w:rsidRPr="008725ED">
        <w:rPr>
          <w:rFonts w:cs="Arial"/>
          <w:lang w:val="fr-FR"/>
        </w:rPr>
        <w:t>’</w:t>
      </w:r>
      <w:r w:rsidRPr="008725ED">
        <w:rPr>
          <w:rFonts w:cs="Arial"/>
          <w:lang w:val="fr-FR"/>
        </w:rPr>
        <w:t>ordre du jour</w:t>
      </w:r>
    </w:p>
    <w:p w:rsidR="008C3126" w:rsidRPr="008725ED" w:rsidRDefault="0052307B" w:rsidP="0052307B">
      <w:pPr>
        <w:spacing w:after="60"/>
        <w:ind w:left="1134" w:hanging="567"/>
        <w:rPr>
          <w:rFonts w:cs="Arial"/>
          <w:lang w:val="fr-FR"/>
        </w:rPr>
      </w:pPr>
      <w:r w:rsidRPr="008725ED">
        <w:rPr>
          <w:rFonts w:cs="Arial"/>
          <w:lang w:val="fr-FR"/>
        </w:rPr>
        <w:t>3.</w:t>
      </w:r>
      <w:r w:rsidRPr="008725ED">
        <w:rPr>
          <w:rFonts w:cs="Arial"/>
          <w:lang w:val="fr-FR"/>
        </w:rPr>
        <w:tab/>
        <w:t>Rapports succincts sur l</w:t>
      </w:r>
      <w:r w:rsidR="00EF1779" w:rsidRPr="008725ED">
        <w:rPr>
          <w:rFonts w:cs="Arial"/>
          <w:lang w:val="fr-FR"/>
        </w:rPr>
        <w:t>’</w:t>
      </w:r>
      <w:r w:rsidRPr="008725ED">
        <w:rPr>
          <w:rFonts w:cs="Arial"/>
          <w:lang w:val="fr-FR"/>
        </w:rPr>
        <w:t>évolution de la situation en matière de protection des obtentions végétales</w:t>
      </w:r>
    </w:p>
    <w:p w:rsidR="008C3126" w:rsidRPr="008725ED" w:rsidRDefault="0052307B" w:rsidP="0052307B">
      <w:pPr>
        <w:ind w:left="1701" w:hanging="567"/>
        <w:rPr>
          <w:rFonts w:cs="Arial"/>
          <w:lang w:val="fr-FR"/>
        </w:rPr>
      </w:pPr>
      <w:r w:rsidRPr="008725ED">
        <w:rPr>
          <w:rFonts w:cs="Arial"/>
          <w:lang w:val="fr-FR"/>
        </w:rPr>
        <w:t>a)</w:t>
      </w:r>
      <w:r w:rsidRPr="008725ED">
        <w:rPr>
          <w:rFonts w:cs="Arial"/>
          <w:lang w:val="fr-FR"/>
        </w:rPr>
        <w:tab/>
        <w:t>Rapports des membres et des observateurs (rapports écrits à établir par les membres et observateurs)</w:t>
      </w:r>
    </w:p>
    <w:p w:rsidR="008C3126" w:rsidRPr="008725ED" w:rsidRDefault="0052307B" w:rsidP="0052307B">
      <w:pPr>
        <w:ind w:left="1701" w:hanging="567"/>
        <w:rPr>
          <w:rFonts w:cs="Arial"/>
          <w:lang w:val="fr-FR"/>
        </w:rPr>
      </w:pPr>
      <w:r w:rsidRPr="008725ED">
        <w:rPr>
          <w:rFonts w:cs="Arial"/>
          <w:lang w:val="fr-FR"/>
        </w:rPr>
        <w:t>b)</w:t>
      </w:r>
      <w:r w:rsidRPr="008725ED">
        <w:rPr>
          <w:rFonts w:cs="Arial"/>
          <w:lang w:val="fr-FR"/>
        </w:rPr>
        <w:tab/>
        <w:t>Rapports sur les faits nouveaux intervenus à l</w:t>
      </w:r>
      <w:r w:rsidR="00EF1779" w:rsidRPr="008725ED">
        <w:rPr>
          <w:rFonts w:cs="Arial"/>
          <w:lang w:val="fr-FR"/>
        </w:rPr>
        <w:t>’</w:t>
      </w:r>
      <w:r w:rsidRPr="008725ED">
        <w:rPr>
          <w:rFonts w:cs="Arial"/>
          <w:lang w:val="fr-FR"/>
        </w:rPr>
        <w:t>UPOV (rapport verbal du Bureau de l</w:t>
      </w:r>
      <w:r w:rsidR="00EF1779" w:rsidRPr="008725ED">
        <w:rPr>
          <w:rFonts w:cs="Arial"/>
          <w:lang w:val="fr-FR"/>
        </w:rPr>
        <w:t>’</w:t>
      </w:r>
      <w:r w:rsidRPr="008725ED">
        <w:rPr>
          <w:rFonts w:cs="Arial"/>
          <w:lang w:val="fr-FR"/>
        </w:rPr>
        <w:t>Union)</w:t>
      </w:r>
    </w:p>
    <w:p w:rsidR="008C3126" w:rsidRPr="008725ED" w:rsidRDefault="0052307B" w:rsidP="0052307B">
      <w:pPr>
        <w:spacing w:after="60"/>
        <w:ind w:left="567"/>
        <w:rPr>
          <w:rFonts w:cs="Arial"/>
          <w:lang w:val="fr-FR"/>
        </w:rPr>
      </w:pPr>
      <w:r w:rsidRPr="008725ED">
        <w:rPr>
          <w:rFonts w:cs="Arial"/>
          <w:lang w:val="fr-FR"/>
        </w:rPr>
        <w:t>4.</w:t>
      </w:r>
      <w:r w:rsidRPr="008725ED">
        <w:rPr>
          <w:rFonts w:cs="Arial"/>
          <w:lang w:val="fr-FR"/>
        </w:rPr>
        <w:tab/>
        <w:t>Techniques moléculaires (document à établir par le Bureau de l</w:t>
      </w:r>
      <w:r w:rsidR="00EF1779" w:rsidRPr="008725ED">
        <w:rPr>
          <w:rFonts w:cs="Arial"/>
          <w:lang w:val="fr-FR"/>
        </w:rPr>
        <w:t>’</w:t>
      </w:r>
      <w:r w:rsidRPr="008725ED">
        <w:rPr>
          <w:rFonts w:cs="Arial"/>
          <w:lang w:val="fr-FR"/>
        </w:rPr>
        <w:t>Union)</w:t>
      </w:r>
    </w:p>
    <w:p w:rsidR="008C3126" w:rsidRPr="008725ED" w:rsidRDefault="0052307B" w:rsidP="0052307B">
      <w:pPr>
        <w:spacing w:after="60"/>
        <w:ind w:left="567"/>
        <w:rPr>
          <w:rFonts w:cs="Arial"/>
          <w:lang w:val="fr-FR"/>
        </w:rPr>
      </w:pPr>
      <w:r w:rsidRPr="008725ED">
        <w:rPr>
          <w:rFonts w:cs="Arial"/>
          <w:lang w:val="fr-FR"/>
        </w:rPr>
        <w:t>5.</w:t>
      </w:r>
      <w:r w:rsidRPr="008725ED">
        <w:rPr>
          <w:rFonts w:cs="Arial"/>
          <w:lang w:val="fr-FR"/>
        </w:rPr>
        <w:tab/>
        <w:t>Documents TGP (documents à établir par le Bureau de l</w:t>
      </w:r>
      <w:r w:rsidR="00EF1779" w:rsidRPr="008725ED">
        <w:rPr>
          <w:rFonts w:cs="Arial"/>
          <w:lang w:val="fr-FR"/>
        </w:rPr>
        <w:t>’</w:t>
      </w:r>
      <w:r w:rsidRPr="008725ED">
        <w:rPr>
          <w:rFonts w:cs="Arial"/>
          <w:lang w:val="fr-FR"/>
        </w:rPr>
        <w:t>Union)</w:t>
      </w:r>
    </w:p>
    <w:p w:rsidR="008C3126" w:rsidRPr="008725ED" w:rsidRDefault="0052307B" w:rsidP="0052307B">
      <w:pPr>
        <w:spacing w:after="60"/>
        <w:ind w:left="567"/>
        <w:rPr>
          <w:rFonts w:cs="Arial"/>
          <w:lang w:val="fr-FR"/>
        </w:rPr>
      </w:pPr>
      <w:r w:rsidRPr="008725ED">
        <w:rPr>
          <w:rFonts w:cs="Arial"/>
          <w:lang w:val="fr-FR"/>
        </w:rPr>
        <w:t>6.</w:t>
      </w:r>
      <w:r w:rsidRPr="008725ED">
        <w:rPr>
          <w:rFonts w:cs="Arial"/>
          <w:lang w:val="fr-FR"/>
        </w:rPr>
        <w:tab/>
        <w:t>Dénominations variétales (document à établir par le Bureau de l</w:t>
      </w:r>
      <w:r w:rsidR="00EF1779" w:rsidRPr="008725ED">
        <w:rPr>
          <w:rFonts w:cs="Arial"/>
          <w:lang w:val="fr-FR"/>
        </w:rPr>
        <w:t>’</w:t>
      </w:r>
      <w:r w:rsidRPr="008725ED">
        <w:rPr>
          <w:rFonts w:cs="Arial"/>
          <w:lang w:val="fr-FR"/>
        </w:rPr>
        <w:t>Union)</w:t>
      </w:r>
    </w:p>
    <w:p w:rsidR="008C3126" w:rsidRPr="008725ED" w:rsidRDefault="0052307B" w:rsidP="0052307B">
      <w:pPr>
        <w:spacing w:after="60"/>
        <w:ind w:left="567"/>
        <w:rPr>
          <w:rFonts w:cs="Arial"/>
          <w:lang w:val="fr-FR"/>
        </w:rPr>
      </w:pPr>
      <w:r w:rsidRPr="008725ED">
        <w:rPr>
          <w:rFonts w:cs="Arial"/>
          <w:lang w:val="fr-FR"/>
        </w:rPr>
        <w:t>7.</w:t>
      </w:r>
      <w:r w:rsidRPr="008725ED">
        <w:rPr>
          <w:rFonts w:cs="Arial"/>
          <w:lang w:val="fr-FR"/>
        </w:rPr>
        <w:tab/>
        <w:t>Informations et bases de données</w:t>
      </w:r>
    </w:p>
    <w:p w:rsidR="008C3126" w:rsidRPr="008725ED" w:rsidRDefault="0052307B" w:rsidP="0052307B">
      <w:pPr>
        <w:ind w:left="1701" w:hanging="567"/>
        <w:rPr>
          <w:rFonts w:cs="Arial"/>
          <w:lang w:val="fr-FR"/>
        </w:rPr>
      </w:pPr>
      <w:r w:rsidRPr="008725ED">
        <w:rPr>
          <w:rFonts w:cs="Arial"/>
          <w:lang w:val="fr-FR"/>
        </w:rPr>
        <w:t>a)</w:t>
      </w:r>
      <w:r w:rsidRPr="008725ED">
        <w:rPr>
          <w:rFonts w:cs="Arial"/>
          <w:lang w:val="fr-FR"/>
        </w:rPr>
        <w:tab/>
        <w:t>Bases de données d</w:t>
      </w:r>
      <w:r w:rsidR="00EF1779" w:rsidRPr="008725ED">
        <w:rPr>
          <w:rFonts w:cs="Arial"/>
          <w:lang w:val="fr-FR"/>
        </w:rPr>
        <w:t>’</w:t>
      </w:r>
      <w:r w:rsidRPr="008725ED">
        <w:rPr>
          <w:rFonts w:cs="Arial"/>
          <w:lang w:val="fr-FR"/>
        </w:rPr>
        <w:t>information de l</w:t>
      </w:r>
      <w:r w:rsidR="00EF1779" w:rsidRPr="008725ED">
        <w:rPr>
          <w:rFonts w:cs="Arial"/>
          <w:lang w:val="fr-FR"/>
        </w:rPr>
        <w:t>’</w:t>
      </w:r>
      <w:r w:rsidRPr="008725ED">
        <w:rPr>
          <w:rFonts w:cs="Arial"/>
          <w:lang w:val="fr-FR"/>
        </w:rPr>
        <w:t>UPOV (documents à établir par le Bureau de l</w:t>
      </w:r>
      <w:r w:rsidR="00EF1779" w:rsidRPr="008725ED">
        <w:rPr>
          <w:rFonts w:cs="Arial"/>
          <w:lang w:val="fr-FR"/>
        </w:rPr>
        <w:t>’</w:t>
      </w:r>
      <w:r w:rsidRPr="008725ED">
        <w:rPr>
          <w:rFonts w:cs="Arial"/>
          <w:lang w:val="fr-FR"/>
        </w:rPr>
        <w:t>Union)</w:t>
      </w:r>
    </w:p>
    <w:p w:rsidR="008C3126" w:rsidRPr="008725ED" w:rsidRDefault="0052307B" w:rsidP="0052307B">
      <w:pPr>
        <w:ind w:left="1701" w:hanging="567"/>
        <w:jc w:val="left"/>
        <w:rPr>
          <w:rFonts w:cs="Arial"/>
          <w:lang w:val="fr-FR"/>
        </w:rPr>
      </w:pPr>
      <w:r w:rsidRPr="008725ED">
        <w:rPr>
          <w:rFonts w:cs="Arial"/>
          <w:lang w:val="fr-FR"/>
        </w:rPr>
        <w:t>b)</w:t>
      </w:r>
      <w:r w:rsidRPr="008725ED">
        <w:rPr>
          <w:rFonts w:cs="Arial"/>
          <w:lang w:val="fr-FR"/>
        </w:rPr>
        <w:tab/>
        <w:t>Bases de données sur les descriptions variétales (documents à établir par le Bureau de l</w:t>
      </w:r>
      <w:r w:rsidR="00EF1779" w:rsidRPr="008725ED">
        <w:rPr>
          <w:rFonts w:cs="Arial"/>
          <w:lang w:val="fr-FR"/>
        </w:rPr>
        <w:t>’</w:t>
      </w:r>
      <w:r w:rsidRPr="008725ED">
        <w:rPr>
          <w:rFonts w:cs="Arial"/>
          <w:lang w:val="fr-FR"/>
        </w:rPr>
        <w:t>Union)</w:t>
      </w:r>
    </w:p>
    <w:p w:rsidR="008C3126" w:rsidRPr="008725ED" w:rsidRDefault="0052307B" w:rsidP="0052307B">
      <w:pPr>
        <w:ind w:left="1701" w:hanging="567"/>
        <w:rPr>
          <w:rFonts w:cs="Arial"/>
          <w:lang w:val="fr-FR"/>
        </w:rPr>
      </w:pPr>
      <w:r w:rsidRPr="008725ED">
        <w:rPr>
          <w:rFonts w:cs="Arial"/>
          <w:lang w:val="fr-FR"/>
        </w:rPr>
        <w:t>c)</w:t>
      </w:r>
      <w:r w:rsidRPr="008725ED">
        <w:rPr>
          <w:rFonts w:cs="Arial"/>
          <w:lang w:val="fr-FR"/>
        </w:rPr>
        <w:tab/>
        <w:t>Logiciels échangeables (document à établir par le Bureau de l</w:t>
      </w:r>
      <w:r w:rsidR="00EF1779" w:rsidRPr="008725ED">
        <w:rPr>
          <w:rFonts w:cs="Arial"/>
          <w:lang w:val="fr-FR"/>
        </w:rPr>
        <w:t>’</w:t>
      </w:r>
      <w:r w:rsidRPr="008725ED">
        <w:rPr>
          <w:rFonts w:cs="Arial"/>
          <w:lang w:val="fr-FR"/>
        </w:rPr>
        <w:t>Union)</w:t>
      </w:r>
    </w:p>
    <w:p w:rsidR="008C3126" w:rsidRPr="008725ED" w:rsidRDefault="0052307B" w:rsidP="0052307B">
      <w:pPr>
        <w:ind w:left="1701" w:hanging="567"/>
        <w:rPr>
          <w:rFonts w:cs="Arial"/>
          <w:lang w:val="fr-FR"/>
        </w:rPr>
      </w:pPr>
      <w:r w:rsidRPr="008725ED">
        <w:rPr>
          <w:rFonts w:cs="Arial"/>
          <w:lang w:val="fr-FR"/>
        </w:rPr>
        <w:t>d)</w:t>
      </w:r>
      <w:r w:rsidRPr="008725ED">
        <w:rPr>
          <w:rFonts w:cs="Arial"/>
          <w:lang w:val="fr-FR"/>
        </w:rPr>
        <w:tab/>
        <w:t>Systèmes de dépôt électronique des demandes (document à établir par le Bureau de l</w:t>
      </w:r>
      <w:r w:rsidR="00EF1779" w:rsidRPr="008725ED">
        <w:rPr>
          <w:rFonts w:cs="Arial"/>
          <w:lang w:val="fr-FR"/>
        </w:rPr>
        <w:t>’</w:t>
      </w:r>
      <w:r w:rsidRPr="008725ED">
        <w:rPr>
          <w:rFonts w:cs="Arial"/>
          <w:lang w:val="fr-FR"/>
        </w:rPr>
        <w:t>Union)</w:t>
      </w:r>
    </w:p>
    <w:p w:rsidR="008C3126" w:rsidRPr="008725ED" w:rsidRDefault="0052307B" w:rsidP="0052307B">
      <w:pPr>
        <w:spacing w:after="60"/>
        <w:ind w:left="567"/>
        <w:rPr>
          <w:rFonts w:cs="Arial"/>
          <w:lang w:val="fr-FR"/>
        </w:rPr>
      </w:pPr>
      <w:r w:rsidRPr="008725ED">
        <w:rPr>
          <w:rFonts w:cs="Arial"/>
          <w:lang w:val="fr-FR"/>
        </w:rPr>
        <w:t>8.</w:t>
      </w:r>
      <w:r w:rsidRPr="008725ED">
        <w:rPr>
          <w:rFonts w:cs="Arial"/>
          <w:lang w:val="fr-FR"/>
        </w:rPr>
        <w:tab/>
        <w:t>Expérience des nouveaux types et espèces (rapports verbaux sollicités)</w:t>
      </w:r>
    </w:p>
    <w:p w:rsidR="008C3126" w:rsidRPr="008725ED" w:rsidRDefault="0052307B" w:rsidP="0052307B">
      <w:pPr>
        <w:tabs>
          <w:tab w:val="left" w:pos="1134"/>
        </w:tabs>
        <w:spacing w:after="60"/>
        <w:ind w:left="1134" w:hanging="567"/>
        <w:rPr>
          <w:rFonts w:cs="Arial"/>
          <w:lang w:val="fr-FR"/>
        </w:rPr>
      </w:pPr>
      <w:r w:rsidRPr="008725ED">
        <w:rPr>
          <w:rFonts w:cs="Arial"/>
          <w:lang w:val="fr-FR"/>
        </w:rPr>
        <w:t>9.</w:t>
      </w:r>
      <w:r w:rsidRPr="008725ED">
        <w:rPr>
          <w:rFonts w:cs="Arial"/>
          <w:lang w:val="fr-FR"/>
        </w:rPr>
        <w:tab/>
        <w:t>Gestion des collections de variétés (rapports verbaux sollicités)</w:t>
      </w:r>
    </w:p>
    <w:p w:rsidR="008C3126" w:rsidRPr="008725ED" w:rsidRDefault="0052307B" w:rsidP="0052307B">
      <w:pPr>
        <w:tabs>
          <w:tab w:val="left" w:pos="1134"/>
        </w:tabs>
        <w:spacing w:after="60"/>
        <w:ind w:left="1134" w:hanging="567"/>
        <w:rPr>
          <w:rFonts w:cs="Arial"/>
          <w:lang w:val="fr-FR"/>
        </w:rPr>
      </w:pPr>
      <w:r w:rsidRPr="008725ED">
        <w:rPr>
          <w:rFonts w:cs="Arial"/>
          <w:lang w:val="fr-FR"/>
        </w:rPr>
        <w:t>10.</w:t>
      </w:r>
      <w:r w:rsidRPr="008725ED">
        <w:rPr>
          <w:rFonts w:cs="Arial"/>
          <w:lang w:val="fr-FR"/>
        </w:rPr>
        <w:tab/>
        <w:t>Cahier d</w:t>
      </w:r>
      <w:r w:rsidR="00EF1779" w:rsidRPr="008725ED">
        <w:rPr>
          <w:rFonts w:cs="Arial"/>
          <w:lang w:val="fr-FR"/>
        </w:rPr>
        <w:t>’</w:t>
      </w:r>
      <w:r w:rsidRPr="008725ED">
        <w:rPr>
          <w:rFonts w:cs="Arial"/>
          <w:lang w:val="fr-FR"/>
        </w:rPr>
        <w:t>étalonnage aux fins d</w:t>
      </w:r>
      <w:r w:rsidR="00EF1779" w:rsidRPr="008725ED">
        <w:rPr>
          <w:rFonts w:cs="Arial"/>
          <w:lang w:val="fr-FR"/>
        </w:rPr>
        <w:t>’</w:t>
      </w:r>
      <w:r w:rsidRPr="008725ED">
        <w:rPr>
          <w:rFonts w:cs="Arial"/>
          <w:lang w:val="fr-FR"/>
        </w:rPr>
        <w:t>harmonisation de la description variétale du pommier (document à établir par l</w:t>
      </w:r>
      <w:r w:rsidR="00EF1779" w:rsidRPr="008725ED">
        <w:rPr>
          <w:rFonts w:cs="Arial"/>
          <w:lang w:val="fr-FR"/>
        </w:rPr>
        <w:t>’</w:t>
      </w:r>
      <w:r w:rsidRPr="008725ED">
        <w:rPr>
          <w:rFonts w:cs="Arial"/>
          <w:lang w:val="fr-FR"/>
        </w:rPr>
        <w:t>Union européenne)</w:t>
      </w:r>
    </w:p>
    <w:p w:rsidR="008C3126" w:rsidRPr="008725ED" w:rsidRDefault="0052307B" w:rsidP="0052307B">
      <w:pPr>
        <w:tabs>
          <w:tab w:val="left" w:pos="1134"/>
        </w:tabs>
        <w:spacing w:after="60"/>
        <w:ind w:left="1134" w:hanging="567"/>
        <w:rPr>
          <w:rFonts w:cs="Arial"/>
          <w:lang w:val="fr-FR"/>
        </w:rPr>
      </w:pPr>
      <w:r w:rsidRPr="008725ED">
        <w:rPr>
          <w:rFonts w:cs="Arial"/>
          <w:lang w:val="fr-FR"/>
        </w:rPr>
        <w:t>11.</w:t>
      </w:r>
      <w:r w:rsidRPr="008725ED">
        <w:rPr>
          <w:rFonts w:cs="Arial"/>
          <w:lang w:val="fr-FR"/>
        </w:rPr>
        <w:tab/>
        <w:t>Examen DHS des variétés mutantes du pommier (document à établir par l</w:t>
      </w:r>
      <w:r w:rsidR="00EF1779" w:rsidRPr="008725ED">
        <w:rPr>
          <w:rFonts w:cs="Arial"/>
          <w:lang w:val="fr-FR"/>
        </w:rPr>
        <w:t>’</w:t>
      </w:r>
      <w:r w:rsidRPr="008725ED">
        <w:rPr>
          <w:rFonts w:cs="Arial"/>
          <w:lang w:val="fr-FR"/>
        </w:rPr>
        <w:t>Union européenne)</w:t>
      </w:r>
    </w:p>
    <w:p w:rsidR="008C3126" w:rsidRPr="008725ED" w:rsidRDefault="0052307B" w:rsidP="0052307B">
      <w:pPr>
        <w:tabs>
          <w:tab w:val="left" w:pos="1134"/>
        </w:tabs>
        <w:spacing w:after="60"/>
        <w:ind w:left="1134" w:hanging="567"/>
        <w:rPr>
          <w:rFonts w:cs="Arial"/>
          <w:lang w:val="fr-FR"/>
        </w:rPr>
      </w:pPr>
      <w:r w:rsidRPr="008725ED">
        <w:rPr>
          <w:rFonts w:cs="Arial"/>
          <w:lang w:val="fr-FR"/>
        </w:rPr>
        <w:t>12.</w:t>
      </w:r>
      <w:r w:rsidRPr="008725ED">
        <w:rPr>
          <w:rFonts w:cs="Arial"/>
          <w:lang w:val="fr-FR"/>
        </w:rPr>
        <w:tab/>
        <w:t>Impact des révisions des niveaux d</w:t>
      </w:r>
      <w:r w:rsidR="00EF1779" w:rsidRPr="008725ED">
        <w:rPr>
          <w:rFonts w:cs="Arial"/>
          <w:lang w:val="fr-FR"/>
        </w:rPr>
        <w:t>’</w:t>
      </w:r>
      <w:r w:rsidRPr="008725ED">
        <w:rPr>
          <w:rFonts w:cs="Arial"/>
          <w:lang w:val="fr-FR"/>
        </w:rPr>
        <w:t>expression des caractères existants sur la révision des principes directeurs d</w:t>
      </w:r>
      <w:r w:rsidR="00EF1779" w:rsidRPr="008725ED">
        <w:rPr>
          <w:rFonts w:cs="Arial"/>
          <w:lang w:val="fr-FR"/>
        </w:rPr>
        <w:t>’</w:t>
      </w:r>
      <w:r w:rsidRPr="008725ED">
        <w:rPr>
          <w:rFonts w:cs="Arial"/>
          <w:lang w:val="fr-FR"/>
        </w:rPr>
        <w:t>examen (document à préparer par la France et exposés sollicités)</w:t>
      </w:r>
    </w:p>
    <w:p w:rsidR="008C3126" w:rsidRPr="008725ED" w:rsidRDefault="0052307B" w:rsidP="0052307B">
      <w:pPr>
        <w:tabs>
          <w:tab w:val="left" w:pos="1134"/>
        </w:tabs>
        <w:spacing w:after="60"/>
        <w:ind w:left="1134" w:hanging="567"/>
        <w:rPr>
          <w:rFonts w:cs="Arial"/>
          <w:lang w:val="fr-FR"/>
        </w:rPr>
      </w:pPr>
      <w:r w:rsidRPr="008725ED">
        <w:rPr>
          <w:rFonts w:cs="Arial"/>
          <w:lang w:val="fr-FR"/>
        </w:rPr>
        <w:t>13.</w:t>
      </w:r>
      <w:r w:rsidRPr="008725ED">
        <w:rPr>
          <w:rFonts w:cs="Arial"/>
          <w:lang w:val="fr-FR"/>
        </w:rPr>
        <w:tab/>
        <w:t>Écart minimal entre les variétés (document à préparer par l</w:t>
      </w:r>
      <w:r w:rsidR="00EF1779" w:rsidRPr="008725ED">
        <w:rPr>
          <w:rFonts w:cs="Arial"/>
          <w:lang w:val="fr-FR"/>
        </w:rPr>
        <w:t>’</w:t>
      </w:r>
      <w:r w:rsidRPr="008725ED">
        <w:rPr>
          <w:rFonts w:cs="Arial"/>
          <w:lang w:val="fr-FR"/>
        </w:rPr>
        <w:t>Union européenne)</w:t>
      </w:r>
    </w:p>
    <w:p w:rsidR="008C3126" w:rsidRPr="008725ED" w:rsidRDefault="0052307B" w:rsidP="0052307B">
      <w:pPr>
        <w:tabs>
          <w:tab w:val="left" w:pos="1134"/>
        </w:tabs>
        <w:spacing w:after="60"/>
        <w:ind w:left="1134" w:hanging="567"/>
        <w:rPr>
          <w:rFonts w:cs="Arial"/>
          <w:lang w:val="fr-FR"/>
        </w:rPr>
      </w:pPr>
      <w:r w:rsidRPr="008725ED">
        <w:rPr>
          <w:rFonts w:cs="Arial"/>
          <w:lang w:val="fr-FR"/>
        </w:rPr>
        <w:t>14.</w:t>
      </w:r>
      <w:r w:rsidRPr="008725ED">
        <w:rPr>
          <w:rFonts w:cs="Arial"/>
          <w:lang w:val="fr-FR"/>
        </w:rPr>
        <w:tab/>
        <w:t>Orientations pour les rédacteurs de principes directeurs d</w:t>
      </w:r>
      <w:r w:rsidR="00EF1779" w:rsidRPr="008725ED">
        <w:rPr>
          <w:rFonts w:cs="Arial"/>
          <w:lang w:val="fr-FR"/>
        </w:rPr>
        <w:t>’</w:t>
      </w:r>
      <w:r w:rsidRPr="008725ED">
        <w:rPr>
          <w:rFonts w:cs="Arial"/>
          <w:lang w:val="fr-FR"/>
        </w:rPr>
        <w:t>examen</w:t>
      </w:r>
    </w:p>
    <w:p w:rsidR="008C3126" w:rsidRPr="008725ED" w:rsidRDefault="0052307B" w:rsidP="0052307B">
      <w:pPr>
        <w:tabs>
          <w:tab w:val="left" w:pos="1134"/>
        </w:tabs>
        <w:spacing w:after="60"/>
        <w:ind w:left="1134" w:hanging="567"/>
        <w:rPr>
          <w:rFonts w:cs="Arial"/>
          <w:lang w:val="fr-FR"/>
        </w:rPr>
      </w:pPr>
      <w:r w:rsidRPr="008725ED">
        <w:rPr>
          <w:rFonts w:cs="Arial"/>
          <w:lang w:val="fr-FR"/>
        </w:rPr>
        <w:t>15.</w:t>
      </w:r>
      <w:r w:rsidRPr="008725ED">
        <w:rPr>
          <w:rFonts w:cs="Arial"/>
          <w:lang w:val="fr-FR"/>
        </w:rPr>
        <w:tab/>
        <w:t>Questions en suspens concernant les principes directeurs d</w:t>
      </w:r>
      <w:r w:rsidR="00EF1779" w:rsidRPr="008725ED">
        <w:rPr>
          <w:rFonts w:cs="Arial"/>
          <w:lang w:val="fr-FR"/>
        </w:rPr>
        <w:t>’</w:t>
      </w:r>
      <w:r w:rsidRPr="008725ED">
        <w:rPr>
          <w:rFonts w:cs="Arial"/>
          <w:lang w:val="fr-FR"/>
        </w:rPr>
        <w:t>examen adoptés par le Comité technique</w:t>
      </w:r>
    </w:p>
    <w:p w:rsidR="008C3126" w:rsidRPr="008725ED" w:rsidRDefault="0052307B" w:rsidP="0052307B">
      <w:pPr>
        <w:pStyle w:val="Default"/>
        <w:autoSpaceDE/>
        <w:autoSpaceDN/>
        <w:adjustRightInd/>
        <w:spacing w:after="60"/>
        <w:ind w:left="1134" w:hanging="567"/>
        <w:jc w:val="both"/>
        <w:rPr>
          <w:rFonts w:eastAsia="Times New Roman"/>
          <w:color w:val="auto"/>
          <w:sz w:val="20"/>
          <w:szCs w:val="20"/>
          <w:lang w:val="fr-FR"/>
        </w:rPr>
      </w:pPr>
      <w:r w:rsidRPr="008725ED">
        <w:rPr>
          <w:rFonts w:eastAsia="Times New Roman"/>
          <w:color w:val="auto"/>
          <w:sz w:val="20"/>
          <w:szCs w:val="20"/>
          <w:lang w:val="fr-FR"/>
        </w:rPr>
        <w:t>16.</w:t>
      </w:r>
      <w:r w:rsidRPr="008725ED">
        <w:rPr>
          <w:rFonts w:eastAsia="Times New Roman"/>
          <w:color w:val="auto"/>
          <w:sz w:val="20"/>
          <w:szCs w:val="20"/>
          <w:lang w:val="fr-FR"/>
        </w:rPr>
        <w:tab/>
        <w:t>Propositions relatives à des révisions partielles ou des corrections des principes directeurs d</w:t>
      </w:r>
      <w:r w:rsidR="00EF1779" w:rsidRPr="008725ED">
        <w:rPr>
          <w:rFonts w:eastAsia="Times New Roman"/>
          <w:color w:val="auto"/>
          <w:sz w:val="20"/>
          <w:szCs w:val="20"/>
          <w:lang w:val="fr-FR"/>
        </w:rPr>
        <w:t>’</w:t>
      </w:r>
      <w:r w:rsidRPr="008725ED">
        <w:rPr>
          <w:rFonts w:eastAsia="Times New Roman"/>
          <w:color w:val="auto"/>
          <w:sz w:val="20"/>
          <w:szCs w:val="20"/>
          <w:lang w:val="fr-FR"/>
        </w:rPr>
        <w:t>examen</w:t>
      </w:r>
    </w:p>
    <w:p w:rsidR="008C3126" w:rsidRPr="008725ED" w:rsidRDefault="0052307B" w:rsidP="0052307B">
      <w:pPr>
        <w:spacing w:after="60"/>
        <w:ind w:left="567"/>
        <w:rPr>
          <w:rFonts w:cs="Arial"/>
          <w:lang w:val="fr-FR"/>
        </w:rPr>
      </w:pPr>
      <w:r w:rsidRPr="008725ED">
        <w:rPr>
          <w:rFonts w:cs="Arial"/>
          <w:lang w:val="fr-FR"/>
        </w:rPr>
        <w:t>17.</w:t>
      </w:r>
      <w:r w:rsidRPr="008725ED">
        <w:rPr>
          <w:rFonts w:cs="Arial"/>
          <w:lang w:val="fr-FR"/>
        </w:rPr>
        <w:tab/>
        <w:t>Examen des projets de principes directeurs d</w:t>
      </w:r>
      <w:r w:rsidR="00EF1779" w:rsidRPr="008725ED">
        <w:rPr>
          <w:rFonts w:cs="Arial"/>
          <w:lang w:val="fr-FR"/>
        </w:rPr>
        <w:t>’</w:t>
      </w:r>
      <w:r w:rsidRPr="008725ED">
        <w:rPr>
          <w:rFonts w:cs="Arial"/>
          <w:lang w:val="fr-FR"/>
        </w:rPr>
        <w:t>examen (sous</w:t>
      </w:r>
      <w:r w:rsidR="00EF1779" w:rsidRPr="008725ED">
        <w:rPr>
          <w:rFonts w:cs="Arial"/>
          <w:lang w:val="fr-FR"/>
        </w:rPr>
        <w:t>-</w:t>
      </w:r>
      <w:r w:rsidRPr="008725ED">
        <w:rPr>
          <w:rFonts w:cs="Arial"/>
          <w:lang w:val="fr-FR"/>
        </w:rPr>
        <w:t>groupes)</w:t>
      </w:r>
    </w:p>
    <w:p w:rsidR="008C3126" w:rsidRPr="008725ED" w:rsidRDefault="0052307B" w:rsidP="0052307B">
      <w:pPr>
        <w:tabs>
          <w:tab w:val="left" w:pos="1134"/>
        </w:tabs>
        <w:spacing w:after="60"/>
        <w:ind w:left="1134" w:hanging="567"/>
        <w:rPr>
          <w:rFonts w:cs="Arial"/>
          <w:lang w:val="fr-FR"/>
        </w:rPr>
      </w:pPr>
      <w:r w:rsidRPr="008725ED">
        <w:rPr>
          <w:rFonts w:cs="Arial"/>
          <w:lang w:val="fr-FR"/>
        </w:rPr>
        <w:t>18.</w:t>
      </w:r>
      <w:r w:rsidRPr="008725ED">
        <w:rPr>
          <w:rFonts w:cs="Arial"/>
          <w:lang w:val="fr-FR"/>
        </w:rPr>
        <w:tab/>
        <w:t>Recommandations concernant les projets de principes directeurs d</w:t>
      </w:r>
      <w:r w:rsidR="00EF1779" w:rsidRPr="008725ED">
        <w:rPr>
          <w:rFonts w:cs="Arial"/>
          <w:lang w:val="fr-FR"/>
        </w:rPr>
        <w:t>’</w:t>
      </w:r>
      <w:r w:rsidRPr="008725ED">
        <w:rPr>
          <w:rFonts w:cs="Arial"/>
          <w:lang w:val="fr-FR"/>
        </w:rPr>
        <w:t>examen</w:t>
      </w:r>
    </w:p>
    <w:p w:rsidR="008C3126" w:rsidRPr="008725ED" w:rsidRDefault="0052307B" w:rsidP="0052307B">
      <w:pPr>
        <w:spacing w:after="60"/>
        <w:ind w:left="567"/>
        <w:rPr>
          <w:rFonts w:cs="Arial"/>
          <w:lang w:val="fr-FR"/>
        </w:rPr>
      </w:pPr>
      <w:r w:rsidRPr="008725ED">
        <w:rPr>
          <w:rFonts w:cs="Arial"/>
          <w:lang w:val="fr-FR"/>
        </w:rPr>
        <w:t>19.</w:t>
      </w:r>
      <w:r w:rsidRPr="008725ED">
        <w:rPr>
          <w:rFonts w:cs="Arial"/>
          <w:lang w:val="fr-FR"/>
        </w:rPr>
        <w:tab/>
        <w:t>Date et lieu de la prochaine session</w:t>
      </w:r>
    </w:p>
    <w:p w:rsidR="008C3126" w:rsidRPr="008725ED" w:rsidRDefault="0052307B" w:rsidP="0052307B">
      <w:pPr>
        <w:spacing w:after="60"/>
        <w:ind w:left="567"/>
        <w:rPr>
          <w:rFonts w:cs="Arial"/>
          <w:lang w:val="fr-FR"/>
        </w:rPr>
      </w:pPr>
      <w:r w:rsidRPr="008725ED">
        <w:rPr>
          <w:rFonts w:cs="Arial"/>
          <w:lang w:val="fr-FR"/>
        </w:rPr>
        <w:t>20.</w:t>
      </w:r>
      <w:r w:rsidRPr="008725ED">
        <w:rPr>
          <w:rFonts w:cs="Arial"/>
          <w:lang w:val="fr-FR"/>
        </w:rPr>
        <w:tab/>
        <w:t>Programme futur</w:t>
      </w:r>
    </w:p>
    <w:p w:rsidR="008C3126" w:rsidRPr="008725ED" w:rsidRDefault="0052307B" w:rsidP="0052307B">
      <w:pPr>
        <w:spacing w:after="60"/>
        <w:ind w:left="567"/>
        <w:rPr>
          <w:rFonts w:cs="Arial"/>
          <w:lang w:val="fr-FR"/>
        </w:rPr>
      </w:pPr>
      <w:r w:rsidRPr="008725ED">
        <w:rPr>
          <w:rFonts w:cs="Arial"/>
          <w:lang w:val="fr-FR"/>
        </w:rPr>
        <w:t>21.</w:t>
      </w:r>
      <w:r w:rsidRPr="008725ED">
        <w:rPr>
          <w:rFonts w:cs="Arial"/>
          <w:lang w:val="fr-FR"/>
        </w:rPr>
        <w:tab/>
        <w:t>Adoption du compte rendu de la session (selon le temps disponible)</w:t>
      </w:r>
    </w:p>
    <w:p w:rsidR="008C3126" w:rsidRPr="008725ED" w:rsidRDefault="0052307B" w:rsidP="0052307B">
      <w:pPr>
        <w:tabs>
          <w:tab w:val="left" w:pos="1134"/>
        </w:tabs>
        <w:ind w:left="1134" w:hanging="567"/>
        <w:rPr>
          <w:rFonts w:cs="Arial"/>
          <w:lang w:val="fr-FR"/>
        </w:rPr>
      </w:pPr>
      <w:r w:rsidRPr="008725ED">
        <w:rPr>
          <w:rFonts w:cs="Arial"/>
          <w:lang w:val="fr-FR"/>
        </w:rPr>
        <w:t>22.</w:t>
      </w:r>
      <w:r w:rsidRPr="008725ED">
        <w:rPr>
          <w:rFonts w:cs="Arial"/>
          <w:lang w:val="fr-FR"/>
        </w:rPr>
        <w:tab/>
        <w:t>Clôture de la session</w:t>
      </w:r>
    </w:p>
    <w:p w:rsidR="008C3126" w:rsidRPr="008725ED" w:rsidRDefault="008C3126" w:rsidP="0052307B">
      <w:pPr>
        <w:rPr>
          <w:lang w:val="fr-FR"/>
        </w:rPr>
      </w:pPr>
    </w:p>
    <w:p w:rsidR="008C3126" w:rsidRPr="008725ED" w:rsidRDefault="0052307B" w:rsidP="0052307B">
      <w:pPr>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L</w:t>
      </w:r>
      <w:r w:rsidR="00EF1779" w:rsidRPr="008725ED">
        <w:rPr>
          <w:rFonts w:cs="Arial"/>
          <w:lang w:val="fr-FR"/>
        </w:rPr>
        <w:t>’</w:t>
      </w:r>
      <w:r w:rsidRPr="008725ED">
        <w:rPr>
          <w:rFonts w:cs="Arial"/>
          <w:lang w:val="fr-FR"/>
        </w:rPr>
        <w:t>après</w:t>
      </w:r>
      <w:r w:rsidR="00EF1779" w:rsidRPr="008725ED">
        <w:rPr>
          <w:rFonts w:cs="Arial"/>
          <w:lang w:val="fr-FR"/>
        </w:rPr>
        <w:t>-</w:t>
      </w:r>
      <w:r w:rsidRPr="008725ED">
        <w:rPr>
          <w:rFonts w:cs="Arial"/>
          <w:lang w:val="fr-FR"/>
        </w:rPr>
        <w:t>midi du 16 novembre 2016, le TWF a visité le Groupe d</w:t>
      </w:r>
      <w:r w:rsidR="00EF1779" w:rsidRPr="008725ED">
        <w:rPr>
          <w:rFonts w:cs="Arial"/>
          <w:lang w:val="fr-FR"/>
        </w:rPr>
        <w:t>’</w:t>
      </w:r>
      <w:r w:rsidRPr="008725ED">
        <w:rPr>
          <w:rFonts w:cs="Arial"/>
          <w:lang w:val="fr-FR"/>
        </w:rPr>
        <w:t>étude et de contrôle des variétés et des semences (GEVES) à Beaucouzé, près d</w:t>
      </w:r>
      <w:r w:rsidR="00EF1779" w:rsidRPr="008725ED">
        <w:rPr>
          <w:rFonts w:cs="Arial"/>
          <w:lang w:val="fr-FR"/>
        </w:rPr>
        <w:t>’</w:t>
      </w:r>
      <w:r w:rsidRPr="008725ED">
        <w:rPr>
          <w:rFonts w:cs="Arial"/>
          <w:lang w:val="fr-FR"/>
        </w:rPr>
        <w:t>Angers, où il a été accueilli par Mme Carole Dirwimmer, secrétaire technique de la section Arbres fruitiers au GEVES, et a suivi un exposé présenté par Mme Dirwimmer sur les activités de GEVES en ce qui concerne l</w:t>
      </w:r>
      <w:r w:rsidR="00EF1779" w:rsidRPr="008725ED">
        <w:rPr>
          <w:rFonts w:cs="Arial"/>
          <w:lang w:val="fr-FR"/>
        </w:rPr>
        <w:t>’</w:t>
      </w:r>
      <w:r w:rsidRPr="008725ED">
        <w:rPr>
          <w:rFonts w:cs="Arial"/>
          <w:lang w:val="fr-FR"/>
        </w:rPr>
        <w:t>examen DHS sur les arbres fruitiers en France d</w:t>
      </w:r>
      <w:r w:rsidR="00EF1779" w:rsidRPr="008725ED">
        <w:rPr>
          <w:rFonts w:cs="Arial"/>
          <w:lang w:val="fr-FR"/>
        </w:rPr>
        <w:t>’</w:t>
      </w:r>
      <w:r w:rsidRPr="008725ED">
        <w:rPr>
          <w:rFonts w:cs="Arial"/>
          <w:lang w:val="fr-FR"/>
        </w:rPr>
        <w:t>une manière générale et sur le pommier d</w:t>
      </w:r>
      <w:r w:rsidR="00EF1779" w:rsidRPr="008725ED">
        <w:rPr>
          <w:rFonts w:cs="Arial"/>
          <w:lang w:val="fr-FR"/>
        </w:rPr>
        <w:t>’</w:t>
      </w:r>
      <w:r w:rsidRPr="008725ED">
        <w:rPr>
          <w:rFonts w:cs="Arial"/>
          <w:lang w:val="fr-FR"/>
        </w:rPr>
        <w:t>une manière plus spécifiq</w:t>
      </w:r>
      <w:r w:rsidR="00D43219" w:rsidRPr="008725ED">
        <w:rPr>
          <w:rFonts w:cs="Arial"/>
          <w:lang w:val="fr-FR"/>
        </w:rPr>
        <w:t>ue.  Le</w:t>
      </w:r>
      <w:r w:rsidRPr="008725ED">
        <w:rPr>
          <w:rFonts w:cs="Arial"/>
          <w:lang w:val="fr-FR"/>
        </w:rPr>
        <w:t> TWF a ensuite visité l</w:t>
      </w:r>
      <w:r w:rsidR="00EF1779" w:rsidRPr="008725ED">
        <w:rPr>
          <w:rFonts w:cs="Arial"/>
          <w:lang w:val="fr-FR"/>
        </w:rPr>
        <w:t>’</w:t>
      </w:r>
      <w:r w:rsidRPr="008725ED">
        <w:rPr>
          <w:rFonts w:cs="Arial"/>
          <w:lang w:val="fr-FR"/>
        </w:rPr>
        <w:t>Institut national de la recherche agronomique (INRA) à Beaucouzé où, à la suite des discussions sur les variétés mutantes du pommier qui se sont déroulées mercredi matin, le TWF a vu plusieurs variétés mutantes des pommiers Gala et Fuji afin de constater les difficultés rencontrées lors des essais DHS des variétés mutantes de pommie</w:t>
      </w:r>
      <w:r w:rsidR="00D43219" w:rsidRPr="008725ED">
        <w:rPr>
          <w:rFonts w:cs="Arial"/>
          <w:lang w:val="fr-FR"/>
        </w:rPr>
        <w:t>rs.  Pe</w:t>
      </w:r>
      <w:r w:rsidRPr="008725ED">
        <w:rPr>
          <w:rFonts w:cs="Arial"/>
          <w:lang w:val="fr-FR"/>
        </w:rPr>
        <w:t>ndant cette partie de la visite, le TWF était accompagné de M. Rémi Guisnel et de Laurence Feugey, examinateurs français du pommier à l</w:t>
      </w:r>
      <w:r w:rsidR="00EF1779" w:rsidRPr="008725ED">
        <w:rPr>
          <w:rFonts w:cs="Arial"/>
          <w:lang w:val="fr-FR"/>
        </w:rPr>
        <w:t>’</w:t>
      </w:r>
      <w:r w:rsidRPr="008725ED">
        <w:rPr>
          <w:rFonts w:cs="Arial"/>
          <w:lang w:val="fr-FR"/>
        </w:rPr>
        <w:t>Institut de recherche en horticulture et semence (IRHS) de l</w:t>
      </w:r>
      <w:r w:rsidR="00EF1779" w:rsidRPr="008725ED">
        <w:rPr>
          <w:rFonts w:cs="Arial"/>
          <w:lang w:val="fr-FR"/>
        </w:rPr>
        <w:t>’</w:t>
      </w:r>
      <w:r w:rsidRPr="008725ED">
        <w:rPr>
          <w:rFonts w:cs="Arial"/>
          <w:lang w:val="fr-FR"/>
        </w:rPr>
        <w:t>I</w:t>
      </w:r>
      <w:r w:rsidR="00D43219" w:rsidRPr="008725ED">
        <w:rPr>
          <w:rFonts w:cs="Arial"/>
          <w:lang w:val="fr-FR"/>
        </w:rPr>
        <w:t xml:space="preserve">NRA.  </w:t>
      </w:r>
      <w:r w:rsidR="00D43219" w:rsidRPr="008725ED">
        <w:rPr>
          <w:lang w:val="fr-FR"/>
        </w:rPr>
        <w:t>Le</w:t>
      </w:r>
      <w:r w:rsidRPr="008725ED">
        <w:rPr>
          <w:rFonts w:cs="Arial"/>
          <w:lang w:val="fr-FR"/>
        </w:rPr>
        <w:t> TWF a également suivi des exposés présentés par M. François Laurens, directeur adjoint de l</w:t>
      </w:r>
      <w:r w:rsidR="00EF1779" w:rsidRPr="008725ED">
        <w:rPr>
          <w:rFonts w:cs="Arial"/>
          <w:lang w:val="fr-FR"/>
        </w:rPr>
        <w:t>’</w:t>
      </w:r>
      <w:r w:rsidRPr="008725ED">
        <w:rPr>
          <w:rFonts w:cs="Arial"/>
          <w:lang w:val="fr-FR"/>
        </w:rPr>
        <w:t>IRHS sur les activités de l</w:t>
      </w:r>
      <w:r w:rsidR="00EF1779" w:rsidRPr="008725ED">
        <w:rPr>
          <w:rFonts w:cs="Arial"/>
          <w:lang w:val="fr-FR"/>
        </w:rPr>
        <w:t>’</w:t>
      </w:r>
      <w:r w:rsidRPr="008725ED">
        <w:rPr>
          <w:rFonts w:cs="Arial"/>
          <w:lang w:val="fr-FR"/>
        </w:rPr>
        <w:t>INRA et de l</w:t>
      </w:r>
      <w:r w:rsidR="00EF1779" w:rsidRPr="008725ED">
        <w:rPr>
          <w:rFonts w:cs="Arial"/>
          <w:lang w:val="fr-FR"/>
        </w:rPr>
        <w:t>’</w:t>
      </w:r>
      <w:r w:rsidRPr="008725ED">
        <w:rPr>
          <w:rFonts w:cs="Arial"/>
          <w:lang w:val="fr-FR"/>
        </w:rPr>
        <w:t>IRHS et par Mme Dominique Thévenon, membre du</w:t>
      </w:r>
      <w:r w:rsidRPr="008725ED">
        <w:rPr>
          <w:lang w:val="fr-FR"/>
        </w:rPr>
        <w:t xml:space="preserve"> </w:t>
      </w:r>
      <w:r w:rsidRPr="008725ED">
        <w:rPr>
          <w:rFonts w:cs="Arial"/>
          <w:lang w:val="fr-FR"/>
        </w:rPr>
        <w:t>Conseil de la CIOPORA, sur les écarts minimaux.</w:t>
      </w:r>
    </w:p>
    <w:p w:rsidR="008C3126" w:rsidRPr="008725ED" w:rsidRDefault="008C3126" w:rsidP="005E033E">
      <w:pPr>
        <w:spacing w:line="360" w:lineRule="auto"/>
        <w:rPr>
          <w:rFonts w:cs="Arial"/>
          <w:lang w:val="fr-FR"/>
        </w:rPr>
      </w:pPr>
    </w:p>
    <w:p w:rsidR="008C3126" w:rsidRPr="008725ED" w:rsidRDefault="0052307B" w:rsidP="0052307B">
      <w:pPr>
        <w:pStyle w:val="Heading3"/>
      </w:pPr>
      <w:bookmarkStart w:id="49" w:name="_Toc494207986"/>
      <w:r w:rsidRPr="008725ED">
        <w:t>Groupe de travail technique sur les plantes ornementales et les arbres forestiers</w:t>
      </w:r>
      <w:bookmarkEnd w:id="49"/>
    </w:p>
    <w:p w:rsidR="008C3126" w:rsidRPr="008725ED" w:rsidRDefault="008C3126" w:rsidP="0052307B">
      <w:pPr>
        <w:contextualSpacing/>
        <w:rPr>
          <w:rFonts w:cs="Arial"/>
          <w:lang w:val="fr-FR"/>
        </w:rPr>
      </w:pPr>
    </w:p>
    <w:p w:rsidR="008C3126" w:rsidRPr="008725ED" w:rsidRDefault="0052307B" w:rsidP="0052307B">
      <w:pPr>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Le TWO a tenu sa quarante</w:t>
      </w:r>
      <w:r w:rsidR="00EF1779" w:rsidRPr="008725ED">
        <w:rPr>
          <w:rFonts w:cs="Arial"/>
          <w:lang w:val="fr-FR"/>
        </w:rPr>
        <w:t>-</w:t>
      </w:r>
      <w:r w:rsidRPr="008725ED">
        <w:rPr>
          <w:rFonts w:cs="Arial"/>
          <w:lang w:val="fr-FR"/>
        </w:rPr>
        <w:t>neuv</w:t>
      </w:r>
      <w:r w:rsidR="00EF1779" w:rsidRPr="008725ED">
        <w:rPr>
          <w:rFonts w:cs="Arial"/>
          <w:lang w:val="fr-FR"/>
        </w:rPr>
        <w:t>ième session</w:t>
      </w:r>
      <w:r w:rsidRPr="008725ED">
        <w:rPr>
          <w:rFonts w:cs="Arial"/>
          <w:lang w:val="fr-FR"/>
        </w:rPr>
        <w:t xml:space="preserve"> à Gimcheon City (République de Corée) du 13 au 17 juin 2016</w:t>
      </w:r>
      <w:r w:rsidR="009952E4" w:rsidRPr="008725ED">
        <w:rPr>
          <w:rFonts w:cs="Arial"/>
          <w:lang w:val="fr-FR"/>
        </w:rPr>
        <w:t xml:space="preserve">, sous la présidence de </w:t>
      </w:r>
      <w:r w:rsidRPr="008725ED">
        <w:rPr>
          <w:lang w:val="fr-FR"/>
        </w:rPr>
        <w:t>M. </w:t>
      </w:r>
      <w:r w:rsidR="009952E4" w:rsidRPr="008725ED">
        <w:rPr>
          <w:rFonts w:cs="Arial"/>
          <w:lang w:val="fr-FR"/>
        </w:rPr>
        <w:t>Kenji Numaguchi (Jap</w:t>
      </w:r>
      <w:r w:rsidR="00D43219" w:rsidRPr="008725ED">
        <w:rPr>
          <w:rFonts w:cs="Arial"/>
          <w:lang w:val="fr-FR"/>
        </w:rPr>
        <w:t>on).  Le</w:t>
      </w:r>
      <w:r w:rsidRPr="008725ED">
        <w:rPr>
          <w:rFonts w:cs="Arial"/>
          <w:lang w:val="fr-FR"/>
        </w:rPr>
        <w:t xml:space="preserve"> compte rendu de la session fait l</w:t>
      </w:r>
      <w:r w:rsidR="00EF1779" w:rsidRPr="008725ED">
        <w:rPr>
          <w:rFonts w:cs="Arial"/>
          <w:lang w:val="fr-FR"/>
        </w:rPr>
        <w:t>’</w:t>
      </w:r>
      <w:r w:rsidRPr="008725ED">
        <w:rPr>
          <w:rFonts w:cs="Arial"/>
          <w:lang w:val="fr-FR"/>
        </w:rPr>
        <w:t>objet du document TWO/49/25</w:t>
      </w:r>
      <w:r w:rsidR="00B0700F" w:rsidRPr="008725ED">
        <w:rPr>
          <w:rFonts w:cs="Arial"/>
          <w:lang w:val="fr-FR"/>
        </w:rPr>
        <w:t> </w:t>
      </w:r>
      <w:r w:rsidR="009952E4" w:rsidRPr="008725ED">
        <w:rPr>
          <w:rFonts w:cs="Arial"/>
          <w:lang w:val="fr-FR"/>
        </w:rPr>
        <w:t xml:space="preserve">Rev. </w:t>
      </w:r>
      <w:r w:rsidR="00B0700F" w:rsidRPr="008725ED">
        <w:rPr>
          <w:rFonts w:cs="Arial"/>
          <w:lang w:val="fr-FR"/>
        </w:rPr>
        <w:t>“</w:t>
      </w:r>
      <w:r w:rsidR="009952E4" w:rsidRPr="008725ED">
        <w:rPr>
          <w:rFonts w:cs="Arial"/>
          <w:lang w:val="fr-FR"/>
        </w:rPr>
        <w:t>Revised Report</w:t>
      </w:r>
      <w:r w:rsidR="00B0700F" w:rsidRPr="008725ED">
        <w:rPr>
          <w:rFonts w:cs="Arial"/>
          <w:lang w:val="fr-FR"/>
        </w:rPr>
        <w:t>”</w:t>
      </w:r>
      <w:r w:rsidRPr="008725ED">
        <w:rPr>
          <w:rFonts w:cs="Arial"/>
          <w:lang w:val="fr-FR"/>
        </w:rPr>
        <w:t>.</w:t>
      </w:r>
    </w:p>
    <w:p w:rsidR="008C3126" w:rsidRPr="008725ED" w:rsidRDefault="008C3126" w:rsidP="0052307B">
      <w:pPr>
        <w:rPr>
          <w:rFonts w:cs="Arial"/>
          <w:lang w:val="fr-FR"/>
        </w:rPr>
      </w:pPr>
    </w:p>
    <w:p w:rsidR="008C3126" w:rsidRPr="008725ED" w:rsidRDefault="0052307B" w:rsidP="0052307B">
      <w:pPr>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La session a réuni 53 participants représentant 14 membres de l</w:t>
      </w:r>
      <w:r w:rsidR="00EF1779" w:rsidRPr="008725ED">
        <w:rPr>
          <w:rFonts w:cs="Arial"/>
          <w:lang w:val="fr-FR"/>
        </w:rPr>
        <w:t>’</w:t>
      </w:r>
      <w:r w:rsidRPr="008725ED">
        <w:rPr>
          <w:rFonts w:cs="Arial"/>
          <w:lang w:val="fr-FR"/>
        </w:rPr>
        <w:t xml:space="preserve">Union et </w:t>
      </w:r>
      <w:r w:rsidR="009952E4" w:rsidRPr="008725ED">
        <w:rPr>
          <w:rFonts w:cs="Arial"/>
          <w:lang w:val="fr-FR"/>
        </w:rPr>
        <w:t>une</w:t>
      </w:r>
      <w:r w:rsidRPr="008725ED">
        <w:rPr>
          <w:rFonts w:cs="Arial"/>
          <w:lang w:val="fr-FR"/>
        </w:rPr>
        <w:t> organisation ayant le statut d</w:t>
      </w:r>
      <w:r w:rsidR="00EF1779" w:rsidRPr="008725ED">
        <w:rPr>
          <w:rFonts w:cs="Arial"/>
          <w:lang w:val="fr-FR"/>
        </w:rPr>
        <w:t>’</w:t>
      </w:r>
      <w:r w:rsidRPr="008725ED">
        <w:rPr>
          <w:rFonts w:cs="Arial"/>
          <w:lang w:val="fr-FR"/>
        </w:rPr>
        <w:t>observate</w:t>
      </w:r>
      <w:r w:rsidR="00D43219" w:rsidRPr="008725ED">
        <w:rPr>
          <w:rFonts w:cs="Arial"/>
          <w:lang w:val="fr-FR"/>
        </w:rPr>
        <w:t>ur.  L’a</w:t>
      </w:r>
      <w:r w:rsidRPr="008725ED">
        <w:rPr>
          <w:rFonts w:cs="Arial"/>
          <w:lang w:val="fr-FR"/>
        </w:rPr>
        <w:t>telier préparatoire, tenu l</w:t>
      </w:r>
      <w:r w:rsidR="00EF1779" w:rsidRPr="008725ED">
        <w:rPr>
          <w:rFonts w:cs="Arial"/>
          <w:lang w:val="fr-FR"/>
        </w:rPr>
        <w:t>’</w:t>
      </w:r>
      <w:r w:rsidRPr="008725ED">
        <w:rPr>
          <w:rFonts w:cs="Arial"/>
          <w:lang w:val="fr-FR"/>
        </w:rPr>
        <w:t>après</w:t>
      </w:r>
      <w:r w:rsidR="00EF1779" w:rsidRPr="008725ED">
        <w:rPr>
          <w:rFonts w:cs="Arial"/>
          <w:lang w:val="fr-FR"/>
        </w:rPr>
        <w:t>-</w:t>
      </w:r>
      <w:r w:rsidRPr="008725ED">
        <w:rPr>
          <w:rFonts w:cs="Arial"/>
          <w:lang w:val="fr-FR"/>
        </w:rPr>
        <w:t>midi du 12 </w:t>
      </w:r>
      <w:r w:rsidR="00EF1779" w:rsidRPr="008725ED">
        <w:rPr>
          <w:rFonts w:cs="Arial"/>
          <w:lang w:val="fr-FR"/>
        </w:rPr>
        <w:t>juin 20</w:t>
      </w:r>
      <w:r w:rsidR="009952E4" w:rsidRPr="008725ED">
        <w:rPr>
          <w:rFonts w:cs="Arial"/>
          <w:lang w:val="fr-FR"/>
        </w:rPr>
        <w:t>16</w:t>
      </w:r>
      <w:r w:rsidRPr="008725ED">
        <w:rPr>
          <w:rFonts w:cs="Arial"/>
          <w:lang w:val="fr-FR"/>
        </w:rPr>
        <w:t>, a réuni 2</w:t>
      </w:r>
      <w:r w:rsidR="00F11FF7">
        <w:rPr>
          <w:rFonts w:cs="Arial"/>
          <w:lang w:val="fr-FR"/>
        </w:rPr>
        <w:t>9</w:t>
      </w:r>
      <w:r w:rsidRPr="008725ED">
        <w:rPr>
          <w:rFonts w:cs="Arial"/>
          <w:lang w:val="fr-FR"/>
        </w:rPr>
        <w:t> participants</w:t>
      </w:r>
      <w:r w:rsidR="009952E4" w:rsidRPr="008725ED">
        <w:rPr>
          <w:rFonts w:cs="Arial"/>
          <w:lang w:val="fr-FR"/>
        </w:rPr>
        <w:t xml:space="preserve"> représentant 11</w:t>
      </w:r>
      <w:r w:rsidR="0064330D" w:rsidRPr="008725ED">
        <w:rPr>
          <w:rFonts w:cs="Arial"/>
          <w:lang w:val="fr-FR"/>
        </w:rPr>
        <w:t> </w:t>
      </w:r>
      <w:r w:rsidR="009952E4" w:rsidRPr="008725ED">
        <w:rPr>
          <w:rFonts w:cs="Arial"/>
          <w:lang w:val="fr-FR"/>
        </w:rPr>
        <w:t>membres de l</w:t>
      </w:r>
      <w:r w:rsidR="00EF1779" w:rsidRPr="008725ED">
        <w:rPr>
          <w:rFonts w:cs="Arial"/>
          <w:lang w:val="fr-FR"/>
        </w:rPr>
        <w:t>’</w:t>
      </w:r>
      <w:r w:rsidR="009952E4" w:rsidRPr="008725ED">
        <w:rPr>
          <w:rFonts w:cs="Arial"/>
          <w:lang w:val="fr-FR"/>
        </w:rPr>
        <w:t>Union et une organisation ayant le statut d</w:t>
      </w:r>
      <w:r w:rsidR="00EF1779" w:rsidRPr="008725ED">
        <w:rPr>
          <w:rFonts w:cs="Arial"/>
          <w:lang w:val="fr-FR"/>
        </w:rPr>
        <w:t>’</w:t>
      </w:r>
      <w:r w:rsidR="009952E4" w:rsidRPr="008725ED">
        <w:rPr>
          <w:rFonts w:cs="Arial"/>
          <w:lang w:val="fr-FR"/>
        </w:rPr>
        <w:t>observateur</w:t>
      </w:r>
      <w:r w:rsidRPr="008725ED">
        <w:rPr>
          <w:rFonts w:cs="Arial"/>
          <w:lang w:val="fr-FR"/>
        </w:rPr>
        <w:t>.</w:t>
      </w:r>
    </w:p>
    <w:p w:rsidR="008C3126" w:rsidRPr="008725ED" w:rsidRDefault="008C3126" w:rsidP="0052307B">
      <w:pPr>
        <w:rPr>
          <w:rFonts w:cs="Arial"/>
          <w:lang w:val="fr-FR"/>
        </w:rPr>
      </w:pPr>
    </w:p>
    <w:p w:rsidR="008C3126" w:rsidRPr="008725ED" w:rsidRDefault="0052307B" w:rsidP="0052307B">
      <w:pPr>
        <w:tabs>
          <w:tab w:val="left" w:pos="630"/>
        </w:tabs>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M. Byeong Seok Oh, directeur général du Service coréen des semences et des variétés (KSVS), a souhaité la bienvenue au TWO et a également introduit la célébration, en 2017, du vingtième anniversaire du système de protection des variétés végétales en République de Cor</w:t>
      </w:r>
      <w:r w:rsidR="00D43219" w:rsidRPr="008725ED">
        <w:rPr>
          <w:rFonts w:cs="Arial"/>
          <w:lang w:val="fr-FR"/>
        </w:rPr>
        <w:t>ée.  Le</w:t>
      </w:r>
      <w:r w:rsidRPr="008725ED">
        <w:rPr>
          <w:rFonts w:cs="Arial"/>
          <w:lang w:val="fr-FR"/>
        </w:rPr>
        <w:t> TWO a suivi un exposé sur la</w:t>
      </w:r>
      <w:r w:rsidRPr="008725ED">
        <w:rPr>
          <w:lang w:val="fr-FR"/>
        </w:rPr>
        <w:t xml:space="preserve"> </w:t>
      </w:r>
      <w:r w:rsidRPr="008725ED">
        <w:rPr>
          <w:rFonts w:cs="Arial"/>
          <w:lang w:val="fr-FR"/>
        </w:rPr>
        <w:t>protection des variétés végétales en République de Corée présenté par M. </w:t>
      </w:r>
      <w:r w:rsidRPr="008725ED">
        <w:rPr>
          <w:rFonts w:cs="Arial"/>
          <w:lang w:val="fr-FR" w:eastAsia="ko-KR"/>
        </w:rPr>
        <w:t xml:space="preserve">Mookyung Yoon, directeur de division au KSVS, </w:t>
      </w:r>
      <w:r w:rsidRPr="008725ED">
        <w:rPr>
          <w:rFonts w:cs="Arial"/>
          <w:lang w:val="fr-FR"/>
        </w:rPr>
        <w:t>qui a présenté les évolutions récentes concernant l</w:t>
      </w:r>
      <w:r w:rsidR="00EF1779" w:rsidRPr="008725ED">
        <w:rPr>
          <w:rFonts w:cs="Arial"/>
          <w:lang w:val="fr-FR"/>
        </w:rPr>
        <w:t>’</w:t>
      </w:r>
      <w:r w:rsidRPr="008725ED">
        <w:rPr>
          <w:rFonts w:cs="Arial"/>
          <w:lang w:val="fr-FR"/>
        </w:rPr>
        <w:t>organisation et sa mission ainsi que l</w:t>
      </w:r>
      <w:r w:rsidR="00EF1779" w:rsidRPr="008725ED">
        <w:rPr>
          <w:rFonts w:cs="Arial"/>
          <w:lang w:val="fr-FR"/>
        </w:rPr>
        <w:t>’</w:t>
      </w:r>
      <w:r w:rsidRPr="008725ED">
        <w:rPr>
          <w:rFonts w:cs="Arial"/>
          <w:lang w:val="fr-FR"/>
        </w:rPr>
        <w:t>histoire et les statistiques du système de protection des variétés végétales dans le pays.</w:t>
      </w:r>
    </w:p>
    <w:p w:rsidR="008C3126" w:rsidRPr="008725ED" w:rsidRDefault="008C3126" w:rsidP="0052307B">
      <w:pPr>
        <w:rPr>
          <w:lang w:val="fr-FR"/>
        </w:rPr>
      </w:pPr>
    </w:p>
    <w:p w:rsidR="008C3126" w:rsidRPr="008725ED" w:rsidRDefault="0052307B" w:rsidP="0052307B">
      <w:pPr>
        <w:rPr>
          <w:rFonts w:cs="Arial"/>
          <w:snapToGrid w:val="0"/>
          <w:lang w:val="fr-FR"/>
        </w:rPr>
      </w:pPr>
      <w:r w:rsidRPr="008725ED">
        <w:rPr>
          <w:rFonts w:cs="Arial"/>
          <w:snapToGrid w:val="0"/>
          <w:lang w:val="fr-FR"/>
        </w:rPr>
        <w:fldChar w:fldCharType="begin"/>
      </w:r>
      <w:r w:rsidRPr="008725ED">
        <w:rPr>
          <w:rFonts w:cs="Arial"/>
          <w:snapToGrid w:val="0"/>
          <w:lang w:val="fr-FR"/>
        </w:rPr>
        <w:instrText xml:space="preserve"> AUTONUM  </w:instrText>
      </w:r>
      <w:r w:rsidRPr="008725ED">
        <w:rPr>
          <w:rFonts w:cs="Arial"/>
          <w:snapToGrid w:val="0"/>
          <w:lang w:val="fr-FR"/>
        </w:rPr>
        <w:fldChar w:fldCharType="end"/>
      </w:r>
      <w:r w:rsidRPr="008725ED">
        <w:rPr>
          <w:rFonts w:cs="Arial"/>
          <w:snapToGrid w:val="0"/>
          <w:lang w:val="fr-FR"/>
        </w:rPr>
        <w:tab/>
        <w:t xml:space="preserve">Le TWO a examiné le </w:t>
      </w:r>
      <w:r w:rsidR="00EF1779" w:rsidRPr="008725ED">
        <w:rPr>
          <w:rFonts w:cs="Arial"/>
          <w:snapToGrid w:val="0"/>
          <w:lang w:val="fr-FR"/>
        </w:rPr>
        <w:t>document TC</w:t>
      </w:r>
      <w:r w:rsidRPr="008725ED">
        <w:rPr>
          <w:rFonts w:cs="Arial"/>
          <w:snapToGrid w:val="0"/>
          <w:lang w:val="fr-FR"/>
        </w:rPr>
        <w:t>/49/11 “Révision du document TGP/8</w:t>
      </w:r>
      <w:r w:rsidR="00EF1779" w:rsidRPr="008725ED">
        <w:rPr>
          <w:rFonts w:cs="Arial"/>
          <w:snapToGrid w:val="0"/>
          <w:lang w:val="fr-FR"/>
        </w:rPr>
        <w:t> :</w:t>
      </w:r>
      <w:r w:rsidRPr="008725ED">
        <w:rPr>
          <w:rFonts w:cs="Arial"/>
          <w:snapToGrid w:val="0"/>
          <w:lang w:val="fr-FR"/>
        </w:rPr>
        <w:t xml:space="preserve"> deuxième partie</w:t>
      </w:r>
      <w:r w:rsidR="00EF1779" w:rsidRPr="008725ED">
        <w:rPr>
          <w:rFonts w:cs="Arial"/>
          <w:snapToGrid w:val="0"/>
          <w:lang w:val="fr-FR"/>
        </w:rPr>
        <w:t> :</w:t>
      </w:r>
      <w:r w:rsidRPr="008725ED">
        <w:rPr>
          <w:rFonts w:cs="Arial"/>
          <w:snapToGrid w:val="0"/>
          <w:lang w:val="fr-FR"/>
        </w:rPr>
        <w:t xml:space="preserve"> Techniques utilisées dans l</w:t>
      </w:r>
      <w:r w:rsidR="00EF1779" w:rsidRPr="008725ED">
        <w:rPr>
          <w:rFonts w:cs="Arial"/>
          <w:snapToGrid w:val="0"/>
          <w:lang w:val="fr-FR"/>
        </w:rPr>
        <w:t>’</w:t>
      </w:r>
      <w:r w:rsidRPr="008725ED">
        <w:rPr>
          <w:rFonts w:cs="Arial"/>
          <w:snapToGrid w:val="0"/>
          <w:lang w:val="fr-FR"/>
        </w:rPr>
        <w:t>examen DHS, nouvelle section</w:t>
      </w:r>
      <w:r w:rsidR="00EF1779" w:rsidRPr="008725ED">
        <w:rPr>
          <w:rFonts w:cs="Arial"/>
          <w:snapToGrid w:val="0"/>
          <w:lang w:val="fr-FR"/>
        </w:rPr>
        <w:t> :</w:t>
      </w:r>
      <w:r w:rsidRPr="008725ED">
        <w:rPr>
          <w:rFonts w:cs="Arial"/>
          <w:snapToGrid w:val="0"/>
          <w:lang w:val="fr-FR"/>
        </w:rPr>
        <w:t xml:space="preserve"> Examen DHS sur des échantillons globaux”.</w:t>
      </w:r>
      <w:r w:rsidRPr="008725ED">
        <w:rPr>
          <w:lang w:val="fr-FR"/>
        </w:rPr>
        <w:t xml:space="preserve">  </w:t>
      </w:r>
      <w:r w:rsidRPr="008725ED">
        <w:rPr>
          <w:rFonts w:cs="Arial"/>
          <w:lang w:val="fr-FR"/>
        </w:rPr>
        <w:t>Le TWO a pris note de la proposition de conseils relatifs à l</w:t>
      </w:r>
      <w:r w:rsidR="00EF1779" w:rsidRPr="008725ED">
        <w:rPr>
          <w:rFonts w:cs="Arial"/>
          <w:lang w:val="fr-FR"/>
        </w:rPr>
        <w:t>’</w:t>
      </w:r>
      <w:r w:rsidRPr="008725ED">
        <w:rPr>
          <w:rFonts w:cs="Arial"/>
          <w:lang w:val="fr-FR"/>
        </w:rPr>
        <w:t>examen DHS sur des échantillons globaux figurant dans l</w:t>
      </w:r>
      <w:r w:rsidR="00EF1779" w:rsidRPr="008725ED">
        <w:rPr>
          <w:rFonts w:cs="Arial"/>
          <w:lang w:val="fr-FR"/>
        </w:rPr>
        <w:t>’</w:t>
      </w:r>
      <w:r w:rsidRPr="008725ED">
        <w:rPr>
          <w:rFonts w:cs="Arial"/>
          <w:lang w:val="fr-FR"/>
        </w:rPr>
        <w:t>annexe du document TWO/49/11, aux fins de leur inclusion dans une future version révisée du document TGP/8.  Le TWO a examiné l</w:t>
      </w:r>
      <w:r w:rsidR="00EF1779" w:rsidRPr="008725ED">
        <w:rPr>
          <w:rFonts w:cs="Arial"/>
          <w:lang w:val="fr-FR"/>
        </w:rPr>
        <w:t>’</w:t>
      </w:r>
      <w:r w:rsidRPr="008725ED">
        <w:rPr>
          <w:rFonts w:cs="Arial"/>
          <w:lang w:val="fr-FR"/>
        </w:rPr>
        <w:t>approche proposée pour évaluer l</w:t>
      </w:r>
      <w:r w:rsidR="00EF1779" w:rsidRPr="008725ED">
        <w:rPr>
          <w:rFonts w:cs="Arial"/>
          <w:lang w:val="fr-FR"/>
        </w:rPr>
        <w:t>’</w:t>
      </w:r>
      <w:r w:rsidRPr="008725ED">
        <w:rPr>
          <w:rFonts w:cs="Arial"/>
          <w:lang w:val="fr-FR"/>
        </w:rPr>
        <w:t>homogénéité de plantes isolées pour différentes variétés aux fins de valider le caractère avant qu</w:t>
      </w:r>
      <w:r w:rsidR="00EF1779" w:rsidRPr="008725ED">
        <w:rPr>
          <w:rFonts w:cs="Arial"/>
          <w:lang w:val="fr-FR"/>
        </w:rPr>
        <w:t>’</w:t>
      </w:r>
      <w:r w:rsidRPr="008725ED">
        <w:rPr>
          <w:rFonts w:cs="Arial"/>
          <w:lang w:val="fr-FR"/>
        </w:rPr>
        <w:t>il soit utilisé dans le cadre de l</w:t>
      </w:r>
      <w:r w:rsidR="00EF1779" w:rsidRPr="008725ED">
        <w:rPr>
          <w:rFonts w:cs="Arial"/>
          <w:lang w:val="fr-FR"/>
        </w:rPr>
        <w:t>’</w:t>
      </w:r>
      <w:r w:rsidRPr="008725ED">
        <w:rPr>
          <w:rFonts w:cs="Arial"/>
          <w:lang w:val="fr-FR"/>
        </w:rPr>
        <w:t>examen DHS et il est convenu que, pour les plantes ornementales multipliées par voie végétative, le nombre de demandes par plante ne serait pas suffisant pour fournir des données sur l</w:t>
      </w:r>
      <w:r w:rsidR="00EF1779" w:rsidRPr="008725ED">
        <w:rPr>
          <w:rFonts w:cs="Arial"/>
          <w:lang w:val="fr-FR"/>
        </w:rPr>
        <w:t>’</w:t>
      </w:r>
      <w:r w:rsidRPr="008725ED">
        <w:rPr>
          <w:rFonts w:cs="Arial"/>
          <w:lang w:val="fr-FR"/>
        </w:rPr>
        <w:t>année concernant de nombreuses variétés</w:t>
      </w:r>
      <w:r w:rsidRPr="008725ED">
        <w:rPr>
          <w:rFonts w:cs="Arial"/>
          <w:snapToGrid w:val="0"/>
          <w:lang w:val="fr-FR"/>
        </w:rPr>
        <w:t>.</w:t>
      </w:r>
    </w:p>
    <w:p w:rsidR="008C3126" w:rsidRPr="008725ED" w:rsidRDefault="008C3126" w:rsidP="0052307B">
      <w:pPr>
        <w:rPr>
          <w:rFonts w:cs="Arial"/>
          <w:snapToGrid w:val="0"/>
          <w:lang w:val="fr-FR"/>
        </w:rPr>
      </w:pPr>
    </w:p>
    <w:p w:rsidR="008C3126" w:rsidRPr="008725ED" w:rsidRDefault="0052307B" w:rsidP="0052307B">
      <w:pPr>
        <w:rPr>
          <w:rFonts w:cs="Arial"/>
          <w:i/>
          <w:lang w:val="fr-FR"/>
        </w:rPr>
      </w:pPr>
      <w:r w:rsidRPr="008725ED">
        <w:rPr>
          <w:rFonts w:cs="Arial"/>
          <w:snapToGrid w:val="0"/>
          <w:lang w:val="fr-FR"/>
        </w:rPr>
        <w:fldChar w:fldCharType="begin"/>
      </w:r>
      <w:r w:rsidRPr="008725ED">
        <w:rPr>
          <w:rFonts w:cs="Arial"/>
          <w:snapToGrid w:val="0"/>
          <w:lang w:val="fr-FR"/>
        </w:rPr>
        <w:instrText xml:space="preserve"> AUTONUM  </w:instrText>
      </w:r>
      <w:r w:rsidRPr="008725ED">
        <w:rPr>
          <w:rFonts w:cs="Arial"/>
          <w:snapToGrid w:val="0"/>
          <w:lang w:val="fr-FR"/>
        </w:rPr>
        <w:fldChar w:fldCharType="end"/>
      </w:r>
      <w:r w:rsidRPr="008725ED">
        <w:rPr>
          <w:rFonts w:cs="Arial"/>
          <w:snapToGrid w:val="0"/>
          <w:lang w:val="fr-FR"/>
        </w:rPr>
        <w:tab/>
        <w:t>Le TWO a pris note des rapports des membres de l</w:t>
      </w:r>
      <w:r w:rsidR="00EF1779" w:rsidRPr="008725ED">
        <w:rPr>
          <w:rFonts w:cs="Arial"/>
          <w:snapToGrid w:val="0"/>
          <w:lang w:val="fr-FR"/>
        </w:rPr>
        <w:t>’</w:t>
      </w:r>
      <w:r w:rsidRPr="008725ED">
        <w:rPr>
          <w:rFonts w:cs="Arial"/>
          <w:snapToGrid w:val="0"/>
          <w:lang w:val="fr-FR"/>
        </w:rPr>
        <w:t>Union sur les expériences comportant l</w:t>
      </w:r>
      <w:r w:rsidR="00EF1779" w:rsidRPr="008725ED">
        <w:rPr>
          <w:rFonts w:cs="Arial"/>
          <w:snapToGrid w:val="0"/>
          <w:lang w:val="fr-FR"/>
        </w:rPr>
        <w:t>’</w:t>
      </w:r>
      <w:r w:rsidRPr="008725ED">
        <w:rPr>
          <w:rFonts w:cs="Arial"/>
          <w:snapToGrid w:val="0"/>
          <w:lang w:val="fr-FR"/>
        </w:rPr>
        <w:t>évaluation des caractères des composants chimiques et il a reconnu la difficulté technique de ces expériences et les incidences en termes de coût si l</w:t>
      </w:r>
      <w:r w:rsidR="00EF1779" w:rsidRPr="008725ED">
        <w:rPr>
          <w:rFonts w:cs="Arial"/>
          <w:snapToGrid w:val="0"/>
          <w:lang w:val="fr-FR"/>
        </w:rPr>
        <w:t>’</w:t>
      </w:r>
      <w:r w:rsidRPr="008725ED">
        <w:rPr>
          <w:rFonts w:cs="Arial"/>
          <w:snapToGrid w:val="0"/>
          <w:lang w:val="fr-FR"/>
        </w:rPr>
        <w:t>on voulait obtenir certains composants chimiques en quantité suffisante pour pouvoir évaluer l</w:t>
      </w:r>
      <w:r w:rsidR="00EF1779" w:rsidRPr="008725ED">
        <w:rPr>
          <w:rFonts w:cs="Arial"/>
          <w:snapToGrid w:val="0"/>
          <w:lang w:val="fr-FR"/>
        </w:rPr>
        <w:t>’</w:t>
      </w:r>
      <w:r w:rsidRPr="008725ED">
        <w:rPr>
          <w:rFonts w:cs="Arial"/>
          <w:snapToGrid w:val="0"/>
          <w:lang w:val="fr-FR"/>
        </w:rPr>
        <w:t>homogénéité de plantes isolé</w:t>
      </w:r>
      <w:r w:rsidR="00D43219" w:rsidRPr="008725ED">
        <w:rPr>
          <w:rFonts w:cs="Arial"/>
          <w:snapToGrid w:val="0"/>
          <w:lang w:val="fr-FR"/>
        </w:rPr>
        <w:t>es.  Le</w:t>
      </w:r>
      <w:r w:rsidRPr="008725ED">
        <w:rPr>
          <w:rFonts w:cs="Arial"/>
          <w:snapToGrid w:val="0"/>
          <w:lang w:val="fr-FR"/>
        </w:rPr>
        <w:t> TWO a reconnu que les caractères évalués sur la base d</w:t>
      </w:r>
      <w:r w:rsidR="00EF1779" w:rsidRPr="008725ED">
        <w:rPr>
          <w:rFonts w:cs="Arial"/>
          <w:snapToGrid w:val="0"/>
          <w:lang w:val="fr-FR"/>
        </w:rPr>
        <w:t>’</w:t>
      </w:r>
      <w:r w:rsidRPr="008725ED">
        <w:rPr>
          <w:rFonts w:cs="Arial"/>
          <w:snapToGrid w:val="0"/>
          <w:lang w:val="fr-FR"/>
        </w:rPr>
        <w:t>échantillons globaux pouvaient fournir des informations complémentaires pour l</w:t>
      </w:r>
      <w:r w:rsidR="00EF1779" w:rsidRPr="008725ED">
        <w:rPr>
          <w:rFonts w:cs="Arial"/>
          <w:snapToGrid w:val="0"/>
          <w:lang w:val="fr-FR"/>
        </w:rPr>
        <w:t>’</w:t>
      </w:r>
      <w:r w:rsidRPr="008725ED">
        <w:rPr>
          <w:rFonts w:cs="Arial"/>
          <w:snapToGrid w:val="0"/>
          <w:lang w:val="fr-FR"/>
        </w:rPr>
        <w:t>analyse de la distinction avec une comparaison directe de paires de variétés pour certaines plantes et il est convenu que les futurs conseils devraient définir des paramètres visant à effectuer une sélection parmi les approches énumérées dans l</w:t>
      </w:r>
      <w:r w:rsidR="00EF1779" w:rsidRPr="008725ED">
        <w:rPr>
          <w:rFonts w:cs="Arial"/>
          <w:snapToGrid w:val="0"/>
          <w:lang w:val="fr-FR"/>
        </w:rPr>
        <w:t>’</w:t>
      </w:r>
      <w:r w:rsidRPr="008725ED">
        <w:rPr>
          <w:rFonts w:cs="Arial"/>
          <w:snapToGrid w:val="0"/>
          <w:lang w:val="fr-FR"/>
        </w:rPr>
        <w:t>annexe du document TWO/49/11.</w:t>
      </w:r>
    </w:p>
    <w:p w:rsidR="008C3126" w:rsidRPr="008725ED" w:rsidRDefault="008C3126" w:rsidP="0052307B">
      <w:pPr>
        <w:rPr>
          <w:lang w:val="fr-FR"/>
        </w:rPr>
      </w:pPr>
    </w:p>
    <w:p w:rsidR="008C3126" w:rsidRPr="008725ED" w:rsidRDefault="0052307B" w:rsidP="0052307B">
      <w:pPr>
        <w:keepLines/>
        <w:rPr>
          <w:rFonts w:eastAsia="SimSun" w:cs="Arial"/>
          <w:lang w:val="fr-FR" w:eastAsia="zh-CN"/>
        </w:rPr>
      </w:pPr>
      <w:r w:rsidRPr="008725ED">
        <w:rPr>
          <w:rFonts w:cs="Arial"/>
          <w:snapToGrid w:val="0"/>
          <w:lang w:val="fr-FR"/>
        </w:rPr>
        <w:fldChar w:fldCharType="begin"/>
      </w:r>
      <w:r w:rsidRPr="008725ED">
        <w:rPr>
          <w:rFonts w:cs="Arial"/>
          <w:snapToGrid w:val="0"/>
          <w:lang w:val="fr-FR"/>
        </w:rPr>
        <w:instrText xml:space="preserve"> AUTONUM  </w:instrText>
      </w:r>
      <w:r w:rsidRPr="008725ED">
        <w:rPr>
          <w:rFonts w:cs="Arial"/>
          <w:snapToGrid w:val="0"/>
          <w:lang w:val="fr-FR"/>
        </w:rPr>
        <w:fldChar w:fldCharType="end"/>
      </w:r>
      <w:r w:rsidRPr="008725ED">
        <w:rPr>
          <w:rFonts w:cs="Arial"/>
          <w:snapToGrid w:val="0"/>
          <w:lang w:val="fr-FR"/>
        </w:rPr>
        <w:tab/>
      </w:r>
      <w:r w:rsidRPr="008725ED">
        <w:rPr>
          <w:lang w:val="fr-FR"/>
        </w:rPr>
        <w:t xml:space="preserve">Le </w:t>
      </w:r>
      <w:r w:rsidRPr="008725ED">
        <w:rPr>
          <w:rFonts w:cs="Arial"/>
          <w:snapToGrid w:val="0"/>
          <w:lang w:val="fr-FR"/>
        </w:rPr>
        <w:t>TWO</w:t>
      </w:r>
      <w:r w:rsidRPr="008725ED">
        <w:rPr>
          <w:rFonts w:cs="Arial"/>
          <w:lang w:val="fr-FR"/>
        </w:rPr>
        <w:t xml:space="preserve"> a examiné le projet d</w:t>
      </w:r>
      <w:r w:rsidR="00EF1779" w:rsidRPr="008725ED">
        <w:rPr>
          <w:rFonts w:cs="Arial"/>
          <w:lang w:val="fr-FR"/>
        </w:rPr>
        <w:t>’</w:t>
      </w:r>
      <w:r w:rsidRPr="008725ED">
        <w:rPr>
          <w:rFonts w:cs="Arial"/>
          <w:lang w:val="fr-FR"/>
        </w:rPr>
        <w:t>orientations figurant dans l</w:t>
      </w:r>
      <w:r w:rsidR="00EF1779" w:rsidRPr="008725ED">
        <w:rPr>
          <w:rFonts w:cs="Arial"/>
          <w:lang w:val="fr-FR"/>
        </w:rPr>
        <w:t>’</w:t>
      </w:r>
      <w:r w:rsidRPr="008725ED">
        <w:rPr>
          <w:rFonts w:cs="Arial"/>
          <w:lang w:val="fr-FR"/>
        </w:rPr>
        <w:t>annexe I du document TWO/49/13 “Revision of document TGP/10</w:t>
      </w:r>
      <w:r w:rsidR="00B0700F" w:rsidRPr="008725ED">
        <w:rPr>
          <w:rFonts w:cs="Arial"/>
          <w:lang w:val="fr-FR"/>
        </w:rPr>
        <w:t> </w:t>
      </w:r>
      <w:r w:rsidRPr="008725ED">
        <w:rPr>
          <w:rFonts w:cs="Arial"/>
          <w:lang w:val="fr-FR"/>
        </w:rPr>
        <w:t>: New section</w:t>
      </w:r>
      <w:r w:rsidR="00B0700F" w:rsidRPr="008725ED">
        <w:rPr>
          <w:rFonts w:cs="Arial"/>
          <w:lang w:val="fr-FR"/>
        </w:rPr>
        <w:t> </w:t>
      </w:r>
      <w:r w:rsidRPr="008725ED">
        <w:rPr>
          <w:rFonts w:cs="Arial"/>
          <w:lang w:val="fr-FR"/>
        </w:rPr>
        <w:t>: Assessing uniformity by off</w:t>
      </w:r>
      <w:r w:rsidR="00EF1779" w:rsidRPr="008725ED">
        <w:rPr>
          <w:rFonts w:cs="Arial"/>
          <w:lang w:val="fr-FR"/>
        </w:rPr>
        <w:t>-</w:t>
      </w:r>
      <w:r w:rsidRPr="008725ED">
        <w:rPr>
          <w:rFonts w:cs="Arial"/>
          <w:lang w:val="fr-FR"/>
        </w:rPr>
        <w:t>types on the basis of more than one growing cycle or on the basis of sub</w:t>
      </w:r>
      <w:r w:rsidR="00EF1779" w:rsidRPr="008725ED">
        <w:rPr>
          <w:rFonts w:cs="Arial"/>
          <w:lang w:val="fr-FR"/>
        </w:rPr>
        <w:t>-</w:t>
      </w:r>
      <w:r w:rsidRPr="008725ED">
        <w:rPr>
          <w:rFonts w:cs="Arial"/>
          <w:lang w:val="fr-FR"/>
        </w:rPr>
        <w:t xml:space="preserve">samples” et il est convenu que le terme “évident” </w:t>
      </w:r>
      <w:r w:rsidRPr="008725ED">
        <w:rPr>
          <w:rFonts w:eastAsia="SimSun" w:cs="Arial"/>
          <w:lang w:val="fr-FR" w:eastAsia="zh-CN"/>
        </w:rPr>
        <w:t>devait être clarifié</w:t>
      </w:r>
      <w:r w:rsidRPr="008725ED">
        <w:rPr>
          <w:rFonts w:cs="Arial"/>
          <w:lang w:val="fr-FR"/>
        </w:rPr>
        <w:t xml:space="preserve"> dans la phrase</w:t>
      </w:r>
      <w:r w:rsidRPr="008725ED">
        <w:rPr>
          <w:lang w:val="fr-FR"/>
        </w:rPr>
        <w:t xml:space="preserve"> </w:t>
      </w:r>
      <w:r w:rsidRPr="008725ED">
        <w:rPr>
          <w:rFonts w:cs="Arial"/>
          <w:lang w:val="fr-FR"/>
        </w:rPr>
        <w:t>suivante</w:t>
      </w:r>
      <w:r w:rsidR="00EF1779" w:rsidRPr="008725ED">
        <w:rPr>
          <w:rFonts w:cs="Arial"/>
          <w:lang w:val="fr-FR"/>
        </w:rPr>
        <w:t> :</w:t>
      </w:r>
      <w:r w:rsidRPr="008725ED">
        <w:rPr>
          <w:rFonts w:cs="Arial"/>
          <w:lang w:val="fr-FR"/>
        </w:rPr>
        <w:t xml:space="preserve"> “</w:t>
      </w:r>
      <w:r w:rsidRPr="008725ED">
        <w:rPr>
          <w:rFonts w:eastAsia="SimSun" w:cs="Arial"/>
          <w:lang w:val="fr-FR" w:eastAsia="zh-CN"/>
        </w:rPr>
        <w:t>En outre, en raison d</w:t>
      </w:r>
      <w:r w:rsidR="00EF1779" w:rsidRPr="008725ED">
        <w:rPr>
          <w:rFonts w:eastAsia="SimSun" w:cs="Arial"/>
          <w:lang w:val="fr-FR" w:eastAsia="zh-CN"/>
        </w:rPr>
        <w:t>’</w:t>
      </w:r>
      <w:r w:rsidRPr="008725ED">
        <w:rPr>
          <w:rFonts w:eastAsia="SimSun" w:cs="Arial"/>
          <w:lang w:val="fr-FR" w:eastAsia="zh-CN"/>
        </w:rPr>
        <w:t>un manque évident d</w:t>
      </w:r>
      <w:r w:rsidR="00EF1779" w:rsidRPr="008725ED">
        <w:rPr>
          <w:rFonts w:eastAsia="SimSun" w:cs="Arial"/>
          <w:lang w:val="fr-FR" w:eastAsia="zh-CN"/>
        </w:rPr>
        <w:t>’</w:t>
      </w:r>
      <w:r w:rsidRPr="008725ED">
        <w:rPr>
          <w:rFonts w:eastAsia="SimSun" w:cs="Arial"/>
          <w:lang w:val="fr-FR" w:eastAsia="zh-CN"/>
        </w:rPr>
        <w:t>homogénéité, une variété peut être rejetée après un seul cycle de végétation”.  Il est convenu de proposer la phrase suivante pour les méthodes 1 et 2</w:t>
      </w:r>
      <w:r w:rsidR="00EF1779" w:rsidRPr="008725ED">
        <w:rPr>
          <w:rFonts w:eastAsia="SimSun" w:cs="Arial"/>
          <w:lang w:val="fr-FR" w:eastAsia="zh-CN"/>
        </w:rPr>
        <w:t> :</w:t>
      </w:r>
    </w:p>
    <w:p w:rsidR="008C3126" w:rsidRPr="008725ED" w:rsidRDefault="008C3126" w:rsidP="0052307B">
      <w:pPr>
        <w:rPr>
          <w:rFonts w:eastAsia="SimSun" w:cs="Arial"/>
          <w:lang w:val="fr-FR" w:eastAsia="zh-CN"/>
        </w:rPr>
      </w:pPr>
    </w:p>
    <w:p w:rsidR="008C3126" w:rsidRPr="00D95F3A" w:rsidRDefault="0052307B" w:rsidP="0052307B">
      <w:pPr>
        <w:ind w:left="567" w:right="567"/>
        <w:rPr>
          <w:rFonts w:eastAsia="SimSun" w:cs="Arial"/>
          <w:sz w:val="18"/>
          <w:lang w:val="fr-FR" w:eastAsia="zh-CN"/>
        </w:rPr>
      </w:pPr>
      <w:r w:rsidRPr="008725ED">
        <w:rPr>
          <w:rFonts w:eastAsia="SimSun" w:cs="Arial"/>
          <w:lang w:val="fr-FR" w:eastAsia="zh-CN"/>
        </w:rPr>
        <w:t>“</w:t>
      </w:r>
      <w:r w:rsidRPr="00D95F3A">
        <w:rPr>
          <w:rFonts w:eastAsia="SimSun" w:cs="Arial"/>
          <w:sz w:val="18"/>
          <w:lang w:val="fr-FR" w:eastAsia="zh-CN"/>
        </w:rPr>
        <w:t>En outre, si pour une variété le nombre de plantes hors</w:t>
      </w:r>
      <w:r w:rsidR="00EF1779" w:rsidRPr="00D95F3A">
        <w:rPr>
          <w:rFonts w:eastAsia="SimSun" w:cs="Arial"/>
          <w:sz w:val="18"/>
          <w:lang w:val="fr-FR" w:eastAsia="zh-CN"/>
        </w:rPr>
        <w:t>-</w:t>
      </w:r>
      <w:r w:rsidRPr="00D95F3A">
        <w:rPr>
          <w:rFonts w:eastAsia="SimSun" w:cs="Arial"/>
          <w:sz w:val="18"/>
          <w:lang w:val="fr-FR" w:eastAsia="zh-CN"/>
        </w:rPr>
        <w:t>type autorisé pour deux cycles de végétation est dépassé durant le premier cycle de végétation, la variété peut être écartée après un seul cycle de végétation.”</w:t>
      </w:r>
    </w:p>
    <w:p w:rsidR="008C3126" w:rsidRPr="008725ED" w:rsidRDefault="008C3126" w:rsidP="0052307B">
      <w:pPr>
        <w:rPr>
          <w:rFonts w:eastAsia="SimSun" w:cs="Arial"/>
          <w:lang w:val="fr-FR" w:eastAsia="zh-CN"/>
        </w:rPr>
      </w:pPr>
    </w:p>
    <w:p w:rsidR="008C3126" w:rsidRPr="008725ED" w:rsidRDefault="0052307B" w:rsidP="0052307B">
      <w:pPr>
        <w:rPr>
          <w:rFonts w:eastAsia="SimSun" w:cs="Arial"/>
          <w:lang w:val="fr-FR" w:eastAsia="zh-CN"/>
        </w:rPr>
      </w:pPr>
      <w:r w:rsidRPr="008725ED">
        <w:rPr>
          <w:rFonts w:eastAsia="SimSun" w:cs="Arial"/>
          <w:lang w:val="fr-FR" w:eastAsia="zh-CN"/>
        </w:rPr>
        <w:fldChar w:fldCharType="begin"/>
      </w:r>
      <w:r w:rsidRPr="008725ED">
        <w:rPr>
          <w:rFonts w:eastAsia="SimSun" w:cs="Arial"/>
          <w:lang w:val="fr-FR" w:eastAsia="zh-CN"/>
        </w:rPr>
        <w:instrText xml:space="preserve"> AUTONUM  </w:instrText>
      </w:r>
      <w:r w:rsidRPr="008725ED">
        <w:rPr>
          <w:rFonts w:eastAsia="SimSun" w:cs="Arial"/>
          <w:lang w:val="fr-FR" w:eastAsia="zh-CN"/>
        </w:rPr>
        <w:fldChar w:fldCharType="end"/>
      </w:r>
      <w:r w:rsidRPr="008725ED">
        <w:rPr>
          <w:rFonts w:eastAsia="SimSun" w:cs="Arial"/>
          <w:lang w:val="fr-FR" w:eastAsia="zh-CN"/>
        </w:rPr>
        <w:tab/>
        <w:t>Le TWO est convenu qu</w:t>
      </w:r>
      <w:r w:rsidR="00EF1779" w:rsidRPr="008725ED">
        <w:rPr>
          <w:rFonts w:eastAsia="SimSun" w:cs="Arial"/>
          <w:lang w:val="fr-FR" w:eastAsia="zh-CN"/>
        </w:rPr>
        <w:t>’</w:t>
      </w:r>
      <w:r w:rsidRPr="008725ED">
        <w:rPr>
          <w:rFonts w:eastAsia="SimSun" w:cs="Arial"/>
          <w:lang w:val="fr-FR" w:eastAsia="zh-CN"/>
        </w:rPr>
        <w:t>il faudrait préciser dans le projet d</w:t>
      </w:r>
      <w:r w:rsidR="00EF1779" w:rsidRPr="008725ED">
        <w:rPr>
          <w:rFonts w:eastAsia="SimSun" w:cs="Arial"/>
          <w:lang w:val="fr-FR" w:eastAsia="zh-CN"/>
        </w:rPr>
        <w:t>’</w:t>
      </w:r>
      <w:r w:rsidRPr="008725ED">
        <w:rPr>
          <w:rFonts w:eastAsia="SimSun" w:cs="Arial"/>
          <w:lang w:val="fr-FR" w:eastAsia="zh-CN"/>
        </w:rPr>
        <w:t>orientations s</w:t>
      </w:r>
      <w:r w:rsidR="00EF1779" w:rsidRPr="008725ED">
        <w:rPr>
          <w:rFonts w:eastAsia="SimSun" w:cs="Arial"/>
          <w:lang w:val="fr-FR" w:eastAsia="zh-CN"/>
        </w:rPr>
        <w:t>’</w:t>
      </w:r>
      <w:r w:rsidRPr="008725ED">
        <w:rPr>
          <w:rFonts w:eastAsia="SimSun" w:cs="Arial"/>
          <w:lang w:val="fr-FR" w:eastAsia="zh-CN"/>
        </w:rPr>
        <w:t>il était supposé que l</w:t>
      </w:r>
      <w:r w:rsidR="00EF1779" w:rsidRPr="008725ED">
        <w:rPr>
          <w:rFonts w:eastAsia="SimSun" w:cs="Arial"/>
          <w:lang w:val="fr-FR" w:eastAsia="zh-CN"/>
        </w:rPr>
        <w:t>’</w:t>
      </w:r>
      <w:r w:rsidRPr="008725ED">
        <w:rPr>
          <w:rFonts w:eastAsia="SimSun" w:cs="Arial"/>
          <w:lang w:val="fr-FR" w:eastAsia="zh-CN"/>
        </w:rPr>
        <w:t>évaluation des deux cycles de végétation devait être faite en utilisant le matériel végétal provenant d</w:t>
      </w:r>
      <w:r w:rsidR="00EF1779" w:rsidRPr="008725ED">
        <w:rPr>
          <w:rFonts w:eastAsia="SimSun" w:cs="Arial"/>
          <w:lang w:val="fr-FR" w:eastAsia="zh-CN"/>
        </w:rPr>
        <w:t>’</w:t>
      </w:r>
      <w:r w:rsidRPr="008725ED">
        <w:rPr>
          <w:rFonts w:eastAsia="SimSun" w:cs="Arial"/>
          <w:lang w:val="fr-FR" w:eastAsia="zh-CN"/>
        </w:rPr>
        <w:t>un dépôt unique par l</w:t>
      </w:r>
      <w:r w:rsidR="00EF1779" w:rsidRPr="008725ED">
        <w:rPr>
          <w:rFonts w:eastAsia="SimSun" w:cs="Arial"/>
          <w:lang w:val="fr-FR" w:eastAsia="zh-CN"/>
        </w:rPr>
        <w:t>’</w:t>
      </w:r>
      <w:r w:rsidRPr="008725ED">
        <w:rPr>
          <w:rFonts w:eastAsia="SimSun" w:cs="Arial"/>
          <w:lang w:val="fr-FR" w:eastAsia="zh-CN"/>
        </w:rPr>
        <w:t>obtenteur (par exemple, des semences provenant d</w:t>
      </w:r>
      <w:r w:rsidR="00EF1779" w:rsidRPr="008725ED">
        <w:rPr>
          <w:rFonts w:eastAsia="SimSun" w:cs="Arial"/>
          <w:lang w:val="fr-FR" w:eastAsia="zh-CN"/>
        </w:rPr>
        <w:t>’</w:t>
      </w:r>
      <w:r w:rsidRPr="008725ED">
        <w:rPr>
          <w:rFonts w:eastAsia="SimSun" w:cs="Arial"/>
          <w:lang w:val="fr-FR" w:eastAsia="zh-CN"/>
        </w:rPr>
        <w:t>un même lot de semences).</w:t>
      </w:r>
    </w:p>
    <w:p w:rsidR="008C3126" w:rsidRPr="008725ED" w:rsidRDefault="008C3126" w:rsidP="0052307B">
      <w:pPr>
        <w:rPr>
          <w:rFonts w:eastAsia="SimSun" w:cs="Arial"/>
          <w:lang w:val="fr-FR" w:eastAsia="zh-CN"/>
        </w:rPr>
      </w:pPr>
    </w:p>
    <w:p w:rsidR="008C3126" w:rsidRPr="008725ED" w:rsidRDefault="0052307B" w:rsidP="0052307B">
      <w:pPr>
        <w:rPr>
          <w:rFonts w:cs="Arial"/>
          <w:snapToGrid w:val="0"/>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r>
      <w:r w:rsidRPr="008725ED">
        <w:rPr>
          <w:lang w:val="fr-FR"/>
        </w:rPr>
        <w:t xml:space="preserve">Le </w:t>
      </w:r>
      <w:r w:rsidRPr="008725ED">
        <w:rPr>
          <w:rFonts w:cs="Arial"/>
          <w:lang w:val="fr-FR"/>
        </w:rPr>
        <w:t>TWO a examiné un exposé présenté par le Bureau de l</w:t>
      </w:r>
      <w:r w:rsidR="00EF1779" w:rsidRPr="008725ED">
        <w:rPr>
          <w:rFonts w:cs="Arial"/>
          <w:lang w:val="fr-FR"/>
        </w:rPr>
        <w:t>’</w:t>
      </w:r>
      <w:r w:rsidRPr="008725ED">
        <w:rPr>
          <w:rFonts w:cs="Arial"/>
          <w:lang w:val="fr-FR"/>
        </w:rPr>
        <w:t>Union sur les didacticiels relatifs aux différents rôles d</w:t>
      </w:r>
      <w:r w:rsidR="00EF1779" w:rsidRPr="008725ED">
        <w:rPr>
          <w:rFonts w:cs="Arial"/>
          <w:lang w:val="fr-FR"/>
        </w:rPr>
        <w:t>’</w:t>
      </w:r>
      <w:r w:rsidRPr="008725ED">
        <w:rPr>
          <w:rFonts w:cs="Arial"/>
          <w:lang w:val="fr-FR"/>
        </w:rPr>
        <w:t>utilisateur pouvant être spécifiés dans le modèle de principes directeurs d</w:t>
      </w:r>
      <w:r w:rsidR="00EF1779" w:rsidRPr="008725ED">
        <w:rPr>
          <w:rFonts w:cs="Arial"/>
          <w:lang w:val="fr-FR"/>
        </w:rPr>
        <w:t>’</w:t>
      </w:r>
      <w:r w:rsidRPr="008725ED">
        <w:rPr>
          <w:rFonts w:cs="Arial"/>
          <w:lang w:val="fr-FR"/>
        </w:rPr>
        <w:t>examen fondé sur le W</w:t>
      </w:r>
      <w:r w:rsidR="00D43219" w:rsidRPr="008725ED">
        <w:rPr>
          <w:rFonts w:cs="Arial"/>
          <w:lang w:val="fr-FR"/>
        </w:rPr>
        <w:t>eb.  Le</w:t>
      </w:r>
      <w:r w:rsidRPr="008725ED">
        <w:rPr>
          <w:rFonts w:cs="Arial"/>
          <w:lang w:val="fr-FR"/>
        </w:rPr>
        <w:t> TWO est convenu qu</w:t>
      </w:r>
      <w:r w:rsidR="00EF1779" w:rsidRPr="008725ED">
        <w:rPr>
          <w:rFonts w:cs="Arial"/>
          <w:lang w:val="fr-FR"/>
        </w:rPr>
        <w:t>’</w:t>
      </w:r>
      <w:r w:rsidRPr="008725ED">
        <w:rPr>
          <w:rFonts w:cs="Arial"/>
          <w:lang w:val="fr-FR"/>
        </w:rPr>
        <w:t>il fallait poursuivre l</w:t>
      </w:r>
      <w:r w:rsidR="00EF1779" w:rsidRPr="008725ED">
        <w:rPr>
          <w:rFonts w:cs="Arial"/>
          <w:lang w:val="fr-FR"/>
        </w:rPr>
        <w:t>’</w:t>
      </w:r>
      <w:r w:rsidRPr="008725ED">
        <w:rPr>
          <w:rFonts w:cs="Arial"/>
          <w:lang w:val="fr-FR"/>
        </w:rPr>
        <w:t>élaboration de ces didacticiels afin de tenir compte des observations supplémentaires formulées par les utilisateurs du modèle de principes directeurs d</w:t>
      </w:r>
      <w:r w:rsidR="00EF1779" w:rsidRPr="008725ED">
        <w:rPr>
          <w:rFonts w:cs="Arial"/>
          <w:lang w:val="fr-FR"/>
        </w:rPr>
        <w:t>’</w:t>
      </w:r>
      <w:r w:rsidRPr="008725ED">
        <w:rPr>
          <w:rFonts w:cs="Arial"/>
          <w:lang w:val="fr-FR"/>
        </w:rPr>
        <w:t>examen fondé sur le W</w:t>
      </w:r>
      <w:r w:rsidR="00D43219" w:rsidRPr="008725ED">
        <w:rPr>
          <w:rFonts w:cs="Arial"/>
          <w:lang w:val="fr-FR"/>
        </w:rPr>
        <w:t>eb.  Le</w:t>
      </w:r>
      <w:r w:rsidRPr="008725ED">
        <w:rPr>
          <w:rFonts w:cs="Arial"/>
          <w:lang w:val="fr-FR"/>
        </w:rPr>
        <w:t> TWO est convenu également que ces didacticiels devraient être mis à disposition sur la page Web consacrée aux rédacteurs de principes directeurs d</w:t>
      </w:r>
      <w:r w:rsidR="00EF1779" w:rsidRPr="008725ED">
        <w:rPr>
          <w:rFonts w:cs="Arial"/>
          <w:lang w:val="fr-FR"/>
        </w:rPr>
        <w:t>’</w:t>
      </w:r>
      <w:r w:rsidRPr="008725ED">
        <w:rPr>
          <w:rFonts w:cs="Arial"/>
          <w:lang w:val="fr-FR"/>
        </w:rPr>
        <w:t>examen et qu</w:t>
      </w:r>
      <w:r w:rsidR="00EF1779" w:rsidRPr="008725ED">
        <w:rPr>
          <w:rFonts w:cs="Arial"/>
          <w:lang w:val="fr-FR"/>
        </w:rPr>
        <w:t>’</w:t>
      </w:r>
      <w:r w:rsidRPr="008725ED">
        <w:rPr>
          <w:rFonts w:cs="Arial"/>
          <w:lang w:val="fr-FR"/>
        </w:rPr>
        <w:t>un lien devrait être fourni sur la page Web consacrée au modèle de principes directeurs d</w:t>
      </w:r>
      <w:r w:rsidR="00EF1779" w:rsidRPr="008725ED">
        <w:rPr>
          <w:rFonts w:cs="Arial"/>
          <w:lang w:val="fr-FR"/>
        </w:rPr>
        <w:t>’</w:t>
      </w:r>
      <w:r w:rsidRPr="008725ED">
        <w:rPr>
          <w:rFonts w:cs="Arial"/>
          <w:lang w:val="fr-FR"/>
        </w:rPr>
        <w:t>examen fondé sur le W</w:t>
      </w:r>
      <w:r w:rsidR="00D43219" w:rsidRPr="008725ED">
        <w:rPr>
          <w:rFonts w:cs="Arial"/>
          <w:lang w:val="fr-FR"/>
        </w:rPr>
        <w:t>eb.  Le</w:t>
      </w:r>
      <w:r w:rsidRPr="008725ED">
        <w:rPr>
          <w:rFonts w:cs="Arial"/>
          <w:lang w:val="fr-FR"/>
        </w:rPr>
        <w:t> TWO a accueilli avec satisfaction la version n° 1 du modèle de principes directeurs d</w:t>
      </w:r>
      <w:r w:rsidR="00EF1779" w:rsidRPr="008725ED">
        <w:rPr>
          <w:rFonts w:cs="Arial"/>
          <w:lang w:val="fr-FR"/>
        </w:rPr>
        <w:t>’</w:t>
      </w:r>
      <w:r w:rsidRPr="008725ED">
        <w:rPr>
          <w:rFonts w:cs="Arial"/>
          <w:lang w:val="fr-FR"/>
        </w:rPr>
        <w:t>examen fondé sur le Web et a proposé de traiter les questions ci</w:t>
      </w:r>
      <w:r w:rsidR="00EF1779" w:rsidRPr="008725ED">
        <w:rPr>
          <w:rFonts w:cs="Arial"/>
          <w:lang w:val="fr-FR"/>
        </w:rPr>
        <w:t>-</w:t>
      </w:r>
      <w:r w:rsidRPr="008725ED">
        <w:rPr>
          <w:rFonts w:cs="Arial"/>
          <w:lang w:val="fr-FR"/>
        </w:rPr>
        <w:t>après</w:t>
      </w:r>
      <w:r w:rsidR="00EF1779" w:rsidRPr="008725ED">
        <w:rPr>
          <w:rFonts w:cs="Arial"/>
          <w:lang w:val="fr-FR"/>
        </w:rPr>
        <w:t> :</w:t>
      </w:r>
    </w:p>
    <w:p w:rsidR="008C3126" w:rsidRPr="008725ED" w:rsidRDefault="008C3126" w:rsidP="0052307B">
      <w:pPr>
        <w:rPr>
          <w:rFonts w:cs="Arial"/>
          <w:snapToGrid w:val="0"/>
          <w:lang w:val="fr-FR"/>
        </w:rPr>
      </w:pPr>
    </w:p>
    <w:p w:rsidR="008C3126" w:rsidRPr="008725ED" w:rsidRDefault="0052307B" w:rsidP="00D95F3A">
      <w:pPr>
        <w:pStyle w:val="ListParagraph"/>
        <w:numPr>
          <w:ilvl w:val="0"/>
          <w:numId w:val="5"/>
        </w:numPr>
        <w:tabs>
          <w:tab w:val="left" w:pos="1134"/>
        </w:tabs>
        <w:spacing w:after="60" w:line="240" w:lineRule="auto"/>
        <w:ind w:left="1134" w:hanging="567"/>
        <w:contextualSpacing w:val="0"/>
        <w:jc w:val="both"/>
        <w:rPr>
          <w:rFonts w:ascii="Arial" w:hAnsi="Arial" w:cs="Arial"/>
          <w:snapToGrid w:val="0"/>
          <w:sz w:val="20"/>
          <w:szCs w:val="20"/>
          <w:lang w:val="fr-FR"/>
        </w:rPr>
      </w:pPr>
      <w:r w:rsidRPr="008725ED">
        <w:rPr>
          <w:rFonts w:ascii="Arial" w:hAnsi="Arial" w:cs="Arial"/>
          <w:snapToGrid w:val="0"/>
          <w:sz w:val="20"/>
          <w:szCs w:val="20"/>
          <w:lang w:val="fr-FR"/>
        </w:rPr>
        <w:t>permettre la visualisation immédiate des mises à jour faites par l</w:t>
      </w:r>
      <w:r w:rsidR="00EF1779" w:rsidRPr="008725ED">
        <w:rPr>
          <w:rFonts w:ascii="Arial" w:hAnsi="Arial" w:cs="Arial"/>
          <w:snapToGrid w:val="0"/>
          <w:sz w:val="20"/>
          <w:szCs w:val="20"/>
          <w:lang w:val="fr-FR"/>
        </w:rPr>
        <w:t>’</w:t>
      </w:r>
      <w:r w:rsidRPr="008725ED">
        <w:rPr>
          <w:rFonts w:ascii="Arial" w:hAnsi="Arial" w:cs="Arial"/>
          <w:snapToGrid w:val="0"/>
          <w:sz w:val="20"/>
          <w:szCs w:val="20"/>
          <w:lang w:val="fr-FR"/>
        </w:rPr>
        <w:t>expert principal dans le fichier d</w:t>
      </w:r>
      <w:r w:rsidR="00EF1779" w:rsidRPr="008725ED">
        <w:rPr>
          <w:rFonts w:ascii="Arial" w:hAnsi="Arial" w:cs="Arial"/>
          <w:snapToGrid w:val="0"/>
          <w:sz w:val="20"/>
          <w:szCs w:val="20"/>
          <w:lang w:val="fr-FR"/>
        </w:rPr>
        <w:t>’</w:t>
      </w:r>
      <w:r w:rsidRPr="008725ED">
        <w:rPr>
          <w:rFonts w:ascii="Arial" w:hAnsi="Arial" w:cs="Arial"/>
          <w:snapToGrid w:val="0"/>
          <w:sz w:val="20"/>
          <w:szCs w:val="20"/>
          <w:lang w:val="fr-FR"/>
        </w:rPr>
        <w:t>exportation;</w:t>
      </w:r>
    </w:p>
    <w:p w:rsidR="008C3126" w:rsidRPr="008725ED" w:rsidRDefault="0052307B" w:rsidP="00D95F3A">
      <w:pPr>
        <w:pStyle w:val="ListParagraph"/>
        <w:numPr>
          <w:ilvl w:val="0"/>
          <w:numId w:val="5"/>
        </w:numPr>
        <w:tabs>
          <w:tab w:val="left" w:pos="1134"/>
        </w:tabs>
        <w:spacing w:after="60" w:line="240" w:lineRule="auto"/>
        <w:ind w:left="1134" w:hanging="567"/>
        <w:contextualSpacing w:val="0"/>
        <w:jc w:val="both"/>
        <w:rPr>
          <w:rFonts w:ascii="Arial" w:hAnsi="Arial" w:cs="Arial"/>
          <w:sz w:val="20"/>
          <w:szCs w:val="20"/>
          <w:lang w:val="fr-FR"/>
        </w:rPr>
      </w:pPr>
      <w:r w:rsidRPr="008725ED">
        <w:rPr>
          <w:rFonts w:ascii="Arial" w:hAnsi="Arial" w:cs="Arial"/>
          <w:sz w:val="20"/>
          <w:szCs w:val="20"/>
          <w:lang w:val="fr-FR"/>
        </w:rPr>
        <w:t>améliorer la disponibilité en ligne des didacticiels (par exemple en créant un lien sur la page Web consacrée aux rédacteurs de principes directeurs d</w:t>
      </w:r>
      <w:r w:rsidR="00EF1779" w:rsidRPr="008725ED">
        <w:rPr>
          <w:rFonts w:ascii="Arial" w:hAnsi="Arial" w:cs="Arial"/>
          <w:sz w:val="20"/>
          <w:szCs w:val="20"/>
          <w:lang w:val="fr-FR"/>
        </w:rPr>
        <w:t>’</w:t>
      </w:r>
      <w:r w:rsidRPr="008725ED">
        <w:rPr>
          <w:rFonts w:ascii="Arial" w:hAnsi="Arial" w:cs="Arial"/>
          <w:sz w:val="20"/>
          <w:szCs w:val="20"/>
          <w:lang w:val="fr-FR"/>
        </w:rPr>
        <w:t>examen et dans le modèle de principes directeurs d</w:t>
      </w:r>
      <w:r w:rsidR="00EF1779" w:rsidRPr="008725ED">
        <w:rPr>
          <w:rFonts w:ascii="Arial" w:hAnsi="Arial" w:cs="Arial"/>
          <w:sz w:val="20"/>
          <w:szCs w:val="20"/>
          <w:lang w:val="fr-FR"/>
        </w:rPr>
        <w:t>’</w:t>
      </w:r>
      <w:r w:rsidRPr="008725ED">
        <w:rPr>
          <w:rFonts w:ascii="Arial" w:hAnsi="Arial" w:cs="Arial"/>
          <w:sz w:val="20"/>
          <w:szCs w:val="20"/>
          <w:lang w:val="fr-FR"/>
        </w:rPr>
        <w:t>examen fondé sur le Web);</w:t>
      </w:r>
    </w:p>
    <w:p w:rsidR="008C3126" w:rsidRPr="008725ED" w:rsidRDefault="0052307B" w:rsidP="00D95F3A">
      <w:pPr>
        <w:pStyle w:val="ListParagraph"/>
        <w:numPr>
          <w:ilvl w:val="0"/>
          <w:numId w:val="5"/>
        </w:numPr>
        <w:tabs>
          <w:tab w:val="left" w:pos="1134"/>
        </w:tabs>
        <w:spacing w:after="60" w:line="240" w:lineRule="auto"/>
        <w:ind w:left="1134" w:hanging="567"/>
        <w:contextualSpacing w:val="0"/>
        <w:jc w:val="both"/>
        <w:rPr>
          <w:rFonts w:ascii="Arial" w:hAnsi="Arial" w:cs="Arial"/>
          <w:sz w:val="20"/>
          <w:szCs w:val="20"/>
          <w:lang w:val="fr-FR"/>
        </w:rPr>
      </w:pPr>
      <w:r w:rsidRPr="008725ED">
        <w:rPr>
          <w:rFonts w:ascii="Arial" w:hAnsi="Arial" w:cs="Arial"/>
          <w:sz w:val="20"/>
          <w:szCs w:val="20"/>
          <w:lang w:val="fr-FR"/>
        </w:rPr>
        <w:t>permettre aux experts principaux de rédiger les principes directeurs d</w:t>
      </w:r>
      <w:r w:rsidR="00EF1779" w:rsidRPr="008725ED">
        <w:rPr>
          <w:rFonts w:ascii="Arial" w:hAnsi="Arial" w:cs="Arial"/>
          <w:sz w:val="20"/>
          <w:szCs w:val="20"/>
          <w:lang w:val="fr-FR"/>
        </w:rPr>
        <w:t>’</w:t>
      </w:r>
      <w:r w:rsidRPr="008725ED">
        <w:rPr>
          <w:rFonts w:ascii="Arial" w:hAnsi="Arial" w:cs="Arial"/>
          <w:sz w:val="20"/>
          <w:szCs w:val="20"/>
          <w:lang w:val="fr-FR"/>
        </w:rPr>
        <w:t>examen dès que possible après une session d</w:t>
      </w:r>
      <w:r w:rsidR="00EF1779" w:rsidRPr="008725ED">
        <w:rPr>
          <w:rFonts w:ascii="Arial" w:hAnsi="Arial" w:cs="Arial"/>
          <w:sz w:val="20"/>
          <w:szCs w:val="20"/>
          <w:lang w:val="fr-FR"/>
        </w:rPr>
        <w:t>’</w:t>
      </w:r>
      <w:r w:rsidRPr="008725ED">
        <w:rPr>
          <w:rFonts w:ascii="Arial" w:hAnsi="Arial" w:cs="Arial"/>
          <w:sz w:val="20"/>
          <w:szCs w:val="20"/>
          <w:lang w:val="fr-FR"/>
        </w:rPr>
        <w:t>un TWP;</w:t>
      </w:r>
    </w:p>
    <w:p w:rsidR="008C3126" w:rsidRPr="008725ED" w:rsidRDefault="0052307B" w:rsidP="00D95F3A">
      <w:pPr>
        <w:pStyle w:val="ListParagraph"/>
        <w:numPr>
          <w:ilvl w:val="0"/>
          <w:numId w:val="5"/>
        </w:numPr>
        <w:tabs>
          <w:tab w:val="left" w:pos="1134"/>
        </w:tabs>
        <w:spacing w:after="60" w:line="240" w:lineRule="auto"/>
        <w:ind w:left="1134" w:hanging="567"/>
        <w:contextualSpacing w:val="0"/>
        <w:jc w:val="both"/>
        <w:rPr>
          <w:rFonts w:ascii="Arial" w:hAnsi="Arial" w:cs="Arial"/>
          <w:sz w:val="20"/>
          <w:szCs w:val="20"/>
          <w:lang w:val="fr-FR"/>
        </w:rPr>
      </w:pPr>
      <w:r w:rsidRPr="008725ED">
        <w:rPr>
          <w:rFonts w:ascii="Arial" w:hAnsi="Arial" w:cs="Arial"/>
          <w:sz w:val="20"/>
          <w:szCs w:val="20"/>
          <w:lang w:val="fr-FR"/>
        </w:rPr>
        <w:t>ajouter un raccourci pointant vers la fenêtre de dialogue d</w:t>
      </w:r>
      <w:r w:rsidR="00EF1779" w:rsidRPr="008725ED">
        <w:rPr>
          <w:rFonts w:ascii="Arial" w:hAnsi="Arial" w:cs="Arial"/>
          <w:sz w:val="20"/>
          <w:szCs w:val="20"/>
          <w:lang w:val="fr-FR"/>
        </w:rPr>
        <w:t>’</w:t>
      </w:r>
      <w:r w:rsidRPr="008725ED">
        <w:rPr>
          <w:rFonts w:ascii="Arial" w:hAnsi="Arial" w:cs="Arial"/>
          <w:sz w:val="20"/>
          <w:szCs w:val="20"/>
          <w:lang w:val="fr-FR"/>
        </w:rPr>
        <w:t>impression;</w:t>
      </w:r>
    </w:p>
    <w:p w:rsidR="008C3126" w:rsidRPr="008725ED" w:rsidRDefault="0052307B" w:rsidP="00D95F3A">
      <w:pPr>
        <w:pStyle w:val="ListParagraph"/>
        <w:numPr>
          <w:ilvl w:val="0"/>
          <w:numId w:val="5"/>
        </w:numPr>
        <w:tabs>
          <w:tab w:val="left" w:pos="1134"/>
        </w:tabs>
        <w:spacing w:after="60" w:line="240" w:lineRule="auto"/>
        <w:ind w:left="1134" w:hanging="567"/>
        <w:contextualSpacing w:val="0"/>
        <w:jc w:val="both"/>
        <w:rPr>
          <w:rFonts w:ascii="Arial" w:hAnsi="Arial" w:cs="Arial"/>
          <w:sz w:val="20"/>
          <w:szCs w:val="20"/>
          <w:lang w:val="fr-FR"/>
        </w:rPr>
      </w:pPr>
      <w:r w:rsidRPr="008725ED">
        <w:rPr>
          <w:rFonts w:ascii="Arial" w:hAnsi="Arial" w:cs="Arial"/>
          <w:sz w:val="20"/>
          <w:szCs w:val="20"/>
          <w:lang w:val="fr-FR"/>
        </w:rPr>
        <w:t>permettre l</w:t>
      </w:r>
      <w:r w:rsidR="00EF1779" w:rsidRPr="008725ED">
        <w:rPr>
          <w:rFonts w:ascii="Arial" w:hAnsi="Arial" w:cs="Arial"/>
          <w:sz w:val="20"/>
          <w:szCs w:val="20"/>
          <w:lang w:val="fr-FR"/>
        </w:rPr>
        <w:t>’</w:t>
      </w:r>
      <w:r w:rsidRPr="008725ED">
        <w:rPr>
          <w:rFonts w:ascii="Arial" w:hAnsi="Arial" w:cs="Arial"/>
          <w:sz w:val="20"/>
          <w:szCs w:val="20"/>
          <w:lang w:val="fr-FR"/>
        </w:rPr>
        <w:t>insertion d</w:t>
      </w:r>
      <w:r w:rsidR="00EF1779" w:rsidRPr="008725ED">
        <w:rPr>
          <w:rFonts w:ascii="Arial" w:hAnsi="Arial" w:cs="Arial"/>
          <w:sz w:val="20"/>
          <w:szCs w:val="20"/>
          <w:lang w:val="fr-FR"/>
        </w:rPr>
        <w:t>’</w:t>
      </w:r>
      <w:r w:rsidRPr="008725ED">
        <w:rPr>
          <w:rFonts w:ascii="Arial" w:hAnsi="Arial" w:cs="Arial"/>
          <w:sz w:val="20"/>
          <w:szCs w:val="20"/>
          <w:lang w:val="fr-FR"/>
        </w:rPr>
        <w:t>une observation formulée par un expert intéressé sans que le texte précédemment rédigé soit remplacé;</w:t>
      </w:r>
    </w:p>
    <w:p w:rsidR="008C3126" w:rsidRPr="008725ED" w:rsidRDefault="0052307B" w:rsidP="00D95F3A">
      <w:pPr>
        <w:pStyle w:val="ListParagraph"/>
        <w:numPr>
          <w:ilvl w:val="0"/>
          <w:numId w:val="5"/>
        </w:numPr>
        <w:tabs>
          <w:tab w:val="left" w:pos="1134"/>
        </w:tabs>
        <w:spacing w:after="60" w:line="240" w:lineRule="auto"/>
        <w:ind w:left="1134" w:hanging="567"/>
        <w:contextualSpacing w:val="0"/>
        <w:jc w:val="both"/>
        <w:rPr>
          <w:rFonts w:ascii="Arial" w:hAnsi="Arial" w:cs="Arial"/>
          <w:sz w:val="20"/>
          <w:szCs w:val="20"/>
          <w:lang w:val="fr-FR"/>
        </w:rPr>
      </w:pPr>
      <w:r w:rsidRPr="008725ED">
        <w:rPr>
          <w:rFonts w:ascii="Arial" w:hAnsi="Arial" w:cs="Arial"/>
          <w:sz w:val="20"/>
          <w:szCs w:val="20"/>
          <w:lang w:val="fr-FR"/>
        </w:rPr>
        <w:t>générer un message de confirmation après qu</w:t>
      </w:r>
      <w:r w:rsidR="00EF1779" w:rsidRPr="008725ED">
        <w:rPr>
          <w:rFonts w:ascii="Arial" w:hAnsi="Arial" w:cs="Arial"/>
          <w:sz w:val="20"/>
          <w:szCs w:val="20"/>
          <w:lang w:val="fr-FR"/>
        </w:rPr>
        <w:t>’</w:t>
      </w:r>
      <w:r w:rsidRPr="008725ED">
        <w:rPr>
          <w:rFonts w:ascii="Arial" w:hAnsi="Arial" w:cs="Arial"/>
          <w:sz w:val="20"/>
          <w:szCs w:val="20"/>
          <w:lang w:val="fr-FR"/>
        </w:rPr>
        <w:t>une observation formulée par un expert intéressé a été insérée avec succès;</w:t>
      </w:r>
    </w:p>
    <w:p w:rsidR="008C3126" w:rsidRPr="008725ED" w:rsidRDefault="0052307B" w:rsidP="00D95F3A">
      <w:pPr>
        <w:pStyle w:val="ListParagraph"/>
        <w:numPr>
          <w:ilvl w:val="0"/>
          <w:numId w:val="5"/>
        </w:numPr>
        <w:tabs>
          <w:tab w:val="left" w:pos="1134"/>
        </w:tabs>
        <w:spacing w:after="60" w:line="240" w:lineRule="auto"/>
        <w:ind w:left="1134" w:hanging="567"/>
        <w:contextualSpacing w:val="0"/>
        <w:jc w:val="both"/>
        <w:rPr>
          <w:rFonts w:ascii="Arial" w:hAnsi="Arial" w:cs="Arial"/>
          <w:sz w:val="20"/>
          <w:szCs w:val="20"/>
          <w:lang w:val="fr-FR"/>
        </w:rPr>
      </w:pPr>
      <w:r w:rsidRPr="008725ED">
        <w:rPr>
          <w:rFonts w:ascii="Arial" w:hAnsi="Arial" w:cs="Arial"/>
          <w:sz w:val="20"/>
          <w:szCs w:val="20"/>
          <w:lang w:val="fr-FR"/>
        </w:rPr>
        <w:t xml:space="preserve">améliorer le formatage de la section 5 du questionnaire technique afin de préciser que le demandeur peut soit indiquer le numéro de référence du code RHS des couleurs, soit sélectionner le groupe de couleurs qui </w:t>
      </w:r>
      <w:r w:rsidR="00344B0C" w:rsidRPr="008725ED">
        <w:rPr>
          <w:rFonts w:ascii="Arial" w:hAnsi="Arial" w:cs="Arial"/>
          <w:sz w:val="20"/>
          <w:szCs w:val="20"/>
          <w:lang w:val="fr-FR"/>
        </w:rPr>
        <w:t>est convenu</w:t>
      </w:r>
      <w:r w:rsidRPr="008725ED">
        <w:rPr>
          <w:rFonts w:ascii="Arial" w:hAnsi="Arial" w:cs="Arial"/>
          <w:sz w:val="20"/>
          <w:szCs w:val="20"/>
          <w:lang w:val="fr-FR"/>
        </w:rPr>
        <w:t xml:space="preserve"> dans la liste des groupes de couleur dans les caractères de couleur;</w:t>
      </w:r>
    </w:p>
    <w:p w:rsidR="008C3126" w:rsidRPr="008725ED" w:rsidRDefault="0052307B" w:rsidP="0052307B">
      <w:pPr>
        <w:pStyle w:val="ListParagraph"/>
        <w:numPr>
          <w:ilvl w:val="0"/>
          <w:numId w:val="5"/>
        </w:numPr>
        <w:tabs>
          <w:tab w:val="left" w:pos="1134"/>
        </w:tabs>
        <w:spacing w:after="0" w:line="240" w:lineRule="auto"/>
        <w:ind w:left="1134" w:hanging="567"/>
        <w:contextualSpacing w:val="0"/>
        <w:jc w:val="both"/>
        <w:rPr>
          <w:rFonts w:ascii="Arial" w:hAnsi="Arial" w:cs="Arial"/>
          <w:sz w:val="20"/>
          <w:szCs w:val="20"/>
          <w:lang w:val="fr-FR"/>
        </w:rPr>
      </w:pPr>
      <w:r w:rsidRPr="008725ED">
        <w:rPr>
          <w:rFonts w:ascii="Arial" w:hAnsi="Arial" w:cs="Arial"/>
          <w:sz w:val="20"/>
          <w:szCs w:val="20"/>
          <w:lang w:val="fr-FR"/>
        </w:rPr>
        <w:t>adapter le texte standard concernant le matériel végétal fourni sous forme de cormes</w:t>
      </w:r>
      <w:r w:rsidR="00EF1779" w:rsidRPr="008725ED">
        <w:rPr>
          <w:rFonts w:ascii="Arial" w:hAnsi="Arial" w:cs="Arial"/>
          <w:sz w:val="20"/>
          <w:szCs w:val="20"/>
          <w:lang w:val="fr-FR"/>
        </w:rPr>
        <w:t> :</w:t>
      </w:r>
      <w:r w:rsidRPr="008725ED">
        <w:rPr>
          <w:rFonts w:ascii="Arial" w:hAnsi="Arial" w:cs="Arial"/>
          <w:sz w:val="20"/>
          <w:szCs w:val="20"/>
          <w:lang w:val="fr-FR"/>
        </w:rPr>
        <w:t xml:space="preserve"> “Le matériel doit être fourni sous forme de cormes capables de produire des plantes pour montrer tous les caractères durant la première année d</w:t>
      </w:r>
      <w:r w:rsidR="00EF1779" w:rsidRPr="008725ED">
        <w:rPr>
          <w:rFonts w:ascii="Arial" w:hAnsi="Arial" w:cs="Arial"/>
          <w:sz w:val="20"/>
          <w:szCs w:val="20"/>
          <w:lang w:val="fr-FR"/>
        </w:rPr>
        <w:t>’</w:t>
      </w:r>
      <w:r w:rsidRPr="008725ED">
        <w:rPr>
          <w:rFonts w:ascii="Arial" w:hAnsi="Arial" w:cs="Arial"/>
          <w:sz w:val="20"/>
          <w:szCs w:val="20"/>
          <w:lang w:val="fr-FR"/>
        </w:rPr>
        <w:t>examen”.</w:t>
      </w:r>
    </w:p>
    <w:p w:rsidR="008C3126" w:rsidRPr="008725ED" w:rsidRDefault="008C3126" w:rsidP="0052307B">
      <w:pPr>
        <w:rPr>
          <w:rFonts w:cs="Arial"/>
          <w:lang w:val="fr-FR"/>
        </w:rPr>
      </w:pPr>
    </w:p>
    <w:p w:rsidR="008C3126" w:rsidRPr="008725ED" w:rsidRDefault="0052307B" w:rsidP="0052307B">
      <w:pPr>
        <w:rPr>
          <w:rFonts w:cs="Arial"/>
          <w:lang w:val="fr-FR"/>
        </w:rPr>
      </w:pPr>
      <w:r w:rsidRPr="008725ED">
        <w:rPr>
          <w:rFonts w:cs="Arial"/>
          <w:snapToGrid w:val="0"/>
          <w:lang w:val="fr-FR"/>
        </w:rPr>
        <w:fldChar w:fldCharType="begin"/>
      </w:r>
      <w:r w:rsidRPr="008725ED">
        <w:rPr>
          <w:rFonts w:cs="Arial"/>
          <w:snapToGrid w:val="0"/>
          <w:lang w:val="fr-FR"/>
        </w:rPr>
        <w:instrText xml:space="preserve"> AUTONUM  </w:instrText>
      </w:r>
      <w:r w:rsidRPr="008725ED">
        <w:rPr>
          <w:rFonts w:cs="Arial"/>
          <w:snapToGrid w:val="0"/>
          <w:lang w:val="fr-FR"/>
        </w:rPr>
        <w:fldChar w:fldCharType="end"/>
      </w:r>
      <w:r w:rsidRPr="008725ED">
        <w:rPr>
          <w:rFonts w:cs="Arial"/>
          <w:snapToGrid w:val="0"/>
          <w:lang w:val="fr-FR"/>
        </w:rPr>
        <w:tab/>
      </w:r>
      <w:r w:rsidRPr="008725ED">
        <w:rPr>
          <w:lang w:val="fr-FR"/>
        </w:rPr>
        <w:t xml:space="preserve">Le </w:t>
      </w:r>
      <w:r w:rsidRPr="008725ED">
        <w:rPr>
          <w:rFonts w:cs="Arial"/>
          <w:snapToGrid w:val="0"/>
          <w:lang w:val="fr-FR"/>
        </w:rPr>
        <w:t>TWO</w:t>
      </w:r>
      <w:r w:rsidRPr="008725ED">
        <w:rPr>
          <w:rFonts w:cs="Arial"/>
          <w:lang w:val="fr-FR"/>
        </w:rPr>
        <w:t xml:space="preserve"> a examiné le document TWO/49/20 “Definition of color groups from RHS Colour Charts”.  Le TWO a examiné les noms de couleurs utilisés dans la sixième édition du code RHS des couleurs et est convenu qu</w:t>
      </w:r>
      <w:r w:rsidR="00EF1779" w:rsidRPr="008725ED">
        <w:rPr>
          <w:rFonts w:cs="Arial"/>
          <w:lang w:val="fr-FR"/>
        </w:rPr>
        <w:t>’</w:t>
      </w:r>
      <w:r w:rsidRPr="008725ED">
        <w:rPr>
          <w:rFonts w:cs="Arial"/>
          <w:lang w:val="fr-FR"/>
        </w:rPr>
        <w:t>ils ne traduisaient pas toujours la similitude de couleurs entre différentes parti</w:t>
      </w:r>
      <w:r w:rsidR="00D43219" w:rsidRPr="008725ED">
        <w:rPr>
          <w:rFonts w:cs="Arial"/>
          <w:lang w:val="fr-FR"/>
        </w:rPr>
        <w:t>es.  Le</w:t>
      </w:r>
      <w:r w:rsidRPr="008725ED">
        <w:rPr>
          <w:rFonts w:cs="Arial"/>
          <w:lang w:val="fr-FR"/>
        </w:rPr>
        <w:t> TWO a constaté que les couleurs similaires du code de couleurs RHS étaient regroupées sous le même groupe de couleurs de l</w:t>
      </w:r>
      <w:r w:rsidR="00EF1779" w:rsidRPr="008725ED">
        <w:rPr>
          <w:rFonts w:cs="Arial"/>
          <w:lang w:val="fr-FR"/>
        </w:rPr>
        <w:t>’</w:t>
      </w:r>
      <w:r w:rsidRPr="008725ED">
        <w:rPr>
          <w:rFonts w:cs="Arial"/>
          <w:lang w:val="fr-FR"/>
        </w:rPr>
        <w:t>UPOV et il est convenu que le système actuel de l</w:t>
      </w:r>
      <w:r w:rsidR="00EF1779" w:rsidRPr="008725ED">
        <w:rPr>
          <w:rFonts w:cs="Arial"/>
          <w:lang w:val="fr-FR"/>
        </w:rPr>
        <w:t>’</w:t>
      </w:r>
      <w:r w:rsidRPr="008725ED">
        <w:rPr>
          <w:rFonts w:cs="Arial"/>
          <w:lang w:val="fr-FR"/>
        </w:rPr>
        <w:t>UPOV était plus adapté à la description de variét</w:t>
      </w:r>
      <w:r w:rsidR="00D43219" w:rsidRPr="008725ED">
        <w:rPr>
          <w:rFonts w:cs="Arial"/>
          <w:lang w:val="fr-FR"/>
        </w:rPr>
        <w:t>és.  Le</w:t>
      </w:r>
      <w:r w:rsidRPr="008725ED">
        <w:rPr>
          <w:rFonts w:cs="Arial"/>
          <w:lang w:val="fr-FR"/>
        </w:rPr>
        <w:t> TWO a examiné les termes utilisés pour les noms de couleurs figurant dans la sixième édition du code RHS des couleurs et il est convenu qu</w:t>
      </w:r>
      <w:r w:rsidR="00EF1779" w:rsidRPr="008725ED">
        <w:rPr>
          <w:rFonts w:cs="Arial"/>
          <w:lang w:val="fr-FR"/>
        </w:rPr>
        <w:t>’</w:t>
      </w:r>
      <w:r w:rsidRPr="008725ED">
        <w:rPr>
          <w:rFonts w:cs="Arial"/>
          <w:lang w:val="fr-FR"/>
        </w:rPr>
        <w:t>ils n</w:t>
      </w:r>
      <w:r w:rsidR="00EF1779" w:rsidRPr="008725ED">
        <w:rPr>
          <w:rFonts w:cs="Arial"/>
          <w:lang w:val="fr-FR"/>
        </w:rPr>
        <w:t>’</w:t>
      </w:r>
      <w:r w:rsidRPr="008725ED">
        <w:rPr>
          <w:rFonts w:cs="Arial"/>
          <w:lang w:val="fr-FR"/>
        </w:rPr>
        <w:t>étaient pas adaptés à un usage dans le cadre des examens DHS ni pour l</w:t>
      </w:r>
      <w:r w:rsidR="00EF1779" w:rsidRPr="008725ED">
        <w:rPr>
          <w:rFonts w:cs="Arial"/>
          <w:lang w:val="fr-FR"/>
        </w:rPr>
        <w:t>’</w:t>
      </w:r>
      <w:r w:rsidRPr="008725ED">
        <w:rPr>
          <w:rFonts w:cs="Arial"/>
          <w:lang w:val="fr-FR"/>
        </w:rPr>
        <w:t>établissement de descriptions variétales (p. ex. “pâle”, “nuancé”, “vif”, “brillant”, “foncé”, “soutenu”).</w:t>
      </w:r>
    </w:p>
    <w:p w:rsidR="008C3126" w:rsidRPr="008725ED" w:rsidRDefault="008C3126" w:rsidP="0052307B">
      <w:pPr>
        <w:rPr>
          <w:lang w:val="fr-FR"/>
        </w:rPr>
      </w:pPr>
    </w:p>
    <w:p w:rsidR="008C3126" w:rsidRPr="008725ED" w:rsidRDefault="0052307B" w:rsidP="0052307B">
      <w:pPr>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r>
      <w:r w:rsidRPr="008725ED">
        <w:rPr>
          <w:lang w:val="fr-FR"/>
        </w:rPr>
        <w:t xml:space="preserve">Le </w:t>
      </w:r>
      <w:r w:rsidRPr="008725ED">
        <w:rPr>
          <w:rFonts w:cs="Arial"/>
          <w:lang w:val="fr-FR"/>
        </w:rPr>
        <w:t>TWO est convenu d</w:t>
      </w:r>
      <w:r w:rsidR="00EF1779" w:rsidRPr="008725ED">
        <w:rPr>
          <w:rFonts w:cs="Arial"/>
          <w:lang w:val="fr-FR"/>
        </w:rPr>
        <w:t>’</w:t>
      </w:r>
      <w:r w:rsidRPr="008725ED">
        <w:rPr>
          <w:rFonts w:cs="Arial"/>
          <w:lang w:val="fr-FR"/>
        </w:rPr>
        <w:t>utiliser la sixième édition comme base de référence pour la création d</w:t>
      </w:r>
      <w:r w:rsidR="00EF1779" w:rsidRPr="008725ED">
        <w:rPr>
          <w:rFonts w:cs="Arial"/>
          <w:lang w:val="fr-FR"/>
        </w:rPr>
        <w:t>’</w:t>
      </w:r>
      <w:r w:rsidRPr="008725ED">
        <w:rPr>
          <w:rFonts w:cs="Arial"/>
          <w:lang w:val="fr-FR"/>
        </w:rPr>
        <w:t>une nouvelle liste révisée en vue de remplacer les groupes de couleurs actuels de l</w:t>
      </w:r>
      <w:r w:rsidR="00EF1779" w:rsidRPr="008725ED">
        <w:rPr>
          <w:rFonts w:cs="Arial"/>
          <w:lang w:val="fr-FR"/>
        </w:rPr>
        <w:t>’</w:t>
      </w:r>
      <w:r w:rsidRPr="008725ED">
        <w:rPr>
          <w:rFonts w:cs="Arial"/>
          <w:lang w:val="fr-FR"/>
        </w:rPr>
        <w:t>UPOV, présentés dans le document TGP/14 “Glossaire de termes utilisés dans les documents de l</w:t>
      </w:r>
      <w:r w:rsidR="00EF1779" w:rsidRPr="008725ED">
        <w:rPr>
          <w:rFonts w:cs="Arial"/>
          <w:lang w:val="fr-FR"/>
        </w:rPr>
        <w:t>’</w:t>
      </w:r>
      <w:r w:rsidRPr="008725ED">
        <w:rPr>
          <w:rFonts w:cs="Arial"/>
          <w:lang w:val="fr-FR"/>
        </w:rPr>
        <w:t>UPOV”.  Le TWO est convenu de demander à l</w:t>
      </w:r>
      <w:r w:rsidR="00EF1779" w:rsidRPr="008725ED">
        <w:rPr>
          <w:rFonts w:cs="Arial"/>
          <w:lang w:val="fr-FR"/>
        </w:rPr>
        <w:t>’</w:t>
      </w:r>
      <w:r w:rsidRPr="008725ED">
        <w:rPr>
          <w:rFonts w:cs="Arial"/>
          <w:lang w:val="fr-FR"/>
        </w:rPr>
        <w:t>expert de l</w:t>
      </w:r>
      <w:r w:rsidR="00EF1779" w:rsidRPr="008725ED">
        <w:rPr>
          <w:rFonts w:cs="Arial"/>
          <w:lang w:val="fr-FR"/>
        </w:rPr>
        <w:t>’</w:t>
      </w:r>
      <w:r w:rsidRPr="008725ED">
        <w:rPr>
          <w:rFonts w:cs="Arial"/>
          <w:lang w:val="fr-FR"/>
        </w:rPr>
        <w:t>Allemagne, avec l</w:t>
      </w:r>
      <w:r w:rsidR="00EF1779" w:rsidRPr="008725ED">
        <w:rPr>
          <w:rFonts w:cs="Arial"/>
          <w:lang w:val="fr-FR"/>
        </w:rPr>
        <w:t>’</w:t>
      </w:r>
      <w:r w:rsidRPr="008725ED">
        <w:rPr>
          <w:rFonts w:cs="Arial"/>
          <w:lang w:val="fr-FR"/>
        </w:rPr>
        <w:t>appui des experts de l</w:t>
      </w:r>
      <w:r w:rsidR="00EF1779" w:rsidRPr="008725ED">
        <w:rPr>
          <w:rFonts w:cs="Arial"/>
          <w:lang w:val="fr-FR"/>
        </w:rPr>
        <w:t>’</w:t>
      </w:r>
      <w:r w:rsidRPr="008725ED">
        <w:rPr>
          <w:rFonts w:cs="Arial"/>
          <w:lang w:val="fr-FR"/>
        </w:rPr>
        <w:t>Australie, du Canada, de la Nouvelle</w:t>
      </w:r>
      <w:r w:rsidR="00EF1779" w:rsidRPr="008725ED">
        <w:rPr>
          <w:rFonts w:cs="Arial"/>
          <w:lang w:val="fr-FR"/>
        </w:rPr>
        <w:t>-</w:t>
      </w:r>
      <w:r w:rsidRPr="008725ED">
        <w:rPr>
          <w:rFonts w:cs="Arial"/>
          <w:lang w:val="fr-FR"/>
        </w:rPr>
        <w:t>Zélande, des Pays</w:t>
      </w:r>
      <w:r w:rsidR="00EF1779" w:rsidRPr="008725ED">
        <w:rPr>
          <w:rFonts w:cs="Arial"/>
          <w:lang w:val="fr-FR"/>
        </w:rPr>
        <w:t>-</w:t>
      </w:r>
      <w:r w:rsidRPr="008725ED">
        <w:rPr>
          <w:rFonts w:cs="Arial"/>
          <w:lang w:val="fr-FR"/>
        </w:rPr>
        <w:t>Bas, du Royaume</w:t>
      </w:r>
      <w:r w:rsidR="00EF1779" w:rsidRPr="008725ED">
        <w:rPr>
          <w:rFonts w:cs="Arial"/>
          <w:lang w:val="fr-FR"/>
        </w:rPr>
        <w:t>-</w:t>
      </w:r>
      <w:r w:rsidRPr="008725ED">
        <w:rPr>
          <w:rFonts w:cs="Arial"/>
          <w:lang w:val="fr-FR"/>
        </w:rPr>
        <w:t>Uni et de l</w:t>
      </w:r>
      <w:r w:rsidR="00EF1779" w:rsidRPr="008725ED">
        <w:rPr>
          <w:rFonts w:cs="Arial"/>
          <w:lang w:val="fr-FR"/>
        </w:rPr>
        <w:t>’</w:t>
      </w:r>
      <w:r w:rsidRPr="008725ED">
        <w:rPr>
          <w:rFonts w:cs="Arial"/>
          <w:lang w:val="fr-FR"/>
        </w:rPr>
        <w:t>Union européenne, de rédiger des principes directeurs sur les facteurs à prendre en considération pour la création de groupes de couleurs aux fins du groupement des variétés et de l</w:t>
      </w:r>
      <w:r w:rsidR="00EF1779" w:rsidRPr="008725ED">
        <w:rPr>
          <w:rFonts w:cs="Arial"/>
          <w:lang w:val="fr-FR"/>
        </w:rPr>
        <w:t>’</w:t>
      </w:r>
      <w:r w:rsidRPr="008725ED">
        <w:rPr>
          <w:rFonts w:cs="Arial"/>
          <w:lang w:val="fr-FR"/>
        </w:rPr>
        <w:t>organisation des essais en culture (p. ex. connaissance de la gamme des variations au sein des espèces et des différences de couleurs nécessaires pour que les variétés soient considérées comme étant nettement distinctes).</w:t>
      </w:r>
    </w:p>
    <w:p w:rsidR="008C3126" w:rsidRPr="008725ED" w:rsidRDefault="008C3126" w:rsidP="0052307B">
      <w:pPr>
        <w:rPr>
          <w:rFonts w:cs="Arial"/>
          <w:lang w:val="fr-FR"/>
        </w:rPr>
      </w:pPr>
    </w:p>
    <w:p w:rsidR="008C3126" w:rsidRPr="008725ED" w:rsidRDefault="0052307B" w:rsidP="0052307B">
      <w:pPr>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r>
      <w:r w:rsidRPr="008725ED">
        <w:rPr>
          <w:lang w:val="fr-FR"/>
        </w:rPr>
        <w:t xml:space="preserve">Le </w:t>
      </w:r>
      <w:r w:rsidRPr="008725ED">
        <w:rPr>
          <w:rFonts w:cs="Arial"/>
          <w:lang w:val="fr-FR"/>
        </w:rPr>
        <w:t>TWO est convenu de soumettre six projets de principes directeurs d</w:t>
      </w:r>
      <w:r w:rsidR="00EF1779" w:rsidRPr="008725ED">
        <w:rPr>
          <w:rFonts w:cs="Arial"/>
          <w:lang w:val="fr-FR"/>
        </w:rPr>
        <w:t>’</w:t>
      </w:r>
      <w:r w:rsidRPr="008725ED">
        <w:rPr>
          <w:rFonts w:cs="Arial"/>
          <w:lang w:val="fr-FR"/>
        </w:rPr>
        <w:t>examen au Comité technique pour adoption</w:t>
      </w:r>
      <w:r w:rsidR="00EF1779" w:rsidRPr="008725ED">
        <w:rPr>
          <w:rFonts w:cs="Arial"/>
          <w:lang w:val="fr-FR"/>
        </w:rPr>
        <w:t> :</w:t>
      </w:r>
      <w:r w:rsidRPr="008725ED">
        <w:rPr>
          <w:rFonts w:cs="Arial"/>
          <w:lang w:val="fr-FR"/>
        </w:rPr>
        <w:t xml:space="preserve"> abelia;  aglaonema;  dianella (révision partielle);  freesia (révision);  lavande (révision partielle);  et pétunia (révision).  À sa cinquant</w:t>
      </w:r>
      <w:r w:rsidR="00EF1779" w:rsidRPr="008725ED">
        <w:rPr>
          <w:rFonts w:cs="Arial"/>
          <w:lang w:val="fr-FR"/>
        </w:rPr>
        <w:t>ième session</w:t>
      </w:r>
      <w:r w:rsidRPr="008725ED">
        <w:rPr>
          <w:rFonts w:cs="Arial"/>
          <w:lang w:val="fr-FR"/>
        </w:rPr>
        <w:t>, qui se tiendra en 2017, le TWO a prévu d</w:t>
      </w:r>
      <w:r w:rsidR="00EF1779" w:rsidRPr="008725ED">
        <w:rPr>
          <w:rFonts w:cs="Arial"/>
          <w:lang w:val="fr-FR"/>
        </w:rPr>
        <w:t>’</w:t>
      </w:r>
      <w:r w:rsidRPr="008725ED">
        <w:rPr>
          <w:rFonts w:cs="Arial"/>
          <w:lang w:val="fr-FR"/>
        </w:rPr>
        <w:t>examiner 16 principes directeurs d</w:t>
      </w:r>
      <w:r w:rsidR="00EF1779" w:rsidRPr="008725ED">
        <w:rPr>
          <w:rFonts w:cs="Arial"/>
          <w:lang w:val="fr-FR"/>
        </w:rPr>
        <w:t>’</w:t>
      </w:r>
      <w:r w:rsidRPr="008725ED">
        <w:rPr>
          <w:rFonts w:cs="Arial"/>
          <w:lang w:val="fr-FR"/>
        </w:rPr>
        <w:t>examen, soit 2 révisions partielles, 5 révisions et 9 nouveaux principes.</w:t>
      </w:r>
    </w:p>
    <w:p w:rsidR="008C3126" w:rsidRPr="008725ED" w:rsidRDefault="008C3126" w:rsidP="0052307B">
      <w:pPr>
        <w:rPr>
          <w:rFonts w:cs="Arial"/>
          <w:i/>
          <w:lang w:val="fr-FR"/>
        </w:rPr>
      </w:pPr>
    </w:p>
    <w:p w:rsidR="008C3126" w:rsidRPr="008725ED" w:rsidRDefault="0052307B" w:rsidP="0052307B">
      <w:pPr>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Sur l</w:t>
      </w:r>
      <w:r w:rsidR="00EF1779" w:rsidRPr="008725ED">
        <w:rPr>
          <w:rFonts w:cs="Arial"/>
          <w:lang w:val="fr-FR"/>
        </w:rPr>
        <w:t>’</w:t>
      </w:r>
      <w:r w:rsidRPr="008725ED">
        <w:rPr>
          <w:rFonts w:cs="Arial"/>
          <w:lang w:val="fr-FR"/>
        </w:rPr>
        <w:t>invitation du Canada, le TWO est convenu de tenir sa cinquant</w:t>
      </w:r>
      <w:r w:rsidR="00EF1779" w:rsidRPr="008725ED">
        <w:rPr>
          <w:rFonts w:cs="Arial"/>
          <w:lang w:val="fr-FR"/>
        </w:rPr>
        <w:t>ième session</w:t>
      </w:r>
      <w:r w:rsidRPr="008725ED">
        <w:rPr>
          <w:rFonts w:cs="Arial"/>
          <w:lang w:val="fr-FR"/>
        </w:rPr>
        <w:t xml:space="preserve"> à Victoria, Colombie britannique (Canada), du 11 au 15 septembre 2017, un atelier préparatoire étant prévu le 10 septembre 2017.</w:t>
      </w:r>
    </w:p>
    <w:p w:rsidR="008C3126" w:rsidRPr="008725ED" w:rsidRDefault="008C3126" w:rsidP="0052307B">
      <w:pPr>
        <w:rPr>
          <w:rFonts w:cs="Arial"/>
          <w:lang w:val="fr-FR"/>
        </w:rPr>
      </w:pPr>
    </w:p>
    <w:p w:rsidR="008C3126" w:rsidRPr="008725ED" w:rsidRDefault="0052307B" w:rsidP="0052307B">
      <w:pPr>
        <w:rPr>
          <w:rFonts w:eastAsia="Arial Unicode MS" w:cs="Arial"/>
          <w:lang w:val="fr-FR"/>
        </w:rPr>
      </w:pPr>
      <w:r w:rsidRPr="008725ED">
        <w:rPr>
          <w:rFonts w:eastAsia="Arial Unicode MS" w:cs="Arial"/>
          <w:lang w:val="fr-FR"/>
        </w:rPr>
        <w:fldChar w:fldCharType="begin"/>
      </w:r>
      <w:r w:rsidRPr="008725ED">
        <w:rPr>
          <w:rFonts w:eastAsia="Arial Unicode MS" w:cs="Arial"/>
          <w:lang w:val="fr-FR"/>
        </w:rPr>
        <w:instrText xml:space="preserve"> AUTONUM  </w:instrText>
      </w:r>
      <w:r w:rsidRPr="008725ED">
        <w:rPr>
          <w:rFonts w:eastAsia="Arial Unicode MS" w:cs="Arial"/>
          <w:lang w:val="fr-FR"/>
        </w:rPr>
        <w:fldChar w:fldCharType="end"/>
      </w:r>
      <w:r w:rsidRPr="008725ED">
        <w:rPr>
          <w:rFonts w:eastAsia="Arial Unicode MS" w:cs="Arial"/>
          <w:lang w:val="fr-FR"/>
        </w:rPr>
        <w:tab/>
        <w:t>Le TWO est convenu de proposer au</w:t>
      </w:r>
      <w:r w:rsidR="00EF1779" w:rsidRPr="008725ED">
        <w:rPr>
          <w:rFonts w:eastAsia="Arial Unicode MS" w:cs="Arial"/>
          <w:lang w:val="fr-FR"/>
        </w:rPr>
        <w:t> TC</w:t>
      </w:r>
      <w:r w:rsidRPr="008725ED">
        <w:rPr>
          <w:rFonts w:eastAsia="Arial Unicode MS" w:cs="Arial"/>
          <w:lang w:val="fr-FR"/>
        </w:rPr>
        <w:t xml:space="preserve"> qu</w:t>
      </w:r>
      <w:r w:rsidR="00EF1779" w:rsidRPr="008725ED">
        <w:rPr>
          <w:rFonts w:eastAsia="Arial Unicode MS" w:cs="Arial"/>
          <w:lang w:val="fr-FR"/>
        </w:rPr>
        <w:t>’</w:t>
      </w:r>
      <w:r w:rsidRPr="008725ED">
        <w:rPr>
          <w:rFonts w:eastAsia="Arial Unicode MS" w:cs="Arial"/>
          <w:lang w:val="fr-FR"/>
        </w:rPr>
        <w:t>il recommande au Conseil d</w:t>
      </w:r>
      <w:r w:rsidR="00EF1779" w:rsidRPr="008725ED">
        <w:rPr>
          <w:rFonts w:eastAsia="Arial Unicode MS" w:cs="Arial"/>
          <w:lang w:val="fr-FR"/>
        </w:rPr>
        <w:t>’</w:t>
      </w:r>
      <w:r w:rsidRPr="008725ED">
        <w:rPr>
          <w:rFonts w:eastAsia="Arial Unicode MS" w:cs="Arial"/>
          <w:lang w:val="fr-FR"/>
        </w:rPr>
        <w:t>élire M. Henk de Greef (Pays</w:t>
      </w:r>
      <w:r w:rsidR="00EF1779" w:rsidRPr="008725ED">
        <w:rPr>
          <w:rFonts w:eastAsia="Arial Unicode MS" w:cs="Arial"/>
          <w:lang w:val="fr-FR"/>
        </w:rPr>
        <w:t>-</w:t>
      </w:r>
      <w:r w:rsidRPr="008725ED">
        <w:rPr>
          <w:rFonts w:eastAsia="Arial Unicode MS" w:cs="Arial"/>
          <w:lang w:val="fr-FR"/>
        </w:rPr>
        <w:t>Bas) prochain président du TWO.</w:t>
      </w:r>
    </w:p>
    <w:p w:rsidR="008C3126" w:rsidRPr="008725ED" w:rsidRDefault="008C3126" w:rsidP="0052307B">
      <w:pPr>
        <w:rPr>
          <w:rFonts w:cs="Arial"/>
          <w:lang w:val="fr-FR"/>
        </w:rPr>
      </w:pPr>
    </w:p>
    <w:p w:rsidR="008C3126" w:rsidRPr="008725ED" w:rsidRDefault="0052307B" w:rsidP="0052307B">
      <w:pPr>
        <w:keepNext/>
        <w:rPr>
          <w:rFonts w:cs="Arial"/>
          <w:lang w:val="fr-FR"/>
        </w:rPr>
      </w:pPr>
      <w:r w:rsidRPr="008725ED">
        <w:rPr>
          <w:rFonts w:cs="Arial"/>
          <w:lang w:val="fr-FR"/>
        </w:rPr>
        <w:fldChar w:fldCharType="begin"/>
      </w:r>
      <w:r w:rsidRPr="008725ED">
        <w:rPr>
          <w:rFonts w:cs="Arial"/>
          <w:lang w:val="fr-FR"/>
        </w:rPr>
        <w:instrText xml:space="preserve"> AUTONUM  </w:instrText>
      </w:r>
      <w:r w:rsidRPr="008725ED">
        <w:rPr>
          <w:rFonts w:cs="Arial"/>
          <w:lang w:val="fr-FR"/>
        </w:rPr>
        <w:fldChar w:fldCharType="end"/>
      </w:r>
      <w:r w:rsidRPr="008725ED">
        <w:rPr>
          <w:rFonts w:cs="Arial"/>
          <w:lang w:val="fr-FR"/>
        </w:rPr>
        <w:tab/>
        <w:t>Le TWO est convenu d</w:t>
      </w:r>
      <w:r w:rsidR="00EF1779" w:rsidRPr="008725ED">
        <w:rPr>
          <w:rFonts w:cs="Arial"/>
          <w:lang w:val="fr-FR"/>
        </w:rPr>
        <w:t>’</w:t>
      </w:r>
      <w:r w:rsidRPr="008725ED">
        <w:rPr>
          <w:rFonts w:cs="Arial"/>
          <w:lang w:val="fr-FR"/>
        </w:rPr>
        <w:t>examiner les points suivants à sa prochaine session</w:t>
      </w:r>
      <w:r w:rsidR="00EF1779" w:rsidRPr="008725ED">
        <w:rPr>
          <w:rFonts w:cs="Arial"/>
          <w:lang w:val="fr-FR"/>
        </w:rPr>
        <w:t> :</w:t>
      </w:r>
    </w:p>
    <w:p w:rsidR="008C3126" w:rsidRPr="008725ED" w:rsidRDefault="008C3126" w:rsidP="0052307B">
      <w:pPr>
        <w:keepNext/>
        <w:rPr>
          <w:rFonts w:cs="Arial"/>
          <w:lang w:val="fr-FR"/>
        </w:rPr>
      </w:pPr>
    </w:p>
    <w:p w:rsidR="008C3126" w:rsidRPr="008725ED" w:rsidRDefault="0052307B" w:rsidP="0052307B">
      <w:pPr>
        <w:spacing w:line="276" w:lineRule="auto"/>
        <w:ind w:left="567"/>
        <w:rPr>
          <w:rFonts w:cs="Arial"/>
          <w:lang w:val="fr-FR"/>
        </w:rPr>
      </w:pPr>
      <w:r w:rsidRPr="008725ED">
        <w:rPr>
          <w:rFonts w:cs="Arial"/>
          <w:lang w:val="fr-FR"/>
        </w:rPr>
        <w:t>1.</w:t>
      </w:r>
      <w:r w:rsidRPr="008725ED">
        <w:rPr>
          <w:rFonts w:cs="Arial"/>
          <w:lang w:val="fr-FR"/>
        </w:rPr>
        <w:tab/>
        <w:t>Ouverture de la session</w:t>
      </w:r>
    </w:p>
    <w:p w:rsidR="008C3126" w:rsidRPr="008725ED" w:rsidRDefault="0052307B" w:rsidP="0052307B">
      <w:pPr>
        <w:spacing w:line="276" w:lineRule="auto"/>
        <w:ind w:left="567"/>
        <w:rPr>
          <w:rFonts w:cs="Arial"/>
          <w:lang w:val="fr-FR"/>
        </w:rPr>
      </w:pPr>
      <w:r w:rsidRPr="008725ED">
        <w:rPr>
          <w:rFonts w:cs="Arial"/>
          <w:lang w:val="fr-FR"/>
        </w:rPr>
        <w:t>2.</w:t>
      </w:r>
      <w:r w:rsidRPr="008725ED">
        <w:rPr>
          <w:rFonts w:cs="Arial"/>
          <w:lang w:val="fr-FR"/>
        </w:rPr>
        <w:tab/>
        <w:t>Adoption de l</w:t>
      </w:r>
      <w:r w:rsidR="00EF1779" w:rsidRPr="008725ED">
        <w:rPr>
          <w:rFonts w:cs="Arial"/>
          <w:lang w:val="fr-FR"/>
        </w:rPr>
        <w:t>’</w:t>
      </w:r>
      <w:r w:rsidRPr="008725ED">
        <w:rPr>
          <w:rFonts w:cs="Arial"/>
          <w:lang w:val="fr-FR"/>
        </w:rPr>
        <w:t>ordre du jour</w:t>
      </w:r>
    </w:p>
    <w:p w:rsidR="008C3126" w:rsidRPr="008725ED" w:rsidRDefault="0052307B" w:rsidP="0052307B">
      <w:pPr>
        <w:keepNext/>
        <w:keepLines/>
        <w:spacing w:line="276" w:lineRule="auto"/>
        <w:ind w:left="1134" w:hanging="567"/>
        <w:rPr>
          <w:rFonts w:cs="Arial"/>
          <w:lang w:val="fr-FR"/>
        </w:rPr>
      </w:pPr>
      <w:r w:rsidRPr="008725ED">
        <w:rPr>
          <w:rFonts w:cs="Arial"/>
          <w:lang w:val="fr-FR"/>
        </w:rPr>
        <w:t>3.</w:t>
      </w:r>
      <w:r w:rsidRPr="008725ED">
        <w:rPr>
          <w:rFonts w:cs="Arial"/>
          <w:lang w:val="fr-FR"/>
        </w:rPr>
        <w:tab/>
        <w:t>Rapports succincts sur l</w:t>
      </w:r>
      <w:r w:rsidR="00EF1779" w:rsidRPr="008725ED">
        <w:rPr>
          <w:rFonts w:cs="Arial"/>
          <w:lang w:val="fr-FR"/>
        </w:rPr>
        <w:t>’</w:t>
      </w:r>
      <w:r w:rsidRPr="008725ED">
        <w:rPr>
          <w:rFonts w:cs="Arial"/>
          <w:lang w:val="fr-FR"/>
        </w:rPr>
        <w:t>évolution de la situation en matière de protection des obtentions végétales</w:t>
      </w:r>
      <w:r w:rsidR="00EF1779" w:rsidRPr="008725ED">
        <w:rPr>
          <w:rFonts w:cs="Arial"/>
          <w:lang w:val="fr-FR"/>
        </w:rPr>
        <w:t> :</w:t>
      </w:r>
    </w:p>
    <w:p w:rsidR="008C3126" w:rsidRPr="008725ED" w:rsidRDefault="0052307B" w:rsidP="0052307B">
      <w:pPr>
        <w:keepNext/>
        <w:keepLines/>
        <w:spacing w:line="276" w:lineRule="auto"/>
        <w:ind w:left="1701" w:hanging="567"/>
        <w:rPr>
          <w:rFonts w:cs="Arial"/>
          <w:lang w:val="fr-FR"/>
        </w:rPr>
      </w:pPr>
      <w:r w:rsidRPr="008725ED">
        <w:rPr>
          <w:rFonts w:cs="Arial"/>
          <w:lang w:val="fr-FR"/>
        </w:rPr>
        <w:t>a)</w:t>
      </w:r>
      <w:r w:rsidRPr="008725ED">
        <w:rPr>
          <w:rFonts w:cs="Arial"/>
          <w:lang w:val="fr-FR"/>
        </w:rPr>
        <w:tab/>
        <w:t>Rapports des membres et des observateurs (rapports écrits à établir par les membres et observateurs)</w:t>
      </w:r>
    </w:p>
    <w:p w:rsidR="008C3126" w:rsidRPr="008725ED" w:rsidRDefault="0052307B" w:rsidP="0052307B">
      <w:pPr>
        <w:keepNext/>
        <w:keepLines/>
        <w:spacing w:line="276" w:lineRule="auto"/>
        <w:ind w:left="1134"/>
        <w:rPr>
          <w:rFonts w:cs="Arial"/>
          <w:lang w:val="fr-FR"/>
        </w:rPr>
      </w:pPr>
      <w:r w:rsidRPr="008725ED">
        <w:rPr>
          <w:rFonts w:cs="Arial"/>
          <w:lang w:val="fr-FR"/>
        </w:rPr>
        <w:t>b)</w:t>
      </w:r>
      <w:r w:rsidRPr="008725ED">
        <w:rPr>
          <w:rFonts w:cs="Arial"/>
          <w:lang w:val="fr-FR"/>
        </w:rPr>
        <w:tab/>
        <w:t>Rapports sur les faits nouveaux intervenus à l</w:t>
      </w:r>
      <w:r w:rsidR="00EF1779" w:rsidRPr="008725ED">
        <w:rPr>
          <w:rFonts w:cs="Arial"/>
          <w:lang w:val="fr-FR"/>
        </w:rPr>
        <w:t>’</w:t>
      </w:r>
      <w:r w:rsidRPr="008725ED">
        <w:rPr>
          <w:rFonts w:cs="Arial"/>
          <w:lang w:val="fr-FR"/>
        </w:rPr>
        <w:t>UPOV (rapport verbal du Bureau de l</w:t>
      </w:r>
      <w:r w:rsidR="00EF1779" w:rsidRPr="008725ED">
        <w:rPr>
          <w:rFonts w:cs="Arial"/>
          <w:lang w:val="fr-FR"/>
        </w:rPr>
        <w:t>’</w:t>
      </w:r>
      <w:r w:rsidRPr="008725ED">
        <w:rPr>
          <w:rFonts w:cs="Arial"/>
          <w:lang w:val="fr-FR"/>
        </w:rPr>
        <w:t>Union)</w:t>
      </w:r>
    </w:p>
    <w:p w:rsidR="008C3126" w:rsidRPr="008725ED" w:rsidRDefault="0052307B" w:rsidP="0052307B">
      <w:pPr>
        <w:spacing w:line="276" w:lineRule="auto"/>
        <w:ind w:left="567"/>
        <w:rPr>
          <w:rFonts w:cs="Arial"/>
          <w:lang w:val="fr-FR"/>
        </w:rPr>
      </w:pPr>
      <w:r w:rsidRPr="008725ED">
        <w:rPr>
          <w:rFonts w:cs="Arial"/>
          <w:lang w:val="fr-FR"/>
        </w:rPr>
        <w:t>4.</w:t>
      </w:r>
      <w:r w:rsidRPr="008725ED">
        <w:rPr>
          <w:rFonts w:cs="Arial"/>
          <w:lang w:val="fr-FR"/>
        </w:rPr>
        <w:tab/>
        <w:t>Techniques moléculaires (document à établir par le Bureau de l</w:t>
      </w:r>
      <w:r w:rsidR="00EF1779" w:rsidRPr="008725ED">
        <w:rPr>
          <w:rFonts w:cs="Arial"/>
          <w:lang w:val="fr-FR"/>
        </w:rPr>
        <w:t>’</w:t>
      </w:r>
      <w:r w:rsidRPr="008725ED">
        <w:rPr>
          <w:rFonts w:cs="Arial"/>
          <w:lang w:val="fr-FR"/>
        </w:rPr>
        <w:t>Union)</w:t>
      </w:r>
    </w:p>
    <w:p w:rsidR="008C3126" w:rsidRPr="008725ED" w:rsidRDefault="0052307B" w:rsidP="0052307B">
      <w:pPr>
        <w:spacing w:line="276" w:lineRule="auto"/>
        <w:ind w:left="567"/>
        <w:rPr>
          <w:rFonts w:cs="Arial"/>
          <w:lang w:val="fr-FR"/>
        </w:rPr>
      </w:pPr>
      <w:r w:rsidRPr="008725ED">
        <w:rPr>
          <w:rFonts w:cs="Arial"/>
          <w:lang w:val="fr-FR"/>
        </w:rPr>
        <w:t>5.</w:t>
      </w:r>
      <w:r w:rsidRPr="008725ED">
        <w:rPr>
          <w:rFonts w:cs="Arial"/>
          <w:lang w:val="fr-FR"/>
        </w:rPr>
        <w:tab/>
        <w:t>Documents TGP (documents à établir par le Bureau de l</w:t>
      </w:r>
      <w:r w:rsidR="00EF1779" w:rsidRPr="008725ED">
        <w:rPr>
          <w:rFonts w:cs="Arial"/>
          <w:lang w:val="fr-FR"/>
        </w:rPr>
        <w:t>’</w:t>
      </w:r>
      <w:r w:rsidRPr="008725ED">
        <w:rPr>
          <w:rFonts w:cs="Arial"/>
          <w:lang w:val="fr-FR"/>
        </w:rPr>
        <w:t>Union)</w:t>
      </w:r>
    </w:p>
    <w:p w:rsidR="008C3126" w:rsidRPr="008725ED" w:rsidRDefault="0052307B" w:rsidP="0052307B">
      <w:pPr>
        <w:spacing w:line="276" w:lineRule="auto"/>
        <w:ind w:left="567"/>
        <w:rPr>
          <w:rFonts w:cs="Arial"/>
          <w:lang w:val="fr-FR"/>
        </w:rPr>
      </w:pPr>
      <w:r w:rsidRPr="008725ED">
        <w:rPr>
          <w:rFonts w:cs="Arial"/>
          <w:lang w:val="fr-FR"/>
        </w:rPr>
        <w:t>6.</w:t>
      </w:r>
      <w:r w:rsidRPr="008725ED">
        <w:rPr>
          <w:rFonts w:cs="Arial"/>
          <w:lang w:val="fr-FR"/>
        </w:rPr>
        <w:tab/>
        <w:t>Dénominations variétales (document à établir par le Bureau de l</w:t>
      </w:r>
      <w:r w:rsidR="00EF1779" w:rsidRPr="008725ED">
        <w:rPr>
          <w:rFonts w:cs="Arial"/>
          <w:lang w:val="fr-FR"/>
        </w:rPr>
        <w:t>’</w:t>
      </w:r>
      <w:r w:rsidRPr="008725ED">
        <w:rPr>
          <w:rFonts w:cs="Arial"/>
          <w:lang w:val="fr-FR"/>
        </w:rPr>
        <w:t>Union)</w:t>
      </w:r>
    </w:p>
    <w:p w:rsidR="008C3126" w:rsidRPr="008725ED" w:rsidRDefault="0052307B" w:rsidP="0052307B">
      <w:pPr>
        <w:keepNext/>
        <w:spacing w:line="276" w:lineRule="auto"/>
        <w:ind w:left="567"/>
        <w:rPr>
          <w:rFonts w:cs="Arial"/>
          <w:lang w:val="fr-FR"/>
        </w:rPr>
      </w:pPr>
      <w:r w:rsidRPr="008725ED">
        <w:rPr>
          <w:rFonts w:cs="Arial"/>
          <w:lang w:val="fr-FR"/>
        </w:rPr>
        <w:t>7.</w:t>
      </w:r>
      <w:r w:rsidRPr="008725ED">
        <w:rPr>
          <w:rFonts w:cs="Arial"/>
          <w:lang w:val="fr-FR"/>
        </w:rPr>
        <w:tab/>
        <w:t>Informations et bases de données</w:t>
      </w:r>
    </w:p>
    <w:p w:rsidR="008C3126" w:rsidRPr="008725ED" w:rsidRDefault="0052307B" w:rsidP="0052307B">
      <w:pPr>
        <w:spacing w:line="276" w:lineRule="auto"/>
        <w:ind w:left="1701" w:hanging="567"/>
        <w:rPr>
          <w:rFonts w:cs="Arial"/>
          <w:lang w:val="fr-FR"/>
        </w:rPr>
      </w:pPr>
      <w:r w:rsidRPr="008725ED">
        <w:rPr>
          <w:rFonts w:cs="Arial"/>
          <w:lang w:val="fr-FR"/>
        </w:rPr>
        <w:t>a)</w:t>
      </w:r>
      <w:r w:rsidRPr="008725ED">
        <w:rPr>
          <w:rFonts w:cs="Arial"/>
          <w:lang w:val="fr-FR"/>
        </w:rPr>
        <w:tab/>
        <w:t>Bases de données d</w:t>
      </w:r>
      <w:r w:rsidR="00EF1779" w:rsidRPr="008725ED">
        <w:rPr>
          <w:rFonts w:cs="Arial"/>
          <w:lang w:val="fr-FR"/>
        </w:rPr>
        <w:t>’</w:t>
      </w:r>
      <w:r w:rsidRPr="008725ED">
        <w:rPr>
          <w:rFonts w:cs="Arial"/>
          <w:lang w:val="fr-FR"/>
        </w:rPr>
        <w:t>information de l</w:t>
      </w:r>
      <w:r w:rsidR="00EF1779" w:rsidRPr="008725ED">
        <w:rPr>
          <w:rFonts w:cs="Arial"/>
          <w:lang w:val="fr-FR"/>
        </w:rPr>
        <w:t>’</w:t>
      </w:r>
      <w:r w:rsidRPr="008725ED">
        <w:rPr>
          <w:rFonts w:cs="Arial"/>
          <w:lang w:val="fr-FR"/>
        </w:rPr>
        <w:t>UPOV (document à établir par le Bureau de l</w:t>
      </w:r>
      <w:r w:rsidR="00EF1779" w:rsidRPr="008725ED">
        <w:rPr>
          <w:rFonts w:cs="Arial"/>
          <w:lang w:val="fr-FR"/>
        </w:rPr>
        <w:t>’</w:t>
      </w:r>
      <w:r w:rsidRPr="008725ED">
        <w:rPr>
          <w:rFonts w:cs="Arial"/>
          <w:lang w:val="fr-FR"/>
        </w:rPr>
        <w:t>Union)</w:t>
      </w:r>
    </w:p>
    <w:p w:rsidR="008C3126" w:rsidRPr="008725ED" w:rsidRDefault="0052307B" w:rsidP="0052307B">
      <w:pPr>
        <w:spacing w:line="276" w:lineRule="auto"/>
        <w:ind w:left="1701" w:hanging="567"/>
        <w:rPr>
          <w:rFonts w:cs="Arial"/>
          <w:lang w:val="fr-FR"/>
        </w:rPr>
      </w:pPr>
      <w:r w:rsidRPr="008725ED">
        <w:rPr>
          <w:rFonts w:cs="Arial"/>
          <w:lang w:val="fr-FR"/>
        </w:rPr>
        <w:t>b)</w:t>
      </w:r>
      <w:r w:rsidRPr="008725ED">
        <w:rPr>
          <w:rFonts w:cs="Arial"/>
          <w:lang w:val="fr-FR"/>
        </w:rPr>
        <w:tab/>
        <w:t>Bases de données sur les descriptions variétales (document à établir par le Bureau de l</w:t>
      </w:r>
      <w:r w:rsidR="00EF1779" w:rsidRPr="008725ED">
        <w:rPr>
          <w:rFonts w:cs="Arial"/>
          <w:lang w:val="fr-FR"/>
        </w:rPr>
        <w:t>’</w:t>
      </w:r>
      <w:r w:rsidRPr="008725ED">
        <w:rPr>
          <w:rFonts w:cs="Arial"/>
          <w:lang w:val="fr-FR"/>
        </w:rPr>
        <w:t>Union et documents sollicités)</w:t>
      </w:r>
    </w:p>
    <w:p w:rsidR="008C3126" w:rsidRPr="008725ED" w:rsidRDefault="0052307B" w:rsidP="0052307B">
      <w:pPr>
        <w:spacing w:line="276" w:lineRule="auto"/>
        <w:ind w:left="1701" w:hanging="567"/>
        <w:rPr>
          <w:rFonts w:cs="Arial"/>
          <w:lang w:val="fr-FR"/>
        </w:rPr>
      </w:pPr>
      <w:r w:rsidRPr="008725ED">
        <w:rPr>
          <w:rFonts w:cs="Arial"/>
          <w:lang w:val="fr-FR"/>
        </w:rPr>
        <w:t>c)</w:t>
      </w:r>
      <w:r w:rsidRPr="008725ED">
        <w:rPr>
          <w:rFonts w:cs="Arial"/>
          <w:lang w:val="fr-FR"/>
        </w:rPr>
        <w:tab/>
        <w:t>Logiciels échangeables (documents à établir par le Bureau de l</w:t>
      </w:r>
      <w:r w:rsidR="00EF1779" w:rsidRPr="008725ED">
        <w:rPr>
          <w:rFonts w:cs="Arial"/>
          <w:lang w:val="fr-FR"/>
        </w:rPr>
        <w:t>’</w:t>
      </w:r>
      <w:r w:rsidRPr="008725ED">
        <w:rPr>
          <w:rFonts w:cs="Arial"/>
          <w:lang w:val="fr-FR"/>
        </w:rPr>
        <w:t>Union)</w:t>
      </w:r>
    </w:p>
    <w:p w:rsidR="008C3126" w:rsidRPr="008725ED" w:rsidRDefault="0052307B" w:rsidP="0052307B">
      <w:pPr>
        <w:spacing w:line="276" w:lineRule="auto"/>
        <w:ind w:left="1701" w:hanging="567"/>
        <w:rPr>
          <w:rFonts w:cs="Arial"/>
          <w:lang w:val="fr-FR"/>
        </w:rPr>
      </w:pPr>
      <w:r w:rsidRPr="008725ED">
        <w:rPr>
          <w:rFonts w:cs="Arial"/>
          <w:lang w:val="fr-FR"/>
        </w:rPr>
        <w:t>d)</w:t>
      </w:r>
      <w:r w:rsidRPr="008725ED">
        <w:rPr>
          <w:rFonts w:cs="Arial"/>
          <w:lang w:val="fr-FR"/>
        </w:rPr>
        <w:tab/>
        <w:t>Systèmes de dépôt électronique des demandes (document à établir par le Bureau de l</w:t>
      </w:r>
      <w:r w:rsidR="00EF1779" w:rsidRPr="008725ED">
        <w:rPr>
          <w:rFonts w:cs="Arial"/>
          <w:lang w:val="fr-FR"/>
        </w:rPr>
        <w:t>’</w:t>
      </w:r>
      <w:r w:rsidRPr="008725ED">
        <w:rPr>
          <w:rFonts w:cs="Arial"/>
          <w:lang w:val="fr-FR"/>
        </w:rPr>
        <w:t>Union et documents sollicités)</w:t>
      </w:r>
    </w:p>
    <w:p w:rsidR="008C3126" w:rsidRPr="008725ED" w:rsidRDefault="0052307B" w:rsidP="0052307B">
      <w:pPr>
        <w:spacing w:line="276" w:lineRule="auto"/>
        <w:ind w:left="1134" w:hanging="567"/>
        <w:rPr>
          <w:rFonts w:cs="Arial"/>
          <w:lang w:val="fr-FR"/>
        </w:rPr>
      </w:pPr>
      <w:r w:rsidRPr="008725ED">
        <w:rPr>
          <w:rFonts w:cs="Arial"/>
          <w:lang w:val="fr-FR"/>
        </w:rPr>
        <w:t>8.</w:t>
      </w:r>
      <w:r w:rsidRPr="008725ED">
        <w:rPr>
          <w:rFonts w:cs="Arial"/>
          <w:lang w:val="fr-FR"/>
        </w:rPr>
        <w:tab/>
        <w:t>Étude de cas portant sur les écarts minimaux entre les plantes ornementales et fruitières de reproduction asexuée (exposé présenté par l</w:t>
      </w:r>
      <w:r w:rsidR="00EF1779" w:rsidRPr="008725ED">
        <w:rPr>
          <w:rFonts w:cs="Arial"/>
          <w:lang w:val="fr-FR"/>
        </w:rPr>
        <w:t>’</w:t>
      </w:r>
      <w:r w:rsidRPr="008725ED">
        <w:rPr>
          <w:rFonts w:cs="Arial"/>
          <w:lang w:val="fr-FR"/>
        </w:rPr>
        <w:t>Union européenne et exposés sollicités)</w:t>
      </w:r>
    </w:p>
    <w:p w:rsidR="008C3126" w:rsidRPr="008725ED" w:rsidRDefault="0052307B" w:rsidP="0052307B">
      <w:pPr>
        <w:spacing w:line="276" w:lineRule="auto"/>
        <w:ind w:left="1134" w:hanging="567"/>
        <w:rPr>
          <w:rFonts w:cs="Arial"/>
          <w:lang w:val="fr-FR"/>
        </w:rPr>
      </w:pPr>
      <w:r w:rsidRPr="008725ED">
        <w:rPr>
          <w:rFonts w:cs="Arial"/>
          <w:lang w:val="fr-FR"/>
        </w:rPr>
        <w:t>9.</w:t>
      </w:r>
      <w:r w:rsidRPr="008725ED">
        <w:rPr>
          <w:rFonts w:cs="Arial"/>
          <w:lang w:val="fr-FR"/>
        </w:rPr>
        <w:tab/>
        <w:t>Nombre de cycles de végétations dans le cadre de l</w:t>
      </w:r>
      <w:r w:rsidR="00EF1779" w:rsidRPr="008725ED">
        <w:rPr>
          <w:rFonts w:cs="Arial"/>
          <w:lang w:val="fr-FR"/>
        </w:rPr>
        <w:t>’</w:t>
      </w:r>
      <w:r w:rsidRPr="008725ED">
        <w:rPr>
          <w:rFonts w:cs="Arial"/>
          <w:lang w:val="fr-FR"/>
        </w:rPr>
        <w:t>examen DHS (document à préparer par le Bureau de l</w:t>
      </w:r>
      <w:r w:rsidR="00EF1779" w:rsidRPr="008725ED">
        <w:rPr>
          <w:rFonts w:cs="Arial"/>
          <w:lang w:val="fr-FR"/>
        </w:rPr>
        <w:t>’</w:t>
      </w:r>
      <w:r w:rsidRPr="008725ED">
        <w:rPr>
          <w:rFonts w:cs="Arial"/>
          <w:lang w:val="fr-FR"/>
        </w:rPr>
        <w:t>Union et documents sollicités)</w:t>
      </w:r>
    </w:p>
    <w:p w:rsidR="008C3126" w:rsidRPr="008725ED" w:rsidRDefault="0052307B" w:rsidP="0052307B">
      <w:pPr>
        <w:spacing w:line="276" w:lineRule="auto"/>
        <w:ind w:left="1170" w:hanging="603"/>
        <w:rPr>
          <w:rFonts w:cs="Arial"/>
          <w:lang w:val="fr-FR"/>
        </w:rPr>
      </w:pPr>
      <w:r w:rsidRPr="008725ED">
        <w:rPr>
          <w:rFonts w:cs="Arial"/>
          <w:lang w:val="fr-FR"/>
        </w:rPr>
        <w:t>10.</w:t>
      </w:r>
      <w:r w:rsidRPr="008725ED">
        <w:rPr>
          <w:rFonts w:cs="Arial"/>
          <w:lang w:val="fr-FR"/>
        </w:rPr>
        <w:tab/>
        <w:t>Expression des caractères d</w:t>
      </w:r>
      <w:r w:rsidR="00EF1779" w:rsidRPr="008725ED">
        <w:rPr>
          <w:rFonts w:cs="Arial"/>
          <w:lang w:val="fr-FR"/>
        </w:rPr>
        <w:t>’</w:t>
      </w:r>
      <w:r w:rsidRPr="008725ED">
        <w:rPr>
          <w:rFonts w:cs="Arial"/>
          <w:lang w:val="fr-FR"/>
        </w:rPr>
        <w:t>une année ou d</w:t>
      </w:r>
      <w:r w:rsidR="00EF1779" w:rsidRPr="008725ED">
        <w:rPr>
          <w:rFonts w:cs="Arial"/>
          <w:lang w:val="fr-FR"/>
        </w:rPr>
        <w:t>’</w:t>
      </w:r>
      <w:r w:rsidRPr="008725ED">
        <w:rPr>
          <w:rFonts w:cs="Arial"/>
          <w:lang w:val="fr-FR"/>
        </w:rPr>
        <w:t>un environnement à l</w:t>
      </w:r>
      <w:r w:rsidR="00EF1779" w:rsidRPr="008725ED">
        <w:rPr>
          <w:rFonts w:cs="Arial"/>
          <w:lang w:val="fr-FR"/>
        </w:rPr>
        <w:t>’</w:t>
      </w:r>
      <w:r w:rsidRPr="008725ED">
        <w:rPr>
          <w:rFonts w:cs="Arial"/>
          <w:lang w:val="fr-FR"/>
        </w:rPr>
        <w:t>autre chez les variétés ornementales (documents à préparer par l</w:t>
      </w:r>
      <w:r w:rsidR="00EF1779" w:rsidRPr="008725ED">
        <w:rPr>
          <w:rFonts w:cs="Arial"/>
          <w:lang w:val="fr-FR"/>
        </w:rPr>
        <w:t>’</w:t>
      </w:r>
      <w:r w:rsidRPr="008725ED">
        <w:rPr>
          <w:rFonts w:cs="Arial"/>
          <w:lang w:val="fr-FR"/>
        </w:rPr>
        <w:t>Australie et la Nouvelle</w:t>
      </w:r>
      <w:r w:rsidR="00EF1779" w:rsidRPr="008725ED">
        <w:rPr>
          <w:rFonts w:cs="Arial"/>
          <w:lang w:val="fr-FR"/>
        </w:rPr>
        <w:t>-</w:t>
      </w:r>
      <w:r w:rsidRPr="008725ED">
        <w:rPr>
          <w:rFonts w:cs="Arial"/>
          <w:lang w:val="fr-FR"/>
        </w:rPr>
        <w:t>Zélande et documents sollicités)</w:t>
      </w:r>
    </w:p>
    <w:p w:rsidR="008C3126" w:rsidRPr="008725ED" w:rsidRDefault="0052307B" w:rsidP="0052307B">
      <w:pPr>
        <w:spacing w:line="276" w:lineRule="auto"/>
        <w:ind w:left="1134" w:hanging="567"/>
        <w:rPr>
          <w:rFonts w:cs="Arial"/>
          <w:lang w:val="fr-FR"/>
        </w:rPr>
      </w:pPr>
      <w:r w:rsidRPr="008725ED">
        <w:rPr>
          <w:rFonts w:cs="Arial"/>
          <w:lang w:val="fr-FR"/>
        </w:rPr>
        <w:t>11.</w:t>
      </w:r>
      <w:r w:rsidRPr="008725ED">
        <w:rPr>
          <w:rFonts w:cs="Arial"/>
          <w:lang w:val="fr-FR"/>
        </w:rPr>
        <w:tab/>
        <w:t>Rapport relatif aux procès concernant les questions techniques (document à préparer par l</w:t>
      </w:r>
      <w:r w:rsidR="00EF1779" w:rsidRPr="008725ED">
        <w:rPr>
          <w:rFonts w:cs="Arial"/>
          <w:lang w:val="fr-FR"/>
        </w:rPr>
        <w:t>’</w:t>
      </w:r>
      <w:r w:rsidRPr="008725ED">
        <w:rPr>
          <w:rFonts w:cs="Arial"/>
          <w:lang w:val="fr-FR"/>
        </w:rPr>
        <w:t>Union européenne et documents sollicités)</w:t>
      </w:r>
    </w:p>
    <w:p w:rsidR="008C3126" w:rsidRPr="008725ED" w:rsidRDefault="0052307B" w:rsidP="0052307B">
      <w:pPr>
        <w:spacing w:line="276" w:lineRule="auto"/>
        <w:ind w:left="1134" w:hanging="567"/>
        <w:rPr>
          <w:rFonts w:cs="Arial"/>
          <w:lang w:val="fr-FR"/>
        </w:rPr>
      </w:pPr>
      <w:r w:rsidRPr="008725ED">
        <w:rPr>
          <w:rFonts w:cs="Arial"/>
          <w:lang w:val="fr-FR"/>
        </w:rPr>
        <w:t>12.</w:t>
      </w:r>
      <w:r w:rsidRPr="008725ED">
        <w:rPr>
          <w:rFonts w:cs="Arial"/>
          <w:lang w:val="fr-FR"/>
        </w:rPr>
        <w:tab/>
        <w:t>Définition des groupes de couleurs aux fins du regroupement des variétés et de l</w:t>
      </w:r>
      <w:r w:rsidR="00EF1779" w:rsidRPr="008725ED">
        <w:rPr>
          <w:rFonts w:cs="Arial"/>
          <w:lang w:val="fr-FR"/>
        </w:rPr>
        <w:t>’</w:t>
      </w:r>
      <w:r w:rsidRPr="008725ED">
        <w:rPr>
          <w:rFonts w:cs="Arial"/>
          <w:lang w:val="fr-FR"/>
        </w:rPr>
        <w:t>organisation des essais en culture (document à préparer par l</w:t>
      </w:r>
      <w:r w:rsidR="00EF1779" w:rsidRPr="008725ED">
        <w:rPr>
          <w:rFonts w:cs="Arial"/>
          <w:lang w:val="fr-FR"/>
        </w:rPr>
        <w:t>’</w:t>
      </w:r>
      <w:r w:rsidRPr="008725ED">
        <w:rPr>
          <w:rFonts w:cs="Arial"/>
          <w:lang w:val="fr-FR"/>
        </w:rPr>
        <w:t>Allemagne)</w:t>
      </w:r>
    </w:p>
    <w:p w:rsidR="008C3126" w:rsidRPr="008725ED" w:rsidRDefault="0052307B" w:rsidP="0052307B">
      <w:pPr>
        <w:spacing w:line="276" w:lineRule="auto"/>
        <w:ind w:firstLine="567"/>
        <w:rPr>
          <w:rFonts w:cs="Arial"/>
          <w:lang w:val="fr-FR"/>
        </w:rPr>
      </w:pPr>
      <w:r w:rsidRPr="008725ED">
        <w:rPr>
          <w:rFonts w:cs="Arial"/>
          <w:lang w:val="fr-FR"/>
        </w:rPr>
        <w:t>13.</w:t>
      </w:r>
      <w:r w:rsidRPr="008725ED">
        <w:rPr>
          <w:rFonts w:cs="Arial"/>
          <w:lang w:val="fr-FR"/>
        </w:rPr>
        <w:tab/>
        <w:t>Données d</w:t>
      </w:r>
      <w:r w:rsidR="00EF1779" w:rsidRPr="008725ED">
        <w:rPr>
          <w:rFonts w:cs="Arial"/>
          <w:lang w:val="fr-FR"/>
        </w:rPr>
        <w:t>’</w:t>
      </w:r>
      <w:r w:rsidRPr="008725ED">
        <w:rPr>
          <w:rFonts w:cs="Arial"/>
          <w:lang w:val="fr-FR"/>
        </w:rPr>
        <w:t>expérience relatives au code de couleurs et à l</w:t>
      </w:r>
      <w:r w:rsidR="00EF1779" w:rsidRPr="008725ED">
        <w:rPr>
          <w:rFonts w:cs="Arial"/>
          <w:lang w:val="fr-FR"/>
        </w:rPr>
        <w:t>’</w:t>
      </w:r>
      <w:r w:rsidRPr="008725ED">
        <w:rPr>
          <w:rFonts w:cs="Arial"/>
          <w:lang w:val="fr-FR"/>
        </w:rPr>
        <w:t>éventuel ajout de couleurs à l</w:t>
      </w:r>
      <w:r w:rsidR="00EF1779" w:rsidRPr="008725ED">
        <w:rPr>
          <w:rFonts w:cs="Arial"/>
          <w:lang w:val="fr-FR"/>
        </w:rPr>
        <w:t>’</w:t>
      </w:r>
      <w:r w:rsidRPr="008725ED">
        <w:rPr>
          <w:rFonts w:cs="Arial"/>
          <w:lang w:val="fr-FR"/>
        </w:rPr>
        <w:t>avenir</w:t>
      </w:r>
    </w:p>
    <w:p w:rsidR="008C3126" w:rsidRPr="008725ED" w:rsidRDefault="0052307B" w:rsidP="0052307B">
      <w:pPr>
        <w:spacing w:line="276" w:lineRule="auto"/>
        <w:ind w:left="1134" w:hanging="567"/>
        <w:rPr>
          <w:rFonts w:cs="Arial"/>
          <w:lang w:val="fr-FR"/>
        </w:rPr>
      </w:pPr>
      <w:r w:rsidRPr="008725ED">
        <w:rPr>
          <w:rFonts w:cs="Arial"/>
          <w:lang w:val="fr-FR"/>
        </w:rPr>
        <w:t>14.</w:t>
      </w:r>
      <w:r w:rsidRPr="008725ED">
        <w:rPr>
          <w:rFonts w:cs="Arial"/>
          <w:lang w:val="fr-FR"/>
        </w:rPr>
        <w:tab/>
        <w:t>Orientations sur les illustrations des caractères pseudo</w:t>
      </w:r>
      <w:r w:rsidR="00EF1779" w:rsidRPr="008725ED">
        <w:rPr>
          <w:rFonts w:cs="Arial"/>
          <w:lang w:val="fr-FR"/>
        </w:rPr>
        <w:t>-</w:t>
      </w:r>
      <w:r w:rsidRPr="008725ED">
        <w:rPr>
          <w:rFonts w:cs="Arial"/>
          <w:lang w:val="fr-FR"/>
        </w:rPr>
        <w:t>qualitatifs liés à la forme (document à préparer par le Bureau de l</w:t>
      </w:r>
      <w:r w:rsidR="00EF1779" w:rsidRPr="008725ED">
        <w:rPr>
          <w:rFonts w:cs="Arial"/>
          <w:lang w:val="fr-FR"/>
        </w:rPr>
        <w:t>’</w:t>
      </w:r>
      <w:r w:rsidRPr="008725ED">
        <w:rPr>
          <w:rFonts w:cs="Arial"/>
          <w:lang w:val="fr-FR"/>
        </w:rPr>
        <w:t>Union)</w:t>
      </w:r>
    </w:p>
    <w:p w:rsidR="008C3126" w:rsidRPr="008725ED" w:rsidRDefault="0052307B" w:rsidP="0052307B">
      <w:pPr>
        <w:spacing w:line="276" w:lineRule="auto"/>
        <w:ind w:left="1134" w:hanging="567"/>
        <w:rPr>
          <w:rFonts w:cs="Arial"/>
          <w:lang w:val="fr-FR"/>
        </w:rPr>
      </w:pPr>
      <w:r w:rsidRPr="008725ED">
        <w:rPr>
          <w:rFonts w:cs="Arial"/>
          <w:lang w:val="fr-FR"/>
        </w:rPr>
        <w:t>15.</w:t>
      </w:r>
      <w:r w:rsidRPr="008725ED">
        <w:rPr>
          <w:rFonts w:cs="Arial"/>
          <w:lang w:val="fr-FR"/>
        </w:rPr>
        <w:tab/>
        <w:t>Proposition relative au nom botanique principal pour les hybrides intergénériques et interspécifiques et à l</w:t>
      </w:r>
      <w:r w:rsidR="00EF1779" w:rsidRPr="008725ED">
        <w:rPr>
          <w:rFonts w:cs="Arial"/>
          <w:lang w:val="fr-FR"/>
        </w:rPr>
        <w:t>’</w:t>
      </w:r>
      <w:r w:rsidRPr="008725ED">
        <w:rPr>
          <w:rFonts w:cs="Arial"/>
          <w:lang w:val="fr-FR"/>
        </w:rPr>
        <w:t>effet éventuel sur le “Guide des systèmes de codes UPOV”</w:t>
      </w:r>
    </w:p>
    <w:p w:rsidR="008C3126" w:rsidRPr="008725ED" w:rsidRDefault="0052307B" w:rsidP="0052307B">
      <w:pPr>
        <w:spacing w:line="276" w:lineRule="auto"/>
        <w:ind w:left="567"/>
        <w:rPr>
          <w:rFonts w:cs="Arial"/>
          <w:lang w:val="fr-FR"/>
        </w:rPr>
      </w:pPr>
      <w:r w:rsidRPr="008725ED">
        <w:rPr>
          <w:rFonts w:cs="Arial"/>
          <w:lang w:val="fr-FR"/>
        </w:rPr>
        <w:t>16.</w:t>
      </w:r>
      <w:r w:rsidRPr="008725ED">
        <w:rPr>
          <w:rFonts w:cs="Arial"/>
          <w:lang w:val="fr-FR"/>
        </w:rPr>
        <w:tab/>
        <w:t>Expériences avec de nouveaux types et espèces (rapports verbaux sollicités)</w:t>
      </w:r>
    </w:p>
    <w:p w:rsidR="008C3126" w:rsidRPr="008725ED" w:rsidRDefault="0052307B" w:rsidP="0052307B">
      <w:pPr>
        <w:spacing w:line="276" w:lineRule="auto"/>
        <w:ind w:left="1134" w:hanging="567"/>
        <w:rPr>
          <w:rFonts w:cs="Arial"/>
          <w:lang w:val="fr-FR"/>
        </w:rPr>
      </w:pPr>
      <w:r w:rsidRPr="008725ED">
        <w:rPr>
          <w:rFonts w:cs="Arial"/>
          <w:lang w:val="fr-FR"/>
        </w:rPr>
        <w:t>17.</w:t>
      </w:r>
      <w:r w:rsidRPr="008725ED">
        <w:rPr>
          <w:rFonts w:cs="Arial"/>
          <w:lang w:val="fr-FR"/>
        </w:rPr>
        <w:tab/>
        <w:t>Questions en suspens concernant les principes directeurs d</w:t>
      </w:r>
      <w:r w:rsidR="00EF1779" w:rsidRPr="008725ED">
        <w:rPr>
          <w:rFonts w:cs="Arial"/>
          <w:lang w:val="fr-FR"/>
        </w:rPr>
        <w:t>’</w:t>
      </w:r>
      <w:r w:rsidRPr="008725ED">
        <w:rPr>
          <w:rFonts w:cs="Arial"/>
          <w:lang w:val="fr-FR"/>
        </w:rPr>
        <w:t>examen adoptés par le Comité technique (le cas échéant)</w:t>
      </w:r>
    </w:p>
    <w:p w:rsidR="008C3126" w:rsidRPr="008725ED" w:rsidRDefault="0052307B" w:rsidP="0052307B">
      <w:pPr>
        <w:spacing w:line="276" w:lineRule="auto"/>
        <w:ind w:left="1134" w:hanging="567"/>
        <w:rPr>
          <w:rFonts w:cs="Arial"/>
          <w:lang w:val="fr-FR"/>
        </w:rPr>
      </w:pPr>
      <w:r w:rsidRPr="008725ED">
        <w:rPr>
          <w:rFonts w:cs="Arial"/>
          <w:lang w:val="fr-FR"/>
        </w:rPr>
        <w:t>18.</w:t>
      </w:r>
      <w:r w:rsidRPr="008725ED">
        <w:rPr>
          <w:rFonts w:cs="Arial"/>
          <w:lang w:val="fr-FR"/>
        </w:rPr>
        <w:tab/>
        <w:t>Propositions relatives à des révisions partielles ou des corrections des principes directeurs d</w:t>
      </w:r>
      <w:r w:rsidR="00EF1779" w:rsidRPr="008725ED">
        <w:rPr>
          <w:rFonts w:cs="Arial"/>
          <w:lang w:val="fr-FR"/>
        </w:rPr>
        <w:t>’</w:t>
      </w:r>
      <w:r w:rsidRPr="008725ED">
        <w:rPr>
          <w:rFonts w:cs="Arial"/>
          <w:lang w:val="fr-FR"/>
        </w:rPr>
        <w:t>examen</w:t>
      </w:r>
    </w:p>
    <w:p w:rsidR="008C3126" w:rsidRPr="008725ED" w:rsidRDefault="0052307B" w:rsidP="0052307B">
      <w:pPr>
        <w:spacing w:line="276" w:lineRule="auto"/>
        <w:ind w:left="567"/>
        <w:rPr>
          <w:rFonts w:cs="Arial"/>
          <w:lang w:val="fr-FR"/>
        </w:rPr>
      </w:pPr>
      <w:r w:rsidRPr="008725ED">
        <w:rPr>
          <w:rFonts w:cs="Arial"/>
          <w:lang w:val="fr-FR"/>
        </w:rPr>
        <w:t>19.</w:t>
      </w:r>
      <w:r w:rsidRPr="008725ED">
        <w:rPr>
          <w:rFonts w:cs="Arial"/>
          <w:lang w:val="fr-FR"/>
        </w:rPr>
        <w:tab/>
        <w:t>Examen des projets de principes directeurs d</w:t>
      </w:r>
      <w:r w:rsidR="00EF1779" w:rsidRPr="008725ED">
        <w:rPr>
          <w:rFonts w:cs="Arial"/>
          <w:lang w:val="fr-FR"/>
        </w:rPr>
        <w:t>’</w:t>
      </w:r>
      <w:r w:rsidRPr="008725ED">
        <w:rPr>
          <w:rFonts w:cs="Arial"/>
          <w:lang w:val="fr-FR"/>
        </w:rPr>
        <w:t>examen (sous</w:t>
      </w:r>
      <w:r w:rsidR="00EF1779" w:rsidRPr="008725ED">
        <w:rPr>
          <w:rFonts w:cs="Arial"/>
          <w:lang w:val="fr-FR"/>
        </w:rPr>
        <w:t>-</w:t>
      </w:r>
      <w:r w:rsidRPr="008725ED">
        <w:rPr>
          <w:rFonts w:cs="Arial"/>
          <w:lang w:val="fr-FR"/>
        </w:rPr>
        <w:t>groupes)</w:t>
      </w:r>
    </w:p>
    <w:p w:rsidR="008C3126" w:rsidRPr="008725ED" w:rsidRDefault="0052307B" w:rsidP="0052307B">
      <w:pPr>
        <w:spacing w:line="276" w:lineRule="auto"/>
        <w:ind w:left="567"/>
        <w:rPr>
          <w:rFonts w:cs="Arial"/>
          <w:lang w:val="fr-FR"/>
        </w:rPr>
      </w:pPr>
      <w:r w:rsidRPr="008725ED">
        <w:rPr>
          <w:rFonts w:cs="Arial"/>
          <w:lang w:val="fr-FR"/>
        </w:rPr>
        <w:t>20.</w:t>
      </w:r>
      <w:r w:rsidRPr="008725ED">
        <w:rPr>
          <w:rFonts w:cs="Arial"/>
          <w:lang w:val="fr-FR"/>
        </w:rPr>
        <w:tab/>
        <w:t>Recommandations concernant les projets de principes directeurs d</w:t>
      </w:r>
      <w:r w:rsidR="00EF1779" w:rsidRPr="008725ED">
        <w:rPr>
          <w:rFonts w:cs="Arial"/>
          <w:lang w:val="fr-FR"/>
        </w:rPr>
        <w:t>’</w:t>
      </w:r>
      <w:r w:rsidRPr="008725ED">
        <w:rPr>
          <w:rFonts w:cs="Arial"/>
          <w:lang w:val="fr-FR"/>
        </w:rPr>
        <w:t>examen</w:t>
      </w:r>
    </w:p>
    <w:p w:rsidR="008C3126" w:rsidRPr="008725ED" w:rsidRDefault="0052307B" w:rsidP="0052307B">
      <w:pPr>
        <w:spacing w:line="276" w:lineRule="auto"/>
        <w:ind w:left="567"/>
        <w:rPr>
          <w:rFonts w:cs="Arial"/>
          <w:lang w:val="fr-FR"/>
        </w:rPr>
      </w:pPr>
      <w:r w:rsidRPr="008725ED">
        <w:rPr>
          <w:rFonts w:cs="Arial"/>
          <w:lang w:val="fr-FR"/>
        </w:rPr>
        <w:t>21.</w:t>
      </w:r>
      <w:r w:rsidRPr="008725ED">
        <w:rPr>
          <w:rFonts w:cs="Arial"/>
          <w:lang w:val="fr-FR"/>
        </w:rPr>
        <w:tab/>
        <w:t>Orientations pour les rédacteurs de principes directeurs d</w:t>
      </w:r>
      <w:r w:rsidR="00EF1779" w:rsidRPr="008725ED">
        <w:rPr>
          <w:rFonts w:cs="Arial"/>
          <w:lang w:val="fr-FR"/>
        </w:rPr>
        <w:t>’</w:t>
      </w:r>
      <w:r w:rsidRPr="008725ED">
        <w:rPr>
          <w:rFonts w:cs="Arial"/>
          <w:lang w:val="fr-FR"/>
        </w:rPr>
        <w:t>examen</w:t>
      </w:r>
    </w:p>
    <w:p w:rsidR="008C3126" w:rsidRPr="008725ED" w:rsidRDefault="0052307B" w:rsidP="0052307B">
      <w:pPr>
        <w:spacing w:line="276" w:lineRule="auto"/>
        <w:ind w:left="567"/>
        <w:rPr>
          <w:rFonts w:cs="Arial"/>
          <w:lang w:val="fr-FR"/>
        </w:rPr>
      </w:pPr>
      <w:r w:rsidRPr="008725ED">
        <w:rPr>
          <w:rFonts w:cs="Arial"/>
          <w:lang w:val="fr-FR"/>
        </w:rPr>
        <w:t>22.</w:t>
      </w:r>
      <w:r w:rsidRPr="008725ED">
        <w:rPr>
          <w:rFonts w:cs="Arial"/>
          <w:lang w:val="fr-FR"/>
        </w:rPr>
        <w:tab/>
        <w:t>Date et lieu de la prochaine session</w:t>
      </w:r>
    </w:p>
    <w:p w:rsidR="008C3126" w:rsidRPr="008725ED" w:rsidRDefault="0052307B" w:rsidP="0052307B">
      <w:pPr>
        <w:spacing w:line="276" w:lineRule="auto"/>
        <w:ind w:left="567"/>
        <w:rPr>
          <w:rFonts w:cs="Arial"/>
          <w:lang w:val="fr-FR"/>
        </w:rPr>
      </w:pPr>
      <w:r w:rsidRPr="008725ED">
        <w:rPr>
          <w:rFonts w:cs="Arial"/>
          <w:lang w:val="fr-FR"/>
        </w:rPr>
        <w:t>23.</w:t>
      </w:r>
      <w:r w:rsidRPr="008725ED">
        <w:rPr>
          <w:rFonts w:cs="Arial"/>
          <w:lang w:val="fr-FR"/>
        </w:rPr>
        <w:tab/>
        <w:t>Programme futur</w:t>
      </w:r>
    </w:p>
    <w:p w:rsidR="008C3126" w:rsidRPr="008725ED" w:rsidRDefault="0052307B" w:rsidP="0052307B">
      <w:pPr>
        <w:spacing w:line="276" w:lineRule="auto"/>
        <w:ind w:left="567"/>
        <w:rPr>
          <w:rFonts w:cs="Arial"/>
          <w:lang w:val="fr-FR"/>
        </w:rPr>
      </w:pPr>
      <w:r w:rsidRPr="008725ED">
        <w:rPr>
          <w:rFonts w:cs="Arial"/>
          <w:lang w:val="fr-FR"/>
        </w:rPr>
        <w:t>24.</w:t>
      </w:r>
      <w:r w:rsidRPr="008725ED">
        <w:rPr>
          <w:rFonts w:cs="Arial"/>
          <w:lang w:val="fr-FR"/>
        </w:rPr>
        <w:tab/>
        <w:t>Adoption du compte rendu de la session (selon le temps disponible)</w:t>
      </w:r>
    </w:p>
    <w:p w:rsidR="008C3126" w:rsidRPr="008725ED" w:rsidRDefault="0052307B" w:rsidP="0052307B">
      <w:pPr>
        <w:spacing w:after="240" w:line="276" w:lineRule="auto"/>
        <w:ind w:left="567"/>
        <w:rPr>
          <w:rFonts w:cs="Arial"/>
          <w:lang w:val="fr-FR"/>
        </w:rPr>
      </w:pPr>
      <w:r w:rsidRPr="008725ED">
        <w:rPr>
          <w:rFonts w:cs="Arial"/>
          <w:lang w:val="fr-FR"/>
        </w:rPr>
        <w:t>25.</w:t>
      </w:r>
      <w:r w:rsidRPr="008725ED">
        <w:rPr>
          <w:rFonts w:cs="Arial"/>
          <w:lang w:val="fr-FR"/>
        </w:rPr>
        <w:tab/>
        <w:t>Clôture de la session</w:t>
      </w:r>
    </w:p>
    <w:p w:rsidR="008C3126" w:rsidRPr="008725ED" w:rsidRDefault="0052307B" w:rsidP="0052307B">
      <w:pPr>
        <w:rPr>
          <w:shd w:val="clear" w:color="auto" w:fill="FFFFFF"/>
          <w:lang w:val="fr-FR"/>
        </w:rPr>
      </w:pPr>
      <w:r w:rsidRPr="008725ED">
        <w:rPr>
          <w:shd w:val="clear" w:color="auto" w:fill="FFFFFF"/>
          <w:lang w:val="fr-FR"/>
        </w:rPr>
        <w:fldChar w:fldCharType="begin"/>
      </w:r>
      <w:r w:rsidRPr="008725ED">
        <w:rPr>
          <w:shd w:val="clear" w:color="auto" w:fill="FFFFFF"/>
          <w:lang w:val="fr-FR"/>
        </w:rPr>
        <w:instrText xml:space="preserve"> AUTONUM  </w:instrText>
      </w:r>
      <w:r w:rsidRPr="008725ED">
        <w:rPr>
          <w:shd w:val="clear" w:color="auto" w:fill="FFFFFF"/>
          <w:lang w:val="fr-FR"/>
        </w:rPr>
        <w:fldChar w:fldCharType="end"/>
      </w:r>
      <w:r w:rsidRPr="008725ED">
        <w:rPr>
          <w:shd w:val="clear" w:color="auto" w:fill="FFFFFF"/>
          <w:lang w:val="fr-FR"/>
        </w:rPr>
        <w:tab/>
        <w:t>L</w:t>
      </w:r>
      <w:r w:rsidR="00EF1779" w:rsidRPr="008725ED">
        <w:rPr>
          <w:shd w:val="clear" w:color="auto" w:fill="FFFFFF"/>
          <w:lang w:val="fr-FR"/>
        </w:rPr>
        <w:t>’</w:t>
      </w:r>
      <w:r w:rsidRPr="008725ED">
        <w:rPr>
          <w:shd w:val="clear" w:color="auto" w:fill="FFFFFF"/>
          <w:lang w:val="fr-FR"/>
        </w:rPr>
        <w:t>après</w:t>
      </w:r>
      <w:r w:rsidR="00EF1779" w:rsidRPr="008725ED">
        <w:rPr>
          <w:shd w:val="clear" w:color="auto" w:fill="FFFFFF"/>
          <w:lang w:val="fr-FR"/>
        </w:rPr>
        <w:t>-</w:t>
      </w:r>
      <w:r w:rsidRPr="008725ED">
        <w:rPr>
          <w:shd w:val="clear" w:color="auto" w:fill="FFFFFF"/>
          <w:lang w:val="fr-FR"/>
        </w:rPr>
        <w:t>midi du 15 juin 2016, le TWO a visité Kangsan Orchids, une entreprise de sélection et de production d</w:t>
      </w:r>
      <w:r w:rsidR="00EF1779" w:rsidRPr="008725ED">
        <w:rPr>
          <w:shd w:val="clear" w:color="auto" w:fill="FFFFFF"/>
          <w:lang w:val="fr-FR"/>
        </w:rPr>
        <w:t>’</w:t>
      </w:r>
      <w:r w:rsidRPr="008725ED">
        <w:rPr>
          <w:shd w:val="clear" w:color="auto" w:fill="FFFFFF"/>
          <w:lang w:val="fr-FR"/>
        </w:rPr>
        <w:t>orchidées située à Busan (</w:t>
      </w:r>
      <w:r w:rsidRPr="008725ED">
        <w:rPr>
          <w:rFonts w:cs="Arial"/>
          <w:lang w:val="fr-FR"/>
        </w:rPr>
        <w:t>République de Corée)</w:t>
      </w:r>
      <w:r w:rsidRPr="008725ED">
        <w:rPr>
          <w:shd w:val="clear" w:color="auto" w:fill="FFFFFF"/>
          <w:lang w:val="fr-FR"/>
        </w:rPr>
        <w:t>.  M. Jae Hwan Soe, PDG de l</w:t>
      </w:r>
      <w:r w:rsidR="00EF1779" w:rsidRPr="008725ED">
        <w:rPr>
          <w:shd w:val="clear" w:color="auto" w:fill="FFFFFF"/>
          <w:lang w:val="fr-FR"/>
        </w:rPr>
        <w:t>’</w:t>
      </w:r>
      <w:r w:rsidRPr="008725ED">
        <w:rPr>
          <w:shd w:val="clear" w:color="auto" w:fill="FFFFFF"/>
          <w:lang w:val="fr-FR"/>
        </w:rPr>
        <w:t xml:space="preserve">entreprise, a souhaité la bienvenue au TWO et a présenté un exposé sur la sélection de </w:t>
      </w:r>
      <w:r w:rsidRPr="008725ED">
        <w:rPr>
          <w:i/>
          <w:shd w:val="clear" w:color="auto" w:fill="FFFFFF"/>
          <w:lang w:val="fr-FR"/>
        </w:rPr>
        <w:t>Phalaenopsis</w:t>
      </w:r>
      <w:r w:rsidRPr="008725ED">
        <w:rPr>
          <w:shd w:val="clear" w:color="auto" w:fill="FFFFFF"/>
          <w:lang w:val="fr-FR"/>
        </w:rPr>
        <w:t xml:space="preserve"> à Kangsan Orchids, qui est reproduit à l</w:t>
      </w:r>
      <w:r w:rsidR="00EF1779" w:rsidRPr="008725ED">
        <w:rPr>
          <w:shd w:val="clear" w:color="auto" w:fill="FFFFFF"/>
          <w:lang w:val="fr-FR"/>
        </w:rPr>
        <w:t>’</w:t>
      </w:r>
      <w:r w:rsidRPr="008725ED">
        <w:rPr>
          <w:shd w:val="clear" w:color="auto" w:fill="FFFFFF"/>
          <w:lang w:val="fr-FR"/>
        </w:rPr>
        <w:t xml:space="preserve">annexe IV du document TWO/49/25 Rev. “Revised Report”.  </w:t>
      </w:r>
      <w:r w:rsidRPr="008725ED">
        <w:rPr>
          <w:lang w:val="fr-FR"/>
        </w:rPr>
        <w:t>Le</w:t>
      </w:r>
      <w:r w:rsidRPr="008725ED">
        <w:rPr>
          <w:shd w:val="clear" w:color="auto" w:fill="FFFFFF"/>
          <w:lang w:val="fr-FR"/>
        </w:rPr>
        <w:t> TWO a reçu des informations sur les programmes et techniques de sélection utilisés pour l</w:t>
      </w:r>
      <w:r w:rsidR="00EF1779" w:rsidRPr="008725ED">
        <w:rPr>
          <w:shd w:val="clear" w:color="auto" w:fill="FFFFFF"/>
          <w:lang w:val="fr-FR"/>
        </w:rPr>
        <w:t>’</w:t>
      </w:r>
      <w:r w:rsidRPr="008725ED">
        <w:rPr>
          <w:shd w:val="clear" w:color="auto" w:fill="FFFFFF"/>
          <w:lang w:val="fr-FR"/>
        </w:rPr>
        <w:t xml:space="preserve">obtention de nouvelles variétés de </w:t>
      </w:r>
      <w:r w:rsidRPr="008725ED">
        <w:rPr>
          <w:i/>
          <w:shd w:val="clear" w:color="auto" w:fill="FFFFFF"/>
          <w:lang w:val="fr-FR"/>
        </w:rPr>
        <w:t>Phalaenopsis</w:t>
      </w:r>
      <w:r w:rsidRPr="008725ED">
        <w:rPr>
          <w:shd w:val="clear" w:color="auto" w:fill="FFFFFF"/>
          <w:lang w:val="fr-FR"/>
        </w:rPr>
        <w:t>, qui ont permis d</w:t>
      </w:r>
      <w:r w:rsidR="00EF1779" w:rsidRPr="008725ED">
        <w:rPr>
          <w:shd w:val="clear" w:color="auto" w:fill="FFFFFF"/>
          <w:lang w:val="fr-FR"/>
        </w:rPr>
        <w:t>’</w:t>
      </w:r>
      <w:r w:rsidRPr="008725ED">
        <w:rPr>
          <w:shd w:val="clear" w:color="auto" w:fill="FFFFFF"/>
          <w:lang w:val="fr-FR"/>
        </w:rPr>
        <w:t>obtenir 23 variétés protégées dans la</w:t>
      </w:r>
      <w:r w:rsidRPr="008725ED">
        <w:rPr>
          <w:rFonts w:cs="Arial"/>
          <w:lang w:val="fr-FR"/>
        </w:rPr>
        <w:t xml:space="preserve"> République de Corée et à l</w:t>
      </w:r>
      <w:r w:rsidR="00EF1779" w:rsidRPr="008725ED">
        <w:rPr>
          <w:rFonts w:cs="Arial"/>
          <w:lang w:val="fr-FR"/>
        </w:rPr>
        <w:t>’</w:t>
      </w:r>
      <w:r w:rsidRPr="008725ED">
        <w:rPr>
          <w:rFonts w:cs="Arial"/>
          <w:lang w:val="fr-FR"/>
        </w:rPr>
        <w:t>étranger</w:t>
      </w:r>
      <w:r w:rsidRPr="008725ED">
        <w:rPr>
          <w:shd w:val="clear" w:color="auto" w:fill="FFFFFF"/>
          <w:lang w:val="fr-FR"/>
        </w:rPr>
        <w:t>.</w:t>
      </w:r>
    </w:p>
    <w:p w:rsidR="008C3126" w:rsidRPr="008725ED" w:rsidRDefault="008C3126" w:rsidP="005E033E">
      <w:pPr>
        <w:spacing w:line="360" w:lineRule="auto"/>
        <w:rPr>
          <w:shd w:val="clear" w:color="auto" w:fill="FFFFFF"/>
          <w:lang w:val="fr-FR"/>
        </w:rPr>
      </w:pPr>
    </w:p>
    <w:p w:rsidR="008C3126" w:rsidRPr="008725ED" w:rsidRDefault="0052307B" w:rsidP="0052307B">
      <w:pPr>
        <w:pStyle w:val="Heading3"/>
      </w:pPr>
      <w:bookmarkStart w:id="50" w:name="_Toc494207987"/>
      <w:r w:rsidRPr="008725ED">
        <w:t>Groupe de travail technique sur les plantes potagères</w:t>
      </w:r>
      <w:bookmarkEnd w:id="50"/>
    </w:p>
    <w:p w:rsidR="008C3126" w:rsidRPr="008725ED" w:rsidRDefault="008C3126" w:rsidP="0052307B">
      <w:pPr>
        <w:keepNext/>
        <w:rPr>
          <w:lang w:val="fr-FR"/>
        </w:rPr>
      </w:pPr>
    </w:p>
    <w:p w:rsidR="008C3126" w:rsidRPr="008725ED" w:rsidRDefault="0052307B" w:rsidP="0052307B">
      <w:pPr>
        <w:tabs>
          <w:tab w:val="left" w:pos="567"/>
        </w:tabs>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w:t>
      </w:r>
      <w:r w:rsidR="00310EED" w:rsidRPr="008725ED">
        <w:rPr>
          <w:lang w:val="fr-FR"/>
        </w:rPr>
        <w:t>e Groupe de travail technique sur les plantes potagères (TWV) a tenu s</w:t>
      </w:r>
      <w:r w:rsidRPr="008725ED">
        <w:rPr>
          <w:lang w:val="fr-FR"/>
        </w:rPr>
        <w:t>a cinquant</w:t>
      </w:r>
      <w:r w:rsidR="00EF1779" w:rsidRPr="008725ED">
        <w:rPr>
          <w:lang w:val="fr-FR"/>
        </w:rPr>
        <w:t>ième session</w:t>
      </w:r>
      <w:r w:rsidRPr="008725ED">
        <w:rPr>
          <w:lang w:val="fr-FR"/>
        </w:rPr>
        <w:t xml:space="preserve"> du 27 juin au</w:t>
      </w:r>
      <w:r w:rsidR="00EF1779" w:rsidRPr="008725ED">
        <w:rPr>
          <w:lang w:val="fr-FR"/>
        </w:rPr>
        <w:t xml:space="preserve"> 1</w:t>
      </w:r>
      <w:r w:rsidR="00EF1779" w:rsidRPr="008725ED">
        <w:rPr>
          <w:vertAlign w:val="superscript"/>
          <w:lang w:val="fr-FR"/>
        </w:rPr>
        <w:t>er</w:t>
      </w:r>
      <w:r w:rsidR="00EF1779" w:rsidRPr="008725ED">
        <w:rPr>
          <w:lang w:val="fr-FR"/>
        </w:rPr>
        <w:t> </w:t>
      </w:r>
      <w:r w:rsidRPr="008725ED">
        <w:rPr>
          <w:lang w:val="fr-FR"/>
        </w:rPr>
        <w:t>juillet 2016 à Brno (</w:t>
      </w:r>
      <w:r w:rsidRPr="008725ED">
        <w:rPr>
          <w:rFonts w:cs="Arial"/>
          <w:lang w:val="fr-FR"/>
        </w:rPr>
        <w:t>République tchèque</w:t>
      </w:r>
      <w:r w:rsidRPr="008725ED">
        <w:rPr>
          <w:lang w:val="fr-FR"/>
        </w:rPr>
        <w:t>)</w:t>
      </w:r>
      <w:r w:rsidR="00310EED" w:rsidRPr="008725ED">
        <w:rPr>
          <w:lang w:val="fr-FR"/>
        </w:rPr>
        <w:t>, sous la présidence de Mme</w:t>
      </w:r>
      <w:r w:rsidR="00B0700F" w:rsidRPr="008725ED">
        <w:rPr>
          <w:lang w:val="fr-FR"/>
        </w:rPr>
        <w:t> </w:t>
      </w:r>
      <w:r w:rsidR="00310EED" w:rsidRPr="008725ED">
        <w:rPr>
          <w:lang w:val="fr-FR"/>
        </w:rPr>
        <w:t>Swenja</w:t>
      </w:r>
      <w:r w:rsidR="00D43219" w:rsidRPr="008725ED">
        <w:rPr>
          <w:lang w:val="fr-FR"/>
        </w:rPr>
        <w:t> </w:t>
      </w:r>
      <w:r w:rsidR="00310EED" w:rsidRPr="008725ED">
        <w:rPr>
          <w:lang w:val="fr-FR"/>
        </w:rPr>
        <w:t>Tams (Allema</w:t>
      </w:r>
      <w:r w:rsidR="0064330D" w:rsidRPr="008725ED">
        <w:rPr>
          <w:lang w:val="fr-FR"/>
        </w:rPr>
        <w:t>gn</w:t>
      </w:r>
      <w:r w:rsidR="00D43219" w:rsidRPr="008725ED">
        <w:rPr>
          <w:lang w:val="fr-FR"/>
        </w:rPr>
        <w:t>e).  Le</w:t>
      </w:r>
      <w:r w:rsidR="00310EED" w:rsidRPr="008725ED">
        <w:rPr>
          <w:lang w:val="fr-FR"/>
        </w:rPr>
        <w:t xml:space="preserve"> compte rendu de la session </w:t>
      </w:r>
      <w:r w:rsidR="00335E38" w:rsidRPr="008725ED">
        <w:rPr>
          <w:lang w:val="fr-FR"/>
        </w:rPr>
        <w:t>fait l</w:t>
      </w:r>
      <w:r w:rsidR="00EF1779" w:rsidRPr="008725ED">
        <w:rPr>
          <w:lang w:val="fr-FR"/>
        </w:rPr>
        <w:t>’</w:t>
      </w:r>
      <w:r w:rsidR="00335E38" w:rsidRPr="008725ED">
        <w:rPr>
          <w:lang w:val="fr-FR"/>
        </w:rPr>
        <w:t>objet du</w:t>
      </w:r>
      <w:r w:rsidR="00310EED" w:rsidRPr="008725ED">
        <w:rPr>
          <w:lang w:val="fr-FR"/>
        </w:rPr>
        <w:t xml:space="preserve"> document TWV/50/25 </w:t>
      </w:r>
      <w:r w:rsidR="00B0700F" w:rsidRPr="008725ED">
        <w:rPr>
          <w:lang w:val="fr-FR"/>
        </w:rPr>
        <w:t>“</w:t>
      </w:r>
      <w:r w:rsidR="00310EED" w:rsidRPr="008725ED">
        <w:rPr>
          <w:lang w:val="fr-FR"/>
        </w:rPr>
        <w:t>Report</w:t>
      </w:r>
      <w:r w:rsidR="00B0700F" w:rsidRPr="008725ED">
        <w:rPr>
          <w:lang w:val="fr-FR"/>
        </w:rPr>
        <w:t>”</w:t>
      </w:r>
      <w:r w:rsidR="00310EED" w:rsidRPr="008725ED">
        <w:rPr>
          <w:lang w:val="fr-FR"/>
        </w:rPr>
        <w:t>.</w:t>
      </w:r>
    </w:p>
    <w:p w:rsidR="008C3126" w:rsidRPr="008725ED" w:rsidRDefault="008C3126" w:rsidP="0052307B">
      <w:pPr>
        <w:tabs>
          <w:tab w:val="left" w:pos="567"/>
        </w:tabs>
        <w:rPr>
          <w:lang w:val="fr-FR"/>
        </w:rPr>
      </w:pPr>
    </w:p>
    <w:p w:rsidR="00EF1779" w:rsidRPr="008725ED" w:rsidRDefault="0052307B" w:rsidP="0052307B">
      <w:pPr>
        <w:tabs>
          <w:tab w:val="left" w:pos="567"/>
        </w:tabs>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La session du TWV a réuni 37 participants représentant 15 membres de l</w:t>
      </w:r>
      <w:r w:rsidR="00EF1779" w:rsidRPr="008725ED">
        <w:rPr>
          <w:lang w:val="fr-FR"/>
        </w:rPr>
        <w:t>’</w:t>
      </w:r>
      <w:r w:rsidRPr="008725ED">
        <w:rPr>
          <w:lang w:val="fr-FR"/>
        </w:rPr>
        <w:t>Union et 3 organisations ayant le statut d</w:t>
      </w:r>
      <w:r w:rsidR="00EF1779" w:rsidRPr="008725ED">
        <w:rPr>
          <w:lang w:val="fr-FR"/>
        </w:rPr>
        <w:t>’</w:t>
      </w:r>
      <w:r w:rsidRPr="008725ED">
        <w:rPr>
          <w:lang w:val="fr-FR"/>
        </w:rPr>
        <w:t>observate</w:t>
      </w:r>
      <w:r w:rsidR="00D43219" w:rsidRPr="008725ED">
        <w:rPr>
          <w:lang w:val="fr-FR"/>
        </w:rPr>
        <w:t>ur.  L’a</w:t>
      </w:r>
      <w:r w:rsidR="00310EED" w:rsidRPr="008725ED">
        <w:rPr>
          <w:lang w:val="fr-FR"/>
        </w:rPr>
        <w:t>telier préparatoire du TWV, tenu [l</w:t>
      </w:r>
      <w:r w:rsidR="00EF1779" w:rsidRPr="008725ED">
        <w:rPr>
          <w:lang w:val="fr-FR"/>
        </w:rPr>
        <w:t>’</w:t>
      </w:r>
      <w:r w:rsidR="00310EED" w:rsidRPr="008725ED">
        <w:rPr>
          <w:lang w:val="fr-FR"/>
        </w:rPr>
        <w:t>après</w:t>
      </w:r>
      <w:r w:rsidR="00EF1779" w:rsidRPr="008725ED">
        <w:rPr>
          <w:lang w:val="fr-FR"/>
        </w:rPr>
        <w:t>-</w:t>
      </w:r>
      <w:r w:rsidR="00310EED" w:rsidRPr="008725ED">
        <w:rPr>
          <w:lang w:val="fr-FR"/>
        </w:rPr>
        <w:t>midi du</w:t>
      </w:r>
      <w:r w:rsidR="0000589A" w:rsidRPr="008725ED">
        <w:rPr>
          <w:lang w:val="fr-FR"/>
        </w:rPr>
        <w:t>] [</w:t>
      </w:r>
      <w:r w:rsidR="00310EED" w:rsidRPr="008725ED">
        <w:rPr>
          <w:lang w:val="fr-FR"/>
        </w:rPr>
        <w:t>le] 26 juin 2016, a réuni 19 participants représentant 8 membres de l</w:t>
      </w:r>
      <w:r w:rsidR="00EF1779" w:rsidRPr="008725ED">
        <w:rPr>
          <w:lang w:val="fr-FR"/>
        </w:rPr>
        <w:t>’</w:t>
      </w:r>
      <w:r w:rsidR="00310EED" w:rsidRPr="008725ED">
        <w:rPr>
          <w:lang w:val="fr-FR"/>
        </w:rPr>
        <w:t>Union.</w:t>
      </w:r>
    </w:p>
    <w:p w:rsidR="008C3126" w:rsidRPr="008725ED" w:rsidRDefault="008C3126" w:rsidP="0052307B">
      <w:pPr>
        <w:tabs>
          <w:tab w:val="left" w:pos="567"/>
        </w:tabs>
        <w:rPr>
          <w:lang w:val="fr-FR"/>
        </w:rPr>
      </w:pPr>
    </w:p>
    <w:p w:rsidR="008C3126" w:rsidRPr="008725ED" w:rsidRDefault="0052307B" w:rsidP="0052307B">
      <w:pPr>
        <w:tabs>
          <w:tab w:val="left" w:pos="567"/>
        </w:tabs>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 xml:space="preserve">M. Daniel Jurečka, </w:t>
      </w:r>
      <w:r w:rsidR="0064330D" w:rsidRPr="008725ED">
        <w:rPr>
          <w:lang w:val="fr-FR"/>
        </w:rPr>
        <w:t>d</w:t>
      </w:r>
      <w:r w:rsidR="00B0700F" w:rsidRPr="008725ED">
        <w:rPr>
          <w:lang w:val="fr-FR"/>
        </w:rPr>
        <w:t>irecteur</w:t>
      </w:r>
      <w:r w:rsidRPr="008725ED">
        <w:rPr>
          <w:lang w:val="fr-FR"/>
        </w:rPr>
        <w:t xml:space="preserve"> général de</w:t>
      </w:r>
      <w:r w:rsidR="00310EED" w:rsidRPr="008725ED">
        <w:rPr>
          <w:lang w:val="fr-FR"/>
        </w:rPr>
        <w:t xml:space="preserve"> l</w:t>
      </w:r>
      <w:r w:rsidR="00EF1779" w:rsidRPr="008725ED">
        <w:rPr>
          <w:lang w:val="fr-FR"/>
        </w:rPr>
        <w:t>’</w:t>
      </w:r>
      <w:r w:rsidR="00310EED" w:rsidRPr="008725ED">
        <w:rPr>
          <w:lang w:val="fr-FR"/>
        </w:rPr>
        <w:t>Institut central de contrôle et d</w:t>
      </w:r>
      <w:r w:rsidR="00EF1779" w:rsidRPr="008725ED">
        <w:rPr>
          <w:lang w:val="fr-FR"/>
        </w:rPr>
        <w:t>’</w:t>
      </w:r>
      <w:r w:rsidR="00310EED" w:rsidRPr="008725ED">
        <w:rPr>
          <w:lang w:val="fr-FR"/>
        </w:rPr>
        <w:t>examen des produits de l</w:t>
      </w:r>
      <w:r w:rsidR="00EF1779" w:rsidRPr="008725ED">
        <w:rPr>
          <w:lang w:val="fr-FR"/>
        </w:rPr>
        <w:t>’</w:t>
      </w:r>
      <w:r w:rsidR="00310EED" w:rsidRPr="008725ED">
        <w:rPr>
          <w:lang w:val="fr-FR"/>
        </w:rPr>
        <w:t>agriculture</w:t>
      </w:r>
      <w:r w:rsidRPr="008725ED">
        <w:rPr>
          <w:lang w:val="fr-FR"/>
        </w:rPr>
        <w:t xml:space="preserve"> </w:t>
      </w:r>
      <w:r w:rsidR="00310EED" w:rsidRPr="008725ED">
        <w:rPr>
          <w:lang w:val="fr-FR"/>
        </w:rPr>
        <w:t>(</w:t>
      </w:r>
      <w:r w:rsidRPr="008725ED">
        <w:rPr>
          <w:lang w:val="fr-FR"/>
        </w:rPr>
        <w:t>ÚKZÚZ</w:t>
      </w:r>
      <w:r w:rsidR="00310EED" w:rsidRPr="008725ED">
        <w:rPr>
          <w:lang w:val="fr-FR"/>
        </w:rPr>
        <w:t>)</w:t>
      </w:r>
      <w:r w:rsidRPr="008725ED">
        <w:rPr>
          <w:lang w:val="fr-FR"/>
        </w:rPr>
        <w:t xml:space="preserve"> a souhaité la bienvenue au TWV.  MM. Jiří Urban (directeur du département de production de plantes) et Tomáš Mezlík (directeur de l</w:t>
      </w:r>
      <w:r w:rsidR="00EF1779" w:rsidRPr="008725ED">
        <w:rPr>
          <w:lang w:val="fr-FR"/>
        </w:rPr>
        <w:t>’</w:t>
      </w:r>
      <w:r w:rsidRPr="008725ED">
        <w:rPr>
          <w:lang w:val="fr-FR"/>
        </w:rPr>
        <w:t>Office national des obtentions végétales) ont présenté respectivement un exposé sur le département de production de plantes de ÚKZÚZ et sur l</w:t>
      </w:r>
      <w:r w:rsidR="00EF1779" w:rsidRPr="008725ED">
        <w:rPr>
          <w:lang w:val="fr-FR"/>
        </w:rPr>
        <w:t>’</w:t>
      </w:r>
      <w:r w:rsidRPr="008725ED">
        <w:rPr>
          <w:lang w:val="fr-FR"/>
        </w:rPr>
        <w:t>Office national des obtentions végétales.</w:t>
      </w:r>
    </w:p>
    <w:p w:rsidR="008C3126" w:rsidRPr="008725ED" w:rsidRDefault="008C3126" w:rsidP="0052307B">
      <w:pPr>
        <w:tabs>
          <w:tab w:val="left" w:pos="567"/>
        </w:tabs>
        <w:rPr>
          <w:lang w:val="fr-FR"/>
        </w:rPr>
      </w:pPr>
    </w:p>
    <w:p w:rsidR="008C3126" w:rsidRPr="008725ED" w:rsidRDefault="0052307B" w:rsidP="0052307B">
      <w:pPr>
        <w:tabs>
          <w:tab w:val="left" w:pos="567"/>
        </w:tabs>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r>
      <w:r w:rsidRPr="008725ED">
        <w:rPr>
          <w:shd w:val="clear" w:color="auto" w:fill="FFFFFF"/>
          <w:lang w:val="fr-FR"/>
        </w:rPr>
        <w:t>L</w:t>
      </w:r>
      <w:r w:rsidR="00EF1779" w:rsidRPr="008725ED">
        <w:rPr>
          <w:shd w:val="clear" w:color="auto" w:fill="FFFFFF"/>
          <w:lang w:val="fr-FR"/>
        </w:rPr>
        <w:t>’</w:t>
      </w:r>
      <w:r w:rsidRPr="008725ED">
        <w:rPr>
          <w:shd w:val="clear" w:color="auto" w:fill="FFFFFF"/>
          <w:lang w:val="fr-FR"/>
        </w:rPr>
        <w:t>après</w:t>
      </w:r>
      <w:r w:rsidR="00EF1779" w:rsidRPr="008725ED">
        <w:rPr>
          <w:shd w:val="clear" w:color="auto" w:fill="FFFFFF"/>
          <w:lang w:val="fr-FR"/>
        </w:rPr>
        <w:t>-</w:t>
      </w:r>
      <w:r w:rsidRPr="008725ED">
        <w:rPr>
          <w:shd w:val="clear" w:color="auto" w:fill="FFFFFF"/>
          <w:lang w:val="fr-FR"/>
        </w:rPr>
        <w:t xml:space="preserve">midi du </w:t>
      </w:r>
      <w:r w:rsidRPr="008725ED">
        <w:rPr>
          <w:lang w:val="fr-FR"/>
        </w:rPr>
        <w:t>29 juin 2016, le TWV a visité le centre d</w:t>
      </w:r>
      <w:r w:rsidR="00EF1779" w:rsidRPr="008725ED">
        <w:rPr>
          <w:lang w:val="fr-FR"/>
        </w:rPr>
        <w:t>’</w:t>
      </w:r>
      <w:r w:rsidRPr="008725ED">
        <w:rPr>
          <w:lang w:val="fr-FR"/>
        </w:rPr>
        <w:t>examen de ÚKZÚZ à Chrlice, l</w:t>
      </w:r>
      <w:r w:rsidR="00EF1779" w:rsidRPr="008725ED">
        <w:rPr>
          <w:lang w:val="fr-FR"/>
        </w:rPr>
        <w:t>’</w:t>
      </w:r>
      <w:r w:rsidRPr="008725ED">
        <w:rPr>
          <w:lang w:val="fr-FR"/>
        </w:rPr>
        <w:t>un des 15 centres d</w:t>
      </w:r>
      <w:r w:rsidR="00EF1779" w:rsidRPr="008725ED">
        <w:rPr>
          <w:lang w:val="fr-FR"/>
        </w:rPr>
        <w:t>’</w:t>
      </w:r>
      <w:r w:rsidRPr="008725ED">
        <w:rPr>
          <w:lang w:val="fr-FR"/>
        </w:rPr>
        <w:t>examen de ÚKZÚZ, qui pratique essentiellement des examens DHS et VCU des plantes cultivées.  M. Tomáš Jan, chef du centre d</w:t>
      </w:r>
      <w:r w:rsidR="00EF1779" w:rsidRPr="008725ED">
        <w:rPr>
          <w:lang w:val="fr-FR"/>
        </w:rPr>
        <w:t>’</w:t>
      </w:r>
      <w:r w:rsidRPr="008725ED">
        <w:rPr>
          <w:lang w:val="fr-FR"/>
        </w:rPr>
        <w:t>examen a souhaité la bienvenue au </w:t>
      </w:r>
      <w:r w:rsidR="00D43219" w:rsidRPr="008725ED">
        <w:rPr>
          <w:lang w:val="fr-FR"/>
        </w:rPr>
        <w:t>TWV.  Le</w:t>
      </w:r>
      <w:r w:rsidRPr="008725ED">
        <w:rPr>
          <w:lang w:val="fr-FR"/>
        </w:rPr>
        <w:t> TWV a visité plusieurs essais DHS concernant notamment le chou</w:t>
      </w:r>
      <w:r w:rsidR="00EF1779" w:rsidRPr="008725ED">
        <w:rPr>
          <w:lang w:val="fr-FR"/>
        </w:rPr>
        <w:t>-</w:t>
      </w:r>
      <w:r w:rsidRPr="008725ED">
        <w:rPr>
          <w:lang w:val="fr-FR"/>
        </w:rPr>
        <w:t>fleur, le concombre/cornichon, la tomate, l</w:t>
      </w:r>
      <w:r w:rsidR="00EF1779" w:rsidRPr="008725ED">
        <w:rPr>
          <w:lang w:val="fr-FR"/>
        </w:rPr>
        <w:t>’</w:t>
      </w:r>
      <w:r w:rsidRPr="008725ED">
        <w:rPr>
          <w:lang w:val="fr-FR"/>
        </w:rPr>
        <w:t>ail, l</w:t>
      </w:r>
      <w:r w:rsidR="00EF1779" w:rsidRPr="008725ED">
        <w:rPr>
          <w:lang w:val="fr-FR"/>
        </w:rPr>
        <w:t>’</w:t>
      </w:r>
      <w:r w:rsidRPr="008725ED">
        <w:rPr>
          <w:lang w:val="fr-FR"/>
        </w:rPr>
        <w:t>oignon, le pois, le poivre et la luzerne.</w:t>
      </w:r>
    </w:p>
    <w:p w:rsidR="008C3126" w:rsidRPr="008725ED" w:rsidRDefault="008C3126" w:rsidP="0052307B">
      <w:pPr>
        <w:tabs>
          <w:tab w:val="left" w:pos="567"/>
        </w:tabs>
        <w:rPr>
          <w:lang w:val="fr-FR"/>
        </w:rPr>
      </w:pPr>
    </w:p>
    <w:p w:rsidR="008C3126" w:rsidRPr="008725ED" w:rsidRDefault="0052307B" w:rsidP="0052307B">
      <w:pPr>
        <w:tabs>
          <w:tab w:val="left" w:pos="567"/>
        </w:tabs>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 TWV a également visité l</w:t>
      </w:r>
      <w:r w:rsidR="00EF1779" w:rsidRPr="008725ED">
        <w:rPr>
          <w:lang w:val="fr-FR"/>
        </w:rPr>
        <w:t>’</w:t>
      </w:r>
      <w:r w:rsidRPr="008725ED">
        <w:rPr>
          <w:lang w:val="fr-FR"/>
        </w:rPr>
        <w:t>entreprise d</w:t>
      </w:r>
      <w:r w:rsidR="00EF1779" w:rsidRPr="008725ED">
        <w:rPr>
          <w:lang w:val="fr-FR"/>
        </w:rPr>
        <w:t>’</w:t>
      </w:r>
      <w:r w:rsidRPr="008725ED">
        <w:rPr>
          <w:lang w:val="fr-FR"/>
        </w:rPr>
        <w:t>obtention de légumes SEMO à Smržice, où il a été accueilli par le directeur, M. Jan Prášil, M. Vladislav Janeček, chef du marché des légumes, et M. Jan Zavadil, obtenteur de poivre et de lait</w:t>
      </w:r>
      <w:r w:rsidR="00D43219" w:rsidRPr="008725ED">
        <w:rPr>
          <w:lang w:val="fr-FR"/>
        </w:rPr>
        <w:t>ue.  Da</w:t>
      </w:r>
      <w:r w:rsidRPr="008725ED">
        <w:rPr>
          <w:lang w:val="fr-FR"/>
        </w:rPr>
        <w:t>ns les locaux de SEMO, le TWV a visité des essais de sélection de diverses espèces potagères et a examiné l</w:t>
      </w:r>
      <w:r w:rsidR="00EF1779" w:rsidRPr="008725ED">
        <w:rPr>
          <w:lang w:val="fr-FR"/>
        </w:rPr>
        <w:t>’</w:t>
      </w:r>
      <w:r w:rsidRPr="008725ED">
        <w:rPr>
          <w:lang w:val="fr-FR"/>
        </w:rPr>
        <w:t>incidence de certains caractères de résistance aux maladies sur les efforts des obtenteurs durant la création variétale.</w:t>
      </w:r>
    </w:p>
    <w:p w:rsidR="008C3126" w:rsidRPr="008725ED" w:rsidRDefault="008C3126" w:rsidP="0052307B">
      <w:pPr>
        <w:tabs>
          <w:tab w:val="left" w:pos="567"/>
        </w:tabs>
        <w:rPr>
          <w:lang w:val="fr-FR"/>
        </w:rPr>
      </w:pPr>
    </w:p>
    <w:p w:rsidR="008C3126" w:rsidRPr="008725ED" w:rsidRDefault="0052307B" w:rsidP="0052307B">
      <w:pPr>
        <w:tabs>
          <w:tab w:val="left" w:pos="567"/>
        </w:tabs>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 xml:space="preserve">Le TWV a examiné la révision des documents </w:t>
      </w:r>
      <w:r w:rsidR="00D43219" w:rsidRPr="008725ED">
        <w:rPr>
          <w:lang w:val="fr-FR"/>
        </w:rPr>
        <w:t>TGP.  En</w:t>
      </w:r>
      <w:r w:rsidRPr="008725ED">
        <w:rPr>
          <w:lang w:val="fr-FR"/>
        </w:rPr>
        <w:t xml:space="preserve"> règle générale, cet examen n</w:t>
      </w:r>
      <w:r w:rsidR="00EF1779" w:rsidRPr="008725ED">
        <w:rPr>
          <w:lang w:val="fr-FR"/>
        </w:rPr>
        <w:t>’</w:t>
      </w:r>
      <w:r w:rsidRPr="008725ED">
        <w:rPr>
          <w:lang w:val="fr-FR"/>
        </w:rPr>
        <w:t>a pas été suivi d</w:t>
      </w:r>
      <w:r w:rsidR="00EF1779" w:rsidRPr="008725ED">
        <w:rPr>
          <w:lang w:val="fr-FR"/>
        </w:rPr>
        <w:t>’</w:t>
      </w:r>
      <w:r w:rsidRPr="008725ED">
        <w:rPr>
          <w:lang w:val="fr-FR"/>
        </w:rPr>
        <w:t>une controver</w:t>
      </w:r>
      <w:r w:rsidR="00D43219" w:rsidRPr="008725ED">
        <w:rPr>
          <w:lang w:val="fr-FR"/>
        </w:rPr>
        <w:t>se.  Le</w:t>
      </w:r>
      <w:r w:rsidRPr="008725ED">
        <w:rPr>
          <w:lang w:val="fr-FR"/>
        </w:rPr>
        <w:t> TWV a examiné la proposition de conseils relatifs à l</w:t>
      </w:r>
      <w:r w:rsidR="00EF1779" w:rsidRPr="008725ED">
        <w:rPr>
          <w:lang w:val="fr-FR"/>
        </w:rPr>
        <w:t>’</w:t>
      </w:r>
      <w:r w:rsidRPr="008725ED">
        <w:rPr>
          <w:lang w:val="fr-FR"/>
        </w:rPr>
        <w:t>examen DHS sur des échantillons globaux (document TWV/50/11) tout en soulignant la nécessité de disposer de suffisamment de plantes pour avoir la gamme complète d</w:t>
      </w:r>
      <w:r w:rsidR="00EF1779" w:rsidRPr="008725ED">
        <w:rPr>
          <w:lang w:val="fr-FR"/>
        </w:rPr>
        <w:t>’</w:t>
      </w:r>
      <w:r w:rsidRPr="008725ED">
        <w:rPr>
          <w:lang w:val="fr-FR"/>
        </w:rPr>
        <w:t>expressions de variation dans un caractè</w:t>
      </w:r>
      <w:r w:rsidR="00D43219" w:rsidRPr="008725ED">
        <w:rPr>
          <w:lang w:val="fr-FR"/>
        </w:rPr>
        <w:t>re.  C’e</w:t>
      </w:r>
      <w:r w:rsidRPr="008725ED">
        <w:rPr>
          <w:lang w:val="fr-FR"/>
        </w:rPr>
        <w:t>st pourquoi le TWV n</w:t>
      </w:r>
      <w:r w:rsidR="00EF1779" w:rsidRPr="008725ED">
        <w:rPr>
          <w:lang w:val="fr-FR"/>
        </w:rPr>
        <w:t>’</w:t>
      </w:r>
      <w:r w:rsidRPr="008725ED">
        <w:rPr>
          <w:lang w:val="fr-FR"/>
        </w:rPr>
        <w:t>était pas favorable à la méthode consistant à réduire le nombre de plantes.</w:t>
      </w:r>
    </w:p>
    <w:p w:rsidR="008C3126" w:rsidRPr="008725ED" w:rsidRDefault="008C3126" w:rsidP="0052307B">
      <w:pPr>
        <w:tabs>
          <w:tab w:val="left" w:pos="567"/>
        </w:tabs>
        <w:rPr>
          <w:lang w:val="fr-FR"/>
        </w:rPr>
      </w:pPr>
    </w:p>
    <w:p w:rsidR="008C3126" w:rsidRPr="008725ED" w:rsidRDefault="0052307B" w:rsidP="0052307B">
      <w:pPr>
        <w:tabs>
          <w:tab w:val="left" w:pos="567"/>
        </w:tabs>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 TWV a suivi des exposés, suivis de discussions, au titre du point de l</w:t>
      </w:r>
      <w:r w:rsidR="00EF1779" w:rsidRPr="008725ED">
        <w:rPr>
          <w:lang w:val="fr-FR"/>
        </w:rPr>
        <w:t>’</w:t>
      </w:r>
      <w:r w:rsidRPr="008725ED">
        <w:rPr>
          <w:lang w:val="fr-FR"/>
        </w:rPr>
        <w:t>ordre du jour “Les nouvelles questions se posant pour l</w:t>
      </w:r>
      <w:r w:rsidR="00EF1779" w:rsidRPr="008725ED">
        <w:rPr>
          <w:lang w:val="fr-FR"/>
        </w:rPr>
        <w:t>’</w:t>
      </w:r>
      <w:r w:rsidRPr="008725ED">
        <w:rPr>
          <w:lang w:val="fr-FR"/>
        </w:rPr>
        <w:t>examen DHS”.  Le TWV a fait part de sa préoccupation quant à la rapidité de réalisation des révisions partielles des principes directeurs d</w:t>
      </w:r>
      <w:r w:rsidR="00EF1779" w:rsidRPr="008725ED">
        <w:rPr>
          <w:lang w:val="fr-FR"/>
        </w:rPr>
        <w:t>’</w:t>
      </w:r>
      <w:r w:rsidRPr="008725ED">
        <w:rPr>
          <w:lang w:val="fr-FR"/>
        </w:rPr>
        <w:t>examen, notamment en ce qui concerne les caractères de résistance aux maladi</w:t>
      </w:r>
      <w:r w:rsidR="00D43219" w:rsidRPr="008725ED">
        <w:rPr>
          <w:lang w:val="fr-FR"/>
        </w:rPr>
        <w:t>es.  Le</w:t>
      </w:r>
      <w:r w:rsidRPr="008725ED">
        <w:rPr>
          <w:lang w:val="fr-FR"/>
        </w:rPr>
        <w:t> TWV est convenu qu</w:t>
      </w:r>
      <w:r w:rsidR="00EF1779" w:rsidRPr="008725ED">
        <w:rPr>
          <w:lang w:val="fr-FR"/>
        </w:rPr>
        <w:t>’</w:t>
      </w:r>
      <w:r w:rsidRPr="008725ED">
        <w:rPr>
          <w:lang w:val="fr-FR"/>
        </w:rPr>
        <w:t>il serait important de pouvoir faire des propositions de révisions partielles durant la période suivant la session du</w:t>
      </w:r>
      <w:r w:rsidR="00EF1779" w:rsidRPr="008725ED">
        <w:rPr>
          <w:lang w:val="fr-FR"/>
        </w:rPr>
        <w:t> TC</w:t>
      </w:r>
      <w:r w:rsidRPr="008725ED">
        <w:rPr>
          <w:lang w:val="fr-FR"/>
        </w:rPr>
        <w:t xml:space="preserve"> et précédant la session du TWV.</w:t>
      </w:r>
    </w:p>
    <w:p w:rsidR="008C3126" w:rsidRPr="008725ED" w:rsidRDefault="008C3126" w:rsidP="0052307B">
      <w:pPr>
        <w:tabs>
          <w:tab w:val="left" w:pos="567"/>
        </w:tabs>
        <w:rPr>
          <w:lang w:val="fr-FR"/>
        </w:rPr>
      </w:pPr>
    </w:p>
    <w:p w:rsidR="008C3126" w:rsidRPr="008725ED" w:rsidRDefault="0052307B" w:rsidP="0052307B">
      <w:pPr>
        <w:tabs>
          <w:tab w:val="left" w:pos="567"/>
        </w:tabs>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 TWV a suivi des exposés sur le nombre minimal de cycles de végétation présentés par la France et les Pays</w:t>
      </w:r>
      <w:r w:rsidR="00EF1779" w:rsidRPr="008725ED">
        <w:rPr>
          <w:lang w:val="fr-FR"/>
        </w:rPr>
        <w:t>-</w:t>
      </w:r>
      <w:r w:rsidRPr="008725ED">
        <w:rPr>
          <w:lang w:val="fr-FR"/>
        </w:rPr>
        <w:t>Bas, qui ont été suivis de discussio</w:t>
      </w:r>
      <w:r w:rsidR="00D43219" w:rsidRPr="008725ED">
        <w:rPr>
          <w:lang w:val="fr-FR"/>
        </w:rPr>
        <w:t>ns.  Le</w:t>
      </w:r>
      <w:r w:rsidRPr="008725ED">
        <w:rPr>
          <w:lang w:val="fr-FR"/>
        </w:rPr>
        <w:t> TWV est convenu que le nombre minimal de cycles de végétation devait être considéré au cas par cas afin de concevoir l</w:t>
      </w:r>
      <w:r w:rsidR="00EF1779" w:rsidRPr="008725ED">
        <w:rPr>
          <w:lang w:val="fr-FR"/>
        </w:rPr>
        <w:t>’</w:t>
      </w:r>
      <w:r w:rsidRPr="008725ED">
        <w:rPr>
          <w:lang w:val="fr-FR"/>
        </w:rPr>
        <w:t>examen DHS de la façon la plus efficace et rationnelle.</w:t>
      </w:r>
    </w:p>
    <w:p w:rsidR="008C3126" w:rsidRPr="008725ED" w:rsidRDefault="008C3126" w:rsidP="0052307B">
      <w:pPr>
        <w:tabs>
          <w:tab w:val="left" w:pos="567"/>
        </w:tabs>
        <w:rPr>
          <w:lang w:val="fr-FR"/>
        </w:rPr>
      </w:pPr>
    </w:p>
    <w:p w:rsidR="008C3126" w:rsidRPr="008725ED" w:rsidRDefault="0052307B" w:rsidP="0052307B">
      <w:pPr>
        <w:tabs>
          <w:tab w:val="left" w:pos="567"/>
        </w:tabs>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 projet de principes directeurs d</w:t>
      </w:r>
      <w:r w:rsidR="00EF1779" w:rsidRPr="008725ED">
        <w:rPr>
          <w:lang w:val="fr-FR"/>
        </w:rPr>
        <w:t>’</w:t>
      </w:r>
      <w:r w:rsidRPr="008725ED">
        <w:rPr>
          <w:lang w:val="fr-FR"/>
        </w:rPr>
        <w:t>examen pour agaricus, la chicorée à feuille, la chicorée endive et la laitue ont été révisés et soumis au</w:t>
      </w:r>
      <w:r w:rsidR="00EF1779" w:rsidRPr="008725ED">
        <w:rPr>
          <w:lang w:val="fr-FR"/>
        </w:rPr>
        <w:t> TC</w:t>
      </w:r>
      <w:r w:rsidRPr="008725ED">
        <w:rPr>
          <w:lang w:val="fr-FR"/>
        </w:rPr>
        <w:t xml:space="preserve"> pour adopti</w:t>
      </w:r>
      <w:r w:rsidR="00D43219" w:rsidRPr="008725ED">
        <w:rPr>
          <w:lang w:val="fr-FR"/>
        </w:rPr>
        <w:t>on.  De</w:t>
      </w:r>
      <w:r w:rsidRPr="008725ED">
        <w:rPr>
          <w:lang w:val="fr-FR"/>
        </w:rPr>
        <w:t>s révisions partielles des caractères de résistance aux maladies des principes directeurs d</w:t>
      </w:r>
      <w:r w:rsidR="00EF1779" w:rsidRPr="008725ED">
        <w:rPr>
          <w:lang w:val="fr-FR"/>
        </w:rPr>
        <w:t>’</w:t>
      </w:r>
      <w:r w:rsidRPr="008725ED">
        <w:rPr>
          <w:lang w:val="fr-FR"/>
        </w:rPr>
        <w:t>examen pour la tomate et une révision partielle concernant la portée des principes directeurs d</w:t>
      </w:r>
      <w:r w:rsidR="00EF1779" w:rsidRPr="008725ED">
        <w:rPr>
          <w:lang w:val="fr-FR"/>
        </w:rPr>
        <w:t>’</w:t>
      </w:r>
      <w:r w:rsidRPr="008725ED">
        <w:rPr>
          <w:lang w:val="fr-FR"/>
        </w:rPr>
        <w:t>examen pour les porte</w:t>
      </w:r>
      <w:r w:rsidR="00EF1779" w:rsidRPr="008725ED">
        <w:rPr>
          <w:lang w:val="fr-FR"/>
        </w:rPr>
        <w:t>-</w:t>
      </w:r>
      <w:r w:rsidRPr="008725ED">
        <w:rPr>
          <w:lang w:val="fr-FR"/>
        </w:rPr>
        <w:t>greffes de tomate ont été approuvées.</w:t>
      </w:r>
    </w:p>
    <w:p w:rsidR="008C3126" w:rsidRPr="008725ED" w:rsidRDefault="008C3126" w:rsidP="0052307B">
      <w:pPr>
        <w:tabs>
          <w:tab w:val="left" w:pos="567"/>
        </w:tabs>
        <w:rPr>
          <w:lang w:val="fr-FR"/>
        </w:rPr>
      </w:pPr>
    </w:p>
    <w:p w:rsidR="008C3126" w:rsidRPr="008725ED" w:rsidRDefault="0052307B" w:rsidP="0052307B">
      <w:pPr>
        <w:tabs>
          <w:tab w:val="left" w:pos="567"/>
        </w:tabs>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Pour la cinquante</w:t>
      </w:r>
      <w:r w:rsidR="00EF1779" w:rsidRPr="008725ED">
        <w:rPr>
          <w:lang w:val="fr-FR"/>
        </w:rPr>
        <w:t> et unième session</w:t>
      </w:r>
      <w:r w:rsidRPr="008725ED">
        <w:rPr>
          <w:lang w:val="fr-FR"/>
        </w:rPr>
        <w:t>, le TWV a prévu d</w:t>
      </w:r>
      <w:r w:rsidR="00EF1779" w:rsidRPr="008725ED">
        <w:rPr>
          <w:lang w:val="fr-FR"/>
        </w:rPr>
        <w:t>’</w:t>
      </w:r>
      <w:r w:rsidRPr="008725ED">
        <w:rPr>
          <w:lang w:val="fr-FR"/>
        </w:rPr>
        <w:t xml:space="preserve">examiner </w:t>
      </w:r>
      <w:r w:rsidR="0000589A" w:rsidRPr="008725ED">
        <w:rPr>
          <w:lang w:val="fr-FR"/>
        </w:rPr>
        <w:t>trois</w:t>
      </w:r>
      <w:r w:rsidRPr="008725ED">
        <w:rPr>
          <w:lang w:val="fr-FR"/>
        </w:rPr>
        <w:t> nouveaux principes directeurs d</w:t>
      </w:r>
      <w:r w:rsidR="00EF1779" w:rsidRPr="008725ED">
        <w:rPr>
          <w:lang w:val="fr-FR"/>
        </w:rPr>
        <w:t>’</w:t>
      </w:r>
      <w:r w:rsidRPr="008725ED">
        <w:rPr>
          <w:lang w:val="fr-FR"/>
        </w:rPr>
        <w:t xml:space="preserve">examen, </w:t>
      </w:r>
      <w:r w:rsidR="0000589A" w:rsidRPr="008725ED">
        <w:rPr>
          <w:lang w:val="fr-FR"/>
        </w:rPr>
        <w:t>trois</w:t>
      </w:r>
      <w:r w:rsidRPr="008725ED">
        <w:rPr>
          <w:lang w:val="fr-FR"/>
        </w:rPr>
        <w:t> révisions des principes directeurs d</w:t>
      </w:r>
      <w:r w:rsidR="00EF1779" w:rsidRPr="008725ED">
        <w:rPr>
          <w:lang w:val="fr-FR"/>
        </w:rPr>
        <w:t>’</w:t>
      </w:r>
      <w:r w:rsidRPr="008725ED">
        <w:rPr>
          <w:lang w:val="fr-FR"/>
        </w:rPr>
        <w:t xml:space="preserve">examen et </w:t>
      </w:r>
      <w:r w:rsidR="0000589A" w:rsidRPr="008725ED">
        <w:rPr>
          <w:lang w:val="fr-FR"/>
        </w:rPr>
        <w:t>huit</w:t>
      </w:r>
      <w:r w:rsidRPr="008725ED">
        <w:rPr>
          <w:lang w:val="fr-FR"/>
        </w:rPr>
        <w:t> révisions partielles (principalement sur les caractères de résistance aux maladies).</w:t>
      </w:r>
    </w:p>
    <w:p w:rsidR="008C3126" w:rsidRPr="008725ED" w:rsidRDefault="008C3126" w:rsidP="0052307B">
      <w:pPr>
        <w:tabs>
          <w:tab w:val="left" w:pos="567"/>
        </w:tabs>
        <w:rPr>
          <w:lang w:val="fr-FR"/>
        </w:rPr>
      </w:pPr>
    </w:p>
    <w:p w:rsidR="008C3126" w:rsidRPr="008725ED" w:rsidRDefault="0052307B" w:rsidP="0052307B">
      <w:pPr>
        <w:tabs>
          <w:tab w:val="left" w:pos="567"/>
        </w:tabs>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Sur l</w:t>
      </w:r>
      <w:r w:rsidR="00EF1779" w:rsidRPr="008725ED">
        <w:rPr>
          <w:lang w:val="fr-FR"/>
        </w:rPr>
        <w:t>’</w:t>
      </w:r>
      <w:r w:rsidRPr="008725ED">
        <w:rPr>
          <w:lang w:val="fr-FR"/>
        </w:rPr>
        <w:t>invitation des Pays</w:t>
      </w:r>
      <w:r w:rsidR="00EF1779" w:rsidRPr="008725ED">
        <w:rPr>
          <w:lang w:val="fr-FR"/>
        </w:rPr>
        <w:t>-</w:t>
      </w:r>
      <w:r w:rsidRPr="008725ED">
        <w:rPr>
          <w:lang w:val="fr-FR"/>
        </w:rPr>
        <w:t>Bas, le TWV est convenu de tenir sa cinquante</w:t>
      </w:r>
      <w:r w:rsidR="00EF1779" w:rsidRPr="008725ED">
        <w:rPr>
          <w:lang w:val="fr-FR"/>
        </w:rPr>
        <w:t> et unième session</w:t>
      </w:r>
      <w:r w:rsidRPr="008725ED">
        <w:rPr>
          <w:lang w:val="fr-FR"/>
        </w:rPr>
        <w:t xml:space="preserve"> près de Roelofarendsveen du 3 au 7 juillet 2017.  L</w:t>
      </w:r>
      <w:r w:rsidR="00EF1779" w:rsidRPr="008725ED">
        <w:rPr>
          <w:lang w:val="fr-FR"/>
        </w:rPr>
        <w:t>’</w:t>
      </w:r>
      <w:r w:rsidRPr="008725ED">
        <w:rPr>
          <w:lang w:val="fr-FR"/>
        </w:rPr>
        <w:t>atelier préparatoire se tiendra le 2 juillet 2017.</w:t>
      </w:r>
    </w:p>
    <w:p w:rsidR="008C3126" w:rsidRPr="008725ED" w:rsidRDefault="008C3126" w:rsidP="0052307B">
      <w:pPr>
        <w:tabs>
          <w:tab w:val="left" w:pos="567"/>
        </w:tabs>
        <w:rPr>
          <w:lang w:val="fr-FR"/>
        </w:rPr>
      </w:pPr>
    </w:p>
    <w:p w:rsidR="008C3126" w:rsidRPr="008725ED" w:rsidRDefault="0052307B" w:rsidP="0052307B">
      <w:pPr>
        <w:tabs>
          <w:tab w:val="left" w:pos="567"/>
        </w:tabs>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 TWV a proposé au</w:t>
      </w:r>
      <w:r w:rsidR="00EF1779" w:rsidRPr="008725ED">
        <w:rPr>
          <w:lang w:val="fr-FR"/>
        </w:rPr>
        <w:t> TC</w:t>
      </w:r>
      <w:r w:rsidRPr="008725ED">
        <w:rPr>
          <w:lang w:val="fr-FR"/>
        </w:rPr>
        <w:t xml:space="preserve"> qu</w:t>
      </w:r>
      <w:r w:rsidR="00EF1779" w:rsidRPr="008725ED">
        <w:rPr>
          <w:lang w:val="fr-FR"/>
        </w:rPr>
        <w:t>’</w:t>
      </w:r>
      <w:r w:rsidRPr="008725ED">
        <w:rPr>
          <w:lang w:val="fr-FR"/>
        </w:rPr>
        <w:t>il recommande au Conseil d</w:t>
      </w:r>
      <w:r w:rsidR="00EF1779" w:rsidRPr="008725ED">
        <w:rPr>
          <w:lang w:val="fr-FR"/>
        </w:rPr>
        <w:t>’</w:t>
      </w:r>
      <w:r w:rsidRPr="008725ED">
        <w:rPr>
          <w:lang w:val="fr-FR"/>
        </w:rPr>
        <w:t>élire Mme Romana Bravi (Italie) prochaine présidente du TWV.</w:t>
      </w:r>
    </w:p>
    <w:p w:rsidR="008C3126" w:rsidRPr="008725ED" w:rsidRDefault="008C3126" w:rsidP="0052307B">
      <w:pPr>
        <w:tabs>
          <w:tab w:val="left" w:pos="567"/>
        </w:tabs>
        <w:rPr>
          <w:lang w:val="fr-FR"/>
        </w:rPr>
      </w:pPr>
    </w:p>
    <w:p w:rsidR="008C3126" w:rsidRPr="008725ED" w:rsidRDefault="0052307B" w:rsidP="0052307B">
      <w:pPr>
        <w:keepNext/>
        <w:tabs>
          <w:tab w:val="left" w:pos="567"/>
        </w:tabs>
        <w:ind w:right="-425"/>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 TWV a proposé d</w:t>
      </w:r>
      <w:r w:rsidR="00EF1779" w:rsidRPr="008725ED">
        <w:rPr>
          <w:lang w:val="fr-FR"/>
        </w:rPr>
        <w:t>’</w:t>
      </w:r>
      <w:r w:rsidRPr="008725ED">
        <w:rPr>
          <w:lang w:val="fr-FR"/>
        </w:rPr>
        <w:t>examiner les points suivants à sa prochaine session</w:t>
      </w:r>
      <w:r w:rsidR="00EF1779" w:rsidRPr="008725ED">
        <w:rPr>
          <w:lang w:val="fr-FR"/>
        </w:rPr>
        <w:t> :</w:t>
      </w:r>
    </w:p>
    <w:p w:rsidR="008C3126" w:rsidRPr="008725ED" w:rsidRDefault="008C3126" w:rsidP="0052307B">
      <w:pPr>
        <w:keepNext/>
        <w:tabs>
          <w:tab w:val="left" w:pos="567"/>
        </w:tabs>
        <w:ind w:right="-425"/>
        <w:rPr>
          <w:lang w:val="fr-FR"/>
        </w:rPr>
      </w:pPr>
    </w:p>
    <w:p w:rsidR="008C3126" w:rsidRPr="008725ED" w:rsidRDefault="0052307B" w:rsidP="0052307B">
      <w:pPr>
        <w:keepNext/>
        <w:tabs>
          <w:tab w:val="left" w:pos="1134"/>
        </w:tabs>
        <w:spacing w:line="276" w:lineRule="auto"/>
        <w:ind w:left="567" w:right="-425"/>
        <w:rPr>
          <w:lang w:val="fr-FR"/>
        </w:rPr>
      </w:pPr>
      <w:r w:rsidRPr="008725ED">
        <w:rPr>
          <w:lang w:val="fr-FR"/>
        </w:rPr>
        <w:t>1.</w:t>
      </w:r>
      <w:r w:rsidRPr="008725ED">
        <w:rPr>
          <w:lang w:val="fr-FR"/>
        </w:rPr>
        <w:tab/>
        <w:t>Ouverture de la session</w:t>
      </w:r>
    </w:p>
    <w:p w:rsidR="008C3126" w:rsidRPr="008725ED" w:rsidRDefault="0052307B" w:rsidP="0052307B">
      <w:pPr>
        <w:keepNext/>
        <w:tabs>
          <w:tab w:val="left" w:pos="1134"/>
        </w:tabs>
        <w:spacing w:line="276" w:lineRule="auto"/>
        <w:ind w:left="567" w:right="-425"/>
        <w:rPr>
          <w:lang w:val="fr-FR"/>
        </w:rPr>
      </w:pPr>
      <w:r w:rsidRPr="008725ED">
        <w:rPr>
          <w:lang w:val="fr-FR"/>
        </w:rPr>
        <w:t>2.</w:t>
      </w:r>
      <w:r w:rsidRPr="008725ED">
        <w:rPr>
          <w:lang w:val="fr-FR"/>
        </w:rPr>
        <w:tab/>
        <w:t>Adoption de l</w:t>
      </w:r>
      <w:r w:rsidR="00EF1779" w:rsidRPr="008725ED">
        <w:rPr>
          <w:lang w:val="fr-FR"/>
        </w:rPr>
        <w:t>’</w:t>
      </w:r>
      <w:r w:rsidRPr="008725ED">
        <w:rPr>
          <w:lang w:val="fr-FR"/>
        </w:rPr>
        <w:t>ordre du jour</w:t>
      </w:r>
    </w:p>
    <w:p w:rsidR="008C3126" w:rsidRPr="008725ED" w:rsidRDefault="0052307B" w:rsidP="0052307B">
      <w:pPr>
        <w:keepNext/>
        <w:tabs>
          <w:tab w:val="left" w:pos="1134"/>
        </w:tabs>
        <w:spacing w:line="276" w:lineRule="auto"/>
        <w:ind w:left="567" w:right="-425"/>
        <w:rPr>
          <w:lang w:val="fr-FR"/>
        </w:rPr>
      </w:pPr>
      <w:r w:rsidRPr="008725ED">
        <w:rPr>
          <w:lang w:val="fr-FR"/>
        </w:rPr>
        <w:t>3.</w:t>
      </w:r>
      <w:r w:rsidRPr="008725ED">
        <w:rPr>
          <w:lang w:val="fr-FR"/>
        </w:rPr>
        <w:tab/>
        <w:t>Rapports succincts sur l</w:t>
      </w:r>
      <w:r w:rsidR="00EF1779" w:rsidRPr="008725ED">
        <w:rPr>
          <w:lang w:val="fr-FR"/>
        </w:rPr>
        <w:t>’</w:t>
      </w:r>
      <w:r w:rsidRPr="008725ED">
        <w:rPr>
          <w:lang w:val="fr-FR"/>
        </w:rPr>
        <w:t>évolution de la situation en matière de protection des obtentions végétales</w:t>
      </w:r>
      <w:r w:rsidR="00EF1779" w:rsidRPr="008725ED">
        <w:rPr>
          <w:lang w:val="fr-FR"/>
        </w:rPr>
        <w:t> :</w:t>
      </w:r>
    </w:p>
    <w:p w:rsidR="008C3126" w:rsidRPr="008725ED" w:rsidRDefault="0052307B" w:rsidP="0052307B">
      <w:pPr>
        <w:tabs>
          <w:tab w:val="left" w:pos="1134"/>
          <w:tab w:val="left" w:pos="1701"/>
        </w:tabs>
        <w:spacing w:line="276" w:lineRule="auto"/>
        <w:ind w:left="1134" w:right="-425"/>
        <w:rPr>
          <w:lang w:val="fr-FR"/>
        </w:rPr>
      </w:pPr>
      <w:r w:rsidRPr="008725ED">
        <w:rPr>
          <w:lang w:val="fr-FR"/>
        </w:rPr>
        <w:t>a)</w:t>
      </w:r>
      <w:r w:rsidRPr="008725ED">
        <w:rPr>
          <w:lang w:val="fr-FR"/>
        </w:rPr>
        <w:tab/>
        <w:t>Rapports des membres et des observateurs</w:t>
      </w:r>
    </w:p>
    <w:p w:rsidR="008C3126" w:rsidRPr="008725ED" w:rsidRDefault="0052307B" w:rsidP="0052307B">
      <w:pPr>
        <w:tabs>
          <w:tab w:val="left" w:pos="1701"/>
        </w:tabs>
        <w:spacing w:line="276" w:lineRule="auto"/>
        <w:ind w:left="1134" w:right="-425"/>
        <w:rPr>
          <w:lang w:val="fr-FR"/>
        </w:rPr>
      </w:pPr>
      <w:r w:rsidRPr="008725ED">
        <w:rPr>
          <w:lang w:val="fr-FR"/>
        </w:rPr>
        <w:t>b)</w:t>
      </w:r>
      <w:r w:rsidRPr="008725ED">
        <w:rPr>
          <w:lang w:val="fr-FR"/>
        </w:rPr>
        <w:tab/>
        <w:t>Rapports sur les faits nouveaux intervenus à l</w:t>
      </w:r>
      <w:r w:rsidR="00EF1779" w:rsidRPr="008725ED">
        <w:rPr>
          <w:lang w:val="fr-FR"/>
        </w:rPr>
        <w:t>’</w:t>
      </w:r>
      <w:r w:rsidRPr="008725ED">
        <w:rPr>
          <w:lang w:val="fr-FR"/>
        </w:rPr>
        <w:t>UPOV (rapport verbal du Bureau de l</w:t>
      </w:r>
      <w:r w:rsidR="00EF1779" w:rsidRPr="008725ED">
        <w:rPr>
          <w:lang w:val="fr-FR"/>
        </w:rPr>
        <w:t>’</w:t>
      </w:r>
      <w:r w:rsidRPr="008725ED">
        <w:rPr>
          <w:lang w:val="fr-FR"/>
        </w:rPr>
        <w:t>Union)</w:t>
      </w:r>
    </w:p>
    <w:p w:rsidR="008C3126" w:rsidRPr="008725ED" w:rsidRDefault="0052307B" w:rsidP="0052307B">
      <w:pPr>
        <w:keepNext/>
        <w:tabs>
          <w:tab w:val="left" w:pos="1134"/>
        </w:tabs>
        <w:spacing w:line="276" w:lineRule="auto"/>
        <w:ind w:left="567" w:right="-425"/>
        <w:rPr>
          <w:lang w:val="fr-FR"/>
        </w:rPr>
      </w:pPr>
      <w:r w:rsidRPr="008725ED">
        <w:rPr>
          <w:lang w:val="fr-FR"/>
        </w:rPr>
        <w:t>4.</w:t>
      </w:r>
      <w:r w:rsidRPr="008725ED">
        <w:rPr>
          <w:lang w:val="fr-FR"/>
        </w:rPr>
        <w:tab/>
        <w:t>Techniques moléculaires</w:t>
      </w:r>
    </w:p>
    <w:p w:rsidR="008C3126" w:rsidRPr="008725ED" w:rsidRDefault="0052307B" w:rsidP="0052307B">
      <w:pPr>
        <w:tabs>
          <w:tab w:val="left" w:pos="1701"/>
        </w:tabs>
        <w:spacing w:line="276" w:lineRule="auto"/>
        <w:ind w:left="1701" w:right="-425" w:hanging="567"/>
        <w:rPr>
          <w:lang w:val="fr-FR"/>
        </w:rPr>
      </w:pPr>
      <w:r w:rsidRPr="008725ED">
        <w:rPr>
          <w:lang w:val="fr-FR"/>
        </w:rPr>
        <w:t>a)</w:t>
      </w:r>
      <w:r w:rsidRPr="008725ED">
        <w:rPr>
          <w:lang w:val="fr-FR"/>
        </w:rPr>
        <w:tab/>
        <w:t>Rapports sur les faits nouveaux intervenus à l</w:t>
      </w:r>
      <w:r w:rsidR="00EF1779" w:rsidRPr="008725ED">
        <w:rPr>
          <w:lang w:val="fr-FR"/>
        </w:rPr>
        <w:t>’</w:t>
      </w:r>
      <w:r w:rsidRPr="008725ED">
        <w:rPr>
          <w:lang w:val="fr-FR"/>
        </w:rPr>
        <w:t>UPOV (document à établir par le Bureau de l</w:t>
      </w:r>
      <w:r w:rsidR="00EF1779" w:rsidRPr="008725ED">
        <w:rPr>
          <w:lang w:val="fr-FR"/>
        </w:rPr>
        <w:t>’</w:t>
      </w:r>
      <w:r w:rsidRPr="008725ED">
        <w:rPr>
          <w:lang w:val="fr-FR"/>
        </w:rPr>
        <w:t>Union)</w:t>
      </w:r>
    </w:p>
    <w:p w:rsidR="008C3126" w:rsidRPr="008725ED" w:rsidRDefault="0052307B" w:rsidP="0052307B">
      <w:pPr>
        <w:tabs>
          <w:tab w:val="left" w:pos="1701"/>
        </w:tabs>
        <w:spacing w:line="276" w:lineRule="auto"/>
        <w:ind w:left="1701" w:right="-425" w:hanging="567"/>
        <w:rPr>
          <w:lang w:val="fr-FR"/>
        </w:rPr>
      </w:pPr>
      <w:r w:rsidRPr="008725ED">
        <w:rPr>
          <w:lang w:val="fr-FR"/>
        </w:rPr>
        <w:t>b)</w:t>
      </w:r>
      <w:r w:rsidRPr="008725ED">
        <w:rPr>
          <w:lang w:val="fr-FR"/>
        </w:rPr>
        <w:tab/>
        <w:t>Exposé sur l</w:t>
      </w:r>
      <w:r w:rsidR="00EF1779" w:rsidRPr="008725ED">
        <w:rPr>
          <w:lang w:val="fr-FR"/>
        </w:rPr>
        <w:t>’</w:t>
      </w:r>
      <w:r w:rsidRPr="008725ED">
        <w:rPr>
          <w:lang w:val="fr-FR"/>
        </w:rPr>
        <w:t>utilisation de techniques moléculaires dans l</w:t>
      </w:r>
      <w:r w:rsidR="00EF1779" w:rsidRPr="008725ED">
        <w:rPr>
          <w:lang w:val="fr-FR"/>
        </w:rPr>
        <w:t>’</w:t>
      </w:r>
      <w:r w:rsidRPr="008725ED">
        <w:rPr>
          <w:lang w:val="fr-FR"/>
        </w:rPr>
        <w:t>examen DHS (exposés sollicités de membres de l</w:t>
      </w:r>
      <w:r w:rsidR="00EF1779" w:rsidRPr="008725ED">
        <w:rPr>
          <w:lang w:val="fr-FR"/>
        </w:rPr>
        <w:t>’</w:t>
      </w:r>
      <w:r w:rsidRPr="008725ED">
        <w:rPr>
          <w:lang w:val="fr-FR"/>
        </w:rPr>
        <w:t>Union)</w:t>
      </w:r>
    </w:p>
    <w:p w:rsidR="008C3126" w:rsidRPr="008725ED" w:rsidRDefault="0052307B" w:rsidP="0052307B">
      <w:pPr>
        <w:tabs>
          <w:tab w:val="left" w:pos="1134"/>
        </w:tabs>
        <w:spacing w:line="276" w:lineRule="auto"/>
        <w:ind w:left="567" w:right="-425"/>
        <w:rPr>
          <w:lang w:val="fr-FR"/>
        </w:rPr>
      </w:pPr>
      <w:r w:rsidRPr="008725ED">
        <w:rPr>
          <w:lang w:val="fr-FR"/>
        </w:rPr>
        <w:t>5.</w:t>
      </w:r>
      <w:r w:rsidRPr="008725ED">
        <w:rPr>
          <w:lang w:val="fr-FR"/>
        </w:rPr>
        <w:tab/>
        <w:t>Documents TGP</w:t>
      </w:r>
    </w:p>
    <w:p w:rsidR="008C3126" w:rsidRPr="008725ED" w:rsidRDefault="0052307B" w:rsidP="0052307B">
      <w:pPr>
        <w:tabs>
          <w:tab w:val="left" w:pos="1134"/>
        </w:tabs>
        <w:spacing w:line="276" w:lineRule="auto"/>
        <w:ind w:left="567" w:right="-425"/>
        <w:rPr>
          <w:lang w:val="fr-FR"/>
        </w:rPr>
      </w:pPr>
      <w:r w:rsidRPr="008725ED">
        <w:rPr>
          <w:lang w:val="fr-FR"/>
        </w:rPr>
        <w:t>6.</w:t>
      </w:r>
      <w:r w:rsidRPr="008725ED">
        <w:rPr>
          <w:lang w:val="fr-FR"/>
        </w:rPr>
        <w:tab/>
        <w:t>Dénominations variétales (document à établir par le Bureau de l</w:t>
      </w:r>
      <w:r w:rsidR="00EF1779" w:rsidRPr="008725ED">
        <w:rPr>
          <w:lang w:val="fr-FR"/>
        </w:rPr>
        <w:t>’</w:t>
      </w:r>
      <w:r w:rsidRPr="008725ED">
        <w:rPr>
          <w:lang w:val="fr-FR"/>
        </w:rPr>
        <w:t>Union)</w:t>
      </w:r>
    </w:p>
    <w:p w:rsidR="008C3126" w:rsidRPr="008725ED" w:rsidRDefault="0052307B" w:rsidP="0052307B">
      <w:pPr>
        <w:keepNext/>
        <w:tabs>
          <w:tab w:val="left" w:pos="1134"/>
        </w:tabs>
        <w:spacing w:line="276" w:lineRule="auto"/>
        <w:ind w:left="567" w:right="-425"/>
        <w:rPr>
          <w:lang w:val="fr-FR"/>
        </w:rPr>
      </w:pPr>
      <w:r w:rsidRPr="008725ED">
        <w:rPr>
          <w:lang w:val="fr-FR"/>
        </w:rPr>
        <w:t>7.</w:t>
      </w:r>
      <w:r w:rsidRPr="008725ED">
        <w:rPr>
          <w:lang w:val="fr-FR"/>
        </w:rPr>
        <w:tab/>
        <w:t>Informations et bases de données</w:t>
      </w:r>
    </w:p>
    <w:p w:rsidR="008C3126" w:rsidRPr="008725ED" w:rsidRDefault="0052307B" w:rsidP="0052307B">
      <w:pPr>
        <w:tabs>
          <w:tab w:val="left" w:pos="1134"/>
          <w:tab w:val="left" w:pos="1701"/>
        </w:tabs>
        <w:spacing w:line="276" w:lineRule="auto"/>
        <w:ind w:left="1701" w:right="-425" w:hanging="567"/>
        <w:rPr>
          <w:lang w:val="fr-FR"/>
        </w:rPr>
      </w:pPr>
      <w:r w:rsidRPr="008725ED">
        <w:rPr>
          <w:lang w:val="fr-FR"/>
        </w:rPr>
        <w:t>a)</w:t>
      </w:r>
      <w:r w:rsidRPr="008725ED">
        <w:rPr>
          <w:lang w:val="fr-FR"/>
        </w:rPr>
        <w:tab/>
        <w:t>Bases de données d</w:t>
      </w:r>
      <w:r w:rsidR="00EF1779" w:rsidRPr="008725ED">
        <w:rPr>
          <w:lang w:val="fr-FR"/>
        </w:rPr>
        <w:t>’</w:t>
      </w:r>
      <w:r w:rsidRPr="008725ED">
        <w:rPr>
          <w:lang w:val="fr-FR"/>
        </w:rPr>
        <w:t>information de l</w:t>
      </w:r>
      <w:r w:rsidR="00EF1779" w:rsidRPr="008725ED">
        <w:rPr>
          <w:lang w:val="fr-FR"/>
        </w:rPr>
        <w:t>’</w:t>
      </w:r>
      <w:r w:rsidRPr="008725ED">
        <w:rPr>
          <w:lang w:val="fr-FR"/>
        </w:rPr>
        <w:t>UPOV (document à établir par le Bureau de l</w:t>
      </w:r>
      <w:r w:rsidR="00EF1779" w:rsidRPr="008725ED">
        <w:rPr>
          <w:lang w:val="fr-FR"/>
        </w:rPr>
        <w:t>’</w:t>
      </w:r>
      <w:r w:rsidRPr="008725ED">
        <w:rPr>
          <w:lang w:val="fr-FR"/>
        </w:rPr>
        <w:t>Union)</w:t>
      </w:r>
    </w:p>
    <w:p w:rsidR="008C3126" w:rsidRPr="008725ED" w:rsidRDefault="0052307B" w:rsidP="0052307B">
      <w:pPr>
        <w:tabs>
          <w:tab w:val="left" w:pos="1134"/>
          <w:tab w:val="left" w:pos="1701"/>
        </w:tabs>
        <w:spacing w:line="276" w:lineRule="auto"/>
        <w:ind w:left="1701" w:right="-425" w:hanging="567"/>
        <w:rPr>
          <w:lang w:val="fr-FR"/>
        </w:rPr>
      </w:pPr>
      <w:r w:rsidRPr="008725ED">
        <w:rPr>
          <w:lang w:val="fr-FR"/>
        </w:rPr>
        <w:t>b)</w:t>
      </w:r>
      <w:r w:rsidRPr="008725ED">
        <w:rPr>
          <w:lang w:val="fr-FR"/>
        </w:rPr>
        <w:tab/>
        <w:t>Bases de données sur les descriptions variétales (document à établir par le Bureau de l</w:t>
      </w:r>
      <w:r w:rsidR="00EF1779" w:rsidRPr="008725ED">
        <w:rPr>
          <w:lang w:val="fr-FR"/>
        </w:rPr>
        <w:t>’</w:t>
      </w:r>
      <w:r w:rsidRPr="008725ED">
        <w:rPr>
          <w:lang w:val="fr-FR"/>
        </w:rPr>
        <w:t>Union et documents sollicités)</w:t>
      </w:r>
    </w:p>
    <w:p w:rsidR="008C3126" w:rsidRPr="008725ED" w:rsidRDefault="0052307B" w:rsidP="0052307B">
      <w:pPr>
        <w:tabs>
          <w:tab w:val="left" w:pos="1701"/>
        </w:tabs>
        <w:spacing w:line="276" w:lineRule="auto"/>
        <w:ind w:left="1701" w:right="-425" w:hanging="567"/>
        <w:rPr>
          <w:lang w:val="fr-FR"/>
        </w:rPr>
      </w:pPr>
      <w:r w:rsidRPr="008725ED">
        <w:rPr>
          <w:lang w:val="fr-FR"/>
        </w:rPr>
        <w:t>c)</w:t>
      </w:r>
      <w:r w:rsidRPr="008725ED">
        <w:rPr>
          <w:lang w:val="fr-FR"/>
        </w:rPr>
        <w:tab/>
        <w:t>Échange et utilisation de logiciels et d</w:t>
      </w:r>
      <w:r w:rsidR="00EF1779" w:rsidRPr="008725ED">
        <w:rPr>
          <w:lang w:val="fr-FR"/>
        </w:rPr>
        <w:t>’</w:t>
      </w:r>
      <w:r w:rsidRPr="008725ED">
        <w:rPr>
          <w:lang w:val="fr-FR"/>
        </w:rPr>
        <w:t>équipements (document à établir par le Bureau de l</w:t>
      </w:r>
      <w:r w:rsidR="00EF1779" w:rsidRPr="008725ED">
        <w:rPr>
          <w:lang w:val="fr-FR"/>
        </w:rPr>
        <w:t>’</w:t>
      </w:r>
      <w:r w:rsidRPr="008725ED">
        <w:rPr>
          <w:lang w:val="fr-FR"/>
        </w:rPr>
        <w:t>Union)</w:t>
      </w:r>
    </w:p>
    <w:p w:rsidR="008C3126" w:rsidRPr="008725ED" w:rsidRDefault="0052307B" w:rsidP="0052307B">
      <w:pPr>
        <w:tabs>
          <w:tab w:val="left" w:pos="1701"/>
        </w:tabs>
        <w:spacing w:line="276" w:lineRule="auto"/>
        <w:ind w:left="1134" w:right="-425"/>
        <w:rPr>
          <w:lang w:val="fr-FR"/>
        </w:rPr>
      </w:pPr>
      <w:r w:rsidRPr="008725ED">
        <w:rPr>
          <w:lang w:val="fr-FR"/>
        </w:rPr>
        <w:t>d)</w:t>
      </w:r>
      <w:r w:rsidRPr="008725ED">
        <w:rPr>
          <w:lang w:val="fr-FR"/>
        </w:rPr>
        <w:tab/>
        <w:t>Systèmes de dépôt électronique des demandes (document à établir par le Bureau de l</w:t>
      </w:r>
      <w:r w:rsidR="00EF1779" w:rsidRPr="008725ED">
        <w:rPr>
          <w:lang w:val="fr-FR"/>
        </w:rPr>
        <w:t>’</w:t>
      </w:r>
      <w:r w:rsidRPr="008725ED">
        <w:rPr>
          <w:lang w:val="fr-FR"/>
        </w:rPr>
        <w:t>Union)</w:t>
      </w:r>
    </w:p>
    <w:p w:rsidR="008C3126" w:rsidRPr="008725ED" w:rsidRDefault="0052307B" w:rsidP="0052307B">
      <w:pPr>
        <w:tabs>
          <w:tab w:val="left" w:pos="1134"/>
        </w:tabs>
        <w:spacing w:line="276" w:lineRule="auto"/>
        <w:ind w:left="567" w:right="-425"/>
        <w:rPr>
          <w:lang w:val="fr-FR"/>
        </w:rPr>
      </w:pPr>
      <w:r w:rsidRPr="008725ED">
        <w:rPr>
          <w:lang w:val="fr-FR"/>
        </w:rPr>
        <w:t>8.</w:t>
      </w:r>
      <w:r w:rsidRPr="008725ED">
        <w:rPr>
          <w:lang w:val="fr-FR"/>
        </w:rPr>
        <w:tab/>
      </w:r>
      <w:r w:rsidRPr="008725ED">
        <w:rPr>
          <w:rFonts w:cs="Arial"/>
          <w:lang w:val="fr-FR"/>
        </w:rPr>
        <w:t>Expériences avec de nouveaux types et espèces (rapports verbaux sollicités</w:t>
      </w:r>
      <w:r w:rsidRPr="008725ED">
        <w:rPr>
          <w:lang w:val="fr-FR"/>
        </w:rPr>
        <w:t>)</w:t>
      </w:r>
    </w:p>
    <w:p w:rsidR="008C3126" w:rsidRPr="008725ED" w:rsidRDefault="0052307B" w:rsidP="0052307B">
      <w:pPr>
        <w:tabs>
          <w:tab w:val="left" w:pos="1134"/>
        </w:tabs>
        <w:spacing w:line="276" w:lineRule="auto"/>
        <w:ind w:left="567" w:right="-425"/>
        <w:rPr>
          <w:lang w:val="fr-FR"/>
        </w:rPr>
      </w:pPr>
      <w:r w:rsidRPr="008725ED">
        <w:rPr>
          <w:lang w:val="fr-FR"/>
        </w:rPr>
        <w:t>9.</w:t>
      </w:r>
      <w:r w:rsidRPr="008725ED">
        <w:rPr>
          <w:lang w:val="fr-FR"/>
        </w:rPr>
        <w:tab/>
        <w:t>Nouvelles questions se posant pour l</w:t>
      </w:r>
      <w:r w:rsidR="00EF1779" w:rsidRPr="008725ED">
        <w:rPr>
          <w:lang w:val="fr-FR"/>
        </w:rPr>
        <w:t>’</w:t>
      </w:r>
      <w:r w:rsidRPr="008725ED">
        <w:rPr>
          <w:lang w:val="fr-FR"/>
        </w:rPr>
        <w:t>examen DHS (exposés sollicités de membres de l</w:t>
      </w:r>
      <w:r w:rsidR="00EF1779" w:rsidRPr="008725ED">
        <w:rPr>
          <w:lang w:val="fr-FR"/>
        </w:rPr>
        <w:t>’</w:t>
      </w:r>
      <w:r w:rsidRPr="008725ED">
        <w:rPr>
          <w:lang w:val="fr-FR"/>
        </w:rPr>
        <w:t>Union)</w:t>
      </w:r>
    </w:p>
    <w:p w:rsidR="008C3126" w:rsidRPr="008725ED" w:rsidRDefault="0052307B" w:rsidP="0052307B">
      <w:pPr>
        <w:tabs>
          <w:tab w:val="left" w:pos="1134"/>
        </w:tabs>
        <w:spacing w:line="276" w:lineRule="auto"/>
        <w:ind w:left="1134" w:right="-425" w:hanging="567"/>
        <w:rPr>
          <w:lang w:val="fr-FR"/>
        </w:rPr>
      </w:pPr>
      <w:r w:rsidRPr="008725ED">
        <w:rPr>
          <w:lang w:val="fr-FR"/>
        </w:rPr>
        <w:t>10.</w:t>
      </w:r>
      <w:r w:rsidRPr="008725ED">
        <w:rPr>
          <w:lang w:val="fr-FR"/>
        </w:rPr>
        <w:tab/>
        <w:t>Questions en suspens concernant les principes directeurs d</w:t>
      </w:r>
      <w:r w:rsidR="00EF1779" w:rsidRPr="008725ED">
        <w:rPr>
          <w:lang w:val="fr-FR"/>
        </w:rPr>
        <w:t>’</w:t>
      </w:r>
      <w:r w:rsidRPr="008725ED">
        <w:rPr>
          <w:lang w:val="fr-FR"/>
        </w:rPr>
        <w:t>examen adoptés par le Comité technique (le cas échéant)</w:t>
      </w:r>
    </w:p>
    <w:p w:rsidR="008C3126" w:rsidRPr="008725ED" w:rsidRDefault="0052307B" w:rsidP="0052307B">
      <w:pPr>
        <w:tabs>
          <w:tab w:val="left" w:pos="1134"/>
        </w:tabs>
        <w:spacing w:line="276" w:lineRule="auto"/>
        <w:ind w:left="567" w:right="-425"/>
        <w:rPr>
          <w:lang w:val="fr-FR"/>
        </w:rPr>
      </w:pPr>
      <w:r w:rsidRPr="008725ED">
        <w:rPr>
          <w:lang w:val="fr-FR"/>
        </w:rPr>
        <w:t>11.</w:t>
      </w:r>
      <w:r w:rsidRPr="008725ED">
        <w:rPr>
          <w:lang w:val="fr-FR"/>
        </w:rPr>
        <w:tab/>
        <w:t>Examen des projets de principes directeurs d</w:t>
      </w:r>
      <w:r w:rsidR="00EF1779" w:rsidRPr="008725ED">
        <w:rPr>
          <w:lang w:val="fr-FR"/>
        </w:rPr>
        <w:t>’</w:t>
      </w:r>
      <w:r w:rsidRPr="008725ED">
        <w:rPr>
          <w:lang w:val="fr-FR"/>
        </w:rPr>
        <w:t>examen (sous</w:t>
      </w:r>
      <w:r w:rsidR="00EF1779" w:rsidRPr="008725ED">
        <w:rPr>
          <w:lang w:val="fr-FR"/>
        </w:rPr>
        <w:t>-</w:t>
      </w:r>
      <w:r w:rsidRPr="008725ED">
        <w:rPr>
          <w:lang w:val="fr-FR"/>
        </w:rPr>
        <w:t>groupes)</w:t>
      </w:r>
    </w:p>
    <w:p w:rsidR="008C3126" w:rsidRPr="008725ED" w:rsidRDefault="0052307B" w:rsidP="0052307B">
      <w:pPr>
        <w:tabs>
          <w:tab w:val="left" w:pos="1134"/>
        </w:tabs>
        <w:spacing w:line="276" w:lineRule="auto"/>
        <w:ind w:left="567" w:right="-425"/>
        <w:rPr>
          <w:lang w:val="fr-FR"/>
        </w:rPr>
      </w:pPr>
      <w:r w:rsidRPr="008725ED">
        <w:rPr>
          <w:lang w:val="fr-FR"/>
        </w:rPr>
        <w:t>12.</w:t>
      </w:r>
      <w:r w:rsidRPr="008725ED">
        <w:rPr>
          <w:lang w:val="fr-FR"/>
        </w:rPr>
        <w:tab/>
        <w:t>Recommandations sur les projets de principes directeurs d</w:t>
      </w:r>
      <w:r w:rsidR="00EF1779" w:rsidRPr="008725ED">
        <w:rPr>
          <w:lang w:val="fr-FR"/>
        </w:rPr>
        <w:t>’</w:t>
      </w:r>
      <w:r w:rsidRPr="008725ED">
        <w:rPr>
          <w:lang w:val="fr-FR"/>
        </w:rPr>
        <w:t>examen</w:t>
      </w:r>
    </w:p>
    <w:p w:rsidR="008C3126" w:rsidRPr="008725ED" w:rsidRDefault="0052307B" w:rsidP="0052307B">
      <w:pPr>
        <w:tabs>
          <w:tab w:val="left" w:pos="1134"/>
        </w:tabs>
        <w:spacing w:line="276" w:lineRule="auto"/>
        <w:ind w:left="567" w:right="-425"/>
        <w:rPr>
          <w:lang w:val="fr-FR"/>
        </w:rPr>
      </w:pPr>
      <w:r w:rsidRPr="008725ED">
        <w:rPr>
          <w:lang w:val="fr-FR"/>
        </w:rPr>
        <w:t>13.</w:t>
      </w:r>
      <w:r w:rsidRPr="008725ED">
        <w:rPr>
          <w:lang w:val="fr-FR"/>
        </w:rPr>
        <w:tab/>
        <w:t>Orientations pour les rédacteurs de principes directeurs d</w:t>
      </w:r>
      <w:r w:rsidR="00EF1779" w:rsidRPr="008725ED">
        <w:rPr>
          <w:lang w:val="fr-FR"/>
        </w:rPr>
        <w:t>’</w:t>
      </w:r>
      <w:r w:rsidRPr="008725ED">
        <w:rPr>
          <w:lang w:val="fr-FR"/>
        </w:rPr>
        <w:t>examen</w:t>
      </w:r>
    </w:p>
    <w:p w:rsidR="008C3126" w:rsidRPr="008725ED" w:rsidRDefault="0052307B" w:rsidP="0052307B">
      <w:pPr>
        <w:tabs>
          <w:tab w:val="left" w:pos="1134"/>
        </w:tabs>
        <w:spacing w:line="276" w:lineRule="auto"/>
        <w:ind w:left="567" w:right="-425"/>
        <w:rPr>
          <w:lang w:val="fr-FR"/>
        </w:rPr>
      </w:pPr>
      <w:r w:rsidRPr="008725ED">
        <w:rPr>
          <w:lang w:val="fr-FR"/>
        </w:rPr>
        <w:t>14.</w:t>
      </w:r>
      <w:r w:rsidRPr="008725ED">
        <w:rPr>
          <w:lang w:val="fr-FR"/>
        </w:rPr>
        <w:tab/>
        <w:t>Date et lieu de la prochaine session</w:t>
      </w:r>
    </w:p>
    <w:p w:rsidR="008C3126" w:rsidRPr="008725ED" w:rsidRDefault="0052307B" w:rsidP="0052307B">
      <w:pPr>
        <w:keepNext/>
        <w:tabs>
          <w:tab w:val="left" w:pos="1134"/>
        </w:tabs>
        <w:spacing w:line="276" w:lineRule="auto"/>
        <w:ind w:left="567" w:right="-425"/>
        <w:rPr>
          <w:lang w:val="fr-FR"/>
        </w:rPr>
      </w:pPr>
      <w:r w:rsidRPr="008725ED">
        <w:rPr>
          <w:lang w:val="fr-FR"/>
        </w:rPr>
        <w:t>15.</w:t>
      </w:r>
      <w:r w:rsidRPr="008725ED">
        <w:rPr>
          <w:lang w:val="fr-FR"/>
        </w:rPr>
        <w:tab/>
        <w:t>Programme futur</w:t>
      </w:r>
    </w:p>
    <w:p w:rsidR="008C3126" w:rsidRPr="008725ED" w:rsidRDefault="0052307B" w:rsidP="0052307B">
      <w:pPr>
        <w:keepNext/>
        <w:tabs>
          <w:tab w:val="left" w:pos="1134"/>
        </w:tabs>
        <w:spacing w:line="276" w:lineRule="auto"/>
        <w:ind w:left="567" w:right="-425"/>
        <w:rPr>
          <w:lang w:val="fr-FR"/>
        </w:rPr>
      </w:pPr>
      <w:r w:rsidRPr="008725ED">
        <w:rPr>
          <w:lang w:val="fr-FR"/>
        </w:rPr>
        <w:t>16.</w:t>
      </w:r>
      <w:r w:rsidRPr="008725ED">
        <w:rPr>
          <w:lang w:val="fr-FR"/>
        </w:rPr>
        <w:tab/>
        <w:t>Compte rendu de la session (selon le temps disponible)</w:t>
      </w:r>
    </w:p>
    <w:p w:rsidR="008C3126" w:rsidRPr="008725ED" w:rsidRDefault="0052307B" w:rsidP="0052307B">
      <w:pPr>
        <w:tabs>
          <w:tab w:val="left" w:pos="1134"/>
        </w:tabs>
        <w:spacing w:line="276" w:lineRule="auto"/>
        <w:ind w:left="567" w:right="-425"/>
        <w:rPr>
          <w:lang w:val="fr-FR"/>
        </w:rPr>
      </w:pPr>
      <w:r w:rsidRPr="008725ED">
        <w:rPr>
          <w:lang w:val="fr-FR"/>
        </w:rPr>
        <w:t>17.</w:t>
      </w:r>
      <w:r w:rsidRPr="008725ED">
        <w:rPr>
          <w:lang w:val="fr-FR"/>
        </w:rPr>
        <w:tab/>
        <w:t>Clôture de la session</w:t>
      </w:r>
    </w:p>
    <w:p w:rsidR="008C3126" w:rsidRPr="008725ED" w:rsidRDefault="008C3126" w:rsidP="005E033E">
      <w:pPr>
        <w:spacing w:line="360" w:lineRule="auto"/>
        <w:rPr>
          <w:rFonts w:cs="Arial"/>
          <w:lang w:val="fr-FR"/>
        </w:rPr>
      </w:pPr>
    </w:p>
    <w:p w:rsidR="008C3126" w:rsidRPr="008725ED" w:rsidRDefault="0052307B" w:rsidP="0052307B">
      <w:pPr>
        <w:pStyle w:val="Heading3"/>
      </w:pPr>
      <w:bookmarkStart w:id="51" w:name="_Toc494207988"/>
      <w:r w:rsidRPr="008725ED">
        <w:t>Groupe de travail sur les techniques biochimiques et moléculaires, notamment les profils d</w:t>
      </w:r>
      <w:r w:rsidR="00EF1779" w:rsidRPr="008725ED">
        <w:t>’</w:t>
      </w:r>
      <w:r w:rsidRPr="008725ED">
        <w:t>ADN</w:t>
      </w:r>
      <w:bookmarkEnd w:id="51"/>
    </w:p>
    <w:p w:rsidR="008C3126" w:rsidRPr="008725ED" w:rsidRDefault="008C3126" w:rsidP="0052307B">
      <w:pPr>
        <w:keepNext/>
        <w:rPr>
          <w:lang w:val="fr-FR"/>
        </w:rPr>
      </w:pPr>
    </w:p>
    <w:p w:rsidR="008C3126" w:rsidRPr="008725ED" w:rsidRDefault="0052307B" w:rsidP="00387459">
      <w:pPr>
        <w:rPr>
          <w:rFonts w:cs="Arial"/>
          <w:snapToGrid w:val="0"/>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r>
      <w:r w:rsidR="00387459" w:rsidRPr="008725ED">
        <w:rPr>
          <w:lang w:val="fr-FR"/>
        </w:rPr>
        <w:t>Le Groupe de travail sur les techniques biochimiques et moléculaires, notamment les profils d</w:t>
      </w:r>
      <w:r w:rsidR="00EF1779" w:rsidRPr="008725ED">
        <w:rPr>
          <w:lang w:val="fr-FR"/>
        </w:rPr>
        <w:t>’</w:t>
      </w:r>
      <w:r w:rsidR="00387459" w:rsidRPr="008725ED">
        <w:rPr>
          <w:lang w:val="fr-FR"/>
        </w:rPr>
        <w:t>ADN (BMT) a tenu sa cinquant</w:t>
      </w:r>
      <w:r w:rsidR="00EF1779" w:rsidRPr="008725ED">
        <w:rPr>
          <w:lang w:val="fr-FR"/>
        </w:rPr>
        <w:t>ième session</w:t>
      </w:r>
      <w:r w:rsidR="00387459" w:rsidRPr="008725ED">
        <w:rPr>
          <w:lang w:val="fr-FR"/>
        </w:rPr>
        <w:t xml:space="preserve"> à Moscou (Fédération de Russie) du 24 au 2</w:t>
      </w:r>
      <w:r w:rsidR="00EF1779" w:rsidRPr="008725ED">
        <w:rPr>
          <w:lang w:val="fr-FR"/>
        </w:rPr>
        <w:t>7 mai 20</w:t>
      </w:r>
      <w:r w:rsidR="00387459" w:rsidRPr="008725ED">
        <w:rPr>
          <w:lang w:val="fr-FR"/>
        </w:rPr>
        <w:t>16, sous la présidence de M.</w:t>
      </w:r>
      <w:r w:rsidR="00B0700F" w:rsidRPr="008725ED">
        <w:rPr>
          <w:lang w:val="fr-FR"/>
        </w:rPr>
        <w:t> </w:t>
      </w:r>
      <w:r w:rsidR="00387459" w:rsidRPr="008725ED">
        <w:rPr>
          <w:lang w:val="fr-FR"/>
        </w:rPr>
        <w:t>Kees van Ettekoven (Pays</w:t>
      </w:r>
      <w:r w:rsidR="00EF1779" w:rsidRPr="008725ED">
        <w:rPr>
          <w:lang w:val="fr-FR"/>
        </w:rPr>
        <w:t>-</w:t>
      </w:r>
      <w:r w:rsidR="00387459" w:rsidRPr="008725ED">
        <w:rPr>
          <w:lang w:val="fr-FR"/>
        </w:rPr>
        <w:t>B</w:t>
      </w:r>
      <w:r w:rsidR="00D43219" w:rsidRPr="008725ED">
        <w:rPr>
          <w:lang w:val="fr-FR"/>
        </w:rPr>
        <w:t xml:space="preserve">as).  </w:t>
      </w:r>
      <w:r w:rsidR="00D43219" w:rsidRPr="008725ED">
        <w:rPr>
          <w:rFonts w:cs="Arial"/>
          <w:snapToGrid w:val="0"/>
          <w:lang w:val="fr-FR"/>
        </w:rPr>
        <w:t>Le</w:t>
      </w:r>
      <w:r w:rsidR="00387459" w:rsidRPr="008725ED">
        <w:rPr>
          <w:rFonts w:cs="Arial"/>
          <w:snapToGrid w:val="0"/>
          <w:lang w:val="fr-FR"/>
        </w:rPr>
        <w:t xml:space="preserve"> compte rendu de la session </w:t>
      </w:r>
      <w:r w:rsidR="00335E38" w:rsidRPr="008725ED">
        <w:rPr>
          <w:rFonts w:cs="Arial"/>
          <w:snapToGrid w:val="0"/>
          <w:lang w:val="fr-FR"/>
        </w:rPr>
        <w:t>fait l</w:t>
      </w:r>
      <w:r w:rsidR="00EF1779" w:rsidRPr="008725ED">
        <w:rPr>
          <w:rFonts w:cs="Arial"/>
          <w:snapToGrid w:val="0"/>
          <w:lang w:val="fr-FR"/>
        </w:rPr>
        <w:t>’</w:t>
      </w:r>
      <w:r w:rsidR="00335E38" w:rsidRPr="008725ED">
        <w:rPr>
          <w:rFonts w:cs="Arial"/>
          <w:snapToGrid w:val="0"/>
          <w:lang w:val="fr-FR"/>
        </w:rPr>
        <w:t>objet du</w:t>
      </w:r>
      <w:r w:rsidR="00387459" w:rsidRPr="008725ED">
        <w:rPr>
          <w:rFonts w:cs="Arial"/>
          <w:snapToGrid w:val="0"/>
          <w:lang w:val="fr-FR"/>
        </w:rPr>
        <w:t xml:space="preserve"> </w:t>
      </w:r>
      <w:r w:rsidR="00EF1779" w:rsidRPr="008725ED">
        <w:rPr>
          <w:rFonts w:cs="Arial"/>
          <w:snapToGrid w:val="0"/>
          <w:lang w:val="fr-FR"/>
        </w:rPr>
        <w:t>document BM</w:t>
      </w:r>
      <w:r w:rsidR="00387459" w:rsidRPr="008725ED">
        <w:rPr>
          <w:rFonts w:cs="Arial"/>
          <w:snapToGrid w:val="0"/>
          <w:lang w:val="fr-FR"/>
        </w:rPr>
        <w:t>T/15/28 Rev. “Revised Report”.</w:t>
      </w:r>
    </w:p>
    <w:p w:rsidR="008C3126" w:rsidRPr="008725ED" w:rsidRDefault="00801DD1" w:rsidP="00D95F3A">
      <w:pPr>
        <w:rPr>
          <w:snapToGrid w:val="0"/>
          <w:lang w:val="fr-FR"/>
        </w:rPr>
      </w:pPr>
      <w:r w:rsidRPr="008725ED">
        <w:rPr>
          <w:snapToGrid w:val="0"/>
          <w:lang w:val="fr-FR"/>
        </w:rPr>
        <w:tab/>
      </w:r>
    </w:p>
    <w:p w:rsidR="00EF1779" w:rsidRPr="008725ED" w:rsidRDefault="00801DD1" w:rsidP="00387459">
      <w:pPr>
        <w:rPr>
          <w:rFonts w:cs="Arial"/>
          <w:snapToGrid w:val="0"/>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r>
      <w:r w:rsidR="00387459" w:rsidRPr="008725ED">
        <w:rPr>
          <w:lang w:val="fr-FR"/>
        </w:rPr>
        <w:t>La session a réuni 107</w:t>
      </w:r>
      <w:r w:rsidR="0064330D" w:rsidRPr="008725ED">
        <w:rPr>
          <w:lang w:val="fr-FR"/>
        </w:rPr>
        <w:t> </w:t>
      </w:r>
      <w:r w:rsidR="00387459" w:rsidRPr="008725ED">
        <w:rPr>
          <w:lang w:val="fr-FR"/>
        </w:rPr>
        <w:t>participants représe</w:t>
      </w:r>
      <w:r w:rsidR="0000589A" w:rsidRPr="008725ED">
        <w:rPr>
          <w:lang w:val="fr-FR"/>
        </w:rPr>
        <w:t>ntant 15</w:t>
      </w:r>
      <w:r w:rsidR="0064330D" w:rsidRPr="008725ED">
        <w:rPr>
          <w:lang w:val="fr-FR"/>
        </w:rPr>
        <w:t> </w:t>
      </w:r>
      <w:r w:rsidR="0000589A" w:rsidRPr="008725ED">
        <w:rPr>
          <w:lang w:val="fr-FR"/>
        </w:rPr>
        <w:t>membres de l</w:t>
      </w:r>
      <w:r w:rsidR="00EF1779" w:rsidRPr="008725ED">
        <w:rPr>
          <w:lang w:val="fr-FR"/>
        </w:rPr>
        <w:t>’</w:t>
      </w:r>
      <w:r w:rsidR="0000589A" w:rsidRPr="008725ED">
        <w:rPr>
          <w:lang w:val="fr-FR"/>
        </w:rPr>
        <w:t>Union et sept</w:t>
      </w:r>
      <w:r w:rsidR="00B0700F" w:rsidRPr="008725ED">
        <w:rPr>
          <w:lang w:val="fr-FR"/>
        </w:rPr>
        <w:t> </w:t>
      </w:r>
      <w:r w:rsidR="00387459" w:rsidRPr="008725ED">
        <w:rPr>
          <w:lang w:val="fr-FR"/>
        </w:rPr>
        <w:t>organisations ayant le statut d</w:t>
      </w:r>
      <w:r w:rsidR="00EF1779" w:rsidRPr="008725ED">
        <w:rPr>
          <w:lang w:val="fr-FR"/>
        </w:rPr>
        <w:t>’</w:t>
      </w:r>
      <w:r w:rsidR="00387459" w:rsidRPr="008725ED">
        <w:rPr>
          <w:lang w:val="fr-FR"/>
        </w:rPr>
        <w:t>observate</w:t>
      </w:r>
      <w:r w:rsidR="00D43219" w:rsidRPr="008725ED">
        <w:rPr>
          <w:lang w:val="fr-FR"/>
        </w:rPr>
        <w:t xml:space="preserve">ur.  </w:t>
      </w:r>
      <w:r w:rsidR="00D43219" w:rsidRPr="008725ED">
        <w:rPr>
          <w:rFonts w:cs="Arial"/>
          <w:snapToGrid w:val="0"/>
          <w:lang w:val="fr-FR"/>
        </w:rPr>
        <w:t>L’a</w:t>
      </w:r>
      <w:r w:rsidR="00387459" w:rsidRPr="008725ED">
        <w:rPr>
          <w:rFonts w:cs="Arial"/>
          <w:snapToGrid w:val="0"/>
          <w:lang w:val="fr-FR"/>
        </w:rPr>
        <w:t>telier préparatoire, tenu le 2</w:t>
      </w:r>
      <w:r w:rsidR="00EF1779" w:rsidRPr="008725ED">
        <w:rPr>
          <w:rFonts w:cs="Arial"/>
          <w:snapToGrid w:val="0"/>
          <w:lang w:val="fr-FR"/>
        </w:rPr>
        <w:t>3 mai 20</w:t>
      </w:r>
      <w:r w:rsidR="00387459" w:rsidRPr="008725ED">
        <w:rPr>
          <w:rFonts w:cs="Arial"/>
          <w:snapToGrid w:val="0"/>
          <w:lang w:val="fr-FR"/>
        </w:rPr>
        <w:t>16, a réuni 48</w:t>
      </w:r>
      <w:r w:rsidR="0064330D" w:rsidRPr="008725ED">
        <w:rPr>
          <w:rFonts w:cs="Arial"/>
          <w:snapToGrid w:val="0"/>
          <w:lang w:val="fr-FR"/>
        </w:rPr>
        <w:t> </w:t>
      </w:r>
      <w:r w:rsidR="00387459" w:rsidRPr="008725ED">
        <w:rPr>
          <w:rFonts w:cs="Arial"/>
          <w:snapToGrid w:val="0"/>
          <w:lang w:val="fr-FR"/>
        </w:rPr>
        <w:t>participants représe</w:t>
      </w:r>
      <w:r w:rsidR="0000589A" w:rsidRPr="008725ED">
        <w:rPr>
          <w:rFonts w:cs="Arial"/>
          <w:snapToGrid w:val="0"/>
          <w:lang w:val="fr-FR"/>
        </w:rPr>
        <w:t>ntant 12</w:t>
      </w:r>
      <w:r w:rsidR="0064330D" w:rsidRPr="008725ED">
        <w:rPr>
          <w:rFonts w:cs="Arial"/>
          <w:snapToGrid w:val="0"/>
          <w:lang w:val="fr-FR"/>
        </w:rPr>
        <w:t> </w:t>
      </w:r>
      <w:r w:rsidR="0000589A" w:rsidRPr="008725ED">
        <w:rPr>
          <w:rFonts w:cs="Arial"/>
          <w:snapToGrid w:val="0"/>
          <w:lang w:val="fr-FR"/>
        </w:rPr>
        <w:t>membres de l</w:t>
      </w:r>
      <w:r w:rsidR="00EF1779" w:rsidRPr="008725ED">
        <w:rPr>
          <w:rFonts w:cs="Arial"/>
          <w:snapToGrid w:val="0"/>
          <w:lang w:val="fr-FR"/>
        </w:rPr>
        <w:t>’</w:t>
      </w:r>
      <w:r w:rsidR="0000589A" w:rsidRPr="008725ED">
        <w:rPr>
          <w:rFonts w:cs="Arial"/>
          <w:snapToGrid w:val="0"/>
          <w:lang w:val="fr-FR"/>
        </w:rPr>
        <w:t>Union et deux</w:t>
      </w:r>
      <w:r w:rsidR="00B0700F" w:rsidRPr="008725ED">
        <w:rPr>
          <w:rFonts w:cs="Arial"/>
          <w:snapToGrid w:val="0"/>
          <w:lang w:val="fr-FR"/>
        </w:rPr>
        <w:t> </w:t>
      </w:r>
      <w:r w:rsidR="00387459" w:rsidRPr="008725ED">
        <w:rPr>
          <w:rFonts w:cs="Arial"/>
          <w:snapToGrid w:val="0"/>
          <w:lang w:val="fr-FR"/>
        </w:rPr>
        <w:t>organisations ayant le statut d</w:t>
      </w:r>
      <w:r w:rsidR="00EF1779" w:rsidRPr="008725ED">
        <w:rPr>
          <w:rFonts w:cs="Arial"/>
          <w:snapToGrid w:val="0"/>
          <w:lang w:val="fr-FR"/>
        </w:rPr>
        <w:t>’</w:t>
      </w:r>
      <w:r w:rsidR="00387459" w:rsidRPr="008725ED">
        <w:rPr>
          <w:rFonts w:cs="Arial"/>
          <w:snapToGrid w:val="0"/>
          <w:lang w:val="fr-FR"/>
        </w:rPr>
        <w:t>observateur.</w:t>
      </w:r>
    </w:p>
    <w:p w:rsidR="008C3126" w:rsidRPr="008725ED" w:rsidRDefault="008C3126" w:rsidP="00422C81">
      <w:pPr>
        <w:rPr>
          <w:rFonts w:cs="Arial"/>
          <w:snapToGrid w:val="0"/>
          <w:lang w:val="fr-FR"/>
        </w:rPr>
      </w:pPr>
    </w:p>
    <w:p w:rsidR="008C3126" w:rsidRPr="008725ED" w:rsidRDefault="005242DA" w:rsidP="00422C81">
      <w:pPr>
        <w:rPr>
          <w:rFonts w:cs="Arial"/>
          <w:snapToGrid w:val="0"/>
          <w:lang w:val="fr-FR"/>
        </w:rPr>
      </w:pPr>
      <w:r w:rsidRPr="008725ED">
        <w:rPr>
          <w:rFonts w:cs="Arial"/>
          <w:snapToGrid w:val="0"/>
          <w:lang w:val="fr-FR"/>
        </w:rPr>
        <w:fldChar w:fldCharType="begin"/>
      </w:r>
      <w:r w:rsidRPr="008725ED">
        <w:rPr>
          <w:rFonts w:cs="Arial"/>
          <w:snapToGrid w:val="0"/>
          <w:lang w:val="fr-FR"/>
        </w:rPr>
        <w:instrText xml:space="preserve"> AUTONUM  </w:instrText>
      </w:r>
      <w:r w:rsidRPr="008725ED">
        <w:rPr>
          <w:rFonts w:cs="Arial"/>
          <w:snapToGrid w:val="0"/>
          <w:lang w:val="fr-FR"/>
        </w:rPr>
        <w:fldChar w:fldCharType="end"/>
      </w:r>
      <w:r w:rsidRPr="008725ED">
        <w:rPr>
          <w:rFonts w:cs="Arial"/>
          <w:snapToGrid w:val="0"/>
          <w:lang w:val="fr-FR"/>
        </w:rPr>
        <w:tab/>
      </w:r>
      <w:r w:rsidR="00422C81" w:rsidRPr="008725ED">
        <w:rPr>
          <w:rFonts w:cs="Arial"/>
          <w:snapToGrid w:val="0"/>
          <w:lang w:val="fr-FR"/>
        </w:rPr>
        <w:t>M. Evgeny V. Gromyko, premier vice</w:t>
      </w:r>
      <w:r w:rsidR="00EF1779" w:rsidRPr="008725ED">
        <w:rPr>
          <w:rFonts w:ascii="Monaco" w:hAnsi="Monaco" w:cs="Monaco"/>
          <w:snapToGrid w:val="0"/>
          <w:lang w:val="fr-FR"/>
        </w:rPr>
        <w:t>-</w:t>
      </w:r>
      <w:r w:rsidR="00422C81" w:rsidRPr="008725ED">
        <w:rPr>
          <w:rFonts w:cs="Arial"/>
          <w:snapToGrid w:val="0"/>
          <w:lang w:val="fr-FR"/>
        </w:rPr>
        <w:t>ministre de l</w:t>
      </w:r>
      <w:r w:rsidR="00EF1779" w:rsidRPr="008725ED">
        <w:rPr>
          <w:rFonts w:cs="Arial"/>
          <w:snapToGrid w:val="0"/>
          <w:lang w:val="fr-FR"/>
        </w:rPr>
        <w:t>’</w:t>
      </w:r>
      <w:r w:rsidR="00422C81" w:rsidRPr="008725ED">
        <w:rPr>
          <w:rFonts w:cs="Arial"/>
          <w:snapToGrid w:val="0"/>
          <w:lang w:val="fr-FR"/>
        </w:rPr>
        <w:t>agriculture de la Fédération de Russie, M. Vitaly, S. Voloshchenko, président de la Commission d</w:t>
      </w:r>
      <w:r w:rsidR="00EF1779" w:rsidRPr="008725ED">
        <w:rPr>
          <w:rFonts w:cs="Arial"/>
          <w:snapToGrid w:val="0"/>
          <w:lang w:val="fr-FR"/>
        </w:rPr>
        <w:t>’</w:t>
      </w:r>
      <w:r w:rsidR="00422C81" w:rsidRPr="008725ED">
        <w:rPr>
          <w:rFonts w:cs="Arial"/>
          <w:snapToGrid w:val="0"/>
          <w:lang w:val="fr-FR"/>
        </w:rPr>
        <w:t>État de la Fédération de Russie pour l</w:t>
      </w:r>
      <w:r w:rsidR="00EF1779" w:rsidRPr="008725ED">
        <w:rPr>
          <w:rFonts w:cs="Arial"/>
          <w:snapToGrid w:val="0"/>
          <w:lang w:val="fr-FR"/>
        </w:rPr>
        <w:t>’</w:t>
      </w:r>
      <w:r w:rsidR="00422C81" w:rsidRPr="008725ED">
        <w:rPr>
          <w:rFonts w:cs="Arial"/>
          <w:snapToGrid w:val="0"/>
          <w:lang w:val="fr-FR"/>
        </w:rPr>
        <w:t>examen et la protection des obtentions végétales, M. Vladimir M. Kosolapov, chef du Département de la production, de la protection et de la</w:t>
      </w:r>
      <w:r w:rsidR="00422C81" w:rsidRPr="008725ED">
        <w:rPr>
          <w:lang w:val="fr-FR"/>
        </w:rPr>
        <w:t xml:space="preserve"> </w:t>
      </w:r>
      <w:r w:rsidR="00422C81" w:rsidRPr="008725ED">
        <w:rPr>
          <w:rFonts w:cs="Arial"/>
          <w:snapToGrid w:val="0"/>
          <w:lang w:val="fr-FR"/>
        </w:rPr>
        <w:t>biotechnologie végétales, Académie russe des sciences, M. Igor A. Lobach, président de l</w:t>
      </w:r>
      <w:r w:rsidR="00EF1779" w:rsidRPr="008725ED">
        <w:rPr>
          <w:rFonts w:cs="Arial"/>
          <w:snapToGrid w:val="0"/>
          <w:lang w:val="fr-FR"/>
        </w:rPr>
        <w:t>’</w:t>
      </w:r>
      <w:r w:rsidR="00422C81" w:rsidRPr="008725ED">
        <w:rPr>
          <w:rFonts w:cs="Arial"/>
          <w:snapToGrid w:val="0"/>
          <w:lang w:val="fr-FR"/>
        </w:rPr>
        <w:t>Association nationale des producteurs de semences de maïs et de tournesol, Mme Ekaterina V. Zhuravleva, directrice adjointe du Département de coopération et de soutien des organisations en matière d</w:t>
      </w:r>
      <w:r w:rsidR="00EF1779" w:rsidRPr="008725ED">
        <w:rPr>
          <w:rFonts w:cs="Arial"/>
          <w:snapToGrid w:val="0"/>
          <w:lang w:val="fr-FR"/>
        </w:rPr>
        <w:t>’</w:t>
      </w:r>
      <w:r w:rsidR="00422C81" w:rsidRPr="008725ED">
        <w:rPr>
          <w:rFonts w:cs="Arial"/>
          <w:snapToGrid w:val="0"/>
          <w:lang w:val="fr-FR"/>
        </w:rPr>
        <w:t>agronomie, Agence fédérale des organismes scientifiques et M. Sergey Lupekhin, président du Syndicat russe de la pomme de terre ont souhaité la bienvenue au BMT.  M. Peter Button, secrétaire général adjoint, de l</w:t>
      </w:r>
      <w:r w:rsidR="00EF1779" w:rsidRPr="008725ED">
        <w:rPr>
          <w:rFonts w:cs="Arial"/>
          <w:snapToGrid w:val="0"/>
          <w:lang w:val="fr-FR"/>
        </w:rPr>
        <w:t>’</w:t>
      </w:r>
      <w:r w:rsidR="00422C81" w:rsidRPr="008725ED">
        <w:rPr>
          <w:rFonts w:cs="Arial"/>
          <w:snapToGrid w:val="0"/>
          <w:lang w:val="fr-FR"/>
        </w:rPr>
        <w:t>UPOV a, par ailleurs, fait une observation préliminaire.</w:t>
      </w:r>
    </w:p>
    <w:p w:rsidR="008C3126" w:rsidRPr="008725ED" w:rsidRDefault="008C3126" w:rsidP="00422C81">
      <w:pPr>
        <w:rPr>
          <w:rFonts w:cs="Arial"/>
          <w:snapToGrid w:val="0"/>
          <w:lang w:val="fr-FR"/>
        </w:rPr>
      </w:pPr>
    </w:p>
    <w:p w:rsidR="008C3126" w:rsidRPr="008725ED" w:rsidRDefault="0052307B" w:rsidP="0052307B">
      <w:pPr>
        <w:rPr>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Le BMT a suivi les exposés suivants sur les faits nouveaux survenus en matière de techniques biochimiques et moléculaires, présentés par les spécialistes de l</w:t>
      </w:r>
      <w:r w:rsidR="00EF1779" w:rsidRPr="008725ED">
        <w:rPr>
          <w:lang w:val="fr-FR"/>
        </w:rPr>
        <w:t>’</w:t>
      </w:r>
      <w:r w:rsidRPr="008725ED">
        <w:rPr>
          <w:lang w:val="fr-FR"/>
        </w:rPr>
        <w:t>examen DHS, des spécialistes des techniques biochimiques et moléculaires, des obtenteurs et les organisations internationales concernées</w:t>
      </w:r>
      <w:r w:rsidR="00EF1779" w:rsidRPr="008725ED">
        <w:rPr>
          <w:lang w:val="fr-FR"/>
        </w:rPr>
        <w:t> :</w:t>
      </w:r>
    </w:p>
    <w:p w:rsidR="008C3126" w:rsidRPr="008725ED" w:rsidRDefault="008C3126" w:rsidP="0052307B">
      <w:pPr>
        <w:rPr>
          <w:rFonts w:cs="Arial"/>
          <w:snapToGrid w:val="0"/>
          <w:lang w:val="fr-FR"/>
        </w:rPr>
      </w:pPr>
    </w:p>
    <w:p w:rsidR="008C3126" w:rsidRPr="008725ED" w:rsidRDefault="0052307B" w:rsidP="0052307B">
      <w:pPr>
        <w:ind w:left="1134" w:hanging="567"/>
        <w:rPr>
          <w:rFonts w:cs="Arial"/>
          <w:snapToGrid w:val="0"/>
          <w:lang w:val="fr-FR"/>
        </w:rPr>
      </w:pPr>
      <w:r w:rsidRPr="008725ED">
        <w:rPr>
          <w:rFonts w:cs="Arial"/>
          <w:snapToGrid w:val="0"/>
          <w:lang w:val="fr-FR"/>
        </w:rPr>
        <w:t>•</w:t>
      </w:r>
      <w:r w:rsidRPr="008725ED">
        <w:rPr>
          <w:rFonts w:cs="Arial"/>
          <w:snapToGrid w:val="0"/>
          <w:lang w:val="fr-FR"/>
        </w:rPr>
        <w:tab/>
        <w:t>La création du nouveau groupe sur les techniques moléculaires au sein de l</w:t>
      </w:r>
      <w:r w:rsidR="00EF1779" w:rsidRPr="008725ED">
        <w:rPr>
          <w:rFonts w:cs="Arial"/>
          <w:snapToGrid w:val="0"/>
          <w:lang w:val="fr-FR"/>
        </w:rPr>
        <w:t>’</w:t>
      </w:r>
      <w:r w:rsidRPr="008725ED">
        <w:rPr>
          <w:rFonts w:cs="Arial"/>
          <w:snapToGrid w:val="0"/>
          <w:lang w:val="fr-FR"/>
        </w:rPr>
        <w:t>OCVV, appelé “IMODDUS”</w:t>
      </w:r>
    </w:p>
    <w:p w:rsidR="008C3126" w:rsidRPr="008725ED" w:rsidRDefault="0052307B" w:rsidP="0052307B">
      <w:pPr>
        <w:ind w:left="1134" w:hanging="567"/>
        <w:rPr>
          <w:rFonts w:cs="Arial"/>
          <w:snapToGrid w:val="0"/>
          <w:lang w:val="fr-FR"/>
        </w:rPr>
      </w:pPr>
      <w:r w:rsidRPr="008725ED">
        <w:rPr>
          <w:rFonts w:cs="Arial"/>
          <w:snapToGrid w:val="0"/>
          <w:lang w:val="fr-FR"/>
        </w:rPr>
        <w:t>•</w:t>
      </w:r>
      <w:r w:rsidRPr="008725ED">
        <w:rPr>
          <w:rFonts w:cs="Arial"/>
          <w:snapToGrid w:val="0"/>
          <w:lang w:val="fr-FR"/>
        </w:rPr>
        <w:tab/>
        <w:t>Utilisation du marqueur moléculaire dans la procédure de demande de protection des obtentions végétales aux États</w:t>
      </w:r>
      <w:r w:rsidR="00EF1779" w:rsidRPr="008725ED">
        <w:rPr>
          <w:rFonts w:cs="Arial"/>
          <w:snapToGrid w:val="0"/>
          <w:lang w:val="fr-FR"/>
        </w:rPr>
        <w:t>-</w:t>
      </w:r>
      <w:r w:rsidRPr="008725ED">
        <w:rPr>
          <w:rFonts w:cs="Arial"/>
          <w:snapToGrid w:val="0"/>
          <w:lang w:val="fr-FR"/>
        </w:rPr>
        <w:t>Unis d</w:t>
      </w:r>
      <w:r w:rsidR="00EF1779" w:rsidRPr="008725ED">
        <w:rPr>
          <w:rFonts w:cs="Arial"/>
          <w:snapToGrid w:val="0"/>
          <w:lang w:val="fr-FR"/>
        </w:rPr>
        <w:t>’</w:t>
      </w:r>
      <w:r w:rsidRPr="008725ED">
        <w:rPr>
          <w:rFonts w:cs="Arial"/>
          <w:snapToGrid w:val="0"/>
          <w:lang w:val="fr-FR"/>
        </w:rPr>
        <w:t>Amérique</w:t>
      </w:r>
    </w:p>
    <w:p w:rsidR="008C3126" w:rsidRPr="008725ED" w:rsidRDefault="0052307B" w:rsidP="0052307B">
      <w:pPr>
        <w:ind w:left="1134" w:hanging="567"/>
        <w:rPr>
          <w:rFonts w:cs="Arial"/>
          <w:snapToGrid w:val="0"/>
          <w:lang w:val="fr-FR"/>
        </w:rPr>
      </w:pPr>
      <w:r w:rsidRPr="008725ED">
        <w:rPr>
          <w:rFonts w:cs="Arial"/>
          <w:snapToGrid w:val="0"/>
          <w:lang w:val="fr-FR"/>
        </w:rPr>
        <w:t>•</w:t>
      </w:r>
      <w:r w:rsidRPr="008725ED">
        <w:rPr>
          <w:rFonts w:cs="Arial"/>
          <w:snapToGrid w:val="0"/>
          <w:lang w:val="fr-FR"/>
        </w:rPr>
        <w:tab/>
        <w:t>Évaluation des ressources</w:t>
      </w:r>
      <w:r w:rsidRPr="008725ED">
        <w:rPr>
          <w:lang w:val="fr-FR"/>
        </w:rPr>
        <w:t xml:space="preserve"> en marqueurs moléculaires du soja </w:t>
      </w:r>
      <w:r w:rsidRPr="008725ED">
        <w:rPr>
          <w:rFonts w:cs="Arial"/>
          <w:snapToGrid w:val="0"/>
          <w:lang w:val="fr-FR"/>
        </w:rPr>
        <w:t>accessibles au public aux fins d</w:t>
      </w:r>
      <w:r w:rsidR="00EF1779" w:rsidRPr="008725ED">
        <w:rPr>
          <w:rFonts w:cs="Arial"/>
          <w:snapToGrid w:val="0"/>
          <w:lang w:val="fr-FR"/>
        </w:rPr>
        <w:t>’</w:t>
      </w:r>
      <w:r w:rsidRPr="008725ED">
        <w:rPr>
          <w:rFonts w:cs="Arial"/>
          <w:snapToGrid w:val="0"/>
          <w:lang w:val="fr-FR"/>
        </w:rPr>
        <w:t>une application potentielle dans le domaine des</w:t>
      </w:r>
      <w:r w:rsidRPr="008725ED">
        <w:rPr>
          <w:lang w:val="fr-FR"/>
        </w:rPr>
        <w:t xml:space="preserve"> </w:t>
      </w:r>
      <w:r w:rsidRPr="008725ED">
        <w:rPr>
          <w:rFonts w:cs="Arial"/>
          <w:snapToGrid w:val="0"/>
          <w:lang w:val="fr-FR"/>
        </w:rPr>
        <w:t>droits d</w:t>
      </w:r>
      <w:r w:rsidR="00EF1779" w:rsidRPr="008725ED">
        <w:rPr>
          <w:rFonts w:cs="Arial"/>
          <w:snapToGrid w:val="0"/>
          <w:lang w:val="fr-FR"/>
        </w:rPr>
        <w:t>’</w:t>
      </w:r>
      <w:r w:rsidRPr="008725ED">
        <w:rPr>
          <w:rFonts w:cs="Arial"/>
          <w:snapToGrid w:val="0"/>
          <w:lang w:val="fr-FR"/>
        </w:rPr>
        <w:t>obtenteur</w:t>
      </w:r>
    </w:p>
    <w:p w:rsidR="008C3126" w:rsidRPr="008725ED" w:rsidRDefault="0052307B" w:rsidP="0052307B">
      <w:pPr>
        <w:ind w:left="1134" w:hanging="567"/>
        <w:rPr>
          <w:rFonts w:cs="Arial"/>
          <w:snapToGrid w:val="0"/>
          <w:lang w:val="fr-FR"/>
        </w:rPr>
      </w:pPr>
      <w:r w:rsidRPr="008725ED">
        <w:rPr>
          <w:rFonts w:cs="Arial"/>
          <w:snapToGrid w:val="0"/>
          <w:lang w:val="fr-FR"/>
        </w:rPr>
        <w:t>•</w:t>
      </w:r>
      <w:r w:rsidRPr="008725ED">
        <w:rPr>
          <w:rFonts w:cs="Arial"/>
          <w:snapToGrid w:val="0"/>
          <w:lang w:val="fr-FR"/>
        </w:rPr>
        <w:tab/>
        <w:t>Comparaison de données génotypiques et de données d</w:t>
      </w:r>
      <w:r w:rsidR="00EF1779" w:rsidRPr="008725ED">
        <w:rPr>
          <w:rFonts w:cs="Arial"/>
          <w:snapToGrid w:val="0"/>
          <w:lang w:val="fr-FR"/>
        </w:rPr>
        <w:t>’</w:t>
      </w:r>
      <w:r w:rsidRPr="008725ED">
        <w:rPr>
          <w:rFonts w:cs="Arial"/>
          <w:snapToGrid w:val="0"/>
          <w:lang w:val="fr-FR"/>
        </w:rPr>
        <w:t>expression afin de déterminer la distinction parmi les lignées endogames du maïs et d</w:t>
      </w:r>
      <w:r w:rsidR="00EF1779" w:rsidRPr="008725ED">
        <w:rPr>
          <w:rFonts w:cs="Arial"/>
          <w:snapToGrid w:val="0"/>
          <w:lang w:val="fr-FR"/>
        </w:rPr>
        <w:t>’</w:t>
      </w:r>
      <w:r w:rsidRPr="008725ED">
        <w:rPr>
          <w:rFonts w:cs="Arial"/>
          <w:snapToGrid w:val="0"/>
          <w:lang w:val="fr-FR"/>
        </w:rPr>
        <w:t>octroyer des droits d</w:t>
      </w:r>
      <w:r w:rsidR="00EF1779" w:rsidRPr="008725ED">
        <w:rPr>
          <w:rFonts w:cs="Arial"/>
          <w:snapToGrid w:val="0"/>
          <w:lang w:val="fr-FR"/>
        </w:rPr>
        <w:t>’</w:t>
      </w:r>
      <w:r w:rsidRPr="008725ED">
        <w:rPr>
          <w:rFonts w:cs="Arial"/>
          <w:snapToGrid w:val="0"/>
          <w:lang w:val="fr-FR"/>
        </w:rPr>
        <w:t>obtenteur</w:t>
      </w:r>
    </w:p>
    <w:p w:rsidR="008C3126" w:rsidRPr="008725ED" w:rsidRDefault="0052307B" w:rsidP="0052307B">
      <w:pPr>
        <w:ind w:left="1134" w:hanging="567"/>
        <w:rPr>
          <w:rFonts w:cs="Arial"/>
          <w:snapToGrid w:val="0"/>
          <w:lang w:val="fr-FR"/>
        </w:rPr>
      </w:pPr>
      <w:r w:rsidRPr="008725ED">
        <w:rPr>
          <w:rFonts w:cs="Arial"/>
          <w:snapToGrid w:val="0"/>
          <w:lang w:val="fr-FR"/>
        </w:rPr>
        <w:t>•</w:t>
      </w:r>
      <w:r w:rsidRPr="008725ED">
        <w:rPr>
          <w:rFonts w:cs="Arial"/>
          <w:snapToGrid w:val="0"/>
          <w:lang w:val="fr-FR"/>
        </w:rPr>
        <w:tab/>
        <w:t>Examen DHS efficace effectué chez le haricot à l</w:t>
      </w:r>
      <w:r w:rsidR="00EF1779" w:rsidRPr="008725ED">
        <w:rPr>
          <w:rFonts w:cs="Arial"/>
          <w:snapToGrid w:val="0"/>
          <w:lang w:val="fr-FR"/>
        </w:rPr>
        <w:t>’</w:t>
      </w:r>
      <w:r w:rsidRPr="008725ED">
        <w:rPr>
          <w:rFonts w:cs="Arial"/>
          <w:snapToGrid w:val="0"/>
          <w:lang w:val="fr-FR"/>
        </w:rPr>
        <w:t>aide de données moléculaires</w:t>
      </w:r>
    </w:p>
    <w:p w:rsidR="008C3126" w:rsidRPr="008725ED" w:rsidRDefault="0052307B" w:rsidP="0052307B">
      <w:pPr>
        <w:ind w:left="1134" w:hanging="567"/>
        <w:rPr>
          <w:rFonts w:cs="Arial"/>
          <w:snapToGrid w:val="0"/>
          <w:lang w:val="fr-FR"/>
        </w:rPr>
      </w:pPr>
      <w:r w:rsidRPr="008725ED">
        <w:rPr>
          <w:rFonts w:cs="Arial"/>
          <w:snapToGrid w:val="0"/>
          <w:lang w:val="fr-FR"/>
        </w:rPr>
        <w:t>•</w:t>
      </w:r>
      <w:r w:rsidRPr="008725ED">
        <w:rPr>
          <w:rFonts w:cs="Arial"/>
          <w:snapToGrid w:val="0"/>
          <w:lang w:val="fr-FR"/>
        </w:rPr>
        <w:tab/>
        <w:t>L</w:t>
      </w:r>
      <w:r w:rsidR="00EF1779" w:rsidRPr="008725ED">
        <w:rPr>
          <w:rFonts w:cs="Arial"/>
          <w:snapToGrid w:val="0"/>
          <w:lang w:val="fr-FR"/>
        </w:rPr>
        <w:t>’</w:t>
      </w:r>
      <w:r w:rsidRPr="008725ED">
        <w:rPr>
          <w:rFonts w:cs="Arial"/>
          <w:snapToGrid w:val="0"/>
          <w:lang w:val="fr-FR"/>
        </w:rPr>
        <w:t>écart moléculaire peut</w:t>
      </w:r>
      <w:r w:rsidR="00EF1779" w:rsidRPr="008725ED">
        <w:rPr>
          <w:rFonts w:cs="Arial"/>
          <w:snapToGrid w:val="0"/>
          <w:lang w:val="fr-FR"/>
        </w:rPr>
        <w:t>-</w:t>
      </w:r>
      <w:r w:rsidRPr="008725ED">
        <w:rPr>
          <w:rFonts w:cs="Arial"/>
          <w:snapToGrid w:val="0"/>
          <w:lang w:val="fr-FR"/>
        </w:rPr>
        <w:t>il être utilisé comme un caractère?</w:t>
      </w:r>
    </w:p>
    <w:p w:rsidR="008C3126" w:rsidRPr="008725ED" w:rsidRDefault="0052307B" w:rsidP="0052307B">
      <w:pPr>
        <w:ind w:left="1134" w:hanging="567"/>
        <w:rPr>
          <w:rFonts w:cs="Arial"/>
          <w:snapToGrid w:val="0"/>
          <w:lang w:val="fr-FR"/>
        </w:rPr>
      </w:pPr>
      <w:r w:rsidRPr="008725ED">
        <w:rPr>
          <w:rFonts w:cs="Arial"/>
          <w:snapToGrid w:val="0"/>
          <w:lang w:val="fr-FR"/>
        </w:rPr>
        <w:t>•</w:t>
      </w:r>
      <w:r w:rsidRPr="008725ED">
        <w:rPr>
          <w:rFonts w:cs="Arial"/>
          <w:snapToGrid w:val="0"/>
          <w:lang w:val="fr-FR"/>
        </w:rPr>
        <w:tab/>
        <w:t>Travaux sur les techniques moléculaires en ce qui concerne l</w:t>
      </w:r>
      <w:r w:rsidR="00EF1779" w:rsidRPr="008725ED">
        <w:rPr>
          <w:rFonts w:cs="Arial"/>
          <w:snapToGrid w:val="0"/>
          <w:lang w:val="fr-FR"/>
        </w:rPr>
        <w:t>’</w:t>
      </w:r>
      <w:r w:rsidRPr="008725ED">
        <w:rPr>
          <w:rFonts w:cs="Arial"/>
          <w:snapToGrid w:val="0"/>
          <w:lang w:val="fr-FR"/>
        </w:rPr>
        <w:t>examen DHS de différentes espèces fruitières</w:t>
      </w:r>
    </w:p>
    <w:p w:rsidR="008C3126" w:rsidRPr="008725ED" w:rsidRDefault="008C3126" w:rsidP="0052307B">
      <w:pPr>
        <w:rPr>
          <w:rFonts w:cs="Arial"/>
          <w:snapToGrid w:val="0"/>
          <w:lang w:val="fr-FR"/>
        </w:rPr>
      </w:pPr>
    </w:p>
    <w:p w:rsidR="008C3126" w:rsidRPr="008725ED" w:rsidRDefault="0052307B" w:rsidP="0052307B">
      <w:pPr>
        <w:rPr>
          <w:rFonts w:cs="Arial"/>
          <w:snapToGrid w:val="0"/>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r>
      <w:r w:rsidRPr="008725ED">
        <w:rPr>
          <w:rFonts w:cs="Arial"/>
          <w:snapToGrid w:val="0"/>
          <w:lang w:val="fr-FR"/>
        </w:rPr>
        <w:t>Le BMT a suivi les exposés ci</w:t>
      </w:r>
      <w:r w:rsidR="00EF1779" w:rsidRPr="008725ED">
        <w:rPr>
          <w:rFonts w:cs="Arial"/>
          <w:snapToGrid w:val="0"/>
          <w:lang w:val="fr-FR"/>
        </w:rPr>
        <w:t>-</w:t>
      </w:r>
      <w:r w:rsidRPr="008725ED">
        <w:rPr>
          <w:rFonts w:cs="Arial"/>
          <w:snapToGrid w:val="0"/>
          <w:lang w:val="fr-FR"/>
        </w:rPr>
        <w:t>après concernant les directives internationales sur les techniques moléculaires</w:t>
      </w:r>
      <w:r w:rsidR="00EF1779" w:rsidRPr="008725ED">
        <w:rPr>
          <w:rFonts w:cs="Arial"/>
          <w:snapToGrid w:val="0"/>
          <w:lang w:val="fr-FR"/>
        </w:rPr>
        <w:t> :</w:t>
      </w:r>
    </w:p>
    <w:p w:rsidR="008C3126" w:rsidRPr="008725ED" w:rsidRDefault="008C3126" w:rsidP="0052307B">
      <w:pPr>
        <w:rPr>
          <w:rFonts w:cs="Arial"/>
          <w:snapToGrid w:val="0"/>
          <w:lang w:val="fr-FR"/>
        </w:rPr>
      </w:pPr>
    </w:p>
    <w:p w:rsidR="008C3126" w:rsidRPr="008725ED" w:rsidRDefault="0052307B" w:rsidP="0052307B">
      <w:pPr>
        <w:ind w:left="1134" w:hanging="567"/>
        <w:rPr>
          <w:rFonts w:cs="Arial"/>
          <w:snapToGrid w:val="0"/>
          <w:lang w:val="fr-FR"/>
        </w:rPr>
      </w:pPr>
      <w:r w:rsidRPr="008725ED">
        <w:rPr>
          <w:rFonts w:cs="Arial"/>
          <w:snapToGrid w:val="0"/>
          <w:lang w:val="fr-FR"/>
        </w:rPr>
        <w:t>•</w:t>
      </w:r>
      <w:r w:rsidRPr="008725ED">
        <w:rPr>
          <w:rFonts w:cs="Arial"/>
          <w:snapToGrid w:val="0"/>
          <w:lang w:val="fr-FR"/>
        </w:rPr>
        <w:tab/>
        <w:t>UPOV et ISO</w:t>
      </w:r>
      <w:r w:rsidR="00EF1779" w:rsidRPr="008725ED">
        <w:rPr>
          <w:rFonts w:cs="Arial"/>
          <w:snapToGrid w:val="0"/>
          <w:lang w:val="fr-FR"/>
        </w:rPr>
        <w:t> TC</w:t>
      </w:r>
      <w:r w:rsidRPr="008725ED">
        <w:rPr>
          <w:rFonts w:cs="Arial"/>
          <w:snapToGrid w:val="0"/>
          <w:lang w:val="fr-FR"/>
        </w:rPr>
        <w:t xml:space="preserve"> 34/SC 16</w:t>
      </w:r>
    </w:p>
    <w:p w:rsidR="008C3126" w:rsidRPr="008725ED" w:rsidRDefault="0052307B" w:rsidP="0052307B">
      <w:pPr>
        <w:ind w:left="1134" w:hanging="567"/>
        <w:rPr>
          <w:rFonts w:cs="Arial"/>
          <w:snapToGrid w:val="0"/>
          <w:lang w:val="fr-FR"/>
        </w:rPr>
      </w:pPr>
      <w:r w:rsidRPr="008725ED">
        <w:rPr>
          <w:rFonts w:cs="Arial"/>
          <w:snapToGrid w:val="0"/>
          <w:lang w:val="fr-FR"/>
        </w:rPr>
        <w:t>•</w:t>
      </w:r>
      <w:r w:rsidRPr="008725ED">
        <w:rPr>
          <w:rFonts w:cs="Arial"/>
          <w:snapToGrid w:val="0"/>
          <w:lang w:val="fr-FR"/>
        </w:rPr>
        <w:tab/>
        <w:t>Méthode d</w:t>
      </w:r>
      <w:r w:rsidR="00EF1779" w:rsidRPr="008725ED">
        <w:rPr>
          <w:rFonts w:cs="Arial"/>
          <w:snapToGrid w:val="0"/>
          <w:lang w:val="fr-FR"/>
        </w:rPr>
        <w:t>’</w:t>
      </w:r>
      <w:r w:rsidRPr="008725ED">
        <w:rPr>
          <w:rFonts w:cs="Arial"/>
          <w:snapToGrid w:val="0"/>
          <w:lang w:val="fr-FR"/>
        </w:rPr>
        <w:t>examen de variétés fondée sur l</w:t>
      </w:r>
      <w:r w:rsidR="00EF1779" w:rsidRPr="008725ED">
        <w:rPr>
          <w:rFonts w:cs="Arial"/>
          <w:snapToGrid w:val="0"/>
          <w:lang w:val="fr-FR"/>
        </w:rPr>
        <w:t>’</w:t>
      </w:r>
      <w:r w:rsidRPr="008725ED">
        <w:rPr>
          <w:rFonts w:cs="Arial"/>
          <w:snapToGrid w:val="0"/>
          <w:lang w:val="fr-FR"/>
        </w:rPr>
        <w:t>ADN</w:t>
      </w:r>
      <w:r w:rsidR="00EF1779" w:rsidRPr="008725ED">
        <w:rPr>
          <w:rFonts w:cs="Arial"/>
          <w:snapToGrid w:val="0"/>
          <w:lang w:val="fr-FR"/>
        </w:rPr>
        <w:t> :</w:t>
      </w:r>
      <w:r w:rsidRPr="008725ED">
        <w:rPr>
          <w:rFonts w:cs="Arial"/>
          <w:snapToGrid w:val="0"/>
          <w:lang w:val="fr-FR"/>
        </w:rPr>
        <w:t xml:space="preserve"> méthode ISTA</w:t>
      </w:r>
    </w:p>
    <w:p w:rsidR="008C3126" w:rsidRPr="008725ED" w:rsidRDefault="008C3126" w:rsidP="0052307B">
      <w:pPr>
        <w:rPr>
          <w:rFonts w:cs="Arial"/>
          <w:snapToGrid w:val="0"/>
          <w:lang w:val="fr-FR"/>
        </w:rPr>
      </w:pPr>
    </w:p>
    <w:p w:rsidR="008C3126" w:rsidRPr="008725ED" w:rsidRDefault="0052307B" w:rsidP="0052307B">
      <w:pPr>
        <w:rPr>
          <w:rFonts w:cs="Arial"/>
          <w:snapToGrid w:val="0"/>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r>
      <w:r w:rsidRPr="008725ED">
        <w:rPr>
          <w:rFonts w:cs="Arial"/>
          <w:snapToGrid w:val="0"/>
          <w:lang w:val="fr-FR"/>
        </w:rPr>
        <w:t>Le BMT a suivi les exposés ci</w:t>
      </w:r>
      <w:r w:rsidR="00EF1779" w:rsidRPr="008725ED">
        <w:rPr>
          <w:rFonts w:cs="Arial"/>
          <w:snapToGrid w:val="0"/>
          <w:lang w:val="fr-FR"/>
        </w:rPr>
        <w:t>-</w:t>
      </w:r>
      <w:r w:rsidRPr="008725ED">
        <w:rPr>
          <w:rFonts w:cs="Arial"/>
          <w:snapToGrid w:val="0"/>
          <w:lang w:val="fr-FR"/>
        </w:rPr>
        <w:t>après sur l</w:t>
      </w:r>
      <w:r w:rsidR="00EF1779" w:rsidRPr="008725ED">
        <w:rPr>
          <w:rFonts w:cs="Arial"/>
          <w:snapToGrid w:val="0"/>
          <w:lang w:val="fr-FR"/>
        </w:rPr>
        <w:t>’</w:t>
      </w:r>
      <w:r w:rsidRPr="008725ED">
        <w:rPr>
          <w:rFonts w:cs="Arial"/>
          <w:snapToGrid w:val="0"/>
          <w:lang w:val="fr-FR"/>
        </w:rPr>
        <w:t>utilisation des techniques moléculaires en matière d</w:t>
      </w:r>
      <w:r w:rsidR="00EF1779" w:rsidRPr="008725ED">
        <w:rPr>
          <w:rFonts w:cs="Arial"/>
          <w:snapToGrid w:val="0"/>
          <w:lang w:val="fr-FR"/>
        </w:rPr>
        <w:t>’</w:t>
      </w:r>
      <w:r w:rsidRPr="008725ED">
        <w:rPr>
          <w:rFonts w:cs="Arial"/>
          <w:snapToGrid w:val="0"/>
          <w:lang w:val="fr-FR"/>
        </w:rPr>
        <w:t>identification et de sélection variétales</w:t>
      </w:r>
      <w:r w:rsidR="00EF1779" w:rsidRPr="008725ED">
        <w:rPr>
          <w:rFonts w:cs="Arial"/>
          <w:snapToGrid w:val="0"/>
          <w:lang w:val="fr-FR"/>
        </w:rPr>
        <w:t> :</w:t>
      </w:r>
    </w:p>
    <w:p w:rsidR="008C3126" w:rsidRPr="008725ED" w:rsidRDefault="008C3126" w:rsidP="0052307B">
      <w:pPr>
        <w:rPr>
          <w:rFonts w:cs="Arial"/>
          <w:snapToGrid w:val="0"/>
          <w:lang w:val="fr-FR"/>
        </w:rPr>
      </w:pPr>
    </w:p>
    <w:p w:rsidR="008C3126" w:rsidRPr="008725ED" w:rsidRDefault="0052307B" w:rsidP="0052307B">
      <w:pPr>
        <w:ind w:left="1134" w:hanging="567"/>
        <w:rPr>
          <w:rFonts w:cs="Arial"/>
          <w:snapToGrid w:val="0"/>
          <w:lang w:val="fr-FR"/>
        </w:rPr>
      </w:pPr>
      <w:r w:rsidRPr="008725ED">
        <w:rPr>
          <w:rFonts w:cs="Arial"/>
          <w:snapToGrid w:val="0"/>
          <w:lang w:val="fr-FR"/>
        </w:rPr>
        <w:t>•</w:t>
      </w:r>
      <w:r w:rsidRPr="008725ED">
        <w:rPr>
          <w:rFonts w:cs="Arial"/>
          <w:snapToGrid w:val="0"/>
          <w:lang w:val="fr-FR"/>
        </w:rPr>
        <w:tab/>
        <w:t>Application de techniques de marquage d</w:t>
      </w:r>
      <w:r w:rsidR="00EF1779" w:rsidRPr="008725ED">
        <w:rPr>
          <w:rFonts w:cs="Arial"/>
          <w:snapToGrid w:val="0"/>
          <w:lang w:val="fr-FR"/>
        </w:rPr>
        <w:t>’</w:t>
      </w:r>
      <w:r w:rsidRPr="008725ED">
        <w:rPr>
          <w:rFonts w:cs="Arial"/>
          <w:snapToGrid w:val="0"/>
          <w:lang w:val="fr-FR"/>
        </w:rPr>
        <w:t>ADN dans les obtentions légumières</w:t>
      </w:r>
    </w:p>
    <w:p w:rsidR="008C3126" w:rsidRPr="008725ED" w:rsidRDefault="0052307B" w:rsidP="0052307B">
      <w:pPr>
        <w:ind w:left="1134" w:hanging="567"/>
        <w:rPr>
          <w:rFonts w:cs="Arial"/>
          <w:snapToGrid w:val="0"/>
          <w:lang w:val="fr-FR"/>
        </w:rPr>
      </w:pPr>
      <w:r w:rsidRPr="008725ED">
        <w:rPr>
          <w:rFonts w:cs="Arial"/>
          <w:snapToGrid w:val="0"/>
          <w:lang w:val="fr-FR"/>
        </w:rPr>
        <w:t>•</w:t>
      </w:r>
      <w:r w:rsidRPr="008725ED">
        <w:rPr>
          <w:rFonts w:cs="Arial"/>
          <w:snapToGrid w:val="0"/>
          <w:lang w:val="fr-FR"/>
        </w:rPr>
        <w:tab/>
        <w:t>Édition génétique ou génomique à l</w:t>
      </w:r>
      <w:r w:rsidR="00EF1779" w:rsidRPr="008725ED">
        <w:rPr>
          <w:rFonts w:cs="Arial"/>
          <w:snapToGrid w:val="0"/>
          <w:lang w:val="fr-FR"/>
        </w:rPr>
        <w:t>’</w:t>
      </w:r>
      <w:r w:rsidRPr="008725ED">
        <w:rPr>
          <w:rFonts w:cs="Arial"/>
          <w:snapToGrid w:val="0"/>
          <w:lang w:val="fr-FR"/>
        </w:rPr>
        <w:t>aide de CRISPR</w:t>
      </w:r>
      <w:r w:rsidR="00EF1779" w:rsidRPr="008725ED">
        <w:rPr>
          <w:rFonts w:cs="Arial"/>
          <w:snapToGrid w:val="0"/>
          <w:lang w:val="fr-FR"/>
        </w:rPr>
        <w:t>-</w:t>
      </w:r>
      <w:r w:rsidRPr="008725ED">
        <w:rPr>
          <w:rFonts w:cs="Arial"/>
          <w:snapToGrid w:val="0"/>
          <w:lang w:val="fr-FR"/>
        </w:rPr>
        <w:t>cas9</w:t>
      </w:r>
    </w:p>
    <w:p w:rsidR="008C3126" w:rsidRPr="008725ED" w:rsidRDefault="0052307B" w:rsidP="0052307B">
      <w:pPr>
        <w:ind w:left="1134" w:hanging="567"/>
        <w:rPr>
          <w:rFonts w:cs="Arial"/>
          <w:snapToGrid w:val="0"/>
          <w:lang w:val="fr-FR"/>
        </w:rPr>
      </w:pPr>
      <w:r w:rsidRPr="008725ED">
        <w:rPr>
          <w:rFonts w:cs="Arial"/>
          <w:snapToGrid w:val="0"/>
          <w:lang w:val="fr-FR"/>
        </w:rPr>
        <w:t>•</w:t>
      </w:r>
      <w:r w:rsidRPr="008725ED">
        <w:rPr>
          <w:rFonts w:cs="Arial"/>
          <w:snapToGrid w:val="0"/>
          <w:lang w:val="fr-FR"/>
        </w:rPr>
        <w:tab/>
        <w:t>Identification des variétés de l</w:t>
      </w:r>
      <w:r w:rsidR="00EF1779" w:rsidRPr="008725ED">
        <w:rPr>
          <w:rFonts w:cs="Arial"/>
          <w:snapToGrid w:val="0"/>
          <w:lang w:val="fr-FR"/>
        </w:rPr>
        <w:t>’</w:t>
      </w:r>
      <w:r w:rsidRPr="008725ED">
        <w:rPr>
          <w:rFonts w:cs="Arial"/>
          <w:snapToGrid w:val="0"/>
          <w:lang w:val="fr-FR"/>
        </w:rPr>
        <w:t>orge à l</w:t>
      </w:r>
      <w:r w:rsidR="00EF1779" w:rsidRPr="008725ED">
        <w:rPr>
          <w:rFonts w:cs="Arial"/>
          <w:snapToGrid w:val="0"/>
          <w:lang w:val="fr-FR"/>
        </w:rPr>
        <w:t>’</w:t>
      </w:r>
      <w:r w:rsidRPr="008725ED">
        <w:rPr>
          <w:rFonts w:cs="Arial"/>
          <w:snapToGrid w:val="0"/>
          <w:lang w:val="fr-FR"/>
        </w:rPr>
        <w:t>aide des génotypes KASP</w:t>
      </w:r>
    </w:p>
    <w:p w:rsidR="008C3126" w:rsidRPr="008725ED" w:rsidRDefault="0052307B" w:rsidP="0052307B">
      <w:pPr>
        <w:ind w:left="1134" w:hanging="567"/>
        <w:rPr>
          <w:rFonts w:cs="Arial"/>
          <w:snapToGrid w:val="0"/>
          <w:lang w:val="fr-FR"/>
        </w:rPr>
      </w:pPr>
      <w:r w:rsidRPr="008725ED">
        <w:rPr>
          <w:rFonts w:cs="Arial"/>
          <w:snapToGrid w:val="0"/>
          <w:lang w:val="fr-FR"/>
        </w:rPr>
        <w:t>•</w:t>
      </w:r>
      <w:r w:rsidRPr="008725ED">
        <w:rPr>
          <w:rFonts w:cs="Arial"/>
          <w:snapToGrid w:val="0"/>
          <w:lang w:val="fr-FR"/>
        </w:rPr>
        <w:tab/>
        <w:t>Détection et identification rapides à une seule étape de phytopathogènes et d</w:t>
      </w:r>
      <w:r w:rsidR="00EF1779" w:rsidRPr="008725ED">
        <w:rPr>
          <w:rFonts w:cs="Arial"/>
          <w:snapToGrid w:val="0"/>
          <w:lang w:val="fr-FR"/>
        </w:rPr>
        <w:t>’</w:t>
      </w:r>
      <w:r w:rsidRPr="008725ED">
        <w:rPr>
          <w:rFonts w:cs="Arial"/>
          <w:snapToGrid w:val="0"/>
          <w:lang w:val="fr-FR"/>
        </w:rPr>
        <w:t>OGM multiples au moyen de la technique PCR en temps réel</w:t>
      </w:r>
    </w:p>
    <w:p w:rsidR="008C3126" w:rsidRPr="008725ED" w:rsidRDefault="0052307B" w:rsidP="0052307B">
      <w:pPr>
        <w:ind w:left="1134" w:hanging="567"/>
        <w:rPr>
          <w:rFonts w:cs="Arial"/>
          <w:snapToGrid w:val="0"/>
          <w:lang w:val="fr-FR"/>
        </w:rPr>
      </w:pPr>
      <w:r w:rsidRPr="008725ED">
        <w:rPr>
          <w:rFonts w:cs="Arial"/>
          <w:snapToGrid w:val="0"/>
          <w:lang w:val="fr-FR"/>
        </w:rPr>
        <w:t>•</w:t>
      </w:r>
      <w:r w:rsidRPr="008725ED">
        <w:rPr>
          <w:rFonts w:cs="Arial"/>
          <w:snapToGrid w:val="0"/>
          <w:lang w:val="fr-FR"/>
        </w:rPr>
        <w:tab/>
        <w:t>Contrôle des semences de cultivars d</w:t>
      </w:r>
      <w:r w:rsidR="00EF1779" w:rsidRPr="008725ED">
        <w:rPr>
          <w:rFonts w:cs="Arial"/>
          <w:snapToGrid w:val="0"/>
          <w:lang w:val="fr-FR"/>
        </w:rPr>
        <w:t>’</w:t>
      </w:r>
      <w:r w:rsidRPr="008725ED">
        <w:rPr>
          <w:rFonts w:cs="Arial"/>
          <w:snapToGrid w:val="0"/>
          <w:lang w:val="fr-FR"/>
        </w:rPr>
        <w:t>orge en laboratoire</w:t>
      </w:r>
    </w:p>
    <w:p w:rsidR="008C3126" w:rsidRPr="008725ED" w:rsidRDefault="0052307B" w:rsidP="0052307B">
      <w:pPr>
        <w:ind w:left="1134" w:hanging="567"/>
        <w:rPr>
          <w:rFonts w:cs="Arial"/>
          <w:snapToGrid w:val="0"/>
          <w:lang w:val="fr-FR"/>
        </w:rPr>
      </w:pPr>
      <w:r w:rsidRPr="008725ED">
        <w:rPr>
          <w:rFonts w:cs="Arial"/>
          <w:snapToGrid w:val="0"/>
          <w:lang w:val="fr-FR"/>
        </w:rPr>
        <w:t>•</w:t>
      </w:r>
      <w:r w:rsidRPr="008725ED">
        <w:rPr>
          <w:rFonts w:cs="Arial"/>
          <w:snapToGrid w:val="0"/>
          <w:lang w:val="fr-FR"/>
        </w:rPr>
        <w:tab/>
        <w:t>Faits nouveaux concernant les techniques biochimiques et moléculaires au Bélarus</w:t>
      </w:r>
    </w:p>
    <w:p w:rsidR="008C3126" w:rsidRPr="008725ED" w:rsidRDefault="0052307B" w:rsidP="0052307B">
      <w:pPr>
        <w:ind w:left="1134" w:hanging="567"/>
        <w:rPr>
          <w:rFonts w:cs="Arial"/>
          <w:snapToGrid w:val="0"/>
          <w:highlight w:val="yellow"/>
          <w:lang w:val="fr-FR"/>
        </w:rPr>
      </w:pPr>
      <w:r w:rsidRPr="008725ED">
        <w:rPr>
          <w:rFonts w:cs="Arial"/>
          <w:snapToGrid w:val="0"/>
          <w:lang w:val="fr-FR"/>
        </w:rPr>
        <w:t>•</w:t>
      </w:r>
      <w:r w:rsidRPr="008725ED">
        <w:rPr>
          <w:rFonts w:cs="Arial"/>
          <w:snapToGrid w:val="0"/>
          <w:lang w:val="fr-FR"/>
        </w:rPr>
        <w:tab/>
        <w:t>Utilisation de techniques fondées sur les marqueurs aux fins de l</w:t>
      </w:r>
      <w:r w:rsidR="00EF1779" w:rsidRPr="008725ED">
        <w:rPr>
          <w:rFonts w:cs="Arial"/>
          <w:snapToGrid w:val="0"/>
          <w:lang w:val="fr-FR"/>
        </w:rPr>
        <w:t>’</w:t>
      </w:r>
      <w:r w:rsidRPr="008725ED">
        <w:rPr>
          <w:rFonts w:cs="Arial"/>
          <w:snapToGrid w:val="0"/>
          <w:lang w:val="fr-FR"/>
        </w:rPr>
        <w:t>identification variétale et de l</w:t>
      </w:r>
      <w:r w:rsidR="00EF1779" w:rsidRPr="008725ED">
        <w:rPr>
          <w:rFonts w:cs="Arial"/>
          <w:snapToGrid w:val="0"/>
          <w:lang w:val="fr-FR"/>
        </w:rPr>
        <w:t>’</w:t>
      </w:r>
      <w:r w:rsidRPr="008725ED">
        <w:rPr>
          <w:rFonts w:cs="Arial"/>
          <w:snapToGrid w:val="0"/>
          <w:lang w:val="fr-FR"/>
        </w:rPr>
        <w:t>établissement</w:t>
      </w:r>
      <w:r w:rsidRPr="008725ED">
        <w:rPr>
          <w:lang w:val="fr-FR"/>
        </w:rPr>
        <w:t xml:space="preserve"> des empreintes des ressources génétiques des </w:t>
      </w:r>
      <w:r w:rsidRPr="008725ED">
        <w:rPr>
          <w:rFonts w:cs="Arial"/>
          <w:snapToGrid w:val="0"/>
          <w:lang w:val="fr-FR"/>
        </w:rPr>
        <w:t>plantes fruitières et du raisin</w:t>
      </w:r>
    </w:p>
    <w:p w:rsidR="008C3126" w:rsidRPr="008725ED" w:rsidRDefault="0052307B" w:rsidP="0052307B">
      <w:pPr>
        <w:ind w:left="1134" w:hanging="567"/>
        <w:rPr>
          <w:rFonts w:cs="Arial"/>
          <w:snapToGrid w:val="0"/>
          <w:highlight w:val="yellow"/>
          <w:lang w:val="fr-FR"/>
        </w:rPr>
      </w:pPr>
      <w:r w:rsidRPr="008725ED">
        <w:rPr>
          <w:rFonts w:cs="Arial"/>
          <w:snapToGrid w:val="0"/>
          <w:lang w:val="fr-FR"/>
        </w:rPr>
        <w:t>•</w:t>
      </w:r>
      <w:r w:rsidRPr="008725ED">
        <w:rPr>
          <w:rFonts w:cs="Arial"/>
          <w:snapToGrid w:val="0"/>
          <w:lang w:val="fr-FR"/>
        </w:rPr>
        <w:tab/>
        <w:t>Criminalistique verte</w:t>
      </w:r>
      <w:r w:rsidR="00EF1779" w:rsidRPr="008725ED">
        <w:rPr>
          <w:rFonts w:cs="Arial"/>
          <w:snapToGrid w:val="0"/>
          <w:lang w:val="fr-FR"/>
        </w:rPr>
        <w:t> :</w:t>
      </w:r>
      <w:r w:rsidRPr="008725ED">
        <w:rPr>
          <w:rFonts w:cs="Arial"/>
          <w:snapToGrid w:val="0"/>
          <w:lang w:val="fr-FR"/>
        </w:rPr>
        <w:t xml:space="preserve"> méthode utilisant le séquençage de génome entier pour l</w:t>
      </w:r>
      <w:r w:rsidR="00EF1779" w:rsidRPr="008725ED">
        <w:rPr>
          <w:rFonts w:cs="Arial"/>
          <w:snapToGrid w:val="0"/>
          <w:lang w:val="fr-FR"/>
        </w:rPr>
        <w:t>’</w:t>
      </w:r>
      <w:r w:rsidRPr="008725ED">
        <w:rPr>
          <w:rFonts w:cs="Arial"/>
          <w:snapToGrid w:val="0"/>
          <w:lang w:val="fr-FR"/>
        </w:rPr>
        <w:t>application des droits d</w:t>
      </w:r>
      <w:r w:rsidR="00EF1779" w:rsidRPr="008725ED">
        <w:rPr>
          <w:rFonts w:cs="Arial"/>
          <w:snapToGrid w:val="0"/>
          <w:lang w:val="fr-FR"/>
        </w:rPr>
        <w:t>’</w:t>
      </w:r>
      <w:r w:rsidRPr="008725ED">
        <w:rPr>
          <w:rFonts w:cs="Arial"/>
          <w:snapToGrid w:val="0"/>
          <w:lang w:val="fr-FR"/>
        </w:rPr>
        <w:t>obtenteur</w:t>
      </w:r>
    </w:p>
    <w:p w:rsidR="008C3126" w:rsidRPr="008725ED" w:rsidRDefault="0052307B" w:rsidP="0052307B">
      <w:pPr>
        <w:ind w:left="1134" w:hanging="567"/>
        <w:rPr>
          <w:rFonts w:cs="Arial"/>
          <w:snapToGrid w:val="0"/>
          <w:lang w:val="fr-FR"/>
        </w:rPr>
      </w:pPr>
      <w:r w:rsidRPr="008725ED">
        <w:rPr>
          <w:rFonts w:cs="Arial"/>
          <w:snapToGrid w:val="0"/>
          <w:lang w:val="fr-FR"/>
        </w:rPr>
        <w:t>•</w:t>
      </w:r>
      <w:r w:rsidRPr="008725ED">
        <w:rPr>
          <w:rFonts w:cs="Arial"/>
          <w:snapToGrid w:val="0"/>
          <w:lang w:val="fr-FR"/>
        </w:rPr>
        <w:tab/>
        <w:t>Évaluation et classification des</w:t>
      </w:r>
      <w:r w:rsidRPr="008725ED">
        <w:rPr>
          <w:lang w:val="fr-FR"/>
        </w:rPr>
        <w:t xml:space="preserve"> </w:t>
      </w:r>
      <w:r w:rsidRPr="008725ED">
        <w:rPr>
          <w:rFonts w:cs="Arial"/>
          <w:snapToGrid w:val="0"/>
          <w:lang w:val="fr-FR"/>
        </w:rPr>
        <w:t>échantillons de sélection des plants de légumes à l</w:t>
      </w:r>
      <w:r w:rsidR="00EF1779" w:rsidRPr="008725ED">
        <w:rPr>
          <w:rFonts w:cs="Arial"/>
          <w:snapToGrid w:val="0"/>
          <w:lang w:val="fr-FR"/>
        </w:rPr>
        <w:t>’</w:t>
      </w:r>
      <w:r w:rsidRPr="008725ED">
        <w:rPr>
          <w:rFonts w:cs="Arial"/>
          <w:snapToGrid w:val="0"/>
          <w:lang w:val="fr-FR"/>
        </w:rPr>
        <w:t>aide de marqueurs ADN.</w:t>
      </w:r>
    </w:p>
    <w:p w:rsidR="008C3126" w:rsidRPr="008725ED" w:rsidRDefault="008C3126" w:rsidP="0052307B">
      <w:pPr>
        <w:rPr>
          <w:rFonts w:cs="Arial"/>
          <w:snapToGrid w:val="0"/>
          <w:lang w:val="fr-FR"/>
        </w:rPr>
      </w:pPr>
    </w:p>
    <w:p w:rsidR="008C3126" w:rsidRPr="008725ED" w:rsidRDefault="0052307B" w:rsidP="0052307B">
      <w:pPr>
        <w:keepNext/>
        <w:keepLines/>
        <w:rPr>
          <w:rFonts w:cs="Arial"/>
          <w:snapToGrid w:val="0"/>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Coopération entre l</w:t>
      </w:r>
      <w:r w:rsidR="00EF1779" w:rsidRPr="008725ED">
        <w:rPr>
          <w:lang w:val="fr-FR"/>
        </w:rPr>
        <w:t>’</w:t>
      </w:r>
      <w:r w:rsidRPr="008725ED">
        <w:rPr>
          <w:lang w:val="fr-FR"/>
        </w:rPr>
        <w:t>OCDE, l</w:t>
      </w:r>
      <w:r w:rsidR="00EF1779" w:rsidRPr="008725ED">
        <w:rPr>
          <w:lang w:val="fr-FR"/>
        </w:rPr>
        <w:t>’</w:t>
      </w:r>
      <w:r w:rsidRPr="008725ED">
        <w:rPr>
          <w:lang w:val="fr-FR"/>
        </w:rPr>
        <w:t>UPOV, l</w:t>
      </w:r>
      <w:r w:rsidR="00EF1779" w:rsidRPr="008725ED">
        <w:rPr>
          <w:lang w:val="fr-FR"/>
        </w:rPr>
        <w:t>’</w:t>
      </w:r>
      <w:r w:rsidRPr="008725ED">
        <w:rPr>
          <w:lang w:val="fr-FR"/>
        </w:rPr>
        <w:t>ISTA et l</w:t>
      </w:r>
      <w:r w:rsidR="00EF1779" w:rsidRPr="008725ED">
        <w:rPr>
          <w:lang w:val="fr-FR"/>
        </w:rPr>
        <w:t>’</w:t>
      </w:r>
      <w:r w:rsidRPr="008725ED">
        <w:rPr>
          <w:lang w:val="fr-FR"/>
        </w:rPr>
        <w:t>ISO</w:t>
      </w:r>
      <w:r w:rsidR="00EF1779" w:rsidRPr="008725ED">
        <w:rPr>
          <w:lang w:val="fr-FR"/>
        </w:rPr>
        <w:t> :</w:t>
      </w:r>
    </w:p>
    <w:p w:rsidR="008C3126" w:rsidRPr="008725ED" w:rsidRDefault="008C3126" w:rsidP="0052307B">
      <w:pPr>
        <w:keepNext/>
        <w:keepLines/>
        <w:rPr>
          <w:rFonts w:cs="Arial"/>
          <w:snapToGrid w:val="0"/>
          <w:lang w:val="fr-FR"/>
        </w:rPr>
      </w:pPr>
    </w:p>
    <w:p w:rsidR="008C3126" w:rsidRPr="008725ED" w:rsidRDefault="0052307B" w:rsidP="0052307B">
      <w:pPr>
        <w:pStyle w:val="ListParagraph"/>
        <w:keepNext/>
        <w:keepLines/>
        <w:numPr>
          <w:ilvl w:val="0"/>
          <w:numId w:val="42"/>
        </w:numPr>
        <w:ind w:left="1134" w:hanging="567"/>
        <w:rPr>
          <w:rFonts w:ascii="Arial" w:hAnsi="Arial" w:cs="Arial"/>
          <w:snapToGrid w:val="0"/>
          <w:sz w:val="20"/>
          <w:szCs w:val="20"/>
          <w:lang w:val="fr-FR"/>
        </w:rPr>
      </w:pPr>
      <w:r w:rsidRPr="008725ED">
        <w:rPr>
          <w:rFonts w:ascii="Arial" w:hAnsi="Arial" w:cs="Arial"/>
          <w:snapToGrid w:val="0"/>
          <w:sz w:val="20"/>
          <w:szCs w:val="20"/>
          <w:lang w:val="fr-FR"/>
        </w:rPr>
        <w:t>Le BMT a noté que l</w:t>
      </w:r>
      <w:r w:rsidR="00EF1779" w:rsidRPr="008725ED">
        <w:rPr>
          <w:rFonts w:ascii="Arial" w:hAnsi="Arial" w:cs="Arial"/>
          <w:snapToGrid w:val="0"/>
          <w:sz w:val="20"/>
          <w:szCs w:val="20"/>
          <w:lang w:val="fr-FR"/>
        </w:rPr>
        <w:t>’</w:t>
      </w:r>
      <w:r w:rsidRPr="008725ED">
        <w:rPr>
          <w:rFonts w:ascii="Arial" w:hAnsi="Arial" w:cs="Arial"/>
          <w:snapToGrid w:val="0"/>
          <w:sz w:val="20"/>
          <w:szCs w:val="20"/>
          <w:lang w:val="fr-FR"/>
        </w:rPr>
        <w:t>élaboration éventuelle d</w:t>
      </w:r>
      <w:r w:rsidR="00EF1779" w:rsidRPr="008725ED">
        <w:rPr>
          <w:rFonts w:ascii="Arial" w:hAnsi="Arial" w:cs="Arial"/>
          <w:snapToGrid w:val="0"/>
          <w:sz w:val="20"/>
          <w:szCs w:val="20"/>
          <w:lang w:val="fr-FR"/>
        </w:rPr>
        <w:t>’</w:t>
      </w:r>
      <w:r w:rsidRPr="008725ED">
        <w:rPr>
          <w:rFonts w:ascii="Arial" w:hAnsi="Arial" w:cs="Arial"/>
          <w:snapToGrid w:val="0"/>
          <w:sz w:val="20"/>
          <w:szCs w:val="20"/>
          <w:lang w:val="fr-FR"/>
        </w:rPr>
        <w:t>un document commun à l</w:t>
      </w:r>
      <w:r w:rsidR="00EF1779" w:rsidRPr="008725ED">
        <w:rPr>
          <w:rFonts w:ascii="Arial" w:hAnsi="Arial" w:cs="Arial"/>
          <w:snapToGrid w:val="0"/>
          <w:sz w:val="20"/>
          <w:szCs w:val="20"/>
          <w:lang w:val="fr-FR"/>
        </w:rPr>
        <w:t>’</w:t>
      </w:r>
      <w:r w:rsidRPr="008725ED">
        <w:rPr>
          <w:rFonts w:ascii="Arial" w:hAnsi="Arial" w:cs="Arial"/>
          <w:snapToGrid w:val="0"/>
          <w:sz w:val="20"/>
          <w:szCs w:val="20"/>
          <w:lang w:val="fr-FR"/>
        </w:rPr>
        <w:t>OCDE, à l</w:t>
      </w:r>
      <w:r w:rsidR="00EF1779" w:rsidRPr="008725ED">
        <w:rPr>
          <w:rFonts w:ascii="Arial" w:hAnsi="Arial" w:cs="Arial"/>
          <w:snapToGrid w:val="0"/>
          <w:sz w:val="20"/>
          <w:szCs w:val="20"/>
          <w:lang w:val="fr-FR"/>
        </w:rPr>
        <w:t>’</w:t>
      </w:r>
      <w:r w:rsidRPr="008725ED">
        <w:rPr>
          <w:rFonts w:ascii="Arial" w:hAnsi="Arial" w:cs="Arial"/>
          <w:snapToGrid w:val="0"/>
          <w:sz w:val="20"/>
          <w:szCs w:val="20"/>
          <w:lang w:val="fr-FR"/>
        </w:rPr>
        <w:t>UPOV et à l</w:t>
      </w:r>
      <w:r w:rsidR="00EF1779" w:rsidRPr="008725ED">
        <w:rPr>
          <w:rFonts w:ascii="Arial" w:hAnsi="Arial" w:cs="Arial"/>
          <w:snapToGrid w:val="0"/>
          <w:sz w:val="20"/>
          <w:szCs w:val="20"/>
          <w:lang w:val="fr-FR"/>
        </w:rPr>
        <w:t>’</w:t>
      </w:r>
      <w:r w:rsidRPr="008725ED">
        <w:rPr>
          <w:rFonts w:ascii="Arial" w:hAnsi="Arial" w:cs="Arial"/>
          <w:snapToGrid w:val="0"/>
          <w:sz w:val="20"/>
          <w:szCs w:val="20"/>
          <w:lang w:val="fr-FR"/>
        </w:rPr>
        <w:t>ISTA contenant un inventaire, par plante, de l</w:t>
      </w:r>
      <w:r w:rsidR="00EF1779" w:rsidRPr="008725ED">
        <w:rPr>
          <w:rFonts w:ascii="Arial" w:hAnsi="Arial" w:cs="Arial"/>
          <w:snapToGrid w:val="0"/>
          <w:sz w:val="20"/>
          <w:szCs w:val="20"/>
          <w:lang w:val="fr-FR"/>
        </w:rPr>
        <w:t>’</w:t>
      </w:r>
      <w:r w:rsidRPr="008725ED">
        <w:rPr>
          <w:rFonts w:ascii="Arial" w:hAnsi="Arial" w:cs="Arial"/>
          <w:snapToGrid w:val="0"/>
          <w:sz w:val="20"/>
          <w:szCs w:val="20"/>
          <w:lang w:val="fr-FR"/>
        </w:rPr>
        <w:t>utilisation qui est faite des techniques faisant intervenir des marqueurs moléculaires ne pourrait démarrer qu</w:t>
      </w:r>
      <w:r w:rsidR="00EF1779" w:rsidRPr="008725ED">
        <w:rPr>
          <w:rFonts w:ascii="Arial" w:hAnsi="Arial" w:cs="Arial"/>
          <w:snapToGrid w:val="0"/>
          <w:sz w:val="20"/>
          <w:szCs w:val="20"/>
          <w:lang w:val="fr-FR"/>
        </w:rPr>
        <w:t>’</w:t>
      </w:r>
      <w:r w:rsidRPr="008725ED">
        <w:rPr>
          <w:rFonts w:ascii="Arial" w:hAnsi="Arial" w:cs="Arial"/>
          <w:snapToGrid w:val="0"/>
          <w:sz w:val="20"/>
          <w:szCs w:val="20"/>
          <w:lang w:val="fr-FR"/>
        </w:rPr>
        <w:t>après obtention de l</w:t>
      </w:r>
      <w:r w:rsidR="00EF1779" w:rsidRPr="008725ED">
        <w:rPr>
          <w:rFonts w:ascii="Arial" w:hAnsi="Arial" w:cs="Arial"/>
          <w:snapToGrid w:val="0"/>
          <w:sz w:val="20"/>
          <w:szCs w:val="20"/>
          <w:lang w:val="fr-FR"/>
        </w:rPr>
        <w:t>’</w:t>
      </w:r>
      <w:r w:rsidRPr="008725ED">
        <w:rPr>
          <w:rFonts w:ascii="Arial" w:hAnsi="Arial" w:cs="Arial"/>
          <w:snapToGrid w:val="0"/>
          <w:sz w:val="20"/>
          <w:szCs w:val="20"/>
          <w:lang w:val="fr-FR"/>
        </w:rPr>
        <w:t>accord de l</w:t>
      </w:r>
      <w:r w:rsidR="00EF1779" w:rsidRPr="008725ED">
        <w:rPr>
          <w:rFonts w:ascii="Arial" w:hAnsi="Arial" w:cs="Arial"/>
          <w:snapToGrid w:val="0"/>
          <w:sz w:val="20"/>
          <w:szCs w:val="20"/>
          <w:lang w:val="fr-FR"/>
        </w:rPr>
        <w:t>’</w:t>
      </w:r>
      <w:r w:rsidRPr="008725ED">
        <w:rPr>
          <w:rFonts w:ascii="Arial" w:hAnsi="Arial" w:cs="Arial"/>
          <w:snapToGrid w:val="0"/>
          <w:sz w:val="20"/>
          <w:szCs w:val="20"/>
          <w:lang w:val="fr-FR"/>
        </w:rPr>
        <w:t>OCDE et de l</w:t>
      </w:r>
      <w:r w:rsidR="00EF1779" w:rsidRPr="008725ED">
        <w:rPr>
          <w:rFonts w:ascii="Arial" w:hAnsi="Arial" w:cs="Arial"/>
          <w:snapToGrid w:val="0"/>
          <w:sz w:val="20"/>
          <w:szCs w:val="20"/>
          <w:lang w:val="fr-FR"/>
        </w:rPr>
        <w:t>’</w:t>
      </w:r>
      <w:r w:rsidRPr="008725ED">
        <w:rPr>
          <w:rFonts w:ascii="Arial" w:hAnsi="Arial" w:cs="Arial"/>
          <w:snapToGrid w:val="0"/>
          <w:sz w:val="20"/>
          <w:szCs w:val="20"/>
          <w:lang w:val="fr-FR"/>
        </w:rPr>
        <w:t>ISTA;</w:t>
      </w:r>
    </w:p>
    <w:p w:rsidR="008C3126" w:rsidRPr="008725ED" w:rsidRDefault="0052307B" w:rsidP="0052307B">
      <w:pPr>
        <w:pStyle w:val="ListParagraph"/>
        <w:numPr>
          <w:ilvl w:val="0"/>
          <w:numId w:val="42"/>
        </w:numPr>
        <w:ind w:left="1134" w:hanging="567"/>
        <w:rPr>
          <w:rFonts w:ascii="Arial" w:hAnsi="Arial" w:cs="Arial"/>
          <w:snapToGrid w:val="0"/>
          <w:sz w:val="20"/>
          <w:szCs w:val="20"/>
          <w:lang w:val="fr-FR"/>
        </w:rPr>
      </w:pPr>
      <w:r w:rsidRPr="008725ED">
        <w:rPr>
          <w:rFonts w:ascii="Arial" w:hAnsi="Arial" w:cs="Arial"/>
          <w:snapToGrid w:val="0"/>
          <w:sz w:val="20"/>
          <w:szCs w:val="20"/>
          <w:lang w:val="fr-FR"/>
        </w:rPr>
        <w:t>Le BMT a accueilli avec satisfaction la proposition des Pays</w:t>
      </w:r>
      <w:r w:rsidR="00EF1779" w:rsidRPr="008725ED">
        <w:rPr>
          <w:rFonts w:ascii="Arial" w:hAnsi="Arial" w:cs="Arial"/>
          <w:snapToGrid w:val="0"/>
          <w:sz w:val="20"/>
          <w:szCs w:val="20"/>
          <w:lang w:val="fr-FR"/>
        </w:rPr>
        <w:t>-</w:t>
      </w:r>
      <w:r w:rsidRPr="008725ED">
        <w:rPr>
          <w:rFonts w:ascii="Arial" w:hAnsi="Arial" w:cs="Arial"/>
          <w:snapToGrid w:val="0"/>
          <w:sz w:val="20"/>
          <w:szCs w:val="20"/>
          <w:lang w:val="fr-FR"/>
        </w:rPr>
        <w:t>Bas d</w:t>
      </w:r>
      <w:r w:rsidR="00EF1779" w:rsidRPr="008725ED">
        <w:rPr>
          <w:rFonts w:ascii="Arial" w:hAnsi="Arial" w:cs="Arial"/>
          <w:snapToGrid w:val="0"/>
          <w:sz w:val="20"/>
          <w:szCs w:val="20"/>
          <w:lang w:val="fr-FR"/>
        </w:rPr>
        <w:t>’</w:t>
      </w:r>
      <w:r w:rsidRPr="008725ED">
        <w:rPr>
          <w:rFonts w:ascii="Arial" w:hAnsi="Arial" w:cs="Arial"/>
          <w:snapToGrid w:val="0"/>
          <w:sz w:val="20"/>
          <w:szCs w:val="20"/>
          <w:lang w:val="fr-FR"/>
        </w:rPr>
        <w:t>organiser un atelier pratique en 2017 avec l</w:t>
      </w:r>
      <w:r w:rsidR="00EF1779" w:rsidRPr="008725ED">
        <w:rPr>
          <w:rFonts w:ascii="Arial" w:hAnsi="Arial" w:cs="Arial"/>
          <w:snapToGrid w:val="0"/>
          <w:sz w:val="20"/>
          <w:szCs w:val="20"/>
          <w:lang w:val="fr-FR"/>
        </w:rPr>
        <w:t>’</w:t>
      </w:r>
      <w:r w:rsidRPr="008725ED">
        <w:rPr>
          <w:rFonts w:ascii="Arial" w:hAnsi="Arial" w:cs="Arial"/>
          <w:snapToGrid w:val="0"/>
          <w:sz w:val="20"/>
          <w:szCs w:val="20"/>
          <w:lang w:val="fr-FR"/>
        </w:rPr>
        <w:t>aide de l</w:t>
      </w:r>
      <w:r w:rsidR="00EF1779" w:rsidRPr="008725ED">
        <w:rPr>
          <w:rFonts w:ascii="Arial" w:hAnsi="Arial" w:cs="Arial"/>
          <w:snapToGrid w:val="0"/>
          <w:sz w:val="20"/>
          <w:szCs w:val="20"/>
          <w:lang w:val="fr-FR"/>
        </w:rPr>
        <w:t>’</w:t>
      </w:r>
      <w:r w:rsidRPr="008725ED">
        <w:rPr>
          <w:rFonts w:ascii="Arial" w:hAnsi="Arial" w:cs="Arial"/>
          <w:snapToGrid w:val="0"/>
          <w:sz w:val="20"/>
          <w:szCs w:val="20"/>
          <w:lang w:val="fr-FR"/>
        </w:rPr>
        <w:t>UPOV, de l</w:t>
      </w:r>
      <w:r w:rsidR="00EF1779" w:rsidRPr="008725ED">
        <w:rPr>
          <w:rFonts w:ascii="Arial" w:hAnsi="Arial" w:cs="Arial"/>
          <w:snapToGrid w:val="0"/>
          <w:sz w:val="20"/>
          <w:szCs w:val="20"/>
          <w:lang w:val="fr-FR"/>
        </w:rPr>
        <w:t>’</w:t>
      </w:r>
      <w:r w:rsidRPr="008725ED">
        <w:rPr>
          <w:rFonts w:ascii="Arial" w:hAnsi="Arial" w:cs="Arial"/>
          <w:snapToGrid w:val="0"/>
          <w:sz w:val="20"/>
          <w:szCs w:val="20"/>
          <w:lang w:val="fr-FR"/>
        </w:rPr>
        <w:t>OCDE et de l</w:t>
      </w:r>
      <w:r w:rsidR="00EF1779" w:rsidRPr="008725ED">
        <w:rPr>
          <w:rFonts w:ascii="Arial" w:hAnsi="Arial" w:cs="Arial"/>
          <w:snapToGrid w:val="0"/>
          <w:sz w:val="20"/>
          <w:szCs w:val="20"/>
          <w:lang w:val="fr-FR"/>
        </w:rPr>
        <w:t>’</w:t>
      </w:r>
      <w:r w:rsidRPr="008725ED">
        <w:rPr>
          <w:rFonts w:ascii="Arial" w:hAnsi="Arial" w:cs="Arial"/>
          <w:snapToGrid w:val="0"/>
          <w:sz w:val="20"/>
          <w:szCs w:val="20"/>
          <w:lang w:val="fr-FR"/>
        </w:rPr>
        <w:t>ISTA, en vue d</w:t>
      </w:r>
      <w:r w:rsidR="00EF1779" w:rsidRPr="008725ED">
        <w:rPr>
          <w:rFonts w:ascii="Arial" w:hAnsi="Arial" w:cs="Arial"/>
          <w:snapToGrid w:val="0"/>
          <w:sz w:val="20"/>
          <w:szCs w:val="20"/>
          <w:lang w:val="fr-FR"/>
        </w:rPr>
        <w:t>’</w:t>
      </w:r>
      <w:r w:rsidRPr="008725ED">
        <w:rPr>
          <w:rFonts w:ascii="Arial" w:hAnsi="Arial" w:cs="Arial"/>
          <w:snapToGrid w:val="0"/>
          <w:sz w:val="20"/>
          <w:szCs w:val="20"/>
          <w:lang w:val="fr-FR"/>
        </w:rPr>
        <w:t>examiner de quelle façon les techniques moléculaires peuvent être efficacement appliquées aux fins de l</w:t>
      </w:r>
      <w:r w:rsidR="00EF1779" w:rsidRPr="008725ED">
        <w:rPr>
          <w:rFonts w:ascii="Arial" w:hAnsi="Arial" w:cs="Arial"/>
          <w:snapToGrid w:val="0"/>
          <w:sz w:val="20"/>
          <w:szCs w:val="20"/>
          <w:lang w:val="fr-FR"/>
        </w:rPr>
        <w:t>’</w:t>
      </w:r>
      <w:r w:rsidRPr="008725ED">
        <w:rPr>
          <w:rFonts w:ascii="Arial" w:hAnsi="Arial" w:cs="Arial"/>
          <w:snapToGrid w:val="0"/>
          <w:sz w:val="20"/>
          <w:szCs w:val="20"/>
          <w:lang w:val="fr-FR"/>
        </w:rPr>
        <w:t>UPOV, de l</w:t>
      </w:r>
      <w:r w:rsidR="00EF1779" w:rsidRPr="008725ED">
        <w:rPr>
          <w:rFonts w:ascii="Arial" w:hAnsi="Arial" w:cs="Arial"/>
          <w:snapToGrid w:val="0"/>
          <w:sz w:val="20"/>
          <w:szCs w:val="20"/>
          <w:lang w:val="fr-FR"/>
        </w:rPr>
        <w:t>’</w:t>
      </w:r>
      <w:r w:rsidRPr="008725ED">
        <w:rPr>
          <w:rFonts w:ascii="Arial" w:hAnsi="Arial" w:cs="Arial"/>
          <w:snapToGrid w:val="0"/>
          <w:sz w:val="20"/>
          <w:szCs w:val="20"/>
          <w:lang w:val="fr-FR"/>
        </w:rPr>
        <w:t>OCDE et de l</w:t>
      </w:r>
      <w:r w:rsidR="00EF1779" w:rsidRPr="008725ED">
        <w:rPr>
          <w:rFonts w:ascii="Arial" w:hAnsi="Arial" w:cs="Arial"/>
          <w:snapToGrid w:val="0"/>
          <w:sz w:val="20"/>
          <w:szCs w:val="20"/>
          <w:lang w:val="fr-FR"/>
        </w:rPr>
        <w:t>’</w:t>
      </w:r>
      <w:r w:rsidRPr="008725ED">
        <w:rPr>
          <w:rFonts w:ascii="Arial" w:hAnsi="Arial" w:cs="Arial"/>
          <w:snapToGrid w:val="0"/>
          <w:sz w:val="20"/>
          <w:szCs w:val="20"/>
          <w:lang w:val="fr-FR"/>
        </w:rPr>
        <w:t>ISTA;</w:t>
      </w:r>
    </w:p>
    <w:p w:rsidR="008C3126" w:rsidRPr="008725ED" w:rsidRDefault="0052307B" w:rsidP="0052307B">
      <w:pPr>
        <w:pStyle w:val="ListParagraph"/>
        <w:numPr>
          <w:ilvl w:val="0"/>
          <w:numId w:val="42"/>
        </w:numPr>
        <w:spacing w:after="0" w:line="240" w:lineRule="auto"/>
        <w:ind w:left="1134" w:hanging="567"/>
        <w:rPr>
          <w:rFonts w:ascii="Arial" w:hAnsi="Arial" w:cs="Arial"/>
          <w:snapToGrid w:val="0"/>
          <w:sz w:val="20"/>
          <w:szCs w:val="20"/>
          <w:lang w:val="fr-FR"/>
        </w:rPr>
      </w:pPr>
      <w:r w:rsidRPr="008725ED">
        <w:rPr>
          <w:rFonts w:ascii="Arial" w:hAnsi="Arial" w:cs="Arial"/>
          <w:snapToGrid w:val="0"/>
          <w:sz w:val="20"/>
          <w:szCs w:val="20"/>
          <w:lang w:val="fr-FR"/>
        </w:rPr>
        <w:t>Le BMT est convenu que les activités futures de collaboration entre l</w:t>
      </w:r>
      <w:r w:rsidR="00EF1779" w:rsidRPr="008725ED">
        <w:rPr>
          <w:rFonts w:ascii="Arial" w:hAnsi="Arial" w:cs="Arial"/>
          <w:snapToGrid w:val="0"/>
          <w:sz w:val="20"/>
          <w:szCs w:val="20"/>
          <w:lang w:val="fr-FR"/>
        </w:rPr>
        <w:t>’</w:t>
      </w:r>
      <w:r w:rsidRPr="008725ED">
        <w:rPr>
          <w:rFonts w:ascii="Arial" w:hAnsi="Arial" w:cs="Arial"/>
          <w:snapToGrid w:val="0"/>
          <w:sz w:val="20"/>
          <w:szCs w:val="20"/>
          <w:lang w:val="fr-FR"/>
        </w:rPr>
        <w:t>UPOV, l</w:t>
      </w:r>
      <w:r w:rsidR="00EF1779" w:rsidRPr="008725ED">
        <w:rPr>
          <w:rFonts w:ascii="Arial" w:hAnsi="Arial" w:cs="Arial"/>
          <w:snapToGrid w:val="0"/>
          <w:sz w:val="20"/>
          <w:szCs w:val="20"/>
          <w:lang w:val="fr-FR"/>
        </w:rPr>
        <w:t>’</w:t>
      </w:r>
      <w:r w:rsidRPr="008725ED">
        <w:rPr>
          <w:rFonts w:ascii="Arial" w:hAnsi="Arial" w:cs="Arial"/>
          <w:snapToGrid w:val="0"/>
          <w:sz w:val="20"/>
          <w:szCs w:val="20"/>
          <w:lang w:val="fr-FR"/>
        </w:rPr>
        <w:t>OCDE et l</w:t>
      </w:r>
      <w:r w:rsidR="00EF1779" w:rsidRPr="008725ED">
        <w:rPr>
          <w:rFonts w:ascii="Arial" w:hAnsi="Arial" w:cs="Arial"/>
          <w:snapToGrid w:val="0"/>
          <w:sz w:val="20"/>
          <w:szCs w:val="20"/>
          <w:lang w:val="fr-FR"/>
        </w:rPr>
        <w:t>’</w:t>
      </w:r>
      <w:r w:rsidRPr="008725ED">
        <w:rPr>
          <w:rFonts w:ascii="Arial" w:hAnsi="Arial" w:cs="Arial"/>
          <w:snapToGrid w:val="0"/>
          <w:sz w:val="20"/>
          <w:szCs w:val="20"/>
          <w:lang w:val="fr-FR"/>
        </w:rPr>
        <w:t>ISTA pourraient inclure l</w:t>
      </w:r>
      <w:r w:rsidR="00EF1779" w:rsidRPr="008725ED">
        <w:rPr>
          <w:rFonts w:ascii="Arial" w:hAnsi="Arial" w:cs="Arial"/>
          <w:snapToGrid w:val="0"/>
          <w:sz w:val="20"/>
          <w:szCs w:val="20"/>
          <w:lang w:val="fr-FR"/>
        </w:rPr>
        <w:t>’</w:t>
      </w:r>
      <w:r w:rsidRPr="008725ED">
        <w:rPr>
          <w:rFonts w:ascii="Arial" w:hAnsi="Arial" w:cs="Arial"/>
          <w:snapToGrid w:val="0"/>
          <w:sz w:val="20"/>
          <w:szCs w:val="20"/>
          <w:lang w:val="fr-FR"/>
        </w:rPr>
        <w:t>harmonisation des conditions et méthodes appliquées pour les différentes plantes et l</w:t>
      </w:r>
      <w:r w:rsidR="00EF1779" w:rsidRPr="008725ED">
        <w:rPr>
          <w:rFonts w:ascii="Arial" w:hAnsi="Arial" w:cs="Arial"/>
          <w:snapToGrid w:val="0"/>
          <w:sz w:val="20"/>
          <w:szCs w:val="20"/>
          <w:lang w:val="fr-FR"/>
        </w:rPr>
        <w:t>’</w:t>
      </w:r>
      <w:r w:rsidRPr="008725ED">
        <w:rPr>
          <w:rFonts w:ascii="Arial" w:hAnsi="Arial" w:cs="Arial"/>
          <w:snapToGrid w:val="0"/>
          <w:sz w:val="20"/>
          <w:szCs w:val="20"/>
          <w:lang w:val="fr-FR"/>
        </w:rPr>
        <w:t>élaboration possible de normes, après obtention de l</w:t>
      </w:r>
      <w:r w:rsidR="00EF1779" w:rsidRPr="008725ED">
        <w:rPr>
          <w:rFonts w:ascii="Arial" w:hAnsi="Arial" w:cs="Arial"/>
          <w:snapToGrid w:val="0"/>
          <w:sz w:val="20"/>
          <w:szCs w:val="20"/>
          <w:lang w:val="fr-FR"/>
        </w:rPr>
        <w:t>’</w:t>
      </w:r>
      <w:r w:rsidRPr="008725ED">
        <w:rPr>
          <w:rFonts w:ascii="Arial" w:hAnsi="Arial" w:cs="Arial"/>
          <w:snapToGrid w:val="0"/>
          <w:sz w:val="20"/>
          <w:szCs w:val="20"/>
          <w:lang w:val="fr-FR"/>
        </w:rPr>
        <w:t>accord de ces organisations.</w:t>
      </w:r>
    </w:p>
    <w:p w:rsidR="008C3126" w:rsidRPr="008725ED" w:rsidRDefault="008C3126" w:rsidP="0052307B">
      <w:pPr>
        <w:rPr>
          <w:rFonts w:cs="Arial"/>
          <w:snapToGrid w:val="0"/>
          <w:lang w:val="fr-FR"/>
        </w:rPr>
      </w:pPr>
    </w:p>
    <w:p w:rsidR="008C3126" w:rsidRPr="008725ED" w:rsidRDefault="0052307B" w:rsidP="0052307B">
      <w:pPr>
        <w:rPr>
          <w:rFonts w:cs="Arial"/>
          <w:snapToGrid w:val="0"/>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r>
      <w:r w:rsidRPr="008725ED">
        <w:rPr>
          <w:rFonts w:cs="Arial"/>
          <w:snapToGrid w:val="0"/>
          <w:lang w:val="fr-FR"/>
        </w:rPr>
        <w:t>Le BMT a suivi les exposés ci</w:t>
      </w:r>
      <w:r w:rsidR="00EF1779" w:rsidRPr="008725ED">
        <w:rPr>
          <w:rFonts w:cs="Arial"/>
          <w:snapToGrid w:val="0"/>
          <w:lang w:val="fr-FR"/>
        </w:rPr>
        <w:t>-</w:t>
      </w:r>
      <w:r w:rsidRPr="008725ED">
        <w:rPr>
          <w:rFonts w:cs="Arial"/>
          <w:snapToGrid w:val="0"/>
          <w:lang w:val="fr-FR"/>
        </w:rPr>
        <w:t>après sur les bases de données contenant des données moléculaires</w:t>
      </w:r>
      <w:r w:rsidR="00EF1779" w:rsidRPr="008725ED">
        <w:rPr>
          <w:rFonts w:cs="Arial"/>
          <w:snapToGrid w:val="0"/>
          <w:lang w:val="fr-FR"/>
        </w:rPr>
        <w:t> :</w:t>
      </w:r>
    </w:p>
    <w:p w:rsidR="008C3126" w:rsidRPr="008725ED" w:rsidRDefault="008C3126" w:rsidP="0052307B">
      <w:pPr>
        <w:rPr>
          <w:rFonts w:cs="Arial"/>
          <w:snapToGrid w:val="0"/>
          <w:lang w:val="fr-FR"/>
        </w:rPr>
      </w:pPr>
    </w:p>
    <w:p w:rsidR="008C3126" w:rsidRPr="008725ED" w:rsidRDefault="0052307B" w:rsidP="0052307B">
      <w:pPr>
        <w:pStyle w:val="ListParagraph"/>
        <w:keepNext/>
        <w:keepLines/>
        <w:numPr>
          <w:ilvl w:val="0"/>
          <w:numId w:val="42"/>
        </w:numPr>
        <w:spacing w:line="240" w:lineRule="auto"/>
        <w:ind w:left="1134" w:hanging="567"/>
        <w:rPr>
          <w:rFonts w:ascii="Arial" w:hAnsi="Arial" w:cs="Arial"/>
          <w:snapToGrid w:val="0"/>
          <w:sz w:val="20"/>
          <w:szCs w:val="20"/>
          <w:lang w:val="fr-FR"/>
        </w:rPr>
      </w:pPr>
      <w:r w:rsidRPr="008725ED">
        <w:rPr>
          <w:rFonts w:ascii="Arial" w:hAnsi="Arial" w:cs="Arial"/>
          <w:snapToGrid w:val="0"/>
          <w:sz w:val="20"/>
          <w:szCs w:val="20"/>
          <w:lang w:val="fr-FR"/>
        </w:rPr>
        <w:t>Vers des bases de données d</w:t>
      </w:r>
      <w:r w:rsidR="00EF1779" w:rsidRPr="008725ED">
        <w:rPr>
          <w:rFonts w:ascii="Arial" w:hAnsi="Arial" w:cs="Arial"/>
          <w:snapToGrid w:val="0"/>
          <w:sz w:val="20"/>
          <w:szCs w:val="20"/>
          <w:lang w:val="fr-FR"/>
        </w:rPr>
        <w:t>’</w:t>
      </w:r>
      <w:r w:rsidRPr="008725ED">
        <w:rPr>
          <w:rFonts w:ascii="Arial" w:hAnsi="Arial" w:cs="Arial"/>
          <w:snapToGrid w:val="0"/>
          <w:sz w:val="20"/>
          <w:szCs w:val="20"/>
          <w:lang w:val="fr-FR"/>
        </w:rPr>
        <w:t>ADN pérennes en appui de l</w:t>
      </w:r>
      <w:r w:rsidR="00EF1779" w:rsidRPr="008725ED">
        <w:rPr>
          <w:rFonts w:ascii="Arial" w:hAnsi="Arial" w:cs="Arial"/>
          <w:snapToGrid w:val="0"/>
          <w:sz w:val="20"/>
          <w:szCs w:val="20"/>
          <w:lang w:val="fr-FR"/>
        </w:rPr>
        <w:t>’</w:t>
      </w:r>
      <w:r w:rsidRPr="008725ED">
        <w:rPr>
          <w:rFonts w:ascii="Arial" w:hAnsi="Arial" w:cs="Arial"/>
          <w:snapToGrid w:val="0"/>
          <w:sz w:val="20"/>
          <w:szCs w:val="20"/>
          <w:lang w:val="fr-FR"/>
        </w:rPr>
        <w:t>examen DHS</w:t>
      </w:r>
    </w:p>
    <w:p w:rsidR="008C3126" w:rsidRPr="008725ED" w:rsidRDefault="0052307B" w:rsidP="0052307B">
      <w:pPr>
        <w:pStyle w:val="ListParagraph"/>
        <w:keepNext/>
        <w:keepLines/>
        <w:numPr>
          <w:ilvl w:val="0"/>
          <w:numId w:val="42"/>
        </w:numPr>
        <w:spacing w:after="0" w:line="240" w:lineRule="auto"/>
        <w:ind w:left="1134" w:hanging="567"/>
        <w:rPr>
          <w:rFonts w:ascii="Arial" w:hAnsi="Arial" w:cs="Arial"/>
          <w:snapToGrid w:val="0"/>
          <w:sz w:val="20"/>
          <w:szCs w:val="20"/>
          <w:lang w:val="fr-FR"/>
        </w:rPr>
      </w:pPr>
      <w:r w:rsidRPr="008725ED">
        <w:rPr>
          <w:rFonts w:ascii="Arial" w:hAnsi="Arial" w:cs="Arial"/>
          <w:snapToGrid w:val="0"/>
          <w:sz w:val="20"/>
          <w:szCs w:val="20"/>
          <w:lang w:val="fr-FR"/>
        </w:rPr>
        <w:t>Avancées dans l</w:t>
      </w:r>
      <w:r w:rsidR="00EF1779" w:rsidRPr="008725ED">
        <w:rPr>
          <w:rFonts w:ascii="Arial" w:hAnsi="Arial" w:cs="Arial"/>
          <w:snapToGrid w:val="0"/>
          <w:sz w:val="20"/>
          <w:szCs w:val="20"/>
          <w:lang w:val="fr-FR"/>
        </w:rPr>
        <w:t>’</w:t>
      </w:r>
      <w:r w:rsidRPr="008725ED">
        <w:rPr>
          <w:rFonts w:ascii="Arial" w:hAnsi="Arial" w:cs="Arial"/>
          <w:snapToGrid w:val="0"/>
          <w:sz w:val="20"/>
          <w:szCs w:val="20"/>
          <w:lang w:val="fr-FR"/>
        </w:rPr>
        <w:t>élaboration et l</w:t>
      </w:r>
      <w:r w:rsidR="00EF1779" w:rsidRPr="008725ED">
        <w:rPr>
          <w:rFonts w:ascii="Arial" w:hAnsi="Arial" w:cs="Arial"/>
          <w:snapToGrid w:val="0"/>
          <w:sz w:val="20"/>
          <w:szCs w:val="20"/>
          <w:lang w:val="fr-FR"/>
        </w:rPr>
        <w:t>’</w:t>
      </w:r>
      <w:r w:rsidRPr="008725ED">
        <w:rPr>
          <w:rFonts w:ascii="Arial" w:hAnsi="Arial" w:cs="Arial"/>
          <w:snapToGrid w:val="0"/>
          <w:sz w:val="20"/>
          <w:szCs w:val="20"/>
          <w:lang w:val="fr-FR"/>
        </w:rPr>
        <w:t>application de bases de données sur les empreintes d</w:t>
      </w:r>
      <w:r w:rsidR="00EF1779" w:rsidRPr="008725ED">
        <w:rPr>
          <w:rFonts w:ascii="Arial" w:hAnsi="Arial" w:cs="Arial"/>
          <w:snapToGrid w:val="0"/>
          <w:sz w:val="20"/>
          <w:szCs w:val="20"/>
          <w:lang w:val="fr-FR"/>
        </w:rPr>
        <w:t>’</w:t>
      </w:r>
      <w:r w:rsidRPr="008725ED">
        <w:rPr>
          <w:rFonts w:ascii="Arial" w:hAnsi="Arial" w:cs="Arial"/>
          <w:snapToGrid w:val="0"/>
          <w:sz w:val="20"/>
          <w:szCs w:val="20"/>
          <w:lang w:val="fr-FR"/>
        </w:rPr>
        <w:t>ADN du maïs</w:t>
      </w:r>
    </w:p>
    <w:p w:rsidR="008C3126" w:rsidRPr="008725ED" w:rsidRDefault="008C3126" w:rsidP="0052307B">
      <w:pPr>
        <w:rPr>
          <w:rFonts w:cs="Arial"/>
          <w:snapToGrid w:val="0"/>
          <w:lang w:val="fr-FR"/>
        </w:rPr>
      </w:pPr>
    </w:p>
    <w:p w:rsidR="008C3126" w:rsidRPr="008725ED" w:rsidRDefault="0052307B" w:rsidP="0052307B">
      <w:pPr>
        <w:rPr>
          <w:rFonts w:cs="Arial"/>
          <w:snapToGrid w:val="0"/>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r>
      <w:r w:rsidRPr="008725ED">
        <w:rPr>
          <w:rFonts w:cs="Arial"/>
          <w:snapToGrid w:val="0"/>
          <w:lang w:val="fr-FR"/>
        </w:rPr>
        <w:t>En réponse à l</w:t>
      </w:r>
      <w:r w:rsidR="00EF1779" w:rsidRPr="008725ED">
        <w:rPr>
          <w:rFonts w:cs="Arial"/>
          <w:snapToGrid w:val="0"/>
          <w:lang w:val="fr-FR"/>
        </w:rPr>
        <w:t>’</w:t>
      </w:r>
      <w:r w:rsidRPr="008725ED">
        <w:rPr>
          <w:rFonts w:cs="Arial"/>
          <w:snapToGrid w:val="0"/>
          <w:lang w:val="fr-FR"/>
        </w:rPr>
        <w:t>invitation de la France, le BMT est convenu de tenir sa seiz</w:t>
      </w:r>
      <w:r w:rsidR="00EF1779" w:rsidRPr="008725ED">
        <w:rPr>
          <w:rFonts w:cs="Arial"/>
          <w:snapToGrid w:val="0"/>
          <w:lang w:val="fr-FR"/>
        </w:rPr>
        <w:t>ième session</w:t>
      </w:r>
      <w:r w:rsidRPr="008725ED">
        <w:rPr>
          <w:rFonts w:cs="Arial"/>
          <w:snapToGrid w:val="0"/>
          <w:lang w:val="fr-FR"/>
        </w:rPr>
        <w:t xml:space="preserve"> et un atelier préparatoire en France (lieu confirmé ultérieurement</w:t>
      </w:r>
      <w:r w:rsidR="00EF1779" w:rsidRPr="008725ED">
        <w:rPr>
          <w:rFonts w:cs="Arial"/>
          <w:snapToGrid w:val="0"/>
          <w:lang w:val="fr-FR"/>
        </w:rPr>
        <w:t> :</w:t>
      </w:r>
      <w:r w:rsidRPr="008725ED">
        <w:rPr>
          <w:rFonts w:cs="Arial"/>
          <w:snapToGrid w:val="0"/>
          <w:lang w:val="fr-FR"/>
        </w:rPr>
        <w:t xml:space="preserve"> La Rochelle) à la fin septembre ou au début octobre (la session s</w:t>
      </w:r>
      <w:r w:rsidR="00EF1779" w:rsidRPr="008725ED">
        <w:rPr>
          <w:rFonts w:cs="Arial"/>
          <w:snapToGrid w:val="0"/>
          <w:lang w:val="fr-FR"/>
        </w:rPr>
        <w:t>’</w:t>
      </w:r>
      <w:r w:rsidRPr="008725ED">
        <w:rPr>
          <w:rFonts w:cs="Arial"/>
          <w:snapToGrid w:val="0"/>
          <w:lang w:val="fr-FR"/>
        </w:rPr>
        <w:t xml:space="preserve">est finalement tenue du 7 au 10 novembre 2017), </w:t>
      </w:r>
      <w:r w:rsidRPr="008725ED">
        <w:rPr>
          <w:rFonts w:cs="Arial"/>
          <w:lang w:val="fr-FR"/>
        </w:rPr>
        <w:t xml:space="preserve">un atelier préparatoire étant prévu </w:t>
      </w:r>
      <w:r w:rsidRPr="008725ED">
        <w:rPr>
          <w:rFonts w:cs="Arial"/>
          <w:snapToGrid w:val="0"/>
          <w:lang w:val="fr-FR"/>
        </w:rPr>
        <w:t>la veille de la session du BMT.</w:t>
      </w:r>
    </w:p>
    <w:p w:rsidR="008C3126" w:rsidRPr="008725ED" w:rsidRDefault="008C3126" w:rsidP="0052307B">
      <w:pPr>
        <w:rPr>
          <w:rFonts w:cs="Arial"/>
          <w:snapToGrid w:val="0"/>
          <w:lang w:val="fr-FR"/>
        </w:rPr>
      </w:pPr>
    </w:p>
    <w:p w:rsidR="008C3126" w:rsidRPr="008725ED" w:rsidRDefault="0052307B" w:rsidP="0052307B">
      <w:pPr>
        <w:keepNext/>
        <w:rPr>
          <w:rFonts w:cs="Arial"/>
          <w:snapToGrid w:val="0"/>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t>À sa seiz</w:t>
      </w:r>
      <w:r w:rsidR="00EF1779" w:rsidRPr="008725ED">
        <w:rPr>
          <w:lang w:val="fr-FR"/>
        </w:rPr>
        <w:t>ième session</w:t>
      </w:r>
      <w:r w:rsidRPr="008725ED">
        <w:rPr>
          <w:lang w:val="fr-FR"/>
        </w:rPr>
        <w:t>, le BMT a prévu d</w:t>
      </w:r>
      <w:r w:rsidR="00EF1779" w:rsidRPr="008725ED">
        <w:rPr>
          <w:lang w:val="fr-FR"/>
        </w:rPr>
        <w:t>’</w:t>
      </w:r>
      <w:r w:rsidRPr="008725ED">
        <w:rPr>
          <w:lang w:val="fr-FR"/>
        </w:rPr>
        <w:t>examiner les questions suivantes</w:t>
      </w:r>
      <w:r w:rsidR="00EF1779" w:rsidRPr="008725ED">
        <w:rPr>
          <w:lang w:val="fr-FR"/>
        </w:rPr>
        <w:t> :</w:t>
      </w:r>
    </w:p>
    <w:p w:rsidR="008C3126" w:rsidRPr="008725ED" w:rsidRDefault="008C3126" w:rsidP="0052307B">
      <w:pPr>
        <w:rPr>
          <w:rFonts w:cs="Arial"/>
          <w:snapToGrid w:val="0"/>
          <w:lang w:val="fr-FR"/>
        </w:rPr>
      </w:pPr>
    </w:p>
    <w:p w:rsidR="008C3126" w:rsidRPr="008725ED" w:rsidRDefault="0052307B" w:rsidP="0052307B">
      <w:pPr>
        <w:spacing w:after="60"/>
        <w:ind w:left="1134" w:hanging="567"/>
        <w:rPr>
          <w:rFonts w:cs="Arial"/>
          <w:snapToGrid w:val="0"/>
          <w:lang w:val="fr-FR"/>
        </w:rPr>
      </w:pPr>
      <w:r w:rsidRPr="008725ED">
        <w:rPr>
          <w:rFonts w:cs="Arial"/>
          <w:snapToGrid w:val="0"/>
          <w:lang w:val="fr-FR"/>
        </w:rPr>
        <w:t>1.</w:t>
      </w:r>
      <w:r w:rsidRPr="008725ED">
        <w:rPr>
          <w:rFonts w:cs="Arial"/>
          <w:snapToGrid w:val="0"/>
          <w:lang w:val="fr-FR"/>
        </w:rPr>
        <w:tab/>
        <w:t>Ouverture de la session</w:t>
      </w:r>
    </w:p>
    <w:p w:rsidR="008C3126" w:rsidRPr="008725ED" w:rsidRDefault="0052307B" w:rsidP="0052307B">
      <w:pPr>
        <w:spacing w:after="60"/>
        <w:ind w:left="1134" w:hanging="567"/>
        <w:rPr>
          <w:rFonts w:cs="Arial"/>
          <w:snapToGrid w:val="0"/>
          <w:lang w:val="fr-FR"/>
        </w:rPr>
      </w:pPr>
      <w:r w:rsidRPr="008725ED">
        <w:rPr>
          <w:rFonts w:cs="Arial"/>
          <w:snapToGrid w:val="0"/>
          <w:lang w:val="fr-FR"/>
        </w:rPr>
        <w:t>2.</w:t>
      </w:r>
      <w:r w:rsidRPr="008725ED">
        <w:rPr>
          <w:rFonts w:cs="Arial"/>
          <w:snapToGrid w:val="0"/>
          <w:lang w:val="fr-FR"/>
        </w:rPr>
        <w:tab/>
        <w:t>Adoption de l</w:t>
      </w:r>
      <w:r w:rsidR="00EF1779" w:rsidRPr="008725ED">
        <w:rPr>
          <w:rFonts w:cs="Arial"/>
          <w:snapToGrid w:val="0"/>
          <w:lang w:val="fr-FR"/>
        </w:rPr>
        <w:t>’</w:t>
      </w:r>
      <w:r w:rsidRPr="008725ED">
        <w:rPr>
          <w:rFonts w:cs="Arial"/>
          <w:snapToGrid w:val="0"/>
          <w:lang w:val="fr-FR"/>
        </w:rPr>
        <w:t>ordre du jour</w:t>
      </w:r>
    </w:p>
    <w:p w:rsidR="008C3126" w:rsidRPr="008725ED" w:rsidRDefault="0052307B" w:rsidP="0052307B">
      <w:pPr>
        <w:spacing w:after="60"/>
        <w:ind w:left="1134" w:hanging="567"/>
        <w:rPr>
          <w:rFonts w:cs="Arial"/>
          <w:snapToGrid w:val="0"/>
          <w:lang w:val="fr-FR"/>
        </w:rPr>
      </w:pPr>
      <w:r w:rsidRPr="008725ED">
        <w:rPr>
          <w:rFonts w:cs="Arial"/>
          <w:snapToGrid w:val="0"/>
          <w:lang w:val="fr-FR"/>
        </w:rPr>
        <w:t>3.</w:t>
      </w:r>
      <w:r w:rsidRPr="008725ED">
        <w:rPr>
          <w:rFonts w:cs="Arial"/>
          <w:snapToGrid w:val="0"/>
          <w:lang w:val="fr-FR"/>
        </w:rPr>
        <w:tab/>
        <w:t>Rapports sur les faits nouveaux survenus à l</w:t>
      </w:r>
      <w:r w:rsidR="00EF1779" w:rsidRPr="008725ED">
        <w:rPr>
          <w:rFonts w:cs="Arial"/>
          <w:snapToGrid w:val="0"/>
          <w:lang w:val="fr-FR"/>
        </w:rPr>
        <w:t>’</w:t>
      </w:r>
      <w:r w:rsidRPr="008725ED">
        <w:rPr>
          <w:rFonts w:cs="Arial"/>
          <w:snapToGrid w:val="0"/>
          <w:lang w:val="fr-FR"/>
        </w:rPr>
        <w:t>UPOV en rapport avec les techniques biochimiques et moléculaires</w:t>
      </w:r>
    </w:p>
    <w:p w:rsidR="008C3126" w:rsidRPr="008725ED" w:rsidRDefault="0052307B" w:rsidP="0052307B">
      <w:pPr>
        <w:spacing w:after="60"/>
        <w:ind w:left="1134" w:hanging="567"/>
        <w:rPr>
          <w:rFonts w:cs="Arial"/>
          <w:snapToGrid w:val="0"/>
          <w:lang w:val="fr-FR"/>
        </w:rPr>
      </w:pPr>
      <w:r w:rsidRPr="008725ED">
        <w:rPr>
          <w:rFonts w:cs="Arial"/>
          <w:snapToGrid w:val="0"/>
          <w:lang w:val="fr-FR"/>
        </w:rPr>
        <w:t>4.</w:t>
      </w:r>
      <w:r w:rsidRPr="008725ED">
        <w:rPr>
          <w:rFonts w:cs="Arial"/>
          <w:snapToGrid w:val="0"/>
          <w:lang w:val="fr-FR"/>
        </w:rPr>
        <w:tab/>
        <w:t>Exposés succincts sur les faits nouveaux survenus dans le domaine des techniques biochimiques et moléculaires présentés par des spécialistes de l</w:t>
      </w:r>
      <w:r w:rsidR="00EF1779" w:rsidRPr="008725ED">
        <w:rPr>
          <w:rFonts w:cs="Arial"/>
          <w:snapToGrid w:val="0"/>
          <w:lang w:val="fr-FR"/>
        </w:rPr>
        <w:t>’</w:t>
      </w:r>
      <w:r w:rsidRPr="008725ED">
        <w:rPr>
          <w:rFonts w:cs="Arial"/>
          <w:snapToGrid w:val="0"/>
          <w:lang w:val="fr-FR"/>
        </w:rPr>
        <w:t>examen DHS, des spécialistes des techniques biochimiques et moléculaires, des obtenteurs et les organisations internationales concernées</w:t>
      </w:r>
    </w:p>
    <w:p w:rsidR="008C3126" w:rsidRPr="008725ED" w:rsidRDefault="0052307B" w:rsidP="0052307B">
      <w:pPr>
        <w:spacing w:after="60"/>
        <w:ind w:left="1134" w:hanging="567"/>
        <w:rPr>
          <w:rFonts w:cs="Arial"/>
          <w:snapToGrid w:val="0"/>
          <w:lang w:val="fr-FR"/>
        </w:rPr>
      </w:pPr>
      <w:r w:rsidRPr="008725ED">
        <w:rPr>
          <w:rFonts w:cs="Arial"/>
          <w:snapToGrid w:val="0"/>
          <w:lang w:val="fr-FR"/>
        </w:rPr>
        <w:t>5.</w:t>
      </w:r>
      <w:r w:rsidRPr="008725ED">
        <w:rPr>
          <w:rFonts w:cs="Arial"/>
          <w:snapToGrid w:val="0"/>
          <w:lang w:val="fr-FR"/>
        </w:rPr>
        <w:tab/>
        <w:t>Compte rendu des travaux sur l</w:t>
      </w:r>
      <w:r w:rsidR="00EF1779" w:rsidRPr="008725ED">
        <w:rPr>
          <w:rFonts w:cs="Arial"/>
          <w:snapToGrid w:val="0"/>
          <w:lang w:val="fr-FR"/>
        </w:rPr>
        <w:t>’</w:t>
      </w:r>
      <w:r w:rsidRPr="008725ED">
        <w:rPr>
          <w:rFonts w:cs="Arial"/>
          <w:snapToGrid w:val="0"/>
          <w:lang w:val="fr-FR"/>
        </w:rPr>
        <w:t>utilisation des techniques moléculaires dans le cadre de l</w:t>
      </w:r>
      <w:r w:rsidR="00EF1779" w:rsidRPr="008725ED">
        <w:rPr>
          <w:rFonts w:cs="Arial"/>
          <w:snapToGrid w:val="0"/>
          <w:lang w:val="fr-FR"/>
        </w:rPr>
        <w:t>’</w:t>
      </w:r>
      <w:r w:rsidRPr="008725ED">
        <w:rPr>
          <w:rFonts w:cs="Arial"/>
          <w:snapToGrid w:val="0"/>
          <w:lang w:val="fr-FR"/>
        </w:rPr>
        <w:t>examen DHS</w:t>
      </w:r>
    </w:p>
    <w:p w:rsidR="008C3126" w:rsidRPr="008725ED" w:rsidRDefault="0052307B" w:rsidP="0052307B">
      <w:pPr>
        <w:spacing w:after="60"/>
        <w:ind w:left="1134" w:hanging="567"/>
        <w:rPr>
          <w:rFonts w:cs="Arial"/>
          <w:snapToGrid w:val="0"/>
          <w:lang w:val="fr-FR"/>
        </w:rPr>
      </w:pPr>
      <w:r w:rsidRPr="008725ED">
        <w:rPr>
          <w:rFonts w:cs="Arial"/>
          <w:snapToGrid w:val="0"/>
          <w:lang w:val="fr-FR"/>
        </w:rPr>
        <w:t>6.</w:t>
      </w:r>
      <w:r w:rsidRPr="008725ED">
        <w:rPr>
          <w:rFonts w:cs="Arial"/>
          <w:snapToGrid w:val="0"/>
          <w:lang w:val="fr-FR"/>
        </w:rPr>
        <w:tab/>
        <w:t>Directives internationales en matière de techniques moléculaires</w:t>
      </w:r>
    </w:p>
    <w:p w:rsidR="008C3126" w:rsidRPr="008725ED" w:rsidRDefault="0052307B" w:rsidP="0052307B">
      <w:pPr>
        <w:spacing w:after="60"/>
        <w:ind w:left="1134" w:hanging="567"/>
        <w:rPr>
          <w:rFonts w:cs="Arial"/>
          <w:snapToGrid w:val="0"/>
          <w:lang w:val="fr-FR"/>
        </w:rPr>
      </w:pPr>
      <w:r w:rsidRPr="008725ED">
        <w:rPr>
          <w:rFonts w:cs="Arial"/>
          <w:snapToGrid w:val="0"/>
          <w:lang w:val="fr-FR"/>
        </w:rPr>
        <w:t>7.</w:t>
      </w:r>
      <w:r w:rsidRPr="008725ED">
        <w:rPr>
          <w:rFonts w:cs="Arial"/>
          <w:snapToGrid w:val="0"/>
          <w:lang w:val="fr-FR"/>
        </w:rPr>
        <w:tab/>
        <w:t>Bases de données relatives aux descriptions variétales</w:t>
      </w:r>
    </w:p>
    <w:p w:rsidR="008C3126" w:rsidRPr="008725ED" w:rsidRDefault="0052307B" w:rsidP="0052307B">
      <w:pPr>
        <w:spacing w:after="60"/>
        <w:ind w:left="1134" w:hanging="567"/>
        <w:rPr>
          <w:rFonts w:cs="Arial"/>
          <w:snapToGrid w:val="0"/>
          <w:lang w:val="fr-FR"/>
        </w:rPr>
      </w:pPr>
      <w:r w:rsidRPr="008725ED">
        <w:rPr>
          <w:rFonts w:cs="Arial"/>
          <w:snapToGrid w:val="0"/>
          <w:lang w:val="fr-FR"/>
        </w:rPr>
        <w:t>8.</w:t>
      </w:r>
      <w:r w:rsidRPr="008725ED">
        <w:rPr>
          <w:rFonts w:cs="Arial"/>
          <w:snapToGrid w:val="0"/>
          <w:lang w:val="fr-FR"/>
        </w:rPr>
        <w:tab/>
        <w:t>Méthodes d</w:t>
      </w:r>
      <w:r w:rsidR="00EF1779" w:rsidRPr="008725ED">
        <w:rPr>
          <w:rFonts w:cs="Arial"/>
          <w:snapToGrid w:val="0"/>
          <w:lang w:val="fr-FR"/>
        </w:rPr>
        <w:t>’</w:t>
      </w:r>
      <w:r w:rsidRPr="008725ED">
        <w:rPr>
          <w:rFonts w:cs="Arial"/>
          <w:snapToGrid w:val="0"/>
          <w:lang w:val="fr-FR"/>
        </w:rPr>
        <w:t>analyse des données moléculaires</w:t>
      </w:r>
    </w:p>
    <w:p w:rsidR="008C3126" w:rsidRPr="008725ED" w:rsidRDefault="0052307B" w:rsidP="0052307B">
      <w:pPr>
        <w:spacing w:after="60"/>
        <w:ind w:left="1134" w:hanging="567"/>
        <w:rPr>
          <w:rFonts w:cs="Arial"/>
          <w:snapToGrid w:val="0"/>
          <w:lang w:val="fr-FR"/>
        </w:rPr>
      </w:pPr>
      <w:r w:rsidRPr="008725ED">
        <w:rPr>
          <w:rFonts w:cs="Arial"/>
          <w:snapToGrid w:val="0"/>
          <w:lang w:val="fr-FR"/>
        </w:rPr>
        <w:t>9.</w:t>
      </w:r>
      <w:r w:rsidRPr="008725ED">
        <w:rPr>
          <w:rFonts w:cs="Arial"/>
          <w:snapToGrid w:val="0"/>
          <w:lang w:val="fr-FR"/>
        </w:rPr>
        <w:tab/>
        <w:t>Utilisation des techniques moléculaires pour l</w:t>
      </w:r>
      <w:r w:rsidR="00EF1779" w:rsidRPr="008725ED">
        <w:rPr>
          <w:rFonts w:cs="Arial"/>
          <w:snapToGrid w:val="0"/>
          <w:lang w:val="fr-FR"/>
        </w:rPr>
        <w:t>’</w:t>
      </w:r>
      <w:r w:rsidRPr="008725ED">
        <w:rPr>
          <w:rFonts w:cs="Arial"/>
          <w:snapToGrid w:val="0"/>
          <w:lang w:val="fr-FR"/>
        </w:rPr>
        <w:t>examen de variétés essentiellement dérivées</w:t>
      </w:r>
    </w:p>
    <w:p w:rsidR="008C3126" w:rsidRPr="008725ED" w:rsidRDefault="0052307B" w:rsidP="0052307B">
      <w:pPr>
        <w:spacing w:after="60"/>
        <w:ind w:left="1134" w:hanging="567"/>
        <w:rPr>
          <w:rFonts w:cs="Arial"/>
          <w:snapToGrid w:val="0"/>
          <w:lang w:val="fr-FR"/>
        </w:rPr>
      </w:pPr>
      <w:r w:rsidRPr="008725ED">
        <w:rPr>
          <w:rFonts w:cs="Arial"/>
          <w:snapToGrid w:val="0"/>
          <w:lang w:val="fr-FR"/>
        </w:rPr>
        <w:t>10.</w:t>
      </w:r>
      <w:r w:rsidRPr="008725ED">
        <w:rPr>
          <w:rFonts w:cs="Arial"/>
          <w:snapToGrid w:val="0"/>
          <w:lang w:val="fr-FR"/>
        </w:rPr>
        <w:tab/>
        <w:t>Utilisation des techniques moléculaires pour l</w:t>
      </w:r>
      <w:r w:rsidR="00EF1779" w:rsidRPr="008725ED">
        <w:rPr>
          <w:rFonts w:cs="Arial"/>
          <w:snapToGrid w:val="0"/>
          <w:lang w:val="fr-FR"/>
        </w:rPr>
        <w:t>’</w:t>
      </w:r>
      <w:r w:rsidRPr="008725ED">
        <w:rPr>
          <w:rFonts w:cs="Arial"/>
          <w:snapToGrid w:val="0"/>
          <w:lang w:val="fr-FR"/>
        </w:rPr>
        <w:t>identification de la variété 1</w:t>
      </w:r>
    </w:p>
    <w:p w:rsidR="008C3126" w:rsidRPr="008725ED" w:rsidRDefault="0052307B" w:rsidP="0052307B">
      <w:pPr>
        <w:spacing w:after="60"/>
        <w:ind w:left="1134" w:hanging="567"/>
        <w:rPr>
          <w:rFonts w:cs="Arial"/>
          <w:snapToGrid w:val="0"/>
          <w:lang w:val="fr-FR"/>
        </w:rPr>
      </w:pPr>
      <w:r w:rsidRPr="008725ED">
        <w:rPr>
          <w:rFonts w:cs="Arial"/>
          <w:snapToGrid w:val="0"/>
          <w:lang w:val="fr-FR"/>
        </w:rPr>
        <w:t>11.</w:t>
      </w:r>
      <w:r w:rsidRPr="008725ED">
        <w:rPr>
          <w:rFonts w:cs="Arial"/>
          <w:snapToGrid w:val="0"/>
          <w:lang w:val="fr-FR"/>
        </w:rPr>
        <w:tab/>
        <w:t>Examen du document UPOV/INF/17 “Directives concernant les profils d</w:t>
      </w:r>
      <w:r w:rsidR="00EF1779" w:rsidRPr="008725ED">
        <w:rPr>
          <w:rFonts w:cs="Arial"/>
          <w:snapToGrid w:val="0"/>
          <w:lang w:val="fr-FR"/>
        </w:rPr>
        <w:t>’</w:t>
      </w:r>
      <w:r w:rsidRPr="008725ED">
        <w:rPr>
          <w:rFonts w:cs="Arial"/>
          <w:snapToGrid w:val="0"/>
          <w:lang w:val="fr-FR"/>
        </w:rPr>
        <w:t>ADN</w:t>
      </w:r>
      <w:r w:rsidR="00EF1779" w:rsidRPr="008725ED">
        <w:rPr>
          <w:rFonts w:cs="Arial"/>
          <w:snapToGrid w:val="0"/>
          <w:lang w:val="fr-FR"/>
        </w:rPr>
        <w:t> :</w:t>
      </w:r>
      <w:r w:rsidRPr="008725ED">
        <w:rPr>
          <w:rFonts w:cs="Arial"/>
          <w:snapToGrid w:val="0"/>
          <w:lang w:val="fr-FR"/>
        </w:rPr>
        <w:t xml:space="preserve"> choix des marqueurs moléculaires et construction d</w:t>
      </w:r>
      <w:r w:rsidR="00EF1779" w:rsidRPr="008725ED">
        <w:rPr>
          <w:rFonts w:cs="Arial"/>
          <w:snapToGrid w:val="0"/>
          <w:lang w:val="fr-FR"/>
        </w:rPr>
        <w:t>’</w:t>
      </w:r>
      <w:r w:rsidRPr="008725ED">
        <w:rPr>
          <w:rFonts w:cs="Arial"/>
          <w:snapToGrid w:val="0"/>
          <w:lang w:val="fr-FR"/>
        </w:rPr>
        <w:t>une base de données y relative (</w:t>
      </w:r>
      <w:r w:rsidR="00EF1779" w:rsidRPr="008725ED">
        <w:rPr>
          <w:rFonts w:cs="Arial"/>
          <w:snapToGrid w:val="0"/>
          <w:lang w:val="fr-FR"/>
        </w:rPr>
        <w:t>‘</w:t>
      </w:r>
      <w:r w:rsidRPr="008725ED">
        <w:rPr>
          <w:rFonts w:cs="Arial"/>
          <w:snapToGrid w:val="0"/>
          <w:lang w:val="fr-FR"/>
        </w:rPr>
        <w:t>Directives BMT</w:t>
      </w:r>
      <w:r w:rsidR="00EF1779" w:rsidRPr="008725ED">
        <w:rPr>
          <w:rFonts w:cs="Arial"/>
          <w:snapToGrid w:val="0"/>
          <w:lang w:val="fr-FR"/>
        </w:rPr>
        <w:t>’</w:t>
      </w:r>
      <w:r w:rsidRPr="008725ED">
        <w:rPr>
          <w:rFonts w:cs="Arial"/>
          <w:snapToGrid w:val="0"/>
          <w:lang w:val="fr-FR"/>
        </w:rPr>
        <w:t>)”</w:t>
      </w:r>
    </w:p>
    <w:p w:rsidR="008C3126" w:rsidRPr="008725ED" w:rsidRDefault="0052307B" w:rsidP="0052307B">
      <w:pPr>
        <w:spacing w:after="60"/>
        <w:ind w:left="1134" w:hanging="567"/>
        <w:rPr>
          <w:rFonts w:cs="Arial"/>
          <w:snapToGrid w:val="0"/>
          <w:lang w:val="fr-FR"/>
        </w:rPr>
      </w:pPr>
      <w:r w:rsidRPr="008725ED">
        <w:rPr>
          <w:rFonts w:cs="Arial"/>
          <w:snapToGrid w:val="0"/>
          <w:lang w:val="fr-FR"/>
        </w:rPr>
        <w:t>12.</w:t>
      </w:r>
      <w:r w:rsidRPr="008725ED">
        <w:rPr>
          <w:rFonts w:cs="Arial"/>
          <w:snapToGrid w:val="0"/>
          <w:lang w:val="fr-FR"/>
        </w:rPr>
        <w:tab/>
        <w:t>Date et lieu de la prochaine session</w:t>
      </w:r>
    </w:p>
    <w:p w:rsidR="008C3126" w:rsidRPr="008725ED" w:rsidRDefault="0052307B" w:rsidP="0052307B">
      <w:pPr>
        <w:spacing w:after="60"/>
        <w:ind w:left="1134" w:hanging="567"/>
        <w:rPr>
          <w:rFonts w:cs="Arial"/>
          <w:snapToGrid w:val="0"/>
          <w:lang w:val="fr-FR"/>
        </w:rPr>
      </w:pPr>
      <w:r w:rsidRPr="008725ED">
        <w:rPr>
          <w:rFonts w:cs="Arial"/>
          <w:snapToGrid w:val="0"/>
          <w:lang w:val="fr-FR"/>
        </w:rPr>
        <w:t>13.</w:t>
      </w:r>
      <w:r w:rsidRPr="008725ED">
        <w:rPr>
          <w:rFonts w:cs="Arial"/>
          <w:snapToGrid w:val="0"/>
          <w:lang w:val="fr-FR"/>
        </w:rPr>
        <w:tab/>
        <w:t>Programme futur</w:t>
      </w:r>
    </w:p>
    <w:p w:rsidR="008C3126" w:rsidRPr="008725ED" w:rsidRDefault="0052307B" w:rsidP="0052307B">
      <w:pPr>
        <w:spacing w:after="60"/>
        <w:ind w:left="1134" w:hanging="567"/>
        <w:rPr>
          <w:rFonts w:cs="Arial"/>
          <w:snapToGrid w:val="0"/>
          <w:lang w:val="fr-FR"/>
        </w:rPr>
      </w:pPr>
      <w:r w:rsidRPr="008725ED">
        <w:rPr>
          <w:rFonts w:cs="Arial"/>
          <w:snapToGrid w:val="0"/>
          <w:lang w:val="fr-FR"/>
        </w:rPr>
        <w:t>14.</w:t>
      </w:r>
      <w:r w:rsidRPr="008725ED">
        <w:rPr>
          <w:rFonts w:cs="Arial"/>
          <w:snapToGrid w:val="0"/>
          <w:lang w:val="fr-FR"/>
        </w:rPr>
        <w:tab/>
        <w:t>Compte rendu de la session (selon le temps disponible)</w:t>
      </w:r>
    </w:p>
    <w:p w:rsidR="008C3126" w:rsidRPr="008725ED" w:rsidRDefault="0052307B" w:rsidP="0052307B">
      <w:pPr>
        <w:spacing w:after="60"/>
        <w:ind w:left="1134" w:hanging="567"/>
        <w:rPr>
          <w:rFonts w:cs="Arial"/>
          <w:snapToGrid w:val="0"/>
          <w:lang w:val="fr-FR"/>
        </w:rPr>
      </w:pPr>
      <w:r w:rsidRPr="008725ED">
        <w:rPr>
          <w:rFonts w:cs="Arial"/>
          <w:snapToGrid w:val="0"/>
          <w:lang w:val="fr-FR"/>
        </w:rPr>
        <w:t>15.</w:t>
      </w:r>
      <w:r w:rsidRPr="008725ED">
        <w:rPr>
          <w:rFonts w:cs="Arial"/>
          <w:snapToGrid w:val="0"/>
          <w:lang w:val="fr-FR"/>
        </w:rPr>
        <w:tab/>
        <w:t>Clôture de la session</w:t>
      </w:r>
    </w:p>
    <w:p w:rsidR="008C3126" w:rsidRPr="008725ED" w:rsidRDefault="008C3126" w:rsidP="0052307B">
      <w:pPr>
        <w:rPr>
          <w:rFonts w:cs="Arial"/>
          <w:snapToGrid w:val="0"/>
          <w:lang w:val="fr-FR"/>
        </w:rPr>
      </w:pPr>
    </w:p>
    <w:p w:rsidR="008C3126" w:rsidRPr="008725ED" w:rsidRDefault="0052307B" w:rsidP="0052307B">
      <w:pPr>
        <w:rPr>
          <w:rFonts w:cs="Arial"/>
          <w:snapToGrid w:val="0"/>
          <w:lang w:val="fr-FR"/>
        </w:rPr>
      </w:pPr>
      <w:r w:rsidRPr="008725ED">
        <w:rPr>
          <w:lang w:val="fr-FR"/>
        </w:rPr>
        <w:fldChar w:fldCharType="begin"/>
      </w:r>
      <w:r w:rsidRPr="008725ED">
        <w:rPr>
          <w:lang w:val="fr-FR"/>
        </w:rPr>
        <w:instrText xml:space="preserve"> AUTONUM  </w:instrText>
      </w:r>
      <w:r w:rsidRPr="008725ED">
        <w:rPr>
          <w:lang w:val="fr-FR"/>
        </w:rPr>
        <w:fldChar w:fldCharType="end"/>
      </w:r>
      <w:r w:rsidRPr="008725ED">
        <w:rPr>
          <w:lang w:val="fr-FR"/>
        </w:rPr>
        <w:tab/>
      </w:r>
      <w:r w:rsidRPr="008725ED">
        <w:rPr>
          <w:rFonts w:cs="Arial"/>
          <w:snapToGrid w:val="0"/>
          <w:lang w:val="fr-FR"/>
        </w:rPr>
        <w:t>Le BMT a visité l</w:t>
      </w:r>
      <w:r w:rsidR="00EF1779" w:rsidRPr="008725ED">
        <w:rPr>
          <w:rFonts w:cs="Arial"/>
          <w:snapToGrid w:val="0"/>
          <w:lang w:val="fr-FR"/>
        </w:rPr>
        <w:t>’</w:t>
      </w:r>
      <w:r w:rsidRPr="008725ED">
        <w:rPr>
          <w:rFonts w:cs="Arial"/>
          <w:snapToGrid w:val="0"/>
          <w:lang w:val="fr-FR"/>
        </w:rPr>
        <w:t>Académie d</w:t>
      </w:r>
      <w:r w:rsidR="00EF1779" w:rsidRPr="008725ED">
        <w:rPr>
          <w:rFonts w:cs="Arial"/>
          <w:snapToGrid w:val="0"/>
          <w:lang w:val="fr-FR"/>
        </w:rPr>
        <w:t>’</w:t>
      </w:r>
      <w:r w:rsidRPr="008725ED">
        <w:rPr>
          <w:rFonts w:cs="Arial"/>
          <w:snapToGrid w:val="0"/>
          <w:lang w:val="fr-FR"/>
        </w:rPr>
        <w:t>agronomie de l</w:t>
      </w:r>
      <w:r w:rsidR="00EF1779" w:rsidRPr="008725ED">
        <w:rPr>
          <w:rFonts w:cs="Arial"/>
          <w:snapToGrid w:val="0"/>
          <w:lang w:val="fr-FR"/>
        </w:rPr>
        <w:t>’</w:t>
      </w:r>
      <w:r w:rsidRPr="008725ED">
        <w:rPr>
          <w:rFonts w:cs="Arial"/>
          <w:snapToGrid w:val="0"/>
          <w:lang w:val="fr-FR"/>
        </w:rPr>
        <w:t>Université agricole d</w:t>
      </w:r>
      <w:r w:rsidR="00EF1779" w:rsidRPr="008725ED">
        <w:rPr>
          <w:rFonts w:cs="Arial"/>
          <w:snapToGrid w:val="0"/>
          <w:lang w:val="fr-FR"/>
        </w:rPr>
        <w:t>’</w:t>
      </w:r>
      <w:r w:rsidRPr="008725ED">
        <w:rPr>
          <w:rFonts w:cs="Arial"/>
          <w:snapToGrid w:val="0"/>
          <w:lang w:val="fr-FR"/>
        </w:rPr>
        <w:t>État de Moscou, qui porte le nom de K. A. Timiryazev (RGAU</w:t>
      </w:r>
      <w:r w:rsidR="00EF1779" w:rsidRPr="008725ED">
        <w:rPr>
          <w:rFonts w:cs="Arial"/>
          <w:snapToGrid w:val="0"/>
          <w:lang w:val="fr-FR"/>
        </w:rPr>
        <w:t>-</w:t>
      </w:r>
      <w:r w:rsidRPr="008725ED">
        <w:rPr>
          <w:rFonts w:cs="Arial"/>
          <w:snapToGrid w:val="0"/>
          <w:lang w:val="fr-FR"/>
        </w:rPr>
        <w:t>MSHA), ainsi que le Mémorial N. I. Vavilov, où le BMT a rendu hommage à la formidable contribution de M. Vavilov à la recherche lors d</w:t>
      </w:r>
      <w:r w:rsidR="00EF1779" w:rsidRPr="008725ED">
        <w:rPr>
          <w:rFonts w:cs="Arial"/>
          <w:snapToGrid w:val="0"/>
          <w:lang w:val="fr-FR"/>
        </w:rPr>
        <w:t>’</w:t>
      </w:r>
      <w:r w:rsidRPr="008725ED">
        <w:rPr>
          <w:rFonts w:cs="Arial"/>
          <w:snapToGrid w:val="0"/>
          <w:lang w:val="fr-FR"/>
        </w:rPr>
        <w:t>une cérémonie comprenant le dépôt d</w:t>
      </w:r>
      <w:r w:rsidR="00EF1779" w:rsidRPr="008725ED">
        <w:rPr>
          <w:rFonts w:cs="Arial"/>
          <w:snapToGrid w:val="0"/>
          <w:lang w:val="fr-FR"/>
        </w:rPr>
        <w:t>’</w:t>
      </w:r>
      <w:r w:rsidRPr="008725ED">
        <w:rPr>
          <w:rFonts w:cs="Arial"/>
          <w:snapToGrid w:val="0"/>
          <w:lang w:val="fr-FR"/>
        </w:rPr>
        <w:t>une gerbe.</w:t>
      </w:r>
    </w:p>
    <w:p w:rsidR="008C3126" w:rsidRPr="008725ED" w:rsidRDefault="008C3126" w:rsidP="00D046F7">
      <w:pPr>
        <w:ind w:left="567" w:hanging="567"/>
        <w:rPr>
          <w:rFonts w:cs="Arial"/>
          <w:snapToGrid w:val="0"/>
          <w:lang w:val="fr-FR"/>
        </w:rPr>
      </w:pPr>
    </w:p>
    <w:p w:rsidR="008C3126" w:rsidRPr="008725ED" w:rsidRDefault="008C3126" w:rsidP="00D046F7">
      <w:pPr>
        <w:ind w:left="567" w:hanging="567"/>
        <w:rPr>
          <w:rFonts w:cs="Arial"/>
          <w:snapToGrid w:val="0"/>
          <w:lang w:val="fr-FR"/>
        </w:rPr>
      </w:pPr>
    </w:p>
    <w:p w:rsidR="008C3126" w:rsidRPr="008725ED" w:rsidRDefault="00314487" w:rsidP="00241F71">
      <w:pPr>
        <w:tabs>
          <w:tab w:val="left" w:pos="5387"/>
        </w:tabs>
        <w:ind w:left="4820"/>
        <w:rPr>
          <w:i/>
          <w:szCs w:val="24"/>
          <w:lang w:val="fr-FR"/>
        </w:rPr>
      </w:pPr>
      <w:r w:rsidRPr="008725ED">
        <w:rPr>
          <w:i/>
          <w:szCs w:val="24"/>
          <w:lang w:val="fr-FR"/>
        </w:rPr>
        <w:fldChar w:fldCharType="begin"/>
      </w:r>
      <w:r w:rsidRPr="008725ED">
        <w:rPr>
          <w:i/>
          <w:szCs w:val="24"/>
          <w:lang w:val="fr-FR"/>
        </w:rPr>
        <w:instrText xml:space="preserve"> AUTONUM  </w:instrText>
      </w:r>
      <w:r w:rsidRPr="008725ED">
        <w:rPr>
          <w:i/>
          <w:szCs w:val="24"/>
          <w:lang w:val="fr-FR"/>
        </w:rPr>
        <w:fldChar w:fldCharType="end"/>
      </w:r>
      <w:r w:rsidRPr="008725ED">
        <w:rPr>
          <w:i/>
          <w:szCs w:val="24"/>
          <w:lang w:val="fr-FR"/>
        </w:rPr>
        <w:tab/>
      </w:r>
      <w:r w:rsidR="008C3126" w:rsidRPr="008725ED">
        <w:rPr>
          <w:i/>
          <w:szCs w:val="24"/>
          <w:lang w:val="fr-FR"/>
        </w:rPr>
        <w:t>Le Conseil sera invité</w:t>
      </w:r>
    </w:p>
    <w:p w:rsidR="008C3126" w:rsidRPr="008725ED" w:rsidRDefault="008C3126" w:rsidP="00314487">
      <w:pPr>
        <w:ind w:left="4820"/>
        <w:rPr>
          <w:i/>
          <w:szCs w:val="24"/>
          <w:lang w:val="fr-FR"/>
        </w:rPr>
      </w:pPr>
    </w:p>
    <w:p w:rsidR="008C3126" w:rsidRPr="008725ED" w:rsidRDefault="00314487" w:rsidP="008C3126">
      <w:pPr>
        <w:tabs>
          <w:tab w:val="left" w:pos="5387"/>
          <w:tab w:val="left" w:pos="5954"/>
        </w:tabs>
        <w:ind w:left="4820"/>
        <w:rPr>
          <w:i/>
          <w:szCs w:val="24"/>
          <w:lang w:val="fr-FR"/>
        </w:rPr>
      </w:pPr>
      <w:r w:rsidRPr="008725ED">
        <w:rPr>
          <w:i/>
          <w:szCs w:val="24"/>
          <w:lang w:val="fr-FR"/>
        </w:rPr>
        <w:tab/>
      </w:r>
      <w:r w:rsidR="008C3126" w:rsidRPr="008725ED">
        <w:rPr>
          <w:i/>
          <w:szCs w:val="24"/>
          <w:lang w:val="fr-FR"/>
        </w:rPr>
        <w:t>a)</w:t>
      </w:r>
      <w:r w:rsidR="008C3126" w:rsidRPr="008725ED">
        <w:rPr>
          <w:i/>
          <w:szCs w:val="24"/>
          <w:lang w:val="fr-FR"/>
        </w:rPr>
        <w:tab/>
        <w:t>à prendre n</w:t>
      </w:r>
      <w:bookmarkStart w:id="52" w:name="_GoBack"/>
      <w:bookmarkEnd w:id="52"/>
      <w:r w:rsidR="008C3126" w:rsidRPr="008725ED">
        <w:rPr>
          <w:i/>
          <w:szCs w:val="24"/>
          <w:lang w:val="fr-FR"/>
        </w:rPr>
        <w:t>ote des travaux du</w:t>
      </w:r>
      <w:r w:rsidR="00EF1779" w:rsidRPr="008725ED">
        <w:rPr>
          <w:i/>
          <w:szCs w:val="24"/>
          <w:lang w:val="fr-FR"/>
        </w:rPr>
        <w:t> TC</w:t>
      </w:r>
      <w:r w:rsidR="008C3126" w:rsidRPr="008725ED">
        <w:rPr>
          <w:i/>
          <w:szCs w:val="24"/>
          <w:lang w:val="fr-FR"/>
        </w:rPr>
        <w:t>, ainsi que de ceux des groupes de travail techniques et</w:t>
      </w:r>
      <w:r w:rsidR="00EF1779" w:rsidRPr="008725ED">
        <w:rPr>
          <w:i/>
          <w:szCs w:val="24"/>
          <w:lang w:val="fr-FR"/>
        </w:rPr>
        <w:t xml:space="preserve"> du BMT</w:t>
      </w:r>
      <w:r w:rsidR="008C3126" w:rsidRPr="008725ED">
        <w:rPr>
          <w:i/>
          <w:szCs w:val="24"/>
          <w:lang w:val="fr-FR"/>
        </w:rPr>
        <w:t xml:space="preserve"> dont il a été rendu compte au</w:t>
      </w:r>
      <w:r w:rsidR="00EF1779" w:rsidRPr="008725ED">
        <w:rPr>
          <w:i/>
          <w:szCs w:val="24"/>
          <w:lang w:val="fr-FR"/>
        </w:rPr>
        <w:t> TC</w:t>
      </w:r>
      <w:r w:rsidR="008C3126" w:rsidRPr="008725ED">
        <w:rPr>
          <w:i/>
          <w:szCs w:val="24"/>
          <w:lang w:val="fr-FR"/>
        </w:rPr>
        <w:t>, comme indiqué dans le présent do</w:t>
      </w:r>
      <w:r w:rsidR="0000589A" w:rsidRPr="008725ED">
        <w:rPr>
          <w:i/>
          <w:szCs w:val="24"/>
          <w:lang w:val="fr-FR"/>
        </w:rPr>
        <w:t>cument,</w:t>
      </w:r>
      <w:r w:rsidR="008C3126" w:rsidRPr="008725ED">
        <w:rPr>
          <w:i/>
          <w:szCs w:val="24"/>
          <w:lang w:val="fr-FR"/>
        </w:rPr>
        <w:t xml:space="preserve"> et</w:t>
      </w:r>
    </w:p>
    <w:p w:rsidR="008C3126" w:rsidRPr="008725ED" w:rsidRDefault="008C3126" w:rsidP="00113440">
      <w:pPr>
        <w:tabs>
          <w:tab w:val="left" w:pos="5387"/>
          <w:tab w:val="left" w:pos="5954"/>
        </w:tabs>
        <w:ind w:left="4820"/>
        <w:rPr>
          <w:i/>
          <w:szCs w:val="24"/>
          <w:lang w:val="fr-FR"/>
        </w:rPr>
      </w:pPr>
    </w:p>
    <w:p w:rsidR="008C3126" w:rsidRPr="008725ED" w:rsidRDefault="00314487" w:rsidP="008C3126">
      <w:pPr>
        <w:tabs>
          <w:tab w:val="left" w:pos="5387"/>
          <w:tab w:val="left" w:pos="5954"/>
        </w:tabs>
        <w:ind w:left="4820"/>
        <w:rPr>
          <w:i/>
          <w:szCs w:val="24"/>
          <w:lang w:val="fr-FR"/>
        </w:rPr>
      </w:pPr>
      <w:r w:rsidRPr="008725ED">
        <w:rPr>
          <w:i/>
          <w:szCs w:val="24"/>
          <w:lang w:val="fr-FR"/>
        </w:rPr>
        <w:tab/>
      </w:r>
      <w:r w:rsidR="008C3126" w:rsidRPr="008725ED">
        <w:rPr>
          <w:i/>
          <w:szCs w:val="24"/>
          <w:lang w:val="fr-FR"/>
        </w:rPr>
        <w:t>b)</w:t>
      </w:r>
      <w:r w:rsidR="008C3126" w:rsidRPr="008725ED">
        <w:rPr>
          <w:i/>
          <w:szCs w:val="24"/>
          <w:lang w:val="fr-FR"/>
        </w:rPr>
        <w:tab/>
        <w:t>à approuver les travaux du</w:t>
      </w:r>
      <w:r w:rsidR="00EF1779" w:rsidRPr="008725ED">
        <w:rPr>
          <w:i/>
          <w:szCs w:val="24"/>
          <w:lang w:val="fr-FR"/>
        </w:rPr>
        <w:t> TC</w:t>
      </w:r>
      <w:r w:rsidR="008C3126" w:rsidRPr="008725ED">
        <w:rPr>
          <w:i/>
          <w:szCs w:val="24"/>
          <w:lang w:val="fr-FR"/>
        </w:rPr>
        <w:t xml:space="preserve"> et les programmes de travail des groupes de travail techniques et</w:t>
      </w:r>
      <w:r w:rsidR="00EF1779" w:rsidRPr="008725ED">
        <w:rPr>
          <w:i/>
          <w:szCs w:val="24"/>
          <w:lang w:val="fr-FR"/>
        </w:rPr>
        <w:t xml:space="preserve"> du BMT</w:t>
      </w:r>
      <w:r w:rsidR="008C3126" w:rsidRPr="008725ED">
        <w:rPr>
          <w:i/>
          <w:szCs w:val="24"/>
          <w:lang w:val="fr-FR"/>
        </w:rPr>
        <w:t xml:space="preserve"> qui ont été présentés au</w:t>
      </w:r>
      <w:r w:rsidR="00EF1779" w:rsidRPr="008725ED">
        <w:rPr>
          <w:i/>
          <w:szCs w:val="24"/>
          <w:lang w:val="fr-FR"/>
        </w:rPr>
        <w:t> TC</w:t>
      </w:r>
      <w:r w:rsidR="008C3126" w:rsidRPr="008725ED">
        <w:rPr>
          <w:i/>
          <w:szCs w:val="24"/>
          <w:lang w:val="fr-FR"/>
        </w:rPr>
        <w:t>, comme indiqué dans le présent document.</w:t>
      </w:r>
    </w:p>
    <w:p w:rsidR="008C3126" w:rsidRPr="008725ED" w:rsidRDefault="008C3126" w:rsidP="00314487">
      <w:pPr>
        <w:rPr>
          <w:szCs w:val="24"/>
          <w:lang w:val="fr-FR"/>
        </w:rPr>
      </w:pPr>
    </w:p>
    <w:p w:rsidR="008C3126" w:rsidRPr="008725ED" w:rsidRDefault="008C3126">
      <w:pPr>
        <w:jc w:val="left"/>
        <w:rPr>
          <w:lang w:val="fr-FR"/>
        </w:rPr>
      </w:pPr>
    </w:p>
    <w:p w:rsidR="008C3126" w:rsidRPr="008725ED" w:rsidRDefault="008C3126" w:rsidP="00050E16">
      <w:pPr>
        <w:rPr>
          <w:lang w:val="fr-FR"/>
        </w:rPr>
      </w:pPr>
    </w:p>
    <w:p w:rsidR="008C3126" w:rsidRPr="008725ED" w:rsidRDefault="008C3126" w:rsidP="008C3126">
      <w:pPr>
        <w:jc w:val="right"/>
        <w:rPr>
          <w:lang w:val="fr-FR"/>
        </w:rPr>
      </w:pPr>
      <w:r w:rsidRPr="008725ED">
        <w:rPr>
          <w:lang w:val="fr-FR"/>
        </w:rPr>
        <w:t>[L</w:t>
      </w:r>
      <w:r w:rsidR="00EF1779" w:rsidRPr="008725ED">
        <w:rPr>
          <w:lang w:val="fr-FR"/>
        </w:rPr>
        <w:t>’</w:t>
      </w:r>
      <w:r w:rsidRPr="008725ED">
        <w:rPr>
          <w:lang w:val="fr-FR"/>
        </w:rPr>
        <w:t>annexe suit]</w:t>
      </w:r>
    </w:p>
    <w:p w:rsidR="00CB2486" w:rsidRPr="008725ED" w:rsidRDefault="00CB2486" w:rsidP="00CB2486">
      <w:pPr>
        <w:jc w:val="right"/>
        <w:rPr>
          <w:lang w:val="fr-FR"/>
        </w:rPr>
        <w:sectPr w:rsidR="00CB2486" w:rsidRPr="008725ED" w:rsidSect="00906DDC">
          <w:headerReference w:type="default" r:id="rId12"/>
          <w:pgSz w:w="11907" w:h="16840" w:code="9"/>
          <w:pgMar w:top="510" w:right="1134" w:bottom="1134" w:left="1134" w:header="510" w:footer="680" w:gutter="0"/>
          <w:cols w:space="720"/>
          <w:titlePg/>
        </w:sectPr>
      </w:pPr>
    </w:p>
    <w:p w:rsidR="00CB2486" w:rsidRPr="008725ED" w:rsidRDefault="00100E13" w:rsidP="00050E16">
      <w:pPr>
        <w:rPr>
          <w:lang w:val="fr-FR"/>
        </w:rPr>
      </w:pPr>
      <w:r w:rsidRPr="008725ED">
        <w:rPr>
          <w:noProof/>
        </w:rPr>
        <w:drawing>
          <wp:inline distT="0" distB="0" distL="0" distR="0" wp14:anchorId="57BE1DF1" wp14:editId="338F78E6">
            <wp:extent cx="9324000" cy="622868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24000" cy="6228689"/>
                    </a:xfrm>
                    <a:prstGeom prst="rect">
                      <a:avLst/>
                    </a:prstGeom>
                    <a:noFill/>
                    <a:ln>
                      <a:noFill/>
                    </a:ln>
                  </pic:spPr>
                </pic:pic>
              </a:graphicData>
            </a:graphic>
          </wp:inline>
        </w:drawing>
      </w:r>
    </w:p>
    <w:sectPr w:rsidR="00CB2486" w:rsidRPr="008725ED" w:rsidSect="00D8491F">
      <w:headerReference w:type="first" r:id="rId14"/>
      <w:footerReference w:type="first" r:id="rId15"/>
      <w:pgSz w:w="16840" w:h="11907" w:orient="landscape" w:code="9"/>
      <w:pgMar w:top="993" w:right="510" w:bottom="993" w:left="1134" w:header="426"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CC4" w:rsidRDefault="00382CC4" w:rsidP="006655D3">
      <w:r>
        <w:separator/>
      </w:r>
    </w:p>
    <w:p w:rsidR="00382CC4" w:rsidRDefault="00382CC4" w:rsidP="006655D3"/>
    <w:p w:rsidR="00382CC4" w:rsidRDefault="00382CC4" w:rsidP="006655D3"/>
  </w:endnote>
  <w:endnote w:type="continuationSeparator" w:id="0">
    <w:p w:rsidR="00382CC4" w:rsidRDefault="00382CC4" w:rsidP="006655D3">
      <w:r>
        <w:separator/>
      </w:r>
    </w:p>
    <w:p w:rsidR="00382CC4" w:rsidRPr="00294751" w:rsidRDefault="00382CC4" w:rsidP="00D87D2A">
      <w:pPr>
        <w:pStyle w:val="Footer"/>
        <w:rPr>
          <w:lang w:val="fr-FR"/>
        </w:rPr>
      </w:pPr>
      <w:r w:rsidRPr="00294751">
        <w:rPr>
          <w:lang w:val="fr-FR"/>
        </w:rPr>
        <w:t>[Suite de la note de la page précédente]</w:t>
      </w:r>
    </w:p>
    <w:p w:rsidR="00382CC4" w:rsidRPr="00294751" w:rsidRDefault="00382CC4" w:rsidP="006655D3">
      <w:pPr>
        <w:rPr>
          <w:lang w:val="fr-FR"/>
        </w:rPr>
      </w:pPr>
    </w:p>
    <w:p w:rsidR="00382CC4" w:rsidRPr="00294751" w:rsidRDefault="00382CC4" w:rsidP="006655D3">
      <w:pPr>
        <w:rPr>
          <w:lang w:val="fr-FR"/>
        </w:rPr>
      </w:pPr>
    </w:p>
  </w:endnote>
  <w:endnote w:type="continuationNotice" w:id="1">
    <w:p w:rsidR="00382CC4" w:rsidRPr="00294751" w:rsidRDefault="00382CC4" w:rsidP="006655D3">
      <w:pPr>
        <w:rPr>
          <w:lang w:val="fr-FR"/>
        </w:rPr>
      </w:pPr>
      <w:r w:rsidRPr="00294751">
        <w:rPr>
          <w:lang w:val="fr-FR"/>
        </w:rPr>
        <w:t>[Suite de la note page suivante]</w:t>
      </w:r>
    </w:p>
    <w:p w:rsidR="00382CC4" w:rsidRPr="00294751" w:rsidRDefault="00382CC4" w:rsidP="006655D3">
      <w:pPr>
        <w:rPr>
          <w:lang w:val="fr-FR"/>
        </w:rPr>
      </w:pPr>
    </w:p>
    <w:p w:rsidR="00382CC4" w:rsidRPr="00294751" w:rsidRDefault="00382CC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onaco">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C4" w:rsidRPr="001654B6" w:rsidRDefault="00382CC4" w:rsidP="00D87D2A">
    <w:pPr>
      <w:pStyle w:val="Footer"/>
      <w:rPr>
        <w:sz w:val="20"/>
        <w:lang w:val="fr-FR"/>
      </w:rPr>
    </w:pPr>
    <w:r w:rsidRPr="001654B6">
      <w:rPr>
        <w:sz w:val="20"/>
        <w:lang w:val="fr-FR"/>
      </w:rPr>
      <w:t>[Fin de l’annexe et du document]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CC4" w:rsidRDefault="00382CC4" w:rsidP="006655D3">
      <w:r>
        <w:separator/>
      </w:r>
    </w:p>
  </w:footnote>
  <w:footnote w:type="continuationSeparator" w:id="0">
    <w:p w:rsidR="00382CC4" w:rsidRDefault="00382CC4" w:rsidP="006655D3">
      <w:r>
        <w:separator/>
      </w:r>
    </w:p>
  </w:footnote>
  <w:footnote w:type="continuationNotice" w:id="1">
    <w:p w:rsidR="00382CC4" w:rsidRPr="00AB530F" w:rsidRDefault="00382CC4" w:rsidP="00D87D2A">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C4" w:rsidRPr="00C5280D" w:rsidRDefault="00382CC4" w:rsidP="00EB048E">
    <w:pPr>
      <w:pStyle w:val="Header"/>
      <w:rPr>
        <w:rStyle w:val="PageNumber"/>
        <w:lang w:val="en-US"/>
      </w:rPr>
    </w:pPr>
    <w:r>
      <w:rPr>
        <w:rStyle w:val="PageNumber"/>
        <w:lang w:val="en-US"/>
      </w:rPr>
      <w:t>C/51/10</w:t>
    </w:r>
  </w:p>
  <w:p w:rsidR="00382CC4" w:rsidRPr="00C5280D" w:rsidRDefault="00382CC4"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34E20">
      <w:rPr>
        <w:rStyle w:val="PageNumber"/>
        <w:noProof/>
        <w:lang w:val="en-US"/>
      </w:rPr>
      <w:t>37</w:t>
    </w:r>
    <w:r w:rsidRPr="00C5280D">
      <w:rPr>
        <w:rStyle w:val="PageNumber"/>
        <w:lang w:val="en-US"/>
      </w:rPr>
      <w:fldChar w:fldCharType="end"/>
    </w:r>
  </w:p>
  <w:p w:rsidR="00382CC4" w:rsidRPr="00C5280D" w:rsidRDefault="00382CC4"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C4" w:rsidRDefault="00382CC4" w:rsidP="00D700C0">
    <w:pPr>
      <w:pStyle w:val="Header"/>
      <w:rPr>
        <w:lang w:val="en-US"/>
      </w:rPr>
    </w:pPr>
    <w:r>
      <w:rPr>
        <w:lang w:val="en-US"/>
      </w:rPr>
      <w:t>C/51/10</w:t>
    </w:r>
  </w:p>
  <w:p w:rsidR="00382CC4" w:rsidRDefault="00382CC4" w:rsidP="00D700C0">
    <w:pPr>
      <w:pStyle w:val="Header"/>
      <w:rPr>
        <w:lang w:val="en-US"/>
      </w:rPr>
    </w:pPr>
    <w:r>
      <w:rPr>
        <w:lang w:val="en-US"/>
      </w:rPr>
      <w:t xml:space="preserve">ANNEXE – PROGRAMME </w:t>
    </w:r>
    <w:r w:rsidRPr="001654B6">
      <w:rPr>
        <w:lang w:val="en-US"/>
      </w:rPr>
      <w:t>D'ÉLABORATION DES DOCUMENTS TGP</w:t>
    </w:r>
  </w:p>
  <w:p w:rsidR="00382CC4" w:rsidRPr="00D8491F" w:rsidRDefault="00382CC4" w:rsidP="00D700C0">
    <w:pPr>
      <w:pStyle w:val="Header"/>
      <w:rPr>
        <w:sz w:val="1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59A"/>
    <w:multiLevelType w:val="hybridMultilevel"/>
    <w:tmpl w:val="339E8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546DF6"/>
    <w:multiLevelType w:val="hybridMultilevel"/>
    <w:tmpl w:val="85D4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3396A"/>
    <w:multiLevelType w:val="hybridMultilevel"/>
    <w:tmpl w:val="E0280974"/>
    <w:lvl w:ilvl="0" w:tplc="4336D4C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B4888"/>
    <w:multiLevelType w:val="hybridMultilevel"/>
    <w:tmpl w:val="BCD4A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45FFF"/>
    <w:multiLevelType w:val="hybridMultilevel"/>
    <w:tmpl w:val="AF7EFEA0"/>
    <w:lvl w:ilvl="0" w:tplc="81BA62BC">
      <w:start w:val="1"/>
      <w:numFmt w:val="lowerLetter"/>
      <w:lvlText w:val="(%1)"/>
      <w:lvlJc w:val="left"/>
      <w:pPr>
        <w:tabs>
          <w:tab w:val="num" w:pos="5960"/>
        </w:tabs>
        <w:ind w:left="5960" w:hanging="1140"/>
      </w:pPr>
      <w:rPr>
        <w:rFonts w:hint="default"/>
      </w:rPr>
    </w:lvl>
    <w:lvl w:ilvl="1" w:tplc="04090003" w:tentative="1">
      <w:start w:val="1"/>
      <w:numFmt w:val="bullet"/>
      <w:lvlText w:val="o"/>
      <w:lvlJc w:val="left"/>
      <w:pPr>
        <w:tabs>
          <w:tab w:val="num" w:pos="5333"/>
        </w:tabs>
        <w:ind w:left="5333" w:hanging="360"/>
      </w:pPr>
      <w:rPr>
        <w:rFonts w:ascii="Courier New" w:hAnsi="Courier New" w:cs="Courier New" w:hint="default"/>
      </w:rPr>
    </w:lvl>
    <w:lvl w:ilvl="2" w:tplc="04090005" w:tentative="1">
      <w:start w:val="1"/>
      <w:numFmt w:val="bullet"/>
      <w:lvlText w:val=""/>
      <w:lvlJc w:val="left"/>
      <w:pPr>
        <w:tabs>
          <w:tab w:val="num" w:pos="6053"/>
        </w:tabs>
        <w:ind w:left="6053" w:hanging="360"/>
      </w:pPr>
      <w:rPr>
        <w:rFonts w:ascii="Wingdings" w:hAnsi="Wingdings" w:hint="default"/>
      </w:rPr>
    </w:lvl>
    <w:lvl w:ilvl="3" w:tplc="04090001" w:tentative="1">
      <w:start w:val="1"/>
      <w:numFmt w:val="bullet"/>
      <w:lvlText w:val=""/>
      <w:lvlJc w:val="left"/>
      <w:pPr>
        <w:tabs>
          <w:tab w:val="num" w:pos="6773"/>
        </w:tabs>
        <w:ind w:left="6773" w:hanging="360"/>
      </w:pPr>
      <w:rPr>
        <w:rFonts w:ascii="Symbol" w:hAnsi="Symbol" w:hint="default"/>
      </w:rPr>
    </w:lvl>
    <w:lvl w:ilvl="4" w:tplc="04090003" w:tentative="1">
      <w:start w:val="1"/>
      <w:numFmt w:val="bullet"/>
      <w:lvlText w:val="o"/>
      <w:lvlJc w:val="left"/>
      <w:pPr>
        <w:tabs>
          <w:tab w:val="num" w:pos="7493"/>
        </w:tabs>
        <w:ind w:left="7493" w:hanging="360"/>
      </w:pPr>
      <w:rPr>
        <w:rFonts w:ascii="Courier New" w:hAnsi="Courier New" w:cs="Courier New" w:hint="default"/>
      </w:rPr>
    </w:lvl>
    <w:lvl w:ilvl="5" w:tplc="04090005" w:tentative="1">
      <w:start w:val="1"/>
      <w:numFmt w:val="bullet"/>
      <w:lvlText w:val=""/>
      <w:lvlJc w:val="left"/>
      <w:pPr>
        <w:tabs>
          <w:tab w:val="num" w:pos="8213"/>
        </w:tabs>
        <w:ind w:left="8213" w:hanging="360"/>
      </w:pPr>
      <w:rPr>
        <w:rFonts w:ascii="Wingdings" w:hAnsi="Wingdings" w:hint="default"/>
      </w:rPr>
    </w:lvl>
    <w:lvl w:ilvl="6" w:tplc="04090001" w:tentative="1">
      <w:start w:val="1"/>
      <w:numFmt w:val="bullet"/>
      <w:lvlText w:val=""/>
      <w:lvlJc w:val="left"/>
      <w:pPr>
        <w:tabs>
          <w:tab w:val="num" w:pos="8933"/>
        </w:tabs>
        <w:ind w:left="8933" w:hanging="360"/>
      </w:pPr>
      <w:rPr>
        <w:rFonts w:ascii="Symbol" w:hAnsi="Symbol" w:hint="default"/>
      </w:rPr>
    </w:lvl>
    <w:lvl w:ilvl="7" w:tplc="04090003" w:tentative="1">
      <w:start w:val="1"/>
      <w:numFmt w:val="bullet"/>
      <w:lvlText w:val="o"/>
      <w:lvlJc w:val="left"/>
      <w:pPr>
        <w:tabs>
          <w:tab w:val="num" w:pos="9653"/>
        </w:tabs>
        <w:ind w:left="9653" w:hanging="360"/>
      </w:pPr>
      <w:rPr>
        <w:rFonts w:ascii="Courier New" w:hAnsi="Courier New" w:cs="Courier New" w:hint="default"/>
      </w:rPr>
    </w:lvl>
    <w:lvl w:ilvl="8" w:tplc="04090005" w:tentative="1">
      <w:start w:val="1"/>
      <w:numFmt w:val="bullet"/>
      <w:lvlText w:val=""/>
      <w:lvlJc w:val="left"/>
      <w:pPr>
        <w:tabs>
          <w:tab w:val="num" w:pos="10373"/>
        </w:tabs>
        <w:ind w:left="10373" w:hanging="360"/>
      </w:pPr>
      <w:rPr>
        <w:rFonts w:ascii="Wingdings" w:hAnsi="Wingdings" w:hint="default"/>
      </w:rPr>
    </w:lvl>
  </w:abstractNum>
  <w:abstractNum w:abstractNumId="5">
    <w:nsid w:val="10E95DE5"/>
    <w:multiLevelType w:val="hybridMultilevel"/>
    <w:tmpl w:val="A2BEFE22"/>
    <w:lvl w:ilvl="0" w:tplc="283E467C">
      <w:start w:val="1"/>
      <w:numFmt w:val="bullet"/>
      <w:lvlText w:val="•"/>
      <w:lvlJc w:val="left"/>
      <w:pPr>
        <w:ind w:left="1287" w:hanging="360"/>
      </w:pPr>
      <w:rPr>
        <w:rFonts w:ascii="Arial" w:hAnsi="Arial" w:hint="default"/>
        <w:sz w:val="2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nsid w:val="177404A9"/>
    <w:multiLevelType w:val="hybridMultilevel"/>
    <w:tmpl w:val="4C6C24DC"/>
    <w:lvl w:ilvl="0" w:tplc="20C0E7D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18152454"/>
    <w:multiLevelType w:val="hybridMultilevel"/>
    <w:tmpl w:val="A57A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A638F6"/>
    <w:multiLevelType w:val="hybridMultilevel"/>
    <w:tmpl w:val="0194E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092B0F"/>
    <w:multiLevelType w:val="hybridMultilevel"/>
    <w:tmpl w:val="62969500"/>
    <w:lvl w:ilvl="0" w:tplc="0409000F">
      <w:start w:val="1"/>
      <w:numFmt w:val="decimal"/>
      <w:lvlText w:val="%1."/>
      <w:lvlJc w:val="left"/>
      <w:pPr>
        <w:ind w:left="106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321552E"/>
    <w:multiLevelType w:val="hybridMultilevel"/>
    <w:tmpl w:val="3EDCDA72"/>
    <w:lvl w:ilvl="0" w:tplc="D03E77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CE3247"/>
    <w:multiLevelType w:val="hybridMultilevel"/>
    <w:tmpl w:val="847ABB42"/>
    <w:lvl w:ilvl="0" w:tplc="CEB2FE3A">
      <w:start w:val="1"/>
      <w:numFmt w:val="lowerLetter"/>
      <w:lvlText w:val="(%1)"/>
      <w:lvlJc w:val="left"/>
      <w:pPr>
        <w:ind w:left="720" w:hanging="360"/>
      </w:pPr>
      <w:rPr>
        <w:rFonts w:eastAsia="MS Mincho"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133F20"/>
    <w:multiLevelType w:val="hybridMultilevel"/>
    <w:tmpl w:val="AC305D88"/>
    <w:lvl w:ilvl="0" w:tplc="F000BA2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ECE47C9"/>
    <w:multiLevelType w:val="hybridMultilevel"/>
    <w:tmpl w:val="233402B6"/>
    <w:lvl w:ilvl="0" w:tplc="371EFC48">
      <w:start w:val="3"/>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61408B"/>
    <w:multiLevelType w:val="hybridMultilevel"/>
    <w:tmpl w:val="61789BF6"/>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38377D0"/>
    <w:multiLevelType w:val="hybridMultilevel"/>
    <w:tmpl w:val="E7F0A628"/>
    <w:lvl w:ilvl="0" w:tplc="D7080B10">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nsid w:val="353D1D31"/>
    <w:multiLevelType w:val="hybridMultilevel"/>
    <w:tmpl w:val="E122527C"/>
    <w:lvl w:ilvl="0" w:tplc="00B0DD6A">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EAF00DD"/>
    <w:multiLevelType w:val="hybridMultilevel"/>
    <w:tmpl w:val="E6A02754"/>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0BC2E13"/>
    <w:multiLevelType w:val="hybridMultilevel"/>
    <w:tmpl w:val="BA247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B15D02"/>
    <w:multiLevelType w:val="hybridMultilevel"/>
    <w:tmpl w:val="F7ECAA1A"/>
    <w:lvl w:ilvl="0" w:tplc="733C26C0">
      <w:start w:val="1"/>
      <w:numFmt w:val="lowerLetter"/>
      <w:lvlText w:val="(%1)"/>
      <w:lvlJc w:val="left"/>
      <w:pPr>
        <w:ind w:left="6527" w:hanging="114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20">
    <w:nsid w:val="42AB6514"/>
    <w:multiLevelType w:val="hybridMultilevel"/>
    <w:tmpl w:val="815C1E18"/>
    <w:lvl w:ilvl="0" w:tplc="674A11A0">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DC4844"/>
    <w:multiLevelType w:val="hybridMultilevel"/>
    <w:tmpl w:val="E8268A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6E62735"/>
    <w:multiLevelType w:val="hybridMultilevel"/>
    <w:tmpl w:val="0854D8B0"/>
    <w:lvl w:ilvl="0" w:tplc="D124CC2A">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BA82DCB"/>
    <w:multiLevelType w:val="hybridMultilevel"/>
    <w:tmpl w:val="238C34BC"/>
    <w:lvl w:ilvl="0" w:tplc="0628ADF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C743694"/>
    <w:multiLevelType w:val="hybridMultilevel"/>
    <w:tmpl w:val="4D74D27A"/>
    <w:lvl w:ilvl="0" w:tplc="B2387A04">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E777821"/>
    <w:multiLevelType w:val="hybridMultilevel"/>
    <w:tmpl w:val="44A6EB50"/>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nsid w:val="4EB95E5B"/>
    <w:multiLevelType w:val="hybridMultilevel"/>
    <w:tmpl w:val="613243F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nsid w:val="4F3859E1"/>
    <w:multiLevelType w:val="hybridMultilevel"/>
    <w:tmpl w:val="8C58AC5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nsid w:val="4FDF5FAD"/>
    <w:multiLevelType w:val="hybridMultilevel"/>
    <w:tmpl w:val="948E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13C35E4"/>
    <w:multiLevelType w:val="hybridMultilevel"/>
    <w:tmpl w:val="4F8866A6"/>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EF7AF1"/>
    <w:multiLevelType w:val="hybridMultilevel"/>
    <w:tmpl w:val="2458C148"/>
    <w:lvl w:ilvl="0" w:tplc="B3427836">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96590B"/>
    <w:multiLevelType w:val="hybridMultilevel"/>
    <w:tmpl w:val="9ABEF550"/>
    <w:lvl w:ilvl="0" w:tplc="B6B260D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C769DC"/>
    <w:multiLevelType w:val="hybridMultilevel"/>
    <w:tmpl w:val="3CD628DA"/>
    <w:lvl w:ilvl="0" w:tplc="290E460A">
      <w:start w:val="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nsid w:val="5A245162"/>
    <w:multiLevelType w:val="hybridMultilevel"/>
    <w:tmpl w:val="B5BA33E4"/>
    <w:lvl w:ilvl="0" w:tplc="0628ADF2">
      <w:start w:val="1"/>
      <w:numFmt w:val="bullet"/>
      <w:lvlText w:val="•"/>
      <w:lvlJc w:val="left"/>
      <w:pPr>
        <w:tabs>
          <w:tab w:val="num" w:pos="720"/>
        </w:tabs>
        <w:ind w:left="720" w:hanging="360"/>
      </w:pPr>
      <w:rPr>
        <w:rFonts w:ascii="Arial" w:hAnsi="Arial" w:hint="default"/>
      </w:rPr>
    </w:lvl>
    <w:lvl w:ilvl="1" w:tplc="8FD43CC0">
      <w:start w:val="2866"/>
      <w:numFmt w:val="bullet"/>
      <w:lvlText w:val="–"/>
      <w:lvlJc w:val="left"/>
      <w:pPr>
        <w:tabs>
          <w:tab w:val="num" w:pos="1440"/>
        </w:tabs>
        <w:ind w:left="1440" w:hanging="360"/>
      </w:pPr>
      <w:rPr>
        <w:rFonts w:ascii="Arial" w:hAnsi="Arial" w:hint="default"/>
      </w:rPr>
    </w:lvl>
    <w:lvl w:ilvl="2" w:tplc="DDCEE25A" w:tentative="1">
      <w:start w:val="1"/>
      <w:numFmt w:val="bullet"/>
      <w:lvlText w:val="•"/>
      <w:lvlJc w:val="left"/>
      <w:pPr>
        <w:tabs>
          <w:tab w:val="num" w:pos="2160"/>
        </w:tabs>
        <w:ind w:left="2160" w:hanging="360"/>
      </w:pPr>
      <w:rPr>
        <w:rFonts w:ascii="Arial" w:hAnsi="Arial" w:hint="default"/>
      </w:rPr>
    </w:lvl>
    <w:lvl w:ilvl="3" w:tplc="169E0C4C" w:tentative="1">
      <w:start w:val="1"/>
      <w:numFmt w:val="bullet"/>
      <w:lvlText w:val="•"/>
      <w:lvlJc w:val="left"/>
      <w:pPr>
        <w:tabs>
          <w:tab w:val="num" w:pos="2880"/>
        </w:tabs>
        <w:ind w:left="2880" w:hanging="360"/>
      </w:pPr>
      <w:rPr>
        <w:rFonts w:ascii="Arial" w:hAnsi="Arial" w:hint="default"/>
      </w:rPr>
    </w:lvl>
    <w:lvl w:ilvl="4" w:tplc="2CFE84E0" w:tentative="1">
      <w:start w:val="1"/>
      <w:numFmt w:val="bullet"/>
      <w:lvlText w:val="•"/>
      <w:lvlJc w:val="left"/>
      <w:pPr>
        <w:tabs>
          <w:tab w:val="num" w:pos="3600"/>
        </w:tabs>
        <w:ind w:left="3600" w:hanging="360"/>
      </w:pPr>
      <w:rPr>
        <w:rFonts w:ascii="Arial" w:hAnsi="Arial" w:hint="default"/>
      </w:rPr>
    </w:lvl>
    <w:lvl w:ilvl="5" w:tplc="0FCA050C" w:tentative="1">
      <w:start w:val="1"/>
      <w:numFmt w:val="bullet"/>
      <w:lvlText w:val="•"/>
      <w:lvlJc w:val="left"/>
      <w:pPr>
        <w:tabs>
          <w:tab w:val="num" w:pos="4320"/>
        </w:tabs>
        <w:ind w:left="4320" w:hanging="360"/>
      </w:pPr>
      <w:rPr>
        <w:rFonts w:ascii="Arial" w:hAnsi="Arial" w:hint="default"/>
      </w:rPr>
    </w:lvl>
    <w:lvl w:ilvl="6" w:tplc="D670FFA2" w:tentative="1">
      <w:start w:val="1"/>
      <w:numFmt w:val="bullet"/>
      <w:lvlText w:val="•"/>
      <w:lvlJc w:val="left"/>
      <w:pPr>
        <w:tabs>
          <w:tab w:val="num" w:pos="5040"/>
        </w:tabs>
        <w:ind w:left="5040" w:hanging="360"/>
      </w:pPr>
      <w:rPr>
        <w:rFonts w:ascii="Arial" w:hAnsi="Arial" w:hint="default"/>
      </w:rPr>
    </w:lvl>
    <w:lvl w:ilvl="7" w:tplc="76A29EFC" w:tentative="1">
      <w:start w:val="1"/>
      <w:numFmt w:val="bullet"/>
      <w:lvlText w:val="•"/>
      <w:lvlJc w:val="left"/>
      <w:pPr>
        <w:tabs>
          <w:tab w:val="num" w:pos="5760"/>
        </w:tabs>
        <w:ind w:left="5760" w:hanging="360"/>
      </w:pPr>
      <w:rPr>
        <w:rFonts w:ascii="Arial" w:hAnsi="Arial" w:hint="default"/>
      </w:rPr>
    </w:lvl>
    <w:lvl w:ilvl="8" w:tplc="B8FE7580" w:tentative="1">
      <w:start w:val="1"/>
      <w:numFmt w:val="bullet"/>
      <w:lvlText w:val="•"/>
      <w:lvlJc w:val="left"/>
      <w:pPr>
        <w:tabs>
          <w:tab w:val="num" w:pos="6480"/>
        </w:tabs>
        <w:ind w:left="6480" w:hanging="360"/>
      </w:pPr>
      <w:rPr>
        <w:rFonts w:ascii="Arial" w:hAnsi="Arial" w:hint="default"/>
      </w:rPr>
    </w:lvl>
  </w:abstractNum>
  <w:abstractNum w:abstractNumId="34">
    <w:nsid w:val="5EA4008B"/>
    <w:multiLevelType w:val="hybridMultilevel"/>
    <w:tmpl w:val="6B3076D6"/>
    <w:lvl w:ilvl="0" w:tplc="9E825CD2">
      <w:start w:val="1"/>
      <w:numFmt w:val="lowerLetter"/>
      <w:lvlText w:val="(%1)"/>
      <w:lvlJc w:val="left"/>
      <w:pPr>
        <w:ind w:left="6527" w:hanging="114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35">
    <w:nsid w:val="5F8708DA"/>
    <w:multiLevelType w:val="hybridMultilevel"/>
    <w:tmpl w:val="9D3A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C31741"/>
    <w:multiLevelType w:val="hybridMultilevel"/>
    <w:tmpl w:val="0A92BE7A"/>
    <w:lvl w:ilvl="0" w:tplc="92AA238C">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nsid w:val="657B6F7F"/>
    <w:multiLevelType w:val="hybridMultilevel"/>
    <w:tmpl w:val="CBDAE6C0"/>
    <w:lvl w:ilvl="0" w:tplc="040C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nsid w:val="681E0910"/>
    <w:multiLevelType w:val="hybridMultilevel"/>
    <w:tmpl w:val="30F2FDD4"/>
    <w:lvl w:ilvl="0" w:tplc="040C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5F35BB"/>
    <w:multiLevelType w:val="hybridMultilevel"/>
    <w:tmpl w:val="1EE206A8"/>
    <w:lvl w:ilvl="0" w:tplc="725C9E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750919CD"/>
    <w:multiLevelType w:val="hybridMultilevel"/>
    <w:tmpl w:val="06565820"/>
    <w:lvl w:ilvl="0" w:tplc="BD9A55E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D51284"/>
    <w:multiLevelType w:val="hybridMultilevel"/>
    <w:tmpl w:val="E94EF58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0"/>
  </w:num>
  <w:num w:numId="4">
    <w:abstractNumId w:val="28"/>
  </w:num>
  <w:num w:numId="5">
    <w:abstractNumId w:val="1"/>
  </w:num>
  <w:num w:numId="6">
    <w:abstractNumId w:val="40"/>
  </w:num>
  <w:num w:numId="7">
    <w:abstractNumId w:val="15"/>
  </w:num>
  <w:num w:numId="8">
    <w:abstractNumId w:val="19"/>
  </w:num>
  <w:num w:numId="9">
    <w:abstractNumId w:val="34"/>
  </w:num>
  <w:num w:numId="10">
    <w:abstractNumId w:val="4"/>
  </w:num>
  <w:num w:numId="11">
    <w:abstractNumId w:val="38"/>
  </w:num>
  <w:num w:numId="12">
    <w:abstractNumId w:val="13"/>
  </w:num>
  <w:num w:numId="13">
    <w:abstractNumId w:val="39"/>
  </w:num>
  <w:num w:numId="14">
    <w:abstractNumId w:val="27"/>
  </w:num>
  <w:num w:numId="15">
    <w:abstractNumId w:val="12"/>
  </w:num>
  <w:num w:numId="16">
    <w:abstractNumId w:val="35"/>
  </w:num>
  <w:num w:numId="17">
    <w:abstractNumId w:val="26"/>
  </w:num>
  <w:num w:numId="18">
    <w:abstractNumId w:val="18"/>
  </w:num>
  <w:num w:numId="19">
    <w:abstractNumId w:val="33"/>
  </w:num>
  <w:num w:numId="20">
    <w:abstractNumId w:val="8"/>
  </w:num>
  <w:num w:numId="21">
    <w:abstractNumId w:val="25"/>
  </w:num>
  <w:num w:numId="22">
    <w:abstractNumId w:val="41"/>
  </w:num>
  <w:num w:numId="23">
    <w:abstractNumId w:val="6"/>
  </w:num>
  <w:num w:numId="24">
    <w:abstractNumId w:val="36"/>
  </w:num>
  <w:num w:numId="25">
    <w:abstractNumId w:val="32"/>
  </w:num>
  <w:num w:numId="26">
    <w:abstractNumId w:val="3"/>
  </w:num>
  <w:num w:numId="27">
    <w:abstractNumId w:val="22"/>
  </w:num>
  <w:num w:numId="28">
    <w:abstractNumId w:val="9"/>
  </w:num>
  <w:num w:numId="29">
    <w:abstractNumId w:val="7"/>
  </w:num>
  <w:num w:numId="30">
    <w:abstractNumId w:val="24"/>
  </w:num>
  <w:num w:numId="31">
    <w:abstractNumId w:val="29"/>
  </w:num>
  <w:num w:numId="32">
    <w:abstractNumId w:val="31"/>
  </w:num>
  <w:num w:numId="33">
    <w:abstractNumId w:val="2"/>
  </w:num>
  <w:num w:numId="34">
    <w:abstractNumId w:val="16"/>
  </w:num>
  <w:num w:numId="35">
    <w:abstractNumId w:val="30"/>
  </w:num>
  <w:num w:numId="36">
    <w:abstractNumId w:val="11"/>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37"/>
  </w:num>
  <w:num w:numId="40">
    <w:abstractNumId w:val="17"/>
  </w:num>
  <w:num w:numId="41">
    <w:abstractNumId w:val="23"/>
  </w:num>
  <w:num w:numId="42">
    <w:abstractNumId w:val="5"/>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TRADTERM"/>
    <w:docVar w:name="TermBaseURL" w:val="empty"/>
    <w:docVar w:name="TextBases" w:val="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FA2A38"/>
    <w:rsid w:val="0000589A"/>
    <w:rsid w:val="00010CF3"/>
    <w:rsid w:val="00011E27"/>
    <w:rsid w:val="000148BC"/>
    <w:rsid w:val="00024AB8"/>
    <w:rsid w:val="00030854"/>
    <w:rsid w:val="00036028"/>
    <w:rsid w:val="00044642"/>
    <w:rsid w:val="000446B9"/>
    <w:rsid w:val="00047E21"/>
    <w:rsid w:val="00050E16"/>
    <w:rsid w:val="00085505"/>
    <w:rsid w:val="00093B9B"/>
    <w:rsid w:val="000B09F1"/>
    <w:rsid w:val="000C4E25"/>
    <w:rsid w:val="000C7021"/>
    <w:rsid w:val="000D6BBC"/>
    <w:rsid w:val="000D7780"/>
    <w:rsid w:val="000E6112"/>
    <w:rsid w:val="000E636A"/>
    <w:rsid w:val="000F2A43"/>
    <w:rsid w:val="000F2F11"/>
    <w:rsid w:val="00100E13"/>
    <w:rsid w:val="00105929"/>
    <w:rsid w:val="00110C36"/>
    <w:rsid w:val="001131D5"/>
    <w:rsid w:val="00113440"/>
    <w:rsid w:val="00141DB8"/>
    <w:rsid w:val="001453F2"/>
    <w:rsid w:val="001654B6"/>
    <w:rsid w:val="00172084"/>
    <w:rsid w:val="0017474A"/>
    <w:rsid w:val="001758C6"/>
    <w:rsid w:val="00182B99"/>
    <w:rsid w:val="001C1525"/>
    <w:rsid w:val="001D3EC4"/>
    <w:rsid w:val="001D6A9B"/>
    <w:rsid w:val="001E6113"/>
    <w:rsid w:val="0021332C"/>
    <w:rsid w:val="00213982"/>
    <w:rsid w:val="00214C72"/>
    <w:rsid w:val="00241F71"/>
    <w:rsid w:val="0024416D"/>
    <w:rsid w:val="00255FB3"/>
    <w:rsid w:val="00271911"/>
    <w:rsid w:val="002800A0"/>
    <w:rsid w:val="002801B3"/>
    <w:rsid w:val="00281060"/>
    <w:rsid w:val="002871F4"/>
    <w:rsid w:val="002908D8"/>
    <w:rsid w:val="002940E8"/>
    <w:rsid w:val="00294751"/>
    <w:rsid w:val="002A6E50"/>
    <w:rsid w:val="002A790D"/>
    <w:rsid w:val="002B4298"/>
    <w:rsid w:val="002C256A"/>
    <w:rsid w:val="00305A7F"/>
    <w:rsid w:val="00310EED"/>
    <w:rsid w:val="00314487"/>
    <w:rsid w:val="003152FE"/>
    <w:rsid w:val="00327436"/>
    <w:rsid w:val="00335E38"/>
    <w:rsid w:val="00344B0C"/>
    <w:rsid w:val="00344BD6"/>
    <w:rsid w:val="0035528D"/>
    <w:rsid w:val="00361821"/>
    <w:rsid w:val="00361E9E"/>
    <w:rsid w:val="00367578"/>
    <w:rsid w:val="00375D7B"/>
    <w:rsid w:val="00382CC4"/>
    <w:rsid w:val="00387459"/>
    <w:rsid w:val="0039633A"/>
    <w:rsid w:val="003C7FBE"/>
    <w:rsid w:val="003D227C"/>
    <w:rsid w:val="003D2B4D"/>
    <w:rsid w:val="003F0149"/>
    <w:rsid w:val="003F5F2B"/>
    <w:rsid w:val="00415E37"/>
    <w:rsid w:val="00422C81"/>
    <w:rsid w:val="004326F8"/>
    <w:rsid w:val="00444A88"/>
    <w:rsid w:val="00474DA4"/>
    <w:rsid w:val="00476B4D"/>
    <w:rsid w:val="004805FA"/>
    <w:rsid w:val="004935D2"/>
    <w:rsid w:val="004B1215"/>
    <w:rsid w:val="004D047D"/>
    <w:rsid w:val="004D25CF"/>
    <w:rsid w:val="004F07CE"/>
    <w:rsid w:val="004F1E9E"/>
    <w:rsid w:val="004F22C5"/>
    <w:rsid w:val="004F305A"/>
    <w:rsid w:val="00512164"/>
    <w:rsid w:val="00520297"/>
    <w:rsid w:val="0052307B"/>
    <w:rsid w:val="00523132"/>
    <w:rsid w:val="005242DA"/>
    <w:rsid w:val="005338F9"/>
    <w:rsid w:val="00534E20"/>
    <w:rsid w:val="0054281C"/>
    <w:rsid w:val="00544581"/>
    <w:rsid w:val="00551B41"/>
    <w:rsid w:val="0055268D"/>
    <w:rsid w:val="00563C56"/>
    <w:rsid w:val="00576BE4"/>
    <w:rsid w:val="005A400A"/>
    <w:rsid w:val="005A6AA4"/>
    <w:rsid w:val="005E033E"/>
    <w:rsid w:val="005F0D89"/>
    <w:rsid w:val="005F7B92"/>
    <w:rsid w:val="00612379"/>
    <w:rsid w:val="006153B6"/>
    <w:rsid w:val="0061555F"/>
    <w:rsid w:val="00636CA6"/>
    <w:rsid w:val="00641200"/>
    <w:rsid w:val="0064330D"/>
    <w:rsid w:val="00645CA8"/>
    <w:rsid w:val="006655D3"/>
    <w:rsid w:val="00667404"/>
    <w:rsid w:val="00687EB4"/>
    <w:rsid w:val="00695C56"/>
    <w:rsid w:val="006A36A4"/>
    <w:rsid w:val="006A5CDE"/>
    <w:rsid w:val="006A644A"/>
    <w:rsid w:val="006A7B37"/>
    <w:rsid w:val="006B17D2"/>
    <w:rsid w:val="006C224E"/>
    <w:rsid w:val="006D780A"/>
    <w:rsid w:val="0071271E"/>
    <w:rsid w:val="00732DEC"/>
    <w:rsid w:val="00735BD5"/>
    <w:rsid w:val="007451EC"/>
    <w:rsid w:val="00751613"/>
    <w:rsid w:val="00752612"/>
    <w:rsid w:val="007556F6"/>
    <w:rsid w:val="00760EEF"/>
    <w:rsid w:val="00777EE5"/>
    <w:rsid w:val="00784836"/>
    <w:rsid w:val="0079023E"/>
    <w:rsid w:val="007A2854"/>
    <w:rsid w:val="007C1D92"/>
    <w:rsid w:val="007C4C51"/>
    <w:rsid w:val="007C4CB9"/>
    <w:rsid w:val="007D0A38"/>
    <w:rsid w:val="007D0B9D"/>
    <w:rsid w:val="007D19B0"/>
    <w:rsid w:val="007D4635"/>
    <w:rsid w:val="007E30D8"/>
    <w:rsid w:val="007F498F"/>
    <w:rsid w:val="00801DD1"/>
    <w:rsid w:val="0080679D"/>
    <w:rsid w:val="008108B0"/>
    <w:rsid w:val="00811B20"/>
    <w:rsid w:val="008211B5"/>
    <w:rsid w:val="0082296E"/>
    <w:rsid w:val="00824099"/>
    <w:rsid w:val="00845EEB"/>
    <w:rsid w:val="00846D7C"/>
    <w:rsid w:val="00867AC1"/>
    <w:rsid w:val="008725ED"/>
    <w:rsid w:val="00890DF8"/>
    <w:rsid w:val="008964B6"/>
    <w:rsid w:val="008A743F"/>
    <w:rsid w:val="008B0C7B"/>
    <w:rsid w:val="008C0970"/>
    <w:rsid w:val="008C3126"/>
    <w:rsid w:val="008D0BC5"/>
    <w:rsid w:val="008D2CF7"/>
    <w:rsid w:val="00900C26"/>
    <w:rsid w:val="0090197F"/>
    <w:rsid w:val="00903264"/>
    <w:rsid w:val="00906BB6"/>
    <w:rsid w:val="00906DDC"/>
    <w:rsid w:val="0091609B"/>
    <w:rsid w:val="00934E09"/>
    <w:rsid w:val="00936253"/>
    <w:rsid w:val="00940D46"/>
    <w:rsid w:val="0094658D"/>
    <w:rsid w:val="00952DD4"/>
    <w:rsid w:val="00965AE7"/>
    <w:rsid w:val="00970FED"/>
    <w:rsid w:val="00985C0E"/>
    <w:rsid w:val="00992D82"/>
    <w:rsid w:val="009952E4"/>
    <w:rsid w:val="00997029"/>
    <w:rsid w:val="009A7339"/>
    <w:rsid w:val="009B440E"/>
    <w:rsid w:val="009D690D"/>
    <w:rsid w:val="009E65B6"/>
    <w:rsid w:val="009E6627"/>
    <w:rsid w:val="009F77CF"/>
    <w:rsid w:val="00A212D4"/>
    <w:rsid w:val="00A24C10"/>
    <w:rsid w:val="00A3365A"/>
    <w:rsid w:val="00A42AC3"/>
    <w:rsid w:val="00A430CF"/>
    <w:rsid w:val="00A54309"/>
    <w:rsid w:val="00A80AEF"/>
    <w:rsid w:val="00AB2B93"/>
    <w:rsid w:val="00AB530F"/>
    <w:rsid w:val="00AB7E5B"/>
    <w:rsid w:val="00AC2883"/>
    <w:rsid w:val="00AD0F5A"/>
    <w:rsid w:val="00AE0EF1"/>
    <w:rsid w:val="00AE236E"/>
    <w:rsid w:val="00AE2937"/>
    <w:rsid w:val="00AF59D6"/>
    <w:rsid w:val="00B00AF8"/>
    <w:rsid w:val="00B0396A"/>
    <w:rsid w:val="00B0700F"/>
    <w:rsid w:val="00B07301"/>
    <w:rsid w:val="00B11F3E"/>
    <w:rsid w:val="00B224DE"/>
    <w:rsid w:val="00B324D4"/>
    <w:rsid w:val="00B46575"/>
    <w:rsid w:val="00B61777"/>
    <w:rsid w:val="00B7345F"/>
    <w:rsid w:val="00B84BBD"/>
    <w:rsid w:val="00B84D67"/>
    <w:rsid w:val="00B96764"/>
    <w:rsid w:val="00BA43FB"/>
    <w:rsid w:val="00BC127D"/>
    <w:rsid w:val="00BC1FE6"/>
    <w:rsid w:val="00BF6FAE"/>
    <w:rsid w:val="00C061B6"/>
    <w:rsid w:val="00C11DAD"/>
    <w:rsid w:val="00C2446C"/>
    <w:rsid w:val="00C36AE5"/>
    <w:rsid w:val="00C41F17"/>
    <w:rsid w:val="00C527FA"/>
    <w:rsid w:val="00C5280D"/>
    <w:rsid w:val="00C53995"/>
    <w:rsid w:val="00C53EB3"/>
    <w:rsid w:val="00C5791C"/>
    <w:rsid w:val="00C66290"/>
    <w:rsid w:val="00C72B7A"/>
    <w:rsid w:val="00C82E00"/>
    <w:rsid w:val="00C973F2"/>
    <w:rsid w:val="00CA304C"/>
    <w:rsid w:val="00CA774A"/>
    <w:rsid w:val="00CB2486"/>
    <w:rsid w:val="00CC11B0"/>
    <w:rsid w:val="00CC2841"/>
    <w:rsid w:val="00CF1330"/>
    <w:rsid w:val="00CF7E36"/>
    <w:rsid w:val="00D046F7"/>
    <w:rsid w:val="00D048A5"/>
    <w:rsid w:val="00D3708D"/>
    <w:rsid w:val="00D40426"/>
    <w:rsid w:val="00D43219"/>
    <w:rsid w:val="00D57C96"/>
    <w:rsid w:val="00D57D18"/>
    <w:rsid w:val="00D700C0"/>
    <w:rsid w:val="00D74F87"/>
    <w:rsid w:val="00D8491F"/>
    <w:rsid w:val="00D87D2A"/>
    <w:rsid w:val="00D87DB7"/>
    <w:rsid w:val="00D91203"/>
    <w:rsid w:val="00D95174"/>
    <w:rsid w:val="00D95F3A"/>
    <w:rsid w:val="00DA4973"/>
    <w:rsid w:val="00DA6F36"/>
    <w:rsid w:val="00DB14C2"/>
    <w:rsid w:val="00DB596E"/>
    <w:rsid w:val="00DB7773"/>
    <w:rsid w:val="00DC00EA"/>
    <w:rsid w:val="00DC3802"/>
    <w:rsid w:val="00DF4435"/>
    <w:rsid w:val="00E07D87"/>
    <w:rsid w:val="00E32F7E"/>
    <w:rsid w:val="00E5267B"/>
    <w:rsid w:val="00E60905"/>
    <w:rsid w:val="00E63C0E"/>
    <w:rsid w:val="00E642BE"/>
    <w:rsid w:val="00E72D49"/>
    <w:rsid w:val="00E7593C"/>
    <w:rsid w:val="00E7678A"/>
    <w:rsid w:val="00E935F1"/>
    <w:rsid w:val="00E94A81"/>
    <w:rsid w:val="00EA1FFB"/>
    <w:rsid w:val="00EA420B"/>
    <w:rsid w:val="00EB048E"/>
    <w:rsid w:val="00EB1ACA"/>
    <w:rsid w:val="00EB4E9C"/>
    <w:rsid w:val="00ED5954"/>
    <w:rsid w:val="00EE34DF"/>
    <w:rsid w:val="00EF1779"/>
    <w:rsid w:val="00EF2F89"/>
    <w:rsid w:val="00F03E98"/>
    <w:rsid w:val="00F11FF7"/>
    <w:rsid w:val="00F1237A"/>
    <w:rsid w:val="00F22CBD"/>
    <w:rsid w:val="00F24919"/>
    <w:rsid w:val="00F272F1"/>
    <w:rsid w:val="00F45097"/>
    <w:rsid w:val="00F45372"/>
    <w:rsid w:val="00F560F7"/>
    <w:rsid w:val="00F6334D"/>
    <w:rsid w:val="00F63599"/>
    <w:rsid w:val="00FA2A38"/>
    <w:rsid w:val="00FA49AB"/>
    <w:rsid w:val="00FB2CE7"/>
    <w:rsid w:val="00FB3BFC"/>
    <w:rsid w:val="00FE39C7"/>
    <w:rsid w:val="00FF0DB4"/>
    <w:rsid w:val="00FF4D07"/>
    <w:rsid w:val="00FF7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382CC4"/>
    <w:pPr>
      <w:keepNext/>
      <w:jc w:val="both"/>
      <w:outlineLvl w:val="2"/>
    </w:pPr>
    <w:rPr>
      <w:rFonts w:ascii="Arial" w:hAnsi="Arial"/>
      <w:i/>
      <w:lang w:val="fr-FR"/>
    </w:rPr>
  </w:style>
  <w:style w:type="paragraph" w:styleId="Heading4">
    <w:name w:val="heading 4"/>
    <w:next w:val="Normal"/>
    <w:link w:val="Heading4Char"/>
    <w:autoRedefine/>
    <w:qFormat/>
    <w:rsid w:val="00382CC4"/>
    <w:pPr>
      <w:keepNext/>
      <w:ind w:left="1701" w:hanging="1134"/>
      <w:jc w:val="both"/>
      <w:outlineLvl w:val="3"/>
    </w:pPr>
    <w:rPr>
      <w:rFonts w:ascii="Arial" w:hAnsi="Arial"/>
      <w:i/>
      <w:lang w:val="fr-FR"/>
    </w:rPr>
  </w:style>
  <w:style w:type="paragraph" w:styleId="Heading5">
    <w:name w:val="heading 5"/>
    <w:basedOn w:val="Normal"/>
    <w:next w:val="Normal"/>
    <w:link w:val="Heading5Char"/>
    <w:autoRedefine/>
    <w:qFormat/>
    <w:rsid w:val="00382CC4"/>
    <w:pPr>
      <w:keepNext/>
      <w:ind w:left="567"/>
      <w:outlineLvl w:val="4"/>
    </w:pPr>
    <w:rPr>
      <w:u w:val="single"/>
      <w:lang w:val="fr-FR"/>
    </w:rPr>
  </w:style>
  <w:style w:type="paragraph" w:styleId="Heading6">
    <w:name w:val="heading 6"/>
    <w:basedOn w:val="Normal"/>
    <w:next w:val="Normal"/>
    <w:link w:val="Heading6Char"/>
    <w:qFormat/>
    <w:rsid w:val="00D046F7"/>
    <w:pPr>
      <w:outlineLvl w:val="5"/>
    </w:pPr>
    <w:rPr>
      <w:lang w:val="es-ES_tradnl"/>
    </w:rPr>
  </w:style>
  <w:style w:type="paragraph" w:styleId="Heading7">
    <w:name w:val="heading 7"/>
    <w:basedOn w:val="Normal"/>
    <w:next w:val="Normal"/>
    <w:link w:val="Heading7Char"/>
    <w:qFormat/>
    <w:rsid w:val="00D046F7"/>
    <w:pPr>
      <w:spacing w:before="240" w:after="60"/>
      <w:outlineLvl w:val="6"/>
    </w:pPr>
    <w:rPr>
      <w:szCs w:val="24"/>
    </w:rPr>
  </w:style>
  <w:style w:type="paragraph" w:styleId="Heading8">
    <w:name w:val="heading 8"/>
    <w:basedOn w:val="Normal"/>
    <w:next w:val="Normal"/>
    <w:link w:val="Heading8Char"/>
    <w:qFormat/>
    <w:rsid w:val="00D046F7"/>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D87D2A"/>
    <w:pPr>
      <w:jc w:val="right"/>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382CC4"/>
    <w:pPr>
      <w:tabs>
        <w:tab w:val="right" w:leader="dot" w:pos="9639"/>
      </w:tabs>
      <w:spacing w:after="60"/>
      <w:ind w:left="170" w:right="567"/>
    </w:pPr>
    <w:rPr>
      <w:rFonts w:ascii="Arial" w:hAnsi="Arial"/>
      <w:noProof/>
      <w:sz w:val="18"/>
      <w:lang w:val="fr-FR"/>
    </w:rPr>
  </w:style>
  <w:style w:type="paragraph" w:styleId="TOC3">
    <w:name w:val="toc 3"/>
    <w:next w:val="Normal"/>
    <w:autoRedefine/>
    <w:uiPriority w:val="39"/>
    <w:rsid w:val="00D95F3A"/>
    <w:pPr>
      <w:tabs>
        <w:tab w:val="right" w:leader="dot" w:pos="9639"/>
      </w:tabs>
      <w:spacing w:after="60"/>
      <w:ind w:left="765" w:right="851" w:hanging="425"/>
      <w:contextualSpacing/>
    </w:pPr>
    <w:rPr>
      <w:rFonts w:ascii="Arial" w:hAnsi="Arial"/>
      <w:i/>
      <w:noProof/>
      <w:snapToGrid w:val="0"/>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382CC4"/>
    <w:pPr>
      <w:tabs>
        <w:tab w:val="right" w:leader="dot" w:pos="9639"/>
      </w:tabs>
      <w:spacing w:before="120" w:after="60"/>
      <w:ind w:right="567"/>
    </w:pPr>
    <w:rPr>
      <w:rFonts w:ascii="Arial" w:hAnsi="Arial"/>
      <w:caps/>
      <w:noProof/>
      <w:sz w:val="18"/>
      <w:lang w:val="fr-FR"/>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link w:val="Heading2"/>
    <w:rsid w:val="00367578"/>
    <w:rPr>
      <w:rFonts w:ascii="Arial" w:hAnsi="Arial"/>
      <w:u w:val="single"/>
    </w:rPr>
  </w:style>
  <w:style w:type="character" w:customStyle="1" w:styleId="Heading1Char">
    <w:name w:val="Heading 1 Char"/>
    <w:basedOn w:val="DefaultParagraphFont"/>
    <w:link w:val="Heading1"/>
    <w:rsid w:val="00367578"/>
    <w:rPr>
      <w:rFonts w:ascii="Arial" w:hAnsi="Arial"/>
      <w:caps/>
    </w:rPr>
  </w:style>
  <w:style w:type="character" w:customStyle="1" w:styleId="Heading6Char">
    <w:name w:val="Heading 6 Char"/>
    <w:basedOn w:val="DefaultParagraphFont"/>
    <w:link w:val="Heading6"/>
    <w:rsid w:val="00D046F7"/>
    <w:rPr>
      <w:rFonts w:ascii="Arial" w:hAnsi="Arial"/>
      <w:lang w:val="es-ES_tradnl"/>
    </w:rPr>
  </w:style>
  <w:style w:type="character" w:customStyle="1" w:styleId="Heading7Char">
    <w:name w:val="Heading 7 Char"/>
    <w:basedOn w:val="DefaultParagraphFont"/>
    <w:link w:val="Heading7"/>
    <w:rsid w:val="00D046F7"/>
    <w:rPr>
      <w:rFonts w:ascii="Arial" w:hAnsi="Arial"/>
      <w:szCs w:val="24"/>
    </w:rPr>
  </w:style>
  <w:style w:type="character" w:customStyle="1" w:styleId="Heading8Char">
    <w:name w:val="Heading 8 Char"/>
    <w:basedOn w:val="DefaultParagraphFont"/>
    <w:link w:val="Heading8"/>
    <w:rsid w:val="00D046F7"/>
    <w:rPr>
      <w:rFonts w:ascii="Arial" w:hAnsi="Arial"/>
      <w:u w:val="single"/>
    </w:rPr>
  </w:style>
  <w:style w:type="character" w:customStyle="1" w:styleId="Heading4Char">
    <w:name w:val="Heading 4 Char"/>
    <w:link w:val="Heading4"/>
    <w:rsid w:val="00382CC4"/>
    <w:rPr>
      <w:rFonts w:ascii="Arial" w:hAnsi="Arial"/>
      <w:i/>
      <w:lang w:val="fr-FR"/>
    </w:rPr>
  </w:style>
  <w:style w:type="character" w:customStyle="1" w:styleId="Heading5Char">
    <w:name w:val="Heading 5 Char"/>
    <w:link w:val="Heading5"/>
    <w:rsid w:val="00382CC4"/>
    <w:rPr>
      <w:rFonts w:ascii="Arial" w:hAnsi="Arial"/>
      <w:u w:val="single"/>
      <w:lang w:val="fr-FR"/>
    </w:rPr>
  </w:style>
  <w:style w:type="character" w:customStyle="1" w:styleId="FooterChar">
    <w:name w:val="Footer Char"/>
    <w:aliases w:val="doc_path_name Char"/>
    <w:link w:val="Footer"/>
    <w:rsid w:val="00D87D2A"/>
    <w:rPr>
      <w:rFonts w:ascii="Arial" w:hAnsi="Arial"/>
      <w:sz w:val="14"/>
    </w:rPr>
  </w:style>
  <w:style w:type="character" w:customStyle="1" w:styleId="DecisionParagraphsChar">
    <w:name w:val="DecisionParagraphs Char"/>
    <w:basedOn w:val="DefaultParagraphFont"/>
    <w:link w:val="DecisionParagraphs"/>
    <w:rsid w:val="00D046F7"/>
    <w:rPr>
      <w:rFonts w:ascii="Arial" w:hAnsi="Arial"/>
      <w:i/>
    </w:rPr>
  </w:style>
  <w:style w:type="character" w:customStyle="1" w:styleId="FootnoteTextChar">
    <w:name w:val="Footnote Text Char"/>
    <w:basedOn w:val="DefaultParagraphFont"/>
    <w:link w:val="FootnoteText"/>
    <w:rsid w:val="00D046F7"/>
    <w:rPr>
      <w:rFonts w:ascii="Arial" w:hAnsi="Arial"/>
      <w:sz w:val="16"/>
    </w:rPr>
  </w:style>
  <w:style w:type="character" w:customStyle="1" w:styleId="plcountryChar">
    <w:name w:val="plcountry Char"/>
    <w:basedOn w:val="DefaultParagraphFont"/>
    <w:link w:val="plcountry"/>
    <w:rsid w:val="00D046F7"/>
    <w:rPr>
      <w:rFonts w:ascii="Arial" w:hAnsi="Arial"/>
      <w:caps/>
      <w:noProof/>
      <w:snapToGrid w:val="0"/>
      <w:u w:val="single"/>
    </w:rPr>
  </w:style>
  <w:style w:type="character" w:customStyle="1" w:styleId="pldetailsChar">
    <w:name w:val="pldetails Char"/>
    <w:link w:val="pldetails"/>
    <w:locked/>
    <w:rsid w:val="00D046F7"/>
    <w:rPr>
      <w:rFonts w:ascii="Arial" w:hAnsi="Arial"/>
      <w:noProof/>
      <w:snapToGrid w:val="0"/>
    </w:rPr>
  </w:style>
  <w:style w:type="table" w:styleId="TableGrid">
    <w:name w:val="Table Grid"/>
    <w:basedOn w:val="TableNormal"/>
    <w:rsid w:val="00D04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6F7"/>
    <w:pPr>
      <w:spacing w:after="200" w:line="276" w:lineRule="auto"/>
      <w:ind w:left="720"/>
      <w:contextualSpacing/>
      <w:jc w:val="left"/>
    </w:pPr>
    <w:rPr>
      <w:rFonts w:asciiTheme="minorHAnsi" w:eastAsiaTheme="minorEastAsia" w:hAnsiTheme="minorHAnsi" w:cstheme="minorBidi"/>
      <w:sz w:val="22"/>
      <w:szCs w:val="22"/>
    </w:rPr>
  </w:style>
  <w:style w:type="character" w:styleId="Emphasis">
    <w:name w:val="Emphasis"/>
    <w:basedOn w:val="DefaultParagraphFont"/>
    <w:qFormat/>
    <w:rsid w:val="00D046F7"/>
    <w:rPr>
      <w:i/>
      <w:iCs/>
    </w:rPr>
  </w:style>
  <w:style w:type="paragraph" w:customStyle="1" w:styleId="DecisionInvitingPara">
    <w:name w:val="Decision Inviting Para."/>
    <w:basedOn w:val="Normal"/>
    <w:rsid w:val="00D046F7"/>
    <w:pPr>
      <w:ind w:left="4536"/>
    </w:pPr>
    <w:rPr>
      <w:rFonts w:eastAsiaTheme="minorEastAsia"/>
      <w:i/>
      <w:lang w:val="es-ES_tradnl"/>
    </w:rPr>
  </w:style>
  <w:style w:type="paragraph" w:styleId="NormalWeb">
    <w:name w:val="Normal (Web)"/>
    <w:basedOn w:val="Normal"/>
    <w:rsid w:val="00D046F7"/>
    <w:pPr>
      <w:spacing w:before="100" w:beforeAutospacing="1" w:after="100" w:afterAutospacing="1"/>
      <w:jc w:val="left"/>
    </w:pPr>
    <w:rPr>
      <w:szCs w:val="24"/>
    </w:rPr>
  </w:style>
  <w:style w:type="paragraph" w:customStyle="1" w:styleId="pdflink">
    <w:name w:val="pdflink"/>
    <w:basedOn w:val="Normal"/>
    <w:next w:val="Normal"/>
    <w:rsid w:val="00D046F7"/>
    <w:rPr>
      <w:color w:val="800000"/>
      <w:u w:val="words"/>
    </w:rPr>
  </w:style>
  <w:style w:type="paragraph" w:customStyle="1" w:styleId="Draft">
    <w:name w:val="Draft"/>
    <w:basedOn w:val="Normal"/>
    <w:next w:val="preparedby"/>
    <w:rsid w:val="00D046F7"/>
    <w:pPr>
      <w:spacing w:before="720" w:after="480"/>
      <w:jc w:val="center"/>
    </w:pPr>
    <w:rPr>
      <w:caps/>
      <w:sz w:val="28"/>
    </w:rPr>
  </w:style>
  <w:style w:type="paragraph" w:customStyle="1" w:styleId="tqparabox">
    <w:name w:val="tqparabox"/>
    <w:basedOn w:val="Normal"/>
    <w:rsid w:val="00D046F7"/>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D046F7"/>
    <w:pPr>
      <w:ind w:left="1200"/>
    </w:pPr>
  </w:style>
  <w:style w:type="paragraph" w:styleId="BodyTextIndent">
    <w:name w:val="Body Text Indent"/>
    <w:basedOn w:val="Normal"/>
    <w:link w:val="BodyTextIndentChar"/>
    <w:rsid w:val="00D046F7"/>
    <w:pPr>
      <w:ind w:left="567"/>
    </w:pPr>
    <w:rPr>
      <w:lang w:val="es-ES_tradnl"/>
    </w:rPr>
  </w:style>
  <w:style w:type="character" w:customStyle="1" w:styleId="BodyTextIndentChar">
    <w:name w:val="Body Text Indent Char"/>
    <w:basedOn w:val="DefaultParagraphFont"/>
    <w:link w:val="BodyTextIndent"/>
    <w:rsid w:val="00D046F7"/>
    <w:rPr>
      <w:rFonts w:ascii="Arial" w:hAnsi="Arial"/>
      <w:lang w:val="es-ES_tradnl"/>
    </w:rPr>
  </w:style>
  <w:style w:type="paragraph" w:customStyle="1" w:styleId="twpcheck">
    <w:name w:val="twpcheck"/>
    <w:basedOn w:val="Normal"/>
    <w:rsid w:val="00D046F7"/>
    <w:pPr>
      <w:spacing w:before="80" w:after="80"/>
      <w:jc w:val="left"/>
    </w:pPr>
    <w:rPr>
      <w:rFonts w:cs="Arial"/>
      <w:snapToGrid w:val="0"/>
      <w:sz w:val="16"/>
      <w:szCs w:val="16"/>
    </w:rPr>
  </w:style>
  <w:style w:type="paragraph" w:customStyle="1" w:styleId="Enttepair">
    <w:name w:val="Entête_pair"/>
    <w:basedOn w:val="Normal"/>
    <w:next w:val="Normal"/>
    <w:rsid w:val="00D046F7"/>
    <w:pPr>
      <w:pBdr>
        <w:bottom w:val="single" w:sz="4" w:space="1" w:color="auto"/>
      </w:pBdr>
      <w:jc w:val="left"/>
    </w:pPr>
    <w:rPr>
      <w:szCs w:val="24"/>
    </w:rPr>
  </w:style>
  <w:style w:type="paragraph" w:customStyle="1" w:styleId="Entteimpair">
    <w:name w:val="Entête_impair"/>
    <w:basedOn w:val="Normal"/>
    <w:next w:val="Normal"/>
    <w:rsid w:val="00D046F7"/>
    <w:pPr>
      <w:pBdr>
        <w:bottom w:val="single" w:sz="4" w:space="1" w:color="auto"/>
      </w:pBdr>
      <w:jc w:val="right"/>
    </w:pPr>
  </w:style>
  <w:style w:type="paragraph" w:styleId="E-mailSignature">
    <w:name w:val="E-mail Signature"/>
    <w:basedOn w:val="Normal"/>
    <w:link w:val="E-mailSignatureChar"/>
    <w:rsid w:val="00D046F7"/>
  </w:style>
  <w:style w:type="character" w:customStyle="1" w:styleId="E-mailSignatureChar">
    <w:name w:val="E-mail Signature Char"/>
    <w:basedOn w:val="DefaultParagraphFont"/>
    <w:link w:val="E-mailSignature"/>
    <w:rsid w:val="00D046F7"/>
    <w:rPr>
      <w:rFonts w:ascii="Arial" w:hAnsi="Arial"/>
    </w:rPr>
  </w:style>
  <w:style w:type="paragraph" w:styleId="EnvelopeAddress">
    <w:name w:val="envelope address"/>
    <w:basedOn w:val="Normal"/>
    <w:rsid w:val="00D046F7"/>
    <w:pPr>
      <w:framePr w:w="7920" w:h="1980" w:hRule="exact" w:hSpace="180" w:wrap="auto" w:hAnchor="page" w:xAlign="center" w:yAlign="bottom"/>
      <w:ind w:left="2880"/>
    </w:pPr>
    <w:rPr>
      <w:rFonts w:cs="Arial"/>
      <w:szCs w:val="24"/>
    </w:rPr>
  </w:style>
  <w:style w:type="paragraph" w:styleId="EnvelopeReturn">
    <w:name w:val="envelope return"/>
    <w:basedOn w:val="Normal"/>
    <w:rsid w:val="00D046F7"/>
    <w:rPr>
      <w:rFonts w:cs="Arial"/>
    </w:rPr>
  </w:style>
  <w:style w:type="character" w:styleId="HTMLAcronym">
    <w:name w:val="HTML Acronym"/>
    <w:basedOn w:val="DefaultParagraphFont"/>
    <w:rsid w:val="00D046F7"/>
  </w:style>
  <w:style w:type="paragraph" w:styleId="HTMLAddress">
    <w:name w:val="HTML Address"/>
    <w:basedOn w:val="Normal"/>
    <w:link w:val="HTMLAddressChar"/>
    <w:rsid w:val="00D046F7"/>
    <w:rPr>
      <w:i/>
      <w:iCs/>
    </w:rPr>
  </w:style>
  <w:style w:type="character" w:customStyle="1" w:styleId="HTMLAddressChar">
    <w:name w:val="HTML Address Char"/>
    <w:basedOn w:val="DefaultParagraphFont"/>
    <w:link w:val="HTMLAddress"/>
    <w:rsid w:val="00D046F7"/>
    <w:rPr>
      <w:rFonts w:ascii="Arial" w:hAnsi="Arial"/>
      <w:i/>
      <w:iCs/>
    </w:rPr>
  </w:style>
  <w:style w:type="character" w:styleId="HTMLCite">
    <w:name w:val="HTML Cite"/>
    <w:basedOn w:val="DefaultParagraphFont"/>
    <w:rsid w:val="00D046F7"/>
    <w:rPr>
      <w:i/>
      <w:iCs/>
    </w:rPr>
  </w:style>
  <w:style w:type="character" w:styleId="HTMLCode">
    <w:name w:val="HTML Code"/>
    <w:basedOn w:val="DefaultParagraphFont"/>
    <w:rsid w:val="00D046F7"/>
    <w:rPr>
      <w:rFonts w:ascii="Courier New" w:hAnsi="Courier New" w:cs="Courier New"/>
      <w:sz w:val="20"/>
      <w:szCs w:val="20"/>
    </w:rPr>
  </w:style>
  <w:style w:type="character" w:styleId="HTMLDefinition">
    <w:name w:val="HTML Definition"/>
    <w:basedOn w:val="DefaultParagraphFont"/>
    <w:rsid w:val="00D046F7"/>
    <w:rPr>
      <w:i/>
      <w:iCs/>
    </w:rPr>
  </w:style>
  <w:style w:type="character" w:styleId="HTMLKeyboard">
    <w:name w:val="HTML Keyboard"/>
    <w:basedOn w:val="DefaultParagraphFont"/>
    <w:rsid w:val="00D046F7"/>
    <w:rPr>
      <w:rFonts w:ascii="Courier New" w:hAnsi="Courier New" w:cs="Courier New"/>
      <w:sz w:val="20"/>
      <w:szCs w:val="20"/>
    </w:rPr>
  </w:style>
  <w:style w:type="paragraph" w:styleId="HTMLPreformatted">
    <w:name w:val="HTML Preformatted"/>
    <w:basedOn w:val="Normal"/>
    <w:link w:val="HTMLPreformattedChar"/>
    <w:rsid w:val="00D046F7"/>
    <w:rPr>
      <w:rFonts w:ascii="Courier New" w:hAnsi="Courier New" w:cs="Courier New"/>
    </w:rPr>
  </w:style>
  <w:style w:type="character" w:customStyle="1" w:styleId="HTMLPreformattedChar">
    <w:name w:val="HTML Preformatted Char"/>
    <w:basedOn w:val="DefaultParagraphFont"/>
    <w:link w:val="HTMLPreformatted"/>
    <w:rsid w:val="00D046F7"/>
    <w:rPr>
      <w:rFonts w:ascii="Courier New" w:hAnsi="Courier New" w:cs="Courier New"/>
    </w:rPr>
  </w:style>
  <w:style w:type="character" w:styleId="HTMLSample">
    <w:name w:val="HTML Sample"/>
    <w:basedOn w:val="DefaultParagraphFont"/>
    <w:rsid w:val="00D046F7"/>
    <w:rPr>
      <w:rFonts w:ascii="Courier New" w:hAnsi="Courier New" w:cs="Courier New"/>
    </w:rPr>
  </w:style>
  <w:style w:type="character" w:styleId="HTMLTypewriter">
    <w:name w:val="HTML Typewriter"/>
    <w:basedOn w:val="DefaultParagraphFont"/>
    <w:rsid w:val="00D046F7"/>
    <w:rPr>
      <w:rFonts w:ascii="Courier New" w:hAnsi="Courier New" w:cs="Courier New"/>
      <w:sz w:val="20"/>
      <w:szCs w:val="20"/>
    </w:rPr>
  </w:style>
  <w:style w:type="character" w:styleId="HTMLVariable">
    <w:name w:val="HTML Variable"/>
    <w:basedOn w:val="DefaultParagraphFont"/>
    <w:rsid w:val="00D046F7"/>
    <w:rPr>
      <w:i/>
      <w:iCs/>
    </w:rPr>
  </w:style>
  <w:style w:type="character" w:styleId="LineNumber">
    <w:name w:val="line number"/>
    <w:basedOn w:val="DefaultParagraphFont"/>
    <w:rsid w:val="00D046F7"/>
  </w:style>
  <w:style w:type="paragraph" w:styleId="List">
    <w:name w:val="List"/>
    <w:basedOn w:val="Normal"/>
    <w:rsid w:val="00D046F7"/>
    <w:pPr>
      <w:ind w:left="360" w:hanging="360"/>
    </w:pPr>
  </w:style>
  <w:style w:type="paragraph" w:styleId="List2">
    <w:name w:val="List 2"/>
    <w:basedOn w:val="Normal"/>
    <w:rsid w:val="00D046F7"/>
    <w:pPr>
      <w:ind w:left="720" w:hanging="360"/>
    </w:pPr>
  </w:style>
  <w:style w:type="paragraph" w:styleId="List3">
    <w:name w:val="List 3"/>
    <w:basedOn w:val="Normal"/>
    <w:rsid w:val="00D046F7"/>
    <w:pPr>
      <w:ind w:left="1080" w:hanging="360"/>
    </w:pPr>
  </w:style>
  <w:style w:type="paragraph" w:styleId="List4">
    <w:name w:val="List 4"/>
    <w:basedOn w:val="Normal"/>
    <w:rsid w:val="00D046F7"/>
    <w:pPr>
      <w:ind w:left="1440" w:hanging="360"/>
    </w:pPr>
  </w:style>
  <w:style w:type="paragraph" w:styleId="List5">
    <w:name w:val="List 5"/>
    <w:basedOn w:val="Normal"/>
    <w:rsid w:val="00D046F7"/>
    <w:pPr>
      <w:ind w:left="1800" w:hanging="360"/>
    </w:pPr>
  </w:style>
  <w:style w:type="paragraph" w:styleId="ListBullet">
    <w:name w:val="List Bullet"/>
    <w:basedOn w:val="Normal"/>
    <w:autoRedefine/>
    <w:rsid w:val="00D046F7"/>
    <w:pPr>
      <w:tabs>
        <w:tab w:val="num" w:pos="360"/>
      </w:tabs>
      <w:ind w:left="360" w:hanging="360"/>
    </w:pPr>
    <w:rPr>
      <w:bCs/>
      <w:szCs w:val="24"/>
      <w:lang w:val="es-ES" w:eastAsia="zh-CN"/>
    </w:rPr>
  </w:style>
  <w:style w:type="paragraph" w:styleId="ListBullet2">
    <w:name w:val="List Bullet 2"/>
    <w:basedOn w:val="Normal"/>
    <w:rsid w:val="00D046F7"/>
    <w:pPr>
      <w:tabs>
        <w:tab w:val="num" w:pos="720"/>
      </w:tabs>
      <w:ind w:left="720" w:hanging="360"/>
    </w:pPr>
  </w:style>
  <w:style w:type="paragraph" w:styleId="ListBullet3">
    <w:name w:val="List Bullet 3"/>
    <w:basedOn w:val="Normal"/>
    <w:rsid w:val="00D046F7"/>
    <w:pPr>
      <w:tabs>
        <w:tab w:val="num" w:pos="1080"/>
      </w:tabs>
      <w:ind w:left="1080" w:hanging="360"/>
    </w:pPr>
  </w:style>
  <w:style w:type="paragraph" w:styleId="ListBullet4">
    <w:name w:val="List Bullet 4"/>
    <w:basedOn w:val="Normal"/>
    <w:rsid w:val="00D046F7"/>
    <w:pPr>
      <w:tabs>
        <w:tab w:val="num" w:pos="1440"/>
      </w:tabs>
      <w:ind w:left="1440" w:hanging="360"/>
    </w:pPr>
  </w:style>
  <w:style w:type="paragraph" w:styleId="ListBullet5">
    <w:name w:val="List Bullet 5"/>
    <w:basedOn w:val="Normal"/>
    <w:rsid w:val="00D046F7"/>
    <w:pPr>
      <w:tabs>
        <w:tab w:val="num" w:pos="1800"/>
      </w:tabs>
      <w:ind w:left="1800" w:hanging="360"/>
    </w:pPr>
  </w:style>
  <w:style w:type="paragraph" w:styleId="ListContinue">
    <w:name w:val="List Continue"/>
    <w:basedOn w:val="Normal"/>
    <w:rsid w:val="00D046F7"/>
    <w:pPr>
      <w:spacing w:after="120"/>
      <w:ind w:left="360"/>
    </w:pPr>
  </w:style>
  <w:style w:type="paragraph" w:styleId="ListContinue2">
    <w:name w:val="List Continue 2"/>
    <w:basedOn w:val="Normal"/>
    <w:rsid w:val="00D046F7"/>
    <w:pPr>
      <w:spacing w:after="120"/>
      <w:ind w:left="720"/>
    </w:pPr>
  </w:style>
  <w:style w:type="paragraph" w:styleId="ListContinue3">
    <w:name w:val="List Continue 3"/>
    <w:basedOn w:val="Normal"/>
    <w:rsid w:val="00D046F7"/>
    <w:pPr>
      <w:spacing w:after="120"/>
      <w:ind w:left="1080"/>
    </w:pPr>
  </w:style>
  <w:style w:type="paragraph" w:styleId="ListContinue4">
    <w:name w:val="List Continue 4"/>
    <w:basedOn w:val="Normal"/>
    <w:rsid w:val="00D046F7"/>
    <w:pPr>
      <w:spacing w:after="120"/>
      <w:ind w:left="1440"/>
    </w:pPr>
  </w:style>
  <w:style w:type="paragraph" w:styleId="ListContinue5">
    <w:name w:val="List Continue 5"/>
    <w:basedOn w:val="Normal"/>
    <w:rsid w:val="00D046F7"/>
    <w:pPr>
      <w:spacing w:after="120"/>
      <w:ind w:left="1800"/>
    </w:pPr>
  </w:style>
  <w:style w:type="paragraph" w:styleId="ListNumber">
    <w:name w:val="List Number"/>
    <w:basedOn w:val="Normal"/>
    <w:rsid w:val="00D046F7"/>
    <w:pPr>
      <w:tabs>
        <w:tab w:val="num" w:pos="360"/>
      </w:tabs>
      <w:ind w:left="360" w:hanging="360"/>
    </w:pPr>
  </w:style>
  <w:style w:type="paragraph" w:styleId="ListNumber2">
    <w:name w:val="List Number 2"/>
    <w:basedOn w:val="Normal"/>
    <w:rsid w:val="00D046F7"/>
    <w:pPr>
      <w:tabs>
        <w:tab w:val="num" w:pos="720"/>
      </w:tabs>
      <w:ind w:left="720" w:hanging="360"/>
    </w:pPr>
  </w:style>
  <w:style w:type="paragraph" w:styleId="ListNumber3">
    <w:name w:val="List Number 3"/>
    <w:basedOn w:val="Normal"/>
    <w:rsid w:val="00D046F7"/>
    <w:pPr>
      <w:tabs>
        <w:tab w:val="num" w:pos="1080"/>
      </w:tabs>
      <w:ind w:left="1080" w:hanging="360"/>
    </w:pPr>
  </w:style>
  <w:style w:type="paragraph" w:styleId="ListNumber4">
    <w:name w:val="List Number 4"/>
    <w:basedOn w:val="Normal"/>
    <w:rsid w:val="00D046F7"/>
    <w:pPr>
      <w:tabs>
        <w:tab w:val="num" w:pos="1440"/>
      </w:tabs>
      <w:ind w:left="1440" w:hanging="360"/>
    </w:pPr>
  </w:style>
  <w:style w:type="paragraph" w:styleId="ListNumber5">
    <w:name w:val="List Number 5"/>
    <w:basedOn w:val="Normal"/>
    <w:rsid w:val="00D046F7"/>
    <w:pPr>
      <w:tabs>
        <w:tab w:val="num" w:pos="1800"/>
      </w:tabs>
      <w:ind w:left="1800" w:hanging="360"/>
    </w:pPr>
  </w:style>
  <w:style w:type="paragraph" w:styleId="MessageHeader">
    <w:name w:val="Message Header"/>
    <w:basedOn w:val="Normal"/>
    <w:link w:val="MessageHeaderChar"/>
    <w:rsid w:val="00D046F7"/>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D046F7"/>
    <w:rPr>
      <w:rFonts w:ascii="Arial" w:hAnsi="Arial" w:cs="Arial"/>
      <w:szCs w:val="24"/>
      <w:shd w:val="pct20" w:color="auto" w:fill="auto"/>
    </w:rPr>
  </w:style>
  <w:style w:type="paragraph" w:styleId="NoteHeading">
    <w:name w:val="Note Heading"/>
    <w:basedOn w:val="Normal"/>
    <w:next w:val="Normal"/>
    <w:link w:val="NoteHeadingChar"/>
    <w:rsid w:val="00D046F7"/>
  </w:style>
  <w:style w:type="character" w:customStyle="1" w:styleId="NoteHeadingChar">
    <w:name w:val="Note Heading Char"/>
    <w:basedOn w:val="DefaultParagraphFont"/>
    <w:link w:val="NoteHeading"/>
    <w:rsid w:val="00D046F7"/>
    <w:rPr>
      <w:rFonts w:ascii="Arial" w:hAnsi="Arial"/>
    </w:rPr>
  </w:style>
  <w:style w:type="paragraph" w:styleId="Salutation">
    <w:name w:val="Salutation"/>
    <w:basedOn w:val="Normal"/>
    <w:next w:val="Normal"/>
    <w:link w:val="SalutationChar"/>
    <w:rsid w:val="00D046F7"/>
  </w:style>
  <w:style w:type="character" w:customStyle="1" w:styleId="SalutationChar">
    <w:name w:val="Salutation Char"/>
    <w:basedOn w:val="DefaultParagraphFont"/>
    <w:link w:val="Salutation"/>
    <w:rsid w:val="00D046F7"/>
    <w:rPr>
      <w:rFonts w:ascii="Arial" w:hAnsi="Arial"/>
    </w:rPr>
  </w:style>
  <w:style w:type="character" w:styleId="Strong">
    <w:name w:val="Strong"/>
    <w:basedOn w:val="DefaultParagraphFont"/>
    <w:qFormat/>
    <w:rsid w:val="00D046F7"/>
    <w:rPr>
      <w:b/>
      <w:bCs/>
    </w:rPr>
  </w:style>
  <w:style w:type="paragraph" w:styleId="Subtitle">
    <w:name w:val="Subtitle"/>
    <w:basedOn w:val="Normal"/>
    <w:link w:val="SubtitleChar"/>
    <w:qFormat/>
    <w:rsid w:val="00D046F7"/>
    <w:pPr>
      <w:spacing w:after="60"/>
      <w:jc w:val="center"/>
      <w:outlineLvl w:val="1"/>
    </w:pPr>
    <w:rPr>
      <w:rFonts w:cs="Arial"/>
      <w:szCs w:val="24"/>
    </w:rPr>
  </w:style>
  <w:style w:type="character" w:customStyle="1" w:styleId="SubtitleChar">
    <w:name w:val="Subtitle Char"/>
    <w:basedOn w:val="DefaultParagraphFont"/>
    <w:link w:val="Subtitle"/>
    <w:rsid w:val="00D046F7"/>
    <w:rPr>
      <w:rFonts w:ascii="Arial" w:hAnsi="Arial" w:cs="Arial"/>
      <w:szCs w:val="24"/>
    </w:rPr>
  </w:style>
  <w:style w:type="table" w:styleId="TableGrid6">
    <w:name w:val="Table Grid 6"/>
    <w:basedOn w:val="TableNormal"/>
    <w:rsid w:val="00D046F7"/>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TOC7">
    <w:name w:val="toc 7"/>
    <w:basedOn w:val="Normal"/>
    <w:next w:val="Normal"/>
    <w:autoRedefine/>
    <w:rsid w:val="00D046F7"/>
    <w:pPr>
      <w:ind w:left="1440"/>
    </w:pPr>
  </w:style>
  <w:style w:type="paragraph" w:styleId="TOC8">
    <w:name w:val="toc 8"/>
    <w:basedOn w:val="Normal"/>
    <w:next w:val="Normal"/>
    <w:autoRedefine/>
    <w:rsid w:val="00D046F7"/>
    <w:pPr>
      <w:ind w:left="1680"/>
    </w:pPr>
  </w:style>
  <w:style w:type="paragraph" w:styleId="TOC9">
    <w:name w:val="toc 9"/>
    <w:basedOn w:val="Normal"/>
    <w:next w:val="Normal"/>
    <w:autoRedefine/>
    <w:rsid w:val="00D046F7"/>
    <w:pPr>
      <w:ind w:left="1920"/>
    </w:pPr>
  </w:style>
  <w:style w:type="character" w:styleId="FollowedHyperlink">
    <w:name w:val="FollowedHyperlink"/>
    <w:basedOn w:val="DefaultParagraphFont"/>
    <w:rsid w:val="00D046F7"/>
    <w:rPr>
      <w:color w:val="606420"/>
      <w:u w:val="single"/>
    </w:rPr>
  </w:style>
  <w:style w:type="paragraph" w:styleId="BlockText">
    <w:name w:val="Block Text"/>
    <w:basedOn w:val="Normal"/>
    <w:rsid w:val="00D046F7"/>
    <w:pPr>
      <w:ind w:left="567" w:right="566"/>
    </w:pPr>
    <w:rPr>
      <w:sz w:val="22"/>
    </w:rPr>
  </w:style>
  <w:style w:type="paragraph" w:styleId="Caption">
    <w:name w:val="caption"/>
    <w:basedOn w:val="Normal"/>
    <w:next w:val="Normal"/>
    <w:qFormat/>
    <w:rsid w:val="00D046F7"/>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D046F7"/>
    <w:rPr>
      <w:sz w:val="22"/>
      <w:lang w:val="es-ES_tradnl"/>
    </w:rPr>
  </w:style>
  <w:style w:type="character" w:customStyle="1" w:styleId="CommentTextChar">
    <w:name w:val="Comment Text Char"/>
    <w:basedOn w:val="DefaultParagraphFont"/>
    <w:link w:val="CommentText"/>
    <w:rsid w:val="00D046F7"/>
    <w:rPr>
      <w:rFonts w:ascii="Arial" w:hAnsi="Arial"/>
      <w:sz w:val="22"/>
      <w:lang w:val="es-ES_tradnl"/>
    </w:rPr>
  </w:style>
  <w:style w:type="paragraph" w:customStyle="1" w:styleId="Committee">
    <w:name w:val="Committee"/>
    <w:basedOn w:val="Title"/>
    <w:rsid w:val="00D046F7"/>
    <w:rPr>
      <w:caps w:val="0"/>
    </w:rPr>
  </w:style>
  <w:style w:type="paragraph" w:customStyle="1" w:styleId="n">
    <w:name w:val="n"/>
    <w:basedOn w:val="Header"/>
    <w:rsid w:val="00D046F7"/>
  </w:style>
  <w:style w:type="paragraph" w:customStyle="1" w:styleId="TitleofSection">
    <w:name w:val="Title of Section"/>
    <w:basedOn w:val="TitleofDoc"/>
    <w:rsid w:val="00D046F7"/>
    <w:pPr>
      <w:spacing w:before="120" w:after="120"/>
    </w:pPr>
    <w:rPr>
      <w:b/>
      <w:caps w:val="0"/>
      <w:lang w:eastAsia="de-DE"/>
    </w:rPr>
  </w:style>
  <w:style w:type="paragraph" w:customStyle="1" w:styleId="TOCAnnex">
    <w:name w:val="TOC Annex"/>
    <w:basedOn w:val="Normal"/>
    <w:rsid w:val="00D046F7"/>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D046F7"/>
    <w:rPr>
      <w:rFonts w:ascii="Courier New" w:hAnsi="Courier New" w:cs="Courier New"/>
      <w:lang w:eastAsia="fr-FR"/>
    </w:rPr>
  </w:style>
  <w:style w:type="character" w:customStyle="1" w:styleId="PlainTextChar">
    <w:name w:val="Plain Text Char"/>
    <w:basedOn w:val="DefaultParagraphFont"/>
    <w:link w:val="PlainText"/>
    <w:rsid w:val="00D046F7"/>
    <w:rPr>
      <w:rFonts w:ascii="Courier New" w:hAnsi="Courier New" w:cs="Courier New"/>
      <w:lang w:eastAsia="fr-FR"/>
    </w:rPr>
  </w:style>
  <w:style w:type="character" w:styleId="CommentReference">
    <w:name w:val="annotation reference"/>
    <w:basedOn w:val="DefaultParagraphFont"/>
    <w:rsid w:val="00D046F7"/>
    <w:rPr>
      <w:rFonts w:cs="Times New Roman"/>
      <w:sz w:val="16"/>
      <w:szCs w:val="16"/>
    </w:rPr>
  </w:style>
  <w:style w:type="paragraph" w:customStyle="1" w:styleId="Default">
    <w:name w:val="Default"/>
    <w:rsid w:val="00D046F7"/>
    <w:pPr>
      <w:autoSpaceDE w:val="0"/>
      <w:autoSpaceDN w:val="0"/>
      <w:adjustRightInd w:val="0"/>
    </w:pPr>
    <w:rPr>
      <w:rFonts w:ascii="Arial" w:eastAsiaTheme="minorHAnsi" w:hAnsi="Arial" w:cs="Arial"/>
      <w:color w:val="000000"/>
      <w:sz w:val="24"/>
      <w:szCs w:val="24"/>
      <w:lang w:val="fi-FI"/>
    </w:rPr>
  </w:style>
  <w:style w:type="paragraph" w:styleId="CommentSubject">
    <w:name w:val="annotation subject"/>
    <w:basedOn w:val="CommentText"/>
    <w:next w:val="CommentText"/>
    <w:link w:val="CommentSubjectChar"/>
    <w:rsid w:val="00D046F7"/>
    <w:rPr>
      <w:b/>
      <w:bCs/>
      <w:sz w:val="20"/>
      <w:lang w:val="en-US"/>
    </w:rPr>
  </w:style>
  <w:style w:type="character" w:customStyle="1" w:styleId="CommentSubjectChar">
    <w:name w:val="Comment Subject Char"/>
    <w:basedOn w:val="CommentTextChar"/>
    <w:link w:val="CommentSubject"/>
    <w:rsid w:val="00D046F7"/>
    <w:rPr>
      <w:rFonts w:ascii="Arial" w:hAnsi="Arial"/>
      <w:b/>
      <w:bCs/>
      <w:sz w:val="22"/>
      <w:lang w:val="es-ES_tradnl"/>
    </w:rPr>
  </w:style>
  <w:style w:type="paragraph" w:customStyle="1" w:styleId="Normaltg">
    <w:name w:val="Normaltg"/>
    <w:basedOn w:val="Normal"/>
    <w:link w:val="NormaltgChar"/>
    <w:uiPriority w:val="99"/>
    <w:rsid w:val="00D046F7"/>
    <w:rPr>
      <w:rFonts w:cs="Angsana New"/>
      <w:szCs w:val="24"/>
      <w:lang w:eastAsia="ja-JP" w:bidi="th-TH"/>
    </w:rPr>
  </w:style>
  <w:style w:type="character" w:customStyle="1" w:styleId="NormaltgChar">
    <w:name w:val="Normaltg Char"/>
    <w:link w:val="Normaltg"/>
    <w:rsid w:val="00D046F7"/>
    <w:rPr>
      <w:rFonts w:ascii="Arial" w:hAnsi="Arial" w:cs="Angsana New"/>
      <w:szCs w:val="24"/>
      <w:lang w:eastAsia="ja-JP" w:bidi="th-TH"/>
    </w:rPr>
  </w:style>
  <w:style w:type="character" w:customStyle="1" w:styleId="hps">
    <w:name w:val="hps"/>
    <w:basedOn w:val="DefaultParagraphFont"/>
    <w:rsid w:val="00D046F7"/>
  </w:style>
  <w:style w:type="character" w:customStyle="1" w:styleId="Standaardalinea-lettertype">
    <w:name w:val="Standaardalinea-lettertype"/>
    <w:rsid w:val="00D046F7"/>
  </w:style>
  <w:style w:type="table" w:styleId="TableSimple1">
    <w:name w:val="Table Simple 1"/>
    <w:basedOn w:val="TableNormal"/>
    <w:rsid w:val="00D046F7"/>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ZchnZchn1">
    <w:name w:val="Zchn Zchn1"/>
    <w:basedOn w:val="Normal"/>
    <w:rsid w:val="00D046F7"/>
    <w:pPr>
      <w:spacing w:after="160" w:line="240" w:lineRule="exact"/>
      <w:jc w:val="left"/>
    </w:pPr>
    <w:rPr>
      <w:rFonts w:ascii="Verdana" w:eastAsia="PMingLiU" w:hAnsi="Verdana"/>
    </w:rPr>
  </w:style>
  <w:style w:type="paragraph" w:styleId="Revision">
    <w:name w:val="Revision"/>
    <w:hidden/>
    <w:rsid w:val="00D87DB7"/>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382CC4"/>
    <w:pPr>
      <w:keepNext/>
      <w:jc w:val="both"/>
      <w:outlineLvl w:val="2"/>
    </w:pPr>
    <w:rPr>
      <w:rFonts w:ascii="Arial" w:hAnsi="Arial"/>
      <w:i/>
      <w:lang w:val="fr-FR"/>
    </w:rPr>
  </w:style>
  <w:style w:type="paragraph" w:styleId="Heading4">
    <w:name w:val="heading 4"/>
    <w:next w:val="Normal"/>
    <w:link w:val="Heading4Char"/>
    <w:autoRedefine/>
    <w:qFormat/>
    <w:rsid w:val="00382CC4"/>
    <w:pPr>
      <w:keepNext/>
      <w:ind w:left="1701" w:hanging="1134"/>
      <w:jc w:val="both"/>
      <w:outlineLvl w:val="3"/>
    </w:pPr>
    <w:rPr>
      <w:rFonts w:ascii="Arial" w:hAnsi="Arial"/>
      <w:i/>
      <w:lang w:val="fr-FR"/>
    </w:rPr>
  </w:style>
  <w:style w:type="paragraph" w:styleId="Heading5">
    <w:name w:val="heading 5"/>
    <w:basedOn w:val="Normal"/>
    <w:next w:val="Normal"/>
    <w:link w:val="Heading5Char"/>
    <w:autoRedefine/>
    <w:qFormat/>
    <w:rsid w:val="00382CC4"/>
    <w:pPr>
      <w:keepNext/>
      <w:ind w:left="567"/>
      <w:outlineLvl w:val="4"/>
    </w:pPr>
    <w:rPr>
      <w:u w:val="single"/>
      <w:lang w:val="fr-FR"/>
    </w:rPr>
  </w:style>
  <w:style w:type="paragraph" w:styleId="Heading6">
    <w:name w:val="heading 6"/>
    <w:basedOn w:val="Normal"/>
    <w:next w:val="Normal"/>
    <w:link w:val="Heading6Char"/>
    <w:qFormat/>
    <w:rsid w:val="00D046F7"/>
    <w:pPr>
      <w:outlineLvl w:val="5"/>
    </w:pPr>
    <w:rPr>
      <w:lang w:val="es-ES_tradnl"/>
    </w:rPr>
  </w:style>
  <w:style w:type="paragraph" w:styleId="Heading7">
    <w:name w:val="heading 7"/>
    <w:basedOn w:val="Normal"/>
    <w:next w:val="Normal"/>
    <w:link w:val="Heading7Char"/>
    <w:qFormat/>
    <w:rsid w:val="00D046F7"/>
    <w:pPr>
      <w:spacing w:before="240" w:after="60"/>
      <w:outlineLvl w:val="6"/>
    </w:pPr>
    <w:rPr>
      <w:szCs w:val="24"/>
    </w:rPr>
  </w:style>
  <w:style w:type="paragraph" w:styleId="Heading8">
    <w:name w:val="heading 8"/>
    <w:basedOn w:val="Normal"/>
    <w:next w:val="Normal"/>
    <w:link w:val="Heading8Char"/>
    <w:qFormat/>
    <w:rsid w:val="00D046F7"/>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D87D2A"/>
    <w:pPr>
      <w:jc w:val="right"/>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382CC4"/>
    <w:pPr>
      <w:tabs>
        <w:tab w:val="right" w:leader="dot" w:pos="9639"/>
      </w:tabs>
      <w:spacing w:after="60"/>
      <w:ind w:left="170" w:right="567"/>
    </w:pPr>
    <w:rPr>
      <w:rFonts w:ascii="Arial" w:hAnsi="Arial"/>
      <w:noProof/>
      <w:sz w:val="18"/>
      <w:lang w:val="fr-FR"/>
    </w:rPr>
  </w:style>
  <w:style w:type="paragraph" w:styleId="TOC3">
    <w:name w:val="toc 3"/>
    <w:next w:val="Normal"/>
    <w:autoRedefine/>
    <w:uiPriority w:val="39"/>
    <w:rsid w:val="00D95F3A"/>
    <w:pPr>
      <w:tabs>
        <w:tab w:val="right" w:leader="dot" w:pos="9639"/>
      </w:tabs>
      <w:spacing w:after="60"/>
      <w:ind w:left="765" w:right="851" w:hanging="425"/>
      <w:contextualSpacing/>
    </w:pPr>
    <w:rPr>
      <w:rFonts w:ascii="Arial" w:hAnsi="Arial"/>
      <w:i/>
      <w:noProof/>
      <w:snapToGrid w:val="0"/>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382CC4"/>
    <w:pPr>
      <w:tabs>
        <w:tab w:val="right" w:leader="dot" w:pos="9639"/>
      </w:tabs>
      <w:spacing w:before="120" w:after="60"/>
      <w:ind w:right="567"/>
    </w:pPr>
    <w:rPr>
      <w:rFonts w:ascii="Arial" w:hAnsi="Arial"/>
      <w:caps/>
      <w:noProof/>
      <w:sz w:val="18"/>
      <w:lang w:val="fr-FR"/>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link w:val="Heading2"/>
    <w:rsid w:val="00367578"/>
    <w:rPr>
      <w:rFonts w:ascii="Arial" w:hAnsi="Arial"/>
      <w:u w:val="single"/>
    </w:rPr>
  </w:style>
  <w:style w:type="character" w:customStyle="1" w:styleId="Heading1Char">
    <w:name w:val="Heading 1 Char"/>
    <w:basedOn w:val="DefaultParagraphFont"/>
    <w:link w:val="Heading1"/>
    <w:rsid w:val="00367578"/>
    <w:rPr>
      <w:rFonts w:ascii="Arial" w:hAnsi="Arial"/>
      <w:caps/>
    </w:rPr>
  </w:style>
  <w:style w:type="character" w:customStyle="1" w:styleId="Heading6Char">
    <w:name w:val="Heading 6 Char"/>
    <w:basedOn w:val="DefaultParagraphFont"/>
    <w:link w:val="Heading6"/>
    <w:rsid w:val="00D046F7"/>
    <w:rPr>
      <w:rFonts w:ascii="Arial" w:hAnsi="Arial"/>
      <w:lang w:val="es-ES_tradnl"/>
    </w:rPr>
  </w:style>
  <w:style w:type="character" w:customStyle="1" w:styleId="Heading7Char">
    <w:name w:val="Heading 7 Char"/>
    <w:basedOn w:val="DefaultParagraphFont"/>
    <w:link w:val="Heading7"/>
    <w:rsid w:val="00D046F7"/>
    <w:rPr>
      <w:rFonts w:ascii="Arial" w:hAnsi="Arial"/>
      <w:szCs w:val="24"/>
    </w:rPr>
  </w:style>
  <w:style w:type="character" w:customStyle="1" w:styleId="Heading8Char">
    <w:name w:val="Heading 8 Char"/>
    <w:basedOn w:val="DefaultParagraphFont"/>
    <w:link w:val="Heading8"/>
    <w:rsid w:val="00D046F7"/>
    <w:rPr>
      <w:rFonts w:ascii="Arial" w:hAnsi="Arial"/>
      <w:u w:val="single"/>
    </w:rPr>
  </w:style>
  <w:style w:type="character" w:customStyle="1" w:styleId="Heading4Char">
    <w:name w:val="Heading 4 Char"/>
    <w:link w:val="Heading4"/>
    <w:rsid w:val="00382CC4"/>
    <w:rPr>
      <w:rFonts w:ascii="Arial" w:hAnsi="Arial"/>
      <w:i/>
      <w:lang w:val="fr-FR"/>
    </w:rPr>
  </w:style>
  <w:style w:type="character" w:customStyle="1" w:styleId="Heading5Char">
    <w:name w:val="Heading 5 Char"/>
    <w:link w:val="Heading5"/>
    <w:rsid w:val="00382CC4"/>
    <w:rPr>
      <w:rFonts w:ascii="Arial" w:hAnsi="Arial"/>
      <w:u w:val="single"/>
      <w:lang w:val="fr-FR"/>
    </w:rPr>
  </w:style>
  <w:style w:type="character" w:customStyle="1" w:styleId="FooterChar">
    <w:name w:val="Footer Char"/>
    <w:aliases w:val="doc_path_name Char"/>
    <w:link w:val="Footer"/>
    <w:rsid w:val="00D87D2A"/>
    <w:rPr>
      <w:rFonts w:ascii="Arial" w:hAnsi="Arial"/>
      <w:sz w:val="14"/>
    </w:rPr>
  </w:style>
  <w:style w:type="character" w:customStyle="1" w:styleId="DecisionParagraphsChar">
    <w:name w:val="DecisionParagraphs Char"/>
    <w:basedOn w:val="DefaultParagraphFont"/>
    <w:link w:val="DecisionParagraphs"/>
    <w:rsid w:val="00D046F7"/>
    <w:rPr>
      <w:rFonts w:ascii="Arial" w:hAnsi="Arial"/>
      <w:i/>
    </w:rPr>
  </w:style>
  <w:style w:type="character" w:customStyle="1" w:styleId="FootnoteTextChar">
    <w:name w:val="Footnote Text Char"/>
    <w:basedOn w:val="DefaultParagraphFont"/>
    <w:link w:val="FootnoteText"/>
    <w:rsid w:val="00D046F7"/>
    <w:rPr>
      <w:rFonts w:ascii="Arial" w:hAnsi="Arial"/>
      <w:sz w:val="16"/>
    </w:rPr>
  </w:style>
  <w:style w:type="character" w:customStyle="1" w:styleId="plcountryChar">
    <w:name w:val="plcountry Char"/>
    <w:basedOn w:val="DefaultParagraphFont"/>
    <w:link w:val="plcountry"/>
    <w:rsid w:val="00D046F7"/>
    <w:rPr>
      <w:rFonts w:ascii="Arial" w:hAnsi="Arial"/>
      <w:caps/>
      <w:noProof/>
      <w:snapToGrid w:val="0"/>
      <w:u w:val="single"/>
    </w:rPr>
  </w:style>
  <w:style w:type="character" w:customStyle="1" w:styleId="pldetailsChar">
    <w:name w:val="pldetails Char"/>
    <w:link w:val="pldetails"/>
    <w:locked/>
    <w:rsid w:val="00D046F7"/>
    <w:rPr>
      <w:rFonts w:ascii="Arial" w:hAnsi="Arial"/>
      <w:noProof/>
      <w:snapToGrid w:val="0"/>
    </w:rPr>
  </w:style>
  <w:style w:type="table" w:styleId="TableGrid">
    <w:name w:val="Table Grid"/>
    <w:basedOn w:val="TableNormal"/>
    <w:rsid w:val="00D04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6F7"/>
    <w:pPr>
      <w:spacing w:after="200" w:line="276" w:lineRule="auto"/>
      <w:ind w:left="720"/>
      <w:contextualSpacing/>
      <w:jc w:val="left"/>
    </w:pPr>
    <w:rPr>
      <w:rFonts w:asciiTheme="minorHAnsi" w:eastAsiaTheme="minorEastAsia" w:hAnsiTheme="minorHAnsi" w:cstheme="minorBidi"/>
      <w:sz w:val="22"/>
      <w:szCs w:val="22"/>
    </w:rPr>
  </w:style>
  <w:style w:type="character" w:styleId="Emphasis">
    <w:name w:val="Emphasis"/>
    <w:basedOn w:val="DefaultParagraphFont"/>
    <w:qFormat/>
    <w:rsid w:val="00D046F7"/>
    <w:rPr>
      <w:i/>
      <w:iCs/>
    </w:rPr>
  </w:style>
  <w:style w:type="paragraph" w:customStyle="1" w:styleId="DecisionInvitingPara">
    <w:name w:val="Decision Inviting Para."/>
    <w:basedOn w:val="Normal"/>
    <w:rsid w:val="00D046F7"/>
    <w:pPr>
      <w:ind w:left="4536"/>
    </w:pPr>
    <w:rPr>
      <w:rFonts w:eastAsiaTheme="minorEastAsia"/>
      <w:i/>
      <w:lang w:val="es-ES_tradnl"/>
    </w:rPr>
  </w:style>
  <w:style w:type="paragraph" w:styleId="NormalWeb">
    <w:name w:val="Normal (Web)"/>
    <w:basedOn w:val="Normal"/>
    <w:rsid w:val="00D046F7"/>
    <w:pPr>
      <w:spacing w:before="100" w:beforeAutospacing="1" w:after="100" w:afterAutospacing="1"/>
      <w:jc w:val="left"/>
    </w:pPr>
    <w:rPr>
      <w:szCs w:val="24"/>
    </w:rPr>
  </w:style>
  <w:style w:type="paragraph" w:customStyle="1" w:styleId="pdflink">
    <w:name w:val="pdflink"/>
    <w:basedOn w:val="Normal"/>
    <w:next w:val="Normal"/>
    <w:rsid w:val="00D046F7"/>
    <w:rPr>
      <w:color w:val="800000"/>
      <w:u w:val="words"/>
    </w:rPr>
  </w:style>
  <w:style w:type="paragraph" w:customStyle="1" w:styleId="Draft">
    <w:name w:val="Draft"/>
    <w:basedOn w:val="Normal"/>
    <w:next w:val="preparedby"/>
    <w:rsid w:val="00D046F7"/>
    <w:pPr>
      <w:spacing w:before="720" w:after="480"/>
      <w:jc w:val="center"/>
    </w:pPr>
    <w:rPr>
      <w:caps/>
      <w:sz w:val="28"/>
    </w:rPr>
  </w:style>
  <w:style w:type="paragraph" w:customStyle="1" w:styleId="tqparabox">
    <w:name w:val="tqparabox"/>
    <w:basedOn w:val="Normal"/>
    <w:rsid w:val="00D046F7"/>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D046F7"/>
    <w:pPr>
      <w:ind w:left="1200"/>
    </w:pPr>
  </w:style>
  <w:style w:type="paragraph" w:styleId="BodyTextIndent">
    <w:name w:val="Body Text Indent"/>
    <w:basedOn w:val="Normal"/>
    <w:link w:val="BodyTextIndentChar"/>
    <w:rsid w:val="00D046F7"/>
    <w:pPr>
      <w:ind w:left="567"/>
    </w:pPr>
    <w:rPr>
      <w:lang w:val="es-ES_tradnl"/>
    </w:rPr>
  </w:style>
  <w:style w:type="character" w:customStyle="1" w:styleId="BodyTextIndentChar">
    <w:name w:val="Body Text Indent Char"/>
    <w:basedOn w:val="DefaultParagraphFont"/>
    <w:link w:val="BodyTextIndent"/>
    <w:rsid w:val="00D046F7"/>
    <w:rPr>
      <w:rFonts w:ascii="Arial" w:hAnsi="Arial"/>
      <w:lang w:val="es-ES_tradnl"/>
    </w:rPr>
  </w:style>
  <w:style w:type="paragraph" w:customStyle="1" w:styleId="twpcheck">
    <w:name w:val="twpcheck"/>
    <w:basedOn w:val="Normal"/>
    <w:rsid w:val="00D046F7"/>
    <w:pPr>
      <w:spacing w:before="80" w:after="80"/>
      <w:jc w:val="left"/>
    </w:pPr>
    <w:rPr>
      <w:rFonts w:cs="Arial"/>
      <w:snapToGrid w:val="0"/>
      <w:sz w:val="16"/>
      <w:szCs w:val="16"/>
    </w:rPr>
  </w:style>
  <w:style w:type="paragraph" w:customStyle="1" w:styleId="Enttepair">
    <w:name w:val="Entête_pair"/>
    <w:basedOn w:val="Normal"/>
    <w:next w:val="Normal"/>
    <w:rsid w:val="00D046F7"/>
    <w:pPr>
      <w:pBdr>
        <w:bottom w:val="single" w:sz="4" w:space="1" w:color="auto"/>
      </w:pBdr>
      <w:jc w:val="left"/>
    </w:pPr>
    <w:rPr>
      <w:szCs w:val="24"/>
    </w:rPr>
  </w:style>
  <w:style w:type="paragraph" w:customStyle="1" w:styleId="Entteimpair">
    <w:name w:val="Entête_impair"/>
    <w:basedOn w:val="Normal"/>
    <w:next w:val="Normal"/>
    <w:rsid w:val="00D046F7"/>
    <w:pPr>
      <w:pBdr>
        <w:bottom w:val="single" w:sz="4" w:space="1" w:color="auto"/>
      </w:pBdr>
      <w:jc w:val="right"/>
    </w:pPr>
  </w:style>
  <w:style w:type="paragraph" w:styleId="E-mailSignature">
    <w:name w:val="E-mail Signature"/>
    <w:basedOn w:val="Normal"/>
    <w:link w:val="E-mailSignatureChar"/>
    <w:rsid w:val="00D046F7"/>
  </w:style>
  <w:style w:type="character" w:customStyle="1" w:styleId="E-mailSignatureChar">
    <w:name w:val="E-mail Signature Char"/>
    <w:basedOn w:val="DefaultParagraphFont"/>
    <w:link w:val="E-mailSignature"/>
    <w:rsid w:val="00D046F7"/>
    <w:rPr>
      <w:rFonts w:ascii="Arial" w:hAnsi="Arial"/>
    </w:rPr>
  </w:style>
  <w:style w:type="paragraph" w:styleId="EnvelopeAddress">
    <w:name w:val="envelope address"/>
    <w:basedOn w:val="Normal"/>
    <w:rsid w:val="00D046F7"/>
    <w:pPr>
      <w:framePr w:w="7920" w:h="1980" w:hRule="exact" w:hSpace="180" w:wrap="auto" w:hAnchor="page" w:xAlign="center" w:yAlign="bottom"/>
      <w:ind w:left="2880"/>
    </w:pPr>
    <w:rPr>
      <w:rFonts w:cs="Arial"/>
      <w:szCs w:val="24"/>
    </w:rPr>
  </w:style>
  <w:style w:type="paragraph" w:styleId="EnvelopeReturn">
    <w:name w:val="envelope return"/>
    <w:basedOn w:val="Normal"/>
    <w:rsid w:val="00D046F7"/>
    <w:rPr>
      <w:rFonts w:cs="Arial"/>
    </w:rPr>
  </w:style>
  <w:style w:type="character" w:styleId="HTMLAcronym">
    <w:name w:val="HTML Acronym"/>
    <w:basedOn w:val="DefaultParagraphFont"/>
    <w:rsid w:val="00D046F7"/>
  </w:style>
  <w:style w:type="paragraph" w:styleId="HTMLAddress">
    <w:name w:val="HTML Address"/>
    <w:basedOn w:val="Normal"/>
    <w:link w:val="HTMLAddressChar"/>
    <w:rsid w:val="00D046F7"/>
    <w:rPr>
      <w:i/>
      <w:iCs/>
    </w:rPr>
  </w:style>
  <w:style w:type="character" w:customStyle="1" w:styleId="HTMLAddressChar">
    <w:name w:val="HTML Address Char"/>
    <w:basedOn w:val="DefaultParagraphFont"/>
    <w:link w:val="HTMLAddress"/>
    <w:rsid w:val="00D046F7"/>
    <w:rPr>
      <w:rFonts w:ascii="Arial" w:hAnsi="Arial"/>
      <w:i/>
      <w:iCs/>
    </w:rPr>
  </w:style>
  <w:style w:type="character" w:styleId="HTMLCite">
    <w:name w:val="HTML Cite"/>
    <w:basedOn w:val="DefaultParagraphFont"/>
    <w:rsid w:val="00D046F7"/>
    <w:rPr>
      <w:i/>
      <w:iCs/>
    </w:rPr>
  </w:style>
  <w:style w:type="character" w:styleId="HTMLCode">
    <w:name w:val="HTML Code"/>
    <w:basedOn w:val="DefaultParagraphFont"/>
    <w:rsid w:val="00D046F7"/>
    <w:rPr>
      <w:rFonts w:ascii="Courier New" w:hAnsi="Courier New" w:cs="Courier New"/>
      <w:sz w:val="20"/>
      <w:szCs w:val="20"/>
    </w:rPr>
  </w:style>
  <w:style w:type="character" w:styleId="HTMLDefinition">
    <w:name w:val="HTML Definition"/>
    <w:basedOn w:val="DefaultParagraphFont"/>
    <w:rsid w:val="00D046F7"/>
    <w:rPr>
      <w:i/>
      <w:iCs/>
    </w:rPr>
  </w:style>
  <w:style w:type="character" w:styleId="HTMLKeyboard">
    <w:name w:val="HTML Keyboard"/>
    <w:basedOn w:val="DefaultParagraphFont"/>
    <w:rsid w:val="00D046F7"/>
    <w:rPr>
      <w:rFonts w:ascii="Courier New" w:hAnsi="Courier New" w:cs="Courier New"/>
      <w:sz w:val="20"/>
      <w:szCs w:val="20"/>
    </w:rPr>
  </w:style>
  <w:style w:type="paragraph" w:styleId="HTMLPreformatted">
    <w:name w:val="HTML Preformatted"/>
    <w:basedOn w:val="Normal"/>
    <w:link w:val="HTMLPreformattedChar"/>
    <w:rsid w:val="00D046F7"/>
    <w:rPr>
      <w:rFonts w:ascii="Courier New" w:hAnsi="Courier New" w:cs="Courier New"/>
    </w:rPr>
  </w:style>
  <w:style w:type="character" w:customStyle="1" w:styleId="HTMLPreformattedChar">
    <w:name w:val="HTML Preformatted Char"/>
    <w:basedOn w:val="DefaultParagraphFont"/>
    <w:link w:val="HTMLPreformatted"/>
    <w:rsid w:val="00D046F7"/>
    <w:rPr>
      <w:rFonts w:ascii="Courier New" w:hAnsi="Courier New" w:cs="Courier New"/>
    </w:rPr>
  </w:style>
  <w:style w:type="character" w:styleId="HTMLSample">
    <w:name w:val="HTML Sample"/>
    <w:basedOn w:val="DefaultParagraphFont"/>
    <w:rsid w:val="00D046F7"/>
    <w:rPr>
      <w:rFonts w:ascii="Courier New" w:hAnsi="Courier New" w:cs="Courier New"/>
    </w:rPr>
  </w:style>
  <w:style w:type="character" w:styleId="HTMLTypewriter">
    <w:name w:val="HTML Typewriter"/>
    <w:basedOn w:val="DefaultParagraphFont"/>
    <w:rsid w:val="00D046F7"/>
    <w:rPr>
      <w:rFonts w:ascii="Courier New" w:hAnsi="Courier New" w:cs="Courier New"/>
      <w:sz w:val="20"/>
      <w:szCs w:val="20"/>
    </w:rPr>
  </w:style>
  <w:style w:type="character" w:styleId="HTMLVariable">
    <w:name w:val="HTML Variable"/>
    <w:basedOn w:val="DefaultParagraphFont"/>
    <w:rsid w:val="00D046F7"/>
    <w:rPr>
      <w:i/>
      <w:iCs/>
    </w:rPr>
  </w:style>
  <w:style w:type="character" w:styleId="LineNumber">
    <w:name w:val="line number"/>
    <w:basedOn w:val="DefaultParagraphFont"/>
    <w:rsid w:val="00D046F7"/>
  </w:style>
  <w:style w:type="paragraph" w:styleId="List">
    <w:name w:val="List"/>
    <w:basedOn w:val="Normal"/>
    <w:rsid w:val="00D046F7"/>
    <w:pPr>
      <w:ind w:left="360" w:hanging="360"/>
    </w:pPr>
  </w:style>
  <w:style w:type="paragraph" w:styleId="List2">
    <w:name w:val="List 2"/>
    <w:basedOn w:val="Normal"/>
    <w:rsid w:val="00D046F7"/>
    <w:pPr>
      <w:ind w:left="720" w:hanging="360"/>
    </w:pPr>
  </w:style>
  <w:style w:type="paragraph" w:styleId="List3">
    <w:name w:val="List 3"/>
    <w:basedOn w:val="Normal"/>
    <w:rsid w:val="00D046F7"/>
    <w:pPr>
      <w:ind w:left="1080" w:hanging="360"/>
    </w:pPr>
  </w:style>
  <w:style w:type="paragraph" w:styleId="List4">
    <w:name w:val="List 4"/>
    <w:basedOn w:val="Normal"/>
    <w:rsid w:val="00D046F7"/>
    <w:pPr>
      <w:ind w:left="1440" w:hanging="360"/>
    </w:pPr>
  </w:style>
  <w:style w:type="paragraph" w:styleId="List5">
    <w:name w:val="List 5"/>
    <w:basedOn w:val="Normal"/>
    <w:rsid w:val="00D046F7"/>
    <w:pPr>
      <w:ind w:left="1800" w:hanging="360"/>
    </w:pPr>
  </w:style>
  <w:style w:type="paragraph" w:styleId="ListBullet">
    <w:name w:val="List Bullet"/>
    <w:basedOn w:val="Normal"/>
    <w:autoRedefine/>
    <w:rsid w:val="00D046F7"/>
    <w:pPr>
      <w:tabs>
        <w:tab w:val="num" w:pos="360"/>
      </w:tabs>
      <w:ind w:left="360" w:hanging="360"/>
    </w:pPr>
    <w:rPr>
      <w:bCs/>
      <w:szCs w:val="24"/>
      <w:lang w:val="es-ES" w:eastAsia="zh-CN"/>
    </w:rPr>
  </w:style>
  <w:style w:type="paragraph" w:styleId="ListBullet2">
    <w:name w:val="List Bullet 2"/>
    <w:basedOn w:val="Normal"/>
    <w:rsid w:val="00D046F7"/>
    <w:pPr>
      <w:tabs>
        <w:tab w:val="num" w:pos="720"/>
      </w:tabs>
      <w:ind w:left="720" w:hanging="360"/>
    </w:pPr>
  </w:style>
  <w:style w:type="paragraph" w:styleId="ListBullet3">
    <w:name w:val="List Bullet 3"/>
    <w:basedOn w:val="Normal"/>
    <w:rsid w:val="00D046F7"/>
    <w:pPr>
      <w:tabs>
        <w:tab w:val="num" w:pos="1080"/>
      </w:tabs>
      <w:ind w:left="1080" w:hanging="360"/>
    </w:pPr>
  </w:style>
  <w:style w:type="paragraph" w:styleId="ListBullet4">
    <w:name w:val="List Bullet 4"/>
    <w:basedOn w:val="Normal"/>
    <w:rsid w:val="00D046F7"/>
    <w:pPr>
      <w:tabs>
        <w:tab w:val="num" w:pos="1440"/>
      </w:tabs>
      <w:ind w:left="1440" w:hanging="360"/>
    </w:pPr>
  </w:style>
  <w:style w:type="paragraph" w:styleId="ListBullet5">
    <w:name w:val="List Bullet 5"/>
    <w:basedOn w:val="Normal"/>
    <w:rsid w:val="00D046F7"/>
    <w:pPr>
      <w:tabs>
        <w:tab w:val="num" w:pos="1800"/>
      </w:tabs>
      <w:ind w:left="1800" w:hanging="360"/>
    </w:pPr>
  </w:style>
  <w:style w:type="paragraph" w:styleId="ListContinue">
    <w:name w:val="List Continue"/>
    <w:basedOn w:val="Normal"/>
    <w:rsid w:val="00D046F7"/>
    <w:pPr>
      <w:spacing w:after="120"/>
      <w:ind w:left="360"/>
    </w:pPr>
  </w:style>
  <w:style w:type="paragraph" w:styleId="ListContinue2">
    <w:name w:val="List Continue 2"/>
    <w:basedOn w:val="Normal"/>
    <w:rsid w:val="00D046F7"/>
    <w:pPr>
      <w:spacing w:after="120"/>
      <w:ind w:left="720"/>
    </w:pPr>
  </w:style>
  <w:style w:type="paragraph" w:styleId="ListContinue3">
    <w:name w:val="List Continue 3"/>
    <w:basedOn w:val="Normal"/>
    <w:rsid w:val="00D046F7"/>
    <w:pPr>
      <w:spacing w:after="120"/>
      <w:ind w:left="1080"/>
    </w:pPr>
  </w:style>
  <w:style w:type="paragraph" w:styleId="ListContinue4">
    <w:name w:val="List Continue 4"/>
    <w:basedOn w:val="Normal"/>
    <w:rsid w:val="00D046F7"/>
    <w:pPr>
      <w:spacing w:after="120"/>
      <w:ind w:left="1440"/>
    </w:pPr>
  </w:style>
  <w:style w:type="paragraph" w:styleId="ListContinue5">
    <w:name w:val="List Continue 5"/>
    <w:basedOn w:val="Normal"/>
    <w:rsid w:val="00D046F7"/>
    <w:pPr>
      <w:spacing w:after="120"/>
      <w:ind w:left="1800"/>
    </w:pPr>
  </w:style>
  <w:style w:type="paragraph" w:styleId="ListNumber">
    <w:name w:val="List Number"/>
    <w:basedOn w:val="Normal"/>
    <w:rsid w:val="00D046F7"/>
    <w:pPr>
      <w:tabs>
        <w:tab w:val="num" w:pos="360"/>
      </w:tabs>
      <w:ind w:left="360" w:hanging="360"/>
    </w:pPr>
  </w:style>
  <w:style w:type="paragraph" w:styleId="ListNumber2">
    <w:name w:val="List Number 2"/>
    <w:basedOn w:val="Normal"/>
    <w:rsid w:val="00D046F7"/>
    <w:pPr>
      <w:tabs>
        <w:tab w:val="num" w:pos="720"/>
      </w:tabs>
      <w:ind w:left="720" w:hanging="360"/>
    </w:pPr>
  </w:style>
  <w:style w:type="paragraph" w:styleId="ListNumber3">
    <w:name w:val="List Number 3"/>
    <w:basedOn w:val="Normal"/>
    <w:rsid w:val="00D046F7"/>
    <w:pPr>
      <w:tabs>
        <w:tab w:val="num" w:pos="1080"/>
      </w:tabs>
      <w:ind w:left="1080" w:hanging="360"/>
    </w:pPr>
  </w:style>
  <w:style w:type="paragraph" w:styleId="ListNumber4">
    <w:name w:val="List Number 4"/>
    <w:basedOn w:val="Normal"/>
    <w:rsid w:val="00D046F7"/>
    <w:pPr>
      <w:tabs>
        <w:tab w:val="num" w:pos="1440"/>
      </w:tabs>
      <w:ind w:left="1440" w:hanging="360"/>
    </w:pPr>
  </w:style>
  <w:style w:type="paragraph" w:styleId="ListNumber5">
    <w:name w:val="List Number 5"/>
    <w:basedOn w:val="Normal"/>
    <w:rsid w:val="00D046F7"/>
    <w:pPr>
      <w:tabs>
        <w:tab w:val="num" w:pos="1800"/>
      </w:tabs>
      <w:ind w:left="1800" w:hanging="360"/>
    </w:pPr>
  </w:style>
  <w:style w:type="paragraph" w:styleId="MessageHeader">
    <w:name w:val="Message Header"/>
    <w:basedOn w:val="Normal"/>
    <w:link w:val="MessageHeaderChar"/>
    <w:rsid w:val="00D046F7"/>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D046F7"/>
    <w:rPr>
      <w:rFonts w:ascii="Arial" w:hAnsi="Arial" w:cs="Arial"/>
      <w:szCs w:val="24"/>
      <w:shd w:val="pct20" w:color="auto" w:fill="auto"/>
    </w:rPr>
  </w:style>
  <w:style w:type="paragraph" w:styleId="NoteHeading">
    <w:name w:val="Note Heading"/>
    <w:basedOn w:val="Normal"/>
    <w:next w:val="Normal"/>
    <w:link w:val="NoteHeadingChar"/>
    <w:rsid w:val="00D046F7"/>
  </w:style>
  <w:style w:type="character" w:customStyle="1" w:styleId="NoteHeadingChar">
    <w:name w:val="Note Heading Char"/>
    <w:basedOn w:val="DefaultParagraphFont"/>
    <w:link w:val="NoteHeading"/>
    <w:rsid w:val="00D046F7"/>
    <w:rPr>
      <w:rFonts w:ascii="Arial" w:hAnsi="Arial"/>
    </w:rPr>
  </w:style>
  <w:style w:type="paragraph" w:styleId="Salutation">
    <w:name w:val="Salutation"/>
    <w:basedOn w:val="Normal"/>
    <w:next w:val="Normal"/>
    <w:link w:val="SalutationChar"/>
    <w:rsid w:val="00D046F7"/>
  </w:style>
  <w:style w:type="character" w:customStyle="1" w:styleId="SalutationChar">
    <w:name w:val="Salutation Char"/>
    <w:basedOn w:val="DefaultParagraphFont"/>
    <w:link w:val="Salutation"/>
    <w:rsid w:val="00D046F7"/>
    <w:rPr>
      <w:rFonts w:ascii="Arial" w:hAnsi="Arial"/>
    </w:rPr>
  </w:style>
  <w:style w:type="character" w:styleId="Strong">
    <w:name w:val="Strong"/>
    <w:basedOn w:val="DefaultParagraphFont"/>
    <w:qFormat/>
    <w:rsid w:val="00D046F7"/>
    <w:rPr>
      <w:b/>
      <w:bCs/>
    </w:rPr>
  </w:style>
  <w:style w:type="paragraph" w:styleId="Subtitle">
    <w:name w:val="Subtitle"/>
    <w:basedOn w:val="Normal"/>
    <w:link w:val="SubtitleChar"/>
    <w:qFormat/>
    <w:rsid w:val="00D046F7"/>
    <w:pPr>
      <w:spacing w:after="60"/>
      <w:jc w:val="center"/>
      <w:outlineLvl w:val="1"/>
    </w:pPr>
    <w:rPr>
      <w:rFonts w:cs="Arial"/>
      <w:szCs w:val="24"/>
    </w:rPr>
  </w:style>
  <w:style w:type="character" w:customStyle="1" w:styleId="SubtitleChar">
    <w:name w:val="Subtitle Char"/>
    <w:basedOn w:val="DefaultParagraphFont"/>
    <w:link w:val="Subtitle"/>
    <w:rsid w:val="00D046F7"/>
    <w:rPr>
      <w:rFonts w:ascii="Arial" w:hAnsi="Arial" w:cs="Arial"/>
      <w:szCs w:val="24"/>
    </w:rPr>
  </w:style>
  <w:style w:type="table" w:styleId="TableGrid6">
    <w:name w:val="Table Grid 6"/>
    <w:basedOn w:val="TableNormal"/>
    <w:rsid w:val="00D046F7"/>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TOC7">
    <w:name w:val="toc 7"/>
    <w:basedOn w:val="Normal"/>
    <w:next w:val="Normal"/>
    <w:autoRedefine/>
    <w:rsid w:val="00D046F7"/>
    <w:pPr>
      <w:ind w:left="1440"/>
    </w:pPr>
  </w:style>
  <w:style w:type="paragraph" w:styleId="TOC8">
    <w:name w:val="toc 8"/>
    <w:basedOn w:val="Normal"/>
    <w:next w:val="Normal"/>
    <w:autoRedefine/>
    <w:rsid w:val="00D046F7"/>
    <w:pPr>
      <w:ind w:left="1680"/>
    </w:pPr>
  </w:style>
  <w:style w:type="paragraph" w:styleId="TOC9">
    <w:name w:val="toc 9"/>
    <w:basedOn w:val="Normal"/>
    <w:next w:val="Normal"/>
    <w:autoRedefine/>
    <w:rsid w:val="00D046F7"/>
    <w:pPr>
      <w:ind w:left="1920"/>
    </w:pPr>
  </w:style>
  <w:style w:type="character" w:styleId="FollowedHyperlink">
    <w:name w:val="FollowedHyperlink"/>
    <w:basedOn w:val="DefaultParagraphFont"/>
    <w:rsid w:val="00D046F7"/>
    <w:rPr>
      <w:color w:val="606420"/>
      <w:u w:val="single"/>
    </w:rPr>
  </w:style>
  <w:style w:type="paragraph" w:styleId="BlockText">
    <w:name w:val="Block Text"/>
    <w:basedOn w:val="Normal"/>
    <w:rsid w:val="00D046F7"/>
    <w:pPr>
      <w:ind w:left="567" w:right="566"/>
    </w:pPr>
    <w:rPr>
      <w:sz w:val="22"/>
    </w:rPr>
  </w:style>
  <w:style w:type="paragraph" w:styleId="Caption">
    <w:name w:val="caption"/>
    <w:basedOn w:val="Normal"/>
    <w:next w:val="Normal"/>
    <w:qFormat/>
    <w:rsid w:val="00D046F7"/>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D046F7"/>
    <w:rPr>
      <w:sz w:val="22"/>
      <w:lang w:val="es-ES_tradnl"/>
    </w:rPr>
  </w:style>
  <w:style w:type="character" w:customStyle="1" w:styleId="CommentTextChar">
    <w:name w:val="Comment Text Char"/>
    <w:basedOn w:val="DefaultParagraphFont"/>
    <w:link w:val="CommentText"/>
    <w:rsid w:val="00D046F7"/>
    <w:rPr>
      <w:rFonts w:ascii="Arial" w:hAnsi="Arial"/>
      <w:sz w:val="22"/>
      <w:lang w:val="es-ES_tradnl"/>
    </w:rPr>
  </w:style>
  <w:style w:type="paragraph" w:customStyle="1" w:styleId="Committee">
    <w:name w:val="Committee"/>
    <w:basedOn w:val="Title"/>
    <w:rsid w:val="00D046F7"/>
    <w:rPr>
      <w:caps w:val="0"/>
    </w:rPr>
  </w:style>
  <w:style w:type="paragraph" w:customStyle="1" w:styleId="n">
    <w:name w:val="n"/>
    <w:basedOn w:val="Header"/>
    <w:rsid w:val="00D046F7"/>
  </w:style>
  <w:style w:type="paragraph" w:customStyle="1" w:styleId="TitleofSection">
    <w:name w:val="Title of Section"/>
    <w:basedOn w:val="TitleofDoc"/>
    <w:rsid w:val="00D046F7"/>
    <w:pPr>
      <w:spacing w:before="120" w:after="120"/>
    </w:pPr>
    <w:rPr>
      <w:b/>
      <w:caps w:val="0"/>
      <w:lang w:eastAsia="de-DE"/>
    </w:rPr>
  </w:style>
  <w:style w:type="paragraph" w:customStyle="1" w:styleId="TOCAnnex">
    <w:name w:val="TOC Annex"/>
    <w:basedOn w:val="Normal"/>
    <w:rsid w:val="00D046F7"/>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D046F7"/>
    <w:rPr>
      <w:rFonts w:ascii="Courier New" w:hAnsi="Courier New" w:cs="Courier New"/>
      <w:lang w:eastAsia="fr-FR"/>
    </w:rPr>
  </w:style>
  <w:style w:type="character" w:customStyle="1" w:styleId="PlainTextChar">
    <w:name w:val="Plain Text Char"/>
    <w:basedOn w:val="DefaultParagraphFont"/>
    <w:link w:val="PlainText"/>
    <w:rsid w:val="00D046F7"/>
    <w:rPr>
      <w:rFonts w:ascii="Courier New" w:hAnsi="Courier New" w:cs="Courier New"/>
      <w:lang w:eastAsia="fr-FR"/>
    </w:rPr>
  </w:style>
  <w:style w:type="character" w:styleId="CommentReference">
    <w:name w:val="annotation reference"/>
    <w:basedOn w:val="DefaultParagraphFont"/>
    <w:rsid w:val="00D046F7"/>
    <w:rPr>
      <w:rFonts w:cs="Times New Roman"/>
      <w:sz w:val="16"/>
      <w:szCs w:val="16"/>
    </w:rPr>
  </w:style>
  <w:style w:type="paragraph" w:customStyle="1" w:styleId="Default">
    <w:name w:val="Default"/>
    <w:rsid w:val="00D046F7"/>
    <w:pPr>
      <w:autoSpaceDE w:val="0"/>
      <w:autoSpaceDN w:val="0"/>
      <w:adjustRightInd w:val="0"/>
    </w:pPr>
    <w:rPr>
      <w:rFonts w:ascii="Arial" w:eastAsiaTheme="minorHAnsi" w:hAnsi="Arial" w:cs="Arial"/>
      <w:color w:val="000000"/>
      <w:sz w:val="24"/>
      <w:szCs w:val="24"/>
      <w:lang w:val="fi-FI"/>
    </w:rPr>
  </w:style>
  <w:style w:type="paragraph" w:styleId="CommentSubject">
    <w:name w:val="annotation subject"/>
    <w:basedOn w:val="CommentText"/>
    <w:next w:val="CommentText"/>
    <w:link w:val="CommentSubjectChar"/>
    <w:rsid w:val="00D046F7"/>
    <w:rPr>
      <w:b/>
      <w:bCs/>
      <w:sz w:val="20"/>
      <w:lang w:val="en-US"/>
    </w:rPr>
  </w:style>
  <w:style w:type="character" w:customStyle="1" w:styleId="CommentSubjectChar">
    <w:name w:val="Comment Subject Char"/>
    <w:basedOn w:val="CommentTextChar"/>
    <w:link w:val="CommentSubject"/>
    <w:rsid w:val="00D046F7"/>
    <w:rPr>
      <w:rFonts w:ascii="Arial" w:hAnsi="Arial"/>
      <w:b/>
      <w:bCs/>
      <w:sz w:val="22"/>
      <w:lang w:val="es-ES_tradnl"/>
    </w:rPr>
  </w:style>
  <w:style w:type="paragraph" w:customStyle="1" w:styleId="Normaltg">
    <w:name w:val="Normaltg"/>
    <w:basedOn w:val="Normal"/>
    <w:link w:val="NormaltgChar"/>
    <w:uiPriority w:val="99"/>
    <w:rsid w:val="00D046F7"/>
    <w:rPr>
      <w:rFonts w:cs="Angsana New"/>
      <w:szCs w:val="24"/>
      <w:lang w:eastAsia="ja-JP" w:bidi="th-TH"/>
    </w:rPr>
  </w:style>
  <w:style w:type="character" w:customStyle="1" w:styleId="NormaltgChar">
    <w:name w:val="Normaltg Char"/>
    <w:link w:val="Normaltg"/>
    <w:rsid w:val="00D046F7"/>
    <w:rPr>
      <w:rFonts w:ascii="Arial" w:hAnsi="Arial" w:cs="Angsana New"/>
      <w:szCs w:val="24"/>
      <w:lang w:eastAsia="ja-JP" w:bidi="th-TH"/>
    </w:rPr>
  </w:style>
  <w:style w:type="character" w:customStyle="1" w:styleId="hps">
    <w:name w:val="hps"/>
    <w:basedOn w:val="DefaultParagraphFont"/>
    <w:rsid w:val="00D046F7"/>
  </w:style>
  <w:style w:type="character" w:customStyle="1" w:styleId="Standaardalinea-lettertype">
    <w:name w:val="Standaardalinea-lettertype"/>
    <w:rsid w:val="00D046F7"/>
  </w:style>
  <w:style w:type="table" w:styleId="TableSimple1">
    <w:name w:val="Table Simple 1"/>
    <w:basedOn w:val="TableNormal"/>
    <w:rsid w:val="00D046F7"/>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ZchnZchn1">
    <w:name w:val="Zchn Zchn1"/>
    <w:basedOn w:val="Normal"/>
    <w:rsid w:val="00D046F7"/>
    <w:pPr>
      <w:spacing w:after="160" w:line="240" w:lineRule="exact"/>
      <w:jc w:val="left"/>
    </w:pPr>
    <w:rPr>
      <w:rFonts w:ascii="Verdana" w:eastAsia="PMingLiU" w:hAnsi="Verdana"/>
    </w:rPr>
  </w:style>
  <w:style w:type="paragraph" w:styleId="Revision">
    <w:name w:val="Revision"/>
    <w:hidden/>
    <w:rsid w:val="00D87DB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382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ov.int/edocs/mdocs/upov/fr/tc_50/tc_50_3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roberts@bioss.ac.uk" TargetMode="External"/><Relationship Id="rId4" Type="http://schemas.openxmlformats.org/officeDocument/2006/relationships/settings" Target="settings.xml"/><Relationship Id="rId9" Type="http://schemas.openxmlformats.org/officeDocument/2006/relationships/hyperlink" Target="http://www.upov.int/upovea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38</Pages>
  <Words>20831</Words>
  <Characters>118414</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C/51</vt:lpstr>
    </vt:vector>
  </TitlesOfParts>
  <Company>UPOV</Company>
  <LinksUpToDate>false</LinksUpToDate>
  <CharactersWithSpaces>138968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C/51</dc:title>
  <dc:creator>BLAZEVIC Lea</dc:creator>
  <cp:keywords>DB/sc</cp:keywords>
  <cp:lastModifiedBy>BESSE Ariane</cp:lastModifiedBy>
  <cp:revision>13</cp:revision>
  <cp:lastPrinted>2017-09-26T14:50:00Z</cp:lastPrinted>
  <dcterms:created xsi:type="dcterms:W3CDTF">2017-08-17T13:49:00Z</dcterms:created>
  <dcterms:modified xsi:type="dcterms:W3CDTF">2017-09-26T14:50:00Z</dcterms:modified>
</cp:coreProperties>
</file>