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E7BB7" w:rsidRPr="0077250D" w:rsidTr="00E35895">
        <w:trPr>
          <w:trHeight w:val="1760"/>
        </w:trPr>
        <w:tc>
          <w:tcPr>
            <w:tcW w:w="4243" w:type="dxa"/>
          </w:tcPr>
          <w:p w:rsidR="005E7BB7" w:rsidRPr="0077250D" w:rsidRDefault="005E7BB7" w:rsidP="00E35895"/>
        </w:tc>
        <w:tc>
          <w:tcPr>
            <w:tcW w:w="1646" w:type="dxa"/>
            <w:vAlign w:val="center"/>
          </w:tcPr>
          <w:p w:rsidR="005E7BB7" w:rsidRPr="0077250D" w:rsidRDefault="005E7BB7" w:rsidP="00E35895">
            <w:pPr>
              <w:pStyle w:val="LogoUPOV"/>
            </w:pPr>
            <w:r w:rsidRPr="0077250D">
              <w:rPr>
                <w:noProof/>
                <w:lang w:val="en-US"/>
              </w:rPr>
              <w:drawing>
                <wp:inline distT="0" distB="0" distL="0" distR="0" wp14:anchorId="3E6377FE" wp14:editId="08FF2A3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E7BB7" w:rsidRPr="0077250D" w:rsidRDefault="005E7BB7" w:rsidP="00E35895">
            <w:pPr>
              <w:pStyle w:val="Lettrine"/>
            </w:pPr>
            <w:r w:rsidRPr="0077250D">
              <w:t>F</w:t>
            </w:r>
          </w:p>
          <w:p w:rsidR="005E7BB7" w:rsidRPr="0077250D" w:rsidRDefault="005E7BB7" w:rsidP="00E35895">
            <w:pPr>
              <w:pStyle w:val="Docoriginal"/>
            </w:pPr>
            <w:r w:rsidRPr="0077250D">
              <w:t>C/50/</w:t>
            </w:r>
            <w:bookmarkStart w:id="0" w:name="Code"/>
            <w:bookmarkEnd w:id="0"/>
            <w:r w:rsidRPr="0077250D">
              <w:t>4</w:t>
            </w:r>
          </w:p>
          <w:p w:rsidR="005E7BB7" w:rsidRPr="0077250D" w:rsidRDefault="005E7BB7" w:rsidP="00E35895">
            <w:pPr>
              <w:pStyle w:val="Docoriginal"/>
              <w:rPr>
                <w:b w:val="0"/>
                <w:spacing w:val="0"/>
              </w:rPr>
            </w:pPr>
            <w:r w:rsidRPr="0077250D">
              <w:rPr>
                <w:rStyle w:val="StyleDoclangBold"/>
                <w:b/>
                <w:bCs/>
                <w:spacing w:val="0"/>
                <w:lang w:val="fr-FR"/>
              </w:rPr>
              <w:t>ORIGINAL</w:t>
            </w:r>
            <w:r w:rsidR="00604278" w:rsidRPr="0077250D">
              <w:rPr>
                <w:rStyle w:val="StyleDoclangBold"/>
                <w:b/>
                <w:bCs/>
                <w:spacing w:val="0"/>
                <w:lang w:val="fr-FR"/>
              </w:rPr>
              <w:t> </w:t>
            </w:r>
            <w:r w:rsidRPr="0077250D">
              <w:rPr>
                <w:rStyle w:val="StyleDoclangBold"/>
                <w:b/>
                <w:bCs/>
                <w:spacing w:val="0"/>
                <w:lang w:val="fr-FR"/>
              </w:rPr>
              <w:t>:</w:t>
            </w:r>
            <w:r w:rsidRPr="0077250D">
              <w:rPr>
                <w:rStyle w:val="StyleDocoriginalNotBold1"/>
                <w:spacing w:val="0"/>
                <w:lang w:val="fr-FR"/>
              </w:rPr>
              <w:t xml:space="preserve"> </w:t>
            </w:r>
            <w:bookmarkStart w:id="1" w:name="Original"/>
            <w:bookmarkEnd w:id="1"/>
            <w:r w:rsidRPr="0077250D">
              <w:rPr>
                <w:b w:val="0"/>
                <w:spacing w:val="0"/>
              </w:rPr>
              <w:t>anglais</w:t>
            </w:r>
          </w:p>
          <w:p w:rsidR="005E7BB7" w:rsidRPr="0077250D" w:rsidRDefault="005E7BB7" w:rsidP="00E35895">
            <w:pPr>
              <w:pStyle w:val="Docoriginal"/>
            </w:pPr>
            <w:r w:rsidRPr="0077250D">
              <w:rPr>
                <w:spacing w:val="0"/>
              </w:rPr>
              <w:t>DATE</w:t>
            </w:r>
            <w:r w:rsidR="00604278" w:rsidRPr="0077250D">
              <w:rPr>
                <w:spacing w:val="0"/>
              </w:rPr>
              <w:t> </w:t>
            </w:r>
            <w:r w:rsidRPr="0077250D">
              <w:rPr>
                <w:spacing w:val="0"/>
              </w:rPr>
              <w:t>:</w:t>
            </w:r>
            <w:r w:rsidRPr="0077250D">
              <w:rPr>
                <w:rStyle w:val="StyleDocoriginalNotBold1"/>
                <w:spacing w:val="0"/>
                <w:lang w:val="fr-FR"/>
              </w:rPr>
              <w:t xml:space="preserve"> </w:t>
            </w:r>
            <w:bookmarkStart w:id="2" w:name="Date"/>
            <w:bookmarkEnd w:id="2"/>
            <w:r w:rsidRPr="0077250D">
              <w:rPr>
                <w:b w:val="0"/>
                <w:spacing w:val="0"/>
              </w:rPr>
              <w:t>1</w:t>
            </w:r>
            <w:r w:rsidR="00BE613C" w:rsidRPr="0077250D">
              <w:rPr>
                <w:b w:val="0"/>
                <w:spacing w:val="0"/>
              </w:rPr>
              <w:t>0 août 20</w:t>
            </w:r>
            <w:r w:rsidRPr="0077250D">
              <w:rPr>
                <w:b w:val="0"/>
                <w:spacing w:val="0"/>
              </w:rPr>
              <w:t>16</w:t>
            </w:r>
          </w:p>
        </w:tc>
      </w:tr>
      <w:tr w:rsidR="005E7BB7" w:rsidRPr="0077250D" w:rsidTr="00E35895">
        <w:tc>
          <w:tcPr>
            <w:tcW w:w="10131" w:type="dxa"/>
            <w:gridSpan w:val="3"/>
          </w:tcPr>
          <w:p w:rsidR="005E7BB7" w:rsidRPr="0077250D" w:rsidRDefault="005E7BB7" w:rsidP="00E35895">
            <w:pPr>
              <w:pStyle w:val="upove"/>
              <w:rPr>
                <w:sz w:val="28"/>
              </w:rPr>
            </w:pPr>
            <w:r w:rsidRPr="0077250D">
              <w:rPr>
                <w:spacing w:val="6"/>
              </w:rPr>
              <w:t>UNION INTERNATIONALE POUR LA PROTECTION DES OBTENTIONS VÉGÉTALES</w:t>
            </w:r>
          </w:p>
        </w:tc>
      </w:tr>
      <w:tr w:rsidR="005E7BB7" w:rsidRPr="0077250D" w:rsidTr="00E35895">
        <w:tc>
          <w:tcPr>
            <w:tcW w:w="10131" w:type="dxa"/>
            <w:gridSpan w:val="3"/>
          </w:tcPr>
          <w:p w:rsidR="005E7BB7" w:rsidRPr="0077250D" w:rsidRDefault="005E7BB7" w:rsidP="00E35895">
            <w:pPr>
              <w:pStyle w:val="Country"/>
            </w:pPr>
            <w:r w:rsidRPr="0077250D">
              <w:t>Genève</w:t>
            </w:r>
          </w:p>
        </w:tc>
      </w:tr>
    </w:tbl>
    <w:p w:rsidR="005E7BB7" w:rsidRPr="0077250D" w:rsidRDefault="005E7BB7" w:rsidP="00FC14D6">
      <w:pPr>
        <w:pStyle w:val="Sessiontc"/>
      </w:pPr>
      <w:r w:rsidRPr="0077250D">
        <w:t>CONSEIL</w:t>
      </w:r>
    </w:p>
    <w:p w:rsidR="005E7BB7" w:rsidRPr="0077250D" w:rsidRDefault="005E7BB7" w:rsidP="00FC14D6">
      <w:pPr>
        <w:pStyle w:val="Sessiontcplacedate"/>
      </w:pPr>
      <w:bookmarkStart w:id="3" w:name="TitleOfDoc"/>
      <w:bookmarkEnd w:id="3"/>
      <w:r w:rsidRPr="0077250D">
        <w:t>Cinquantième</w:t>
      </w:r>
      <w:r w:rsidR="00604278" w:rsidRPr="0077250D">
        <w:t> </w:t>
      </w:r>
      <w:r w:rsidRPr="0077250D">
        <w:t>session ordinaire</w:t>
      </w:r>
      <w:r w:rsidRPr="0077250D">
        <w:br/>
        <w:t>Genève, 2</w:t>
      </w:r>
      <w:r w:rsidR="00BE613C" w:rsidRPr="0077250D">
        <w:t>8 octobre 20</w:t>
      </w:r>
      <w:r w:rsidRPr="0077250D">
        <w:t>16</w:t>
      </w:r>
    </w:p>
    <w:p w:rsidR="005E7BB7" w:rsidRPr="0077250D" w:rsidRDefault="005E7BB7" w:rsidP="00FC14D6">
      <w:pPr>
        <w:pStyle w:val="Titleofdoc0"/>
      </w:pPr>
      <w:r w:rsidRPr="0077250D">
        <w:t xml:space="preserve">RAPPORT </w:t>
      </w:r>
      <w:r w:rsidR="00FC14D6" w:rsidRPr="0077250D">
        <w:t>de</w:t>
      </w:r>
      <w:r w:rsidRPr="0077250D">
        <w:t xml:space="preserve"> GESTION Financi</w:t>
      </w:r>
      <w:r w:rsidRPr="0077250D">
        <w:rPr>
          <w:rFonts w:cs="Arial"/>
        </w:rPr>
        <w:t>È</w:t>
      </w:r>
      <w:r w:rsidRPr="0077250D">
        <w:t>RE POUR L</w:t>
      </w:r>
      <w:r w:rsidR="00BE613C" w:rsidRPr="0077250D">
        <w:t>’</w:t>
      </w:r>
      <w:r w:rsidRPr="0077250D">
        <w:t>eXERCICE BIENNAL 2014</w:t>
      </w:r>
      <w:r w:rsidR="00F32060" w:rsidRPr="0077250D">
        <w:noBreakHyphen/>
      </w:r>
      <w:r w:rsidRPr="0077250D">
        <w:t>2015</w:t>
      </w:r>
    </w:p>
    <w:p w:rsidR="005E7BB7" w:rsidRPr="0077250D" w:rsidRDefault="005E7BB7" w:rsidP="00FC14D6">
      <w:pPr>
        <w:pStyle w:val="preparedby1"/>
        <w:rPr>
          <w:color w:val="A6A6A6" w:themeColor="background1" w:themeShade="A6"/>
        </w:rPr>
      </w:pPr>
      <w:bookmarkStart w:id="4" w:name="Prepared"/>
      <w:bookmarkEnd w:id="4"/>
      <w:r w:rsidRPr="0077250D">
        <w:t>Document établi par le Bureau de l</w:t>
      </w:r>
      <w:r w:rsidR="00BE613C" w:rsidRPr="0077250D">
        <w:t>’</w:t>
      </w:r>
      <w:r w:rsidRPr="0077250D">
        <w:t>Union</w:t>
      </w:r>
      <w:r w:rsidRPr="0077250D">
        <w:br/>
      </w:r>
      <w:r w:rsidRPr="0077250D">
        <w:br/>
      </w:r>
      <w:r w:rsidRPr="0077250D">
        <w:rPr>
          <w:color w:val="A6A6A6" w:themeColor="background1" w:themeShade="A6"/>
        </w:rPr>
        <w:t>Avertissement : le présent document ne représente pas les principes ou les orientations de l</w:t>
      </w:r>
      <w:r w:rsidR="00BE613C" w:rsidRPr="0077250D">
        <w:rPr>
          <w:color w:val="A6A6A6" w:themeColor="background1" w:themeShade="A6"/>
        </w:rPr>
        <w:t>’</w:t>
      </w:r>
      <w:r w:rsidRPr="0077250D">
        <w:rPr>
          <w:color w:val="A6A6A6" w:themeColor="background1" w:themeShade="A6"/>
        </w:rPr>
        <w:t>UPOV</w:t>
      </w:r>
    </w:p>
    <w:p w:rsidR="006F2554" w:rsidRPr="0077250D" w:rsidRDefault="0002086B" w:rsidP="00FC14D6">
      <w:pPr>
        <w:rPr>
          <w:snapToGrid w:val="0"/>
        </w:rPr>
      </w:pPr>
      <w:r w:rsidRPr="0077250D">
        <w:rPr>
          <w:caps/>
          <w:snapToGrid w:val="0"/>
        </w:rPr>
        <w:fldChar w:fldCharType="begin"/>
      </w:r>
      <w:r w:rsidRPr="0077250D">
        <w:rPr>
          <w:caps/>
          <w:snapToGrid w:val="0"/>
        </w:rPr>
        <w:instrText xml:space="preserve"> AUTONUM  </w:instrText>
      </w:r>
      <w:r w:rsidRPr="0077250D">
        <w:rPr>
          <w:caps/>
          <w:snapToGrid w:val="0"/>
        </w:rPr>
        <w:fldChar w:fldCharType="end"/>
      </w:r>
      <w:r w:rsidRPr="0077250D">
        <w:rPr>
          <w:caps/>
          <w:snapToGrid w:val="0"/>
        </w:rPr>
        <w:tab/>
        <w:t>L</w:t>
      </w:r>
      <w:r w:rsidR="00BE613C" w:rsidRPr="0077250D">
        <w:rPr>
          <w:caps/>
          <w:snapToGrid w:val="0"/>
        </w:rPr>
        <w:t>’</w:t>
      </w:r>
      <w:r w:rsidRPr="0077250D">
        <w:rPr>
          <w:snapToGrid w:val="0"/>
        </w:rPr>
        <w:t>annexe du présent document contient le Rapport de gestion financière de l</w:t>
      </w:r>
      <w:r w:rsidR="00BE613C" w:rsidRPr="0077250D">
        <w:rPr>
          <w:snapToGrid w:val="0"/>
        </w:rPr>
        <w:t>’</w:t>
      </w:r>
      <w:r w:rsidRPr="0077250D">
        <w:rPr>
          <w:snapToGrid w:val="0"/>
        </w:rPr>
        <w:t>Union internationale pour la protection des obtentions végétales (UPOV) pour l</w:t>
      </w:r>
      <w:r w:rsidR="00BE613C" w:rsidRPr="0077250D">
        <w:rPr>
          <w:snapToGrid w:val="0"/>
        </w:rPr>
        <w:t>’</w:t>
      </w:r>
      <w:r w:rsidRPr="0077250D">
        <w:rPr>
          <w:snapToGrid w:val="0"/>
        </w:rPr>
        <w:t>exercice financier 2014</w:t>
      </w:r>
      <w:r w:rsidR="00F32060" w:rsidRPr="0077250D">
        <w:rPr>
          <w:snapToGrid w:val="0"/>
        </w:rPr>
        <w:noBreakHyphen/>
      </w:r>
      <w:r w:rsidRPr="0077250D">
        <w:rPr>
          <w:snapToGrid w:val="0"/>
        </w:rPr>
        <w:t>2015, conformément aux articles 6.6 et 6.7 du Règlement financier et règlement d</w:t>
      </w:r>
      <w:r w:rsidR="00BE613C" w:rsidRPr="0077250D">
        <w:rPr>
          <w:snapToGrid w:val="0"/>
        </w:rPr>
        <w:t>’</w:t>
      </w:r>
      <w:r w:rsidRPr="0077250D">
        <w:rPr>
          <w:snapToGrid w:val="0"/>
        </w:rPr>
        <w:t>exécution du Règlement financier de l</w:t>
      </w:r>
      <w:r w:rsidR="00BE613C" w:rsidRPr="0077250D">
        <w:rPr>
          <w:snapToGrid w:val="0"/>
        </w:rPr>
        <w:t>’</w:t>
      </w:r>
      <w:r w:rsidRPr="0077250D">
        <w:rPr>
          <w:snapToGrid w:val="0"/>
        </w:rPr>
        <w:t>UPOV (voir le document UPOV/INF/4/4 “Règlement financier et règlement d</w:t>
      </w:r>
      <w:r w:rsidR="00BE613C" w:rsidRPr="0077250D">
        <w:rPr>
          <w:snapToGrid w:val="0"/>
        </w:rPr>
        <w:t>’</w:t>
      </w:r>
      <w:r w:rsidRPr="0077250D">
        <w:rPr>
          <w:snapToGrid w:val="0"/>
        </w:rPr>
        <w:t>exécution du Règlement financier de l</w:t>
      </w:r>
      <w:r w:rsidR="00BE613C" w:rsidRPr="0077250D">
        <w:rPr>
          <w:snapToGrid w:val="0"/>
        </w:rPr>
        <w:t>’</w:t>
      </w:r>
      <w:r w:rsidRPr="0077250D">
        <w:rPr>
          <w:snapToGrid w:val="0"/>
        </w:rPr>
        <w:t>UPOV”), pour approbation par le Conseil.</w:t>
      </w:r>
    </w:p>
    <w:p w:rsidR="006F2554" w:rsidRPr="0077250D" w:rsidRDefault="006F2554" w:rsidP="00FC14D6">
      <w:pPr>
        <w:rPr>
          <w:snapToGrid w:val="0"/>
        </w:rPr>
      </w:pPr>
    </w:p>
    <w:p w:rsidR="006F2554" w:rsidRPr="0077250D" w:rsidRDefault="0002086B" w:rsidP="00FC14D6">
      <w:pPr>
        <w:rPr>
          <w:snapToGrid w:val="0"/>
        </w:rPr>
      </w:pPr>
      <w:r w:rsidRPr="0077250D">
        <w:rPr>
          <w:snapToGrid w:val="0"/>
        </w:rPr>
        <w:fldChar w:fldCharType="begin"/>
      </w:r>
      <w:r w:rsidRPr="0077250D">
        <w:rPr>
          <w:snapToGrid w:val="0"/>
        </w:rPr>
        <w:instrText xml:space="preserve"> AUTONUM  </w:instrText>
      </w:r>
      <w:r w:rsidRPr="0077250D">
        <w:rPr>
          <w:snapToGrid w:val="0"/>
        </w:rPr>
        <w:fldChar w:fldCharType="end"/>
      </w:r>
      <w:r w:rsidRPr="0077250D">
        <w:rPr>
          <w:snapToGrid w:val="0"/>
        </w:rPr>
        <w:tab/>
        <w:t>Le rapport de gestion financière ne fait pas l</w:t>
      </w:r>
      <w:r w:rsidR="00BE613C" w:rsidRPr="0077250D">
        <w:rPr>
          <w:snapToGrid w:val="0"/>
        </w:rPr>
        <w:t>’</w:t>
      </w:r>
      <w:r w:rsidRPr="0077250D">
        <w:rPr>
          <w:snapToGrid w:val="0"/>
        </w:rPr>
        <w:t>objet d</w:t>
      </w:r>
      <w:r w:rsidR="00BE613C" w:rsidRPr="0077250D">
        <w:rPr>
          <w:snapToGrid w:val="0"/>
        </w:rPr>
        <w:t>’</w:t>
      </w:r>
      <w:r w:rsidRPr="0077250D">
        <w:rPr>
          <w:snapToGrid w:val="0"/>
        </w:rPr>
        <w:t>un audit externe.</w:t>
      </w:r>
    </w:p>
    <w:p w:rsidR="006F2554" w:rsidRPr="0077250D" w:rsidRDefault="006F2554" w:rsidP="00FC14D6">
      <w:pPr>
        <w:rPr>
          <w:snapToGrid w:val="0"/>
        </w:rPr>
      </w:pPr>
    </w:p>
    <w:p w:rsidR="006F2554" w:rsidRPr="0077250D" w:rsidRDefault="0002086B" w:rsidP="00FC14D6">
      <w:pPr>
        <w:rPr>
          <w:snapToGrid w:val="0"/>
        </w:rPr>
      </w:pPr>
      <w:r w:rsidRPr="0077250D">
        <w:rPr>
          <w:snapToGrid w:val="0"/>
        </w:rPr>
        <w:fldChar w:fldCharType="begin"/>
      </w:r>
      <w:r w:rsidRPr="0077250D">
        <w:rPr>
          <w:snapToGrid w:val="0"/>
        </w:rPr>
        <w:instrText xml:space="preserve"> AUTONUM  </w:instrText>
      </w:r>
      <w:r w:rsidRPr="0077250D">
        <w:rPr>
          <w:snapToGrid w:val="0"/>
        </w:rPr>
        <w:fldChar w:fldCharType="end"/>
      </w:r>
      <w:r w:rsidRPr="0077250D">
        <w:rPr>
          <w:snapToGrid w:val="0"/>
        </w:rPr>
        <w:tab/>
        <w:t>Les articles 6.6 et 6.7 du Règlement financier et règlement d</w:t>
      </w:r>
      <w:r w:rsidR="00BE613C" w:rsidRPr="0077250D">
        <w:rPr>
          <w:snapToGrid w:val="0"/>
        </w:rPr>
        <w:t>’</w:t>
      </w:r>
      <w:r w:rsidRPr="0077250D">
        <w:rPr>
          <w:snapToGrid w:val="0"/>
        </w:rPr>
        <w:t>exécution du Règlement financier prévoient ce qui suit :</w:t>
      </w:r>
    </w:p>
    <w:p w:rsidR="006F2554" w:rsidRPr="0077250D" w:rsidRDefault="006F2554" w:rsidP="00FC14D6">
      <w:pPr>
        <w:rPr>
          <w:snapToGrid w:val="0"/>
        </w:rPr>
      </w:pPr>
    </w:p>
    <w:p w:rsidR="006F2554" w:rsidRPr="0077250D" w:rsidRDefault="0002086B" w:rsidP="00FC14D6">
      <w:pPr>
        <w:ind w:left="567"/>
        <w:rPr>
          <w:b/>
          <w:sz w:val="18"/>
        </w:rPr>
      </w:pPr>
      <w:r w:rsidRPr="0077250D">
        <w:rPr>
          <w:sz w:val="18"/>
        </w:rPr>
        <w:t>“</w:t>
      </w:r>
      <w:r w:rsidRPr="0077250D">
        <w:rPr>
          <w:b/>
          <w:sz w:val="18"/>
        </w:rPr>
        <w:t>Article 6.6</w:t>
      </w:r>
    </w:p>
    <w:p w:rsidR="006F2554" w:rsidRPr="0077250D" w:rsidRDefault="006F2554" w:rsidP="00FC14D6">
      <w:pPr>
        <w:ind w:left="567"/>
        <w:rPr>
          <w:snapToGrid w:val="0"/>
          <w:sz w:val="18"/>
        </w:rPr>
      </w:pPr>
    </w:p>
    <w:p w:rsidR="006F2554" w:rsidRPr="0077250D" w:rsidRDefault="0002086B" w:rsidP="00FC14D6">
      <w:pPr>
        <w:ind w:left="567"/>
        <w:rPr>
          <w:snapToGrid w:val="0"/>
        </w:rPr>
      </w:pPr>
      <w:r w:rsidRPr="0077250D">
        <w:rPr>
          <w:snapToGrid w:val="0"/>
        </w:rPr>
        <w:t>“[…]</w:t>
      </w:r>
    </w:p>
    <w:p w:rsidR="006F2554" w:rsidRPr="0077250D" w:rsidRDefault="0002086B" w:rsidP="00FC14D6">
      <w:pPr>
        <w:pStyle w:val="Inf4Heading6"/>
        <w:ind w:left="1134" w:right="567"/>
        <w:rPr>
          <w:sz w:val="18"/>
        </w:rPr>
      </w:pPr>
      <w:r w:rsidRPr="0077250D">
        <w:rPr>
          <w:b w:val="0"/>
          <w:sz w:val="18"/>
        </w:rPr>
        <w:t>“</w:t>
      </w:r>
      <w:r w:rsidRPr="0077250D">
        <w:rPr>
          <w:sz w:val="18"/>
        </w:rPr>
        <w:t>Règle 106.12</w:t>
      </w:r>
    </w:p>
    <w:p w:rsidR="006F2554" w:rsidRPr="0077250D" w:rsidRDefault="0002086B" w:rsidP="00FC14D6">
      <w:pPr>
        <w:pStyle w:val="Inf4Normal"/>
        <w:ind w:left="1134" w:right="567"/>
        <w:rPr>
          <w:sz w:val="18"/>
        </w:rPr>
      </w:pPr>
      <w:r w:rsidRPr="0077250D">
        <w:rPr>
          <w:sz w:val="18"/>
        </w:rPr>
        <w:t>“[…]</w:t>
      </w:r>
    </w:p>
    <w:p w:rsidR="006F2554" w:rsidRPr="0077250D" w:rsidRDefault="0002086B" w:rsidP="00FC14D6">
      <w:pPr>
        <w:pStyle w:val="Inf4Normal"/>
        <w:ind w:left="1134" w:right="567"/>
        <w:rPr>
          <w:sz w:val="18"/>
        </w:rPr>
      </w:pPr>
      <w:r w:rsidRPr="0077250D">
        <w:rPr>
          <w:sz w:val="18"/>
        </w:rPr>
        <w:t>“b)</w:t>
      </w:r>
      <w:r w:rsidRPr="0077250D">
        <w:rPr>
          <w:sz w:val="18"/>
        </w:rPr>
        <w:tab/>
        <w:t>Dans les huit mois suivant la fin de chaque exercice financier, le Secrétaire général présente au Conseil le rapport de gestion financière conformément à l</w:t>
      </w:r>
      <w:r w:rsidR="00BE613C" w:rsidRPr="0077250D">
        <w:rPr>
          <w:sz w:val="18"/>
        </w:rPr>
        <w:t>’</w:t>
      </w:r>
      <w:r w:rsidRPr="0077250D">
        <w:rPr>
          <w:sz w:val="18"/>
        </w:rPr>
        <w:t>article 6.6 du Règlement.</w:t>
      </w:r>
    </w:p>
    <w:p w:rsidR="006F2554" w:rsidRPr="0077250D" w:rsidRDefault="006F2554" w:rsidP="00FC14D6">
      <w:pPr>
        <w:rPr>
          <w:snapToGrid w:val="0"/>
        </w:rPr>
      </w:pPr>
    </w:p>
    <w:p w:rsidR="006F2554" w:rsidRPr="0077250D" w:rsidRDefault="0002086B" w:rsidP="00FC14D6">
      <w:pPr>
        <w:ind w:left="567"/>
        <w:rPr>
          <w:sz w:val="16"/>
        </w:rPr>
      </w:pPr>
      <w:bookmarkStart w:id="5" w:name="_Toc173661770"/>
      <w:bookmarkStart w:id="6" w:name="_Toc173748751"/>
      <w:bookmarkStart w:id="7" w:name="_Toc355190048"/>
      <w:r w:rsidRPr="0077250D">
        <w:rPr>
          <w:sz w:val="18"/>
        </w:rPr>
        <w:t>“</w:t>
      </w:r>
      <w:r w:rsidRPr="0077250D">
        <w:rPr>
          <w:b/>
          <w:sz w:val="18"/>
        </w:rPr>
        <w:t>Article 6</w:t>
      </w:r>
      <w:bookmarkEnd w:id="5"/>
      <w:bookmarkEnd w:id="6"/>
      <w:bookmarkEnd w:id="7"/>
      <w:r w:rsidRPr="0077250D">
        <w:rPr>
          <w:b/>
          <w:sz w:val="18"/>
        </w:rPr>
        <w:t>.7</w:t>
      </w:r>
    </w:p>
    <w:p w:rsidR="006F2554" w:rsidRPr="0077250D" w:rsidRDefault="0002086B" w:rsidP="00FC14D6">
      <w:pPr>
        <w:pStyle w:val="Inf4Normal"/>
        <w:ind w:left="567" w:right="567"/>
        <w:rPr>
          <w:sz w:val="18"/>
          <w:szCs w:val="18"/>
        </w:rPr>
      </w:pPr>
      <w:r w:rsidRPr="0077250D">
        <w:rPr>
          <w:sz w:val="18"/>
          <w:szCs w:val="18"/>
        </w:rPr>
        <w:t>“Après vérification annuelle des comptes et examen par le Conseil, les états financiers annuels et le rapport du vérificateur externe des comptes sont communiqués à tous les membres de l</w:t>
      </w:r>
      <w:r w:rsidR="00BE613C" w:rsidRPr="0077250D">
        <w:rPr>
          <w:sz w:val="18"/>
          <w:szCs w:val="18"/>
        </w:rPr>
        <w:t>’</w:t>
      </w:r>
      <w:r w:rsidRPr="0077250D">
        <w:rPr>
          <w:sz w:val="18"/>
          <w:szCs w:val="18"/>
        </w:rPr>
        <w:t>UPOV intéress</w:t>
      </w:r>
      <w:r w:rsidR="00F32060" w:rsidRPr="0077250D">
        <w:rPr>
          <w:sz w:val="18"/>
          <w:szCs w:val="18"/>
        </w:rPr>
        <w:t>és.  De</w:t>
      </w:r>
      <w:r w:rsidRPr="0077250D">
        <w:rPr>
          <w:sz w:val="18"/>
          <w:szCs w:val="18"/>
        </w:rPr>
        <w:t>ux ans après la fin de l</w:t>
      </w:r>
      <w:r w:rsidR="00BE613C" w:rsidRPr="0077250D">
        <w:rPr>
          <w:sz w:val="18"/>
          <w:szCs w:val="18"/>
        </w:rPr>
        <w:t>’</w:t>
      </w:r>
      <w:r w:rsidRPr="0077250D">
        <w:rPr>
          <w:sz w:val="18"/>
          <w:szCs w:val="18"/>
        </w:rPr>
        <w:t>exercice biennal, le rapport de gestion financière est aussi communiqué à tous les membres de l</w:t>
      </w:r>
      <w:r w:rsidR="00BE613C" w:rsidRPr="0077250D">
        <w:rPr>
          <w:sz w:val="18"/>
          <w:szCs w:val="18"/>
        </w:rPr>
        <w:t>’</w:t>
      </w:r>
      <w:r w:rsidRPr="0077250D">
        <w:rPr>
          <w:sz w:val="18"/>
          <w:szCs w:val="18"/>
        </w:rPr>
        <w:t>UPOV intéressés.”</w:t>
      </w:r>
    </w:p>
    <w:p w:rsidR="006F2554" w:rsidRPr="0077250D" w:rsidRDefault="006F2554" w:rsidP="00FC14D6">
      <w:pPr>
        <w:pStyle w:val="Inf4Normal"/>
        <w:ind w:left="1418" w:right="1179"/>
        <w:rPr>
          <w:sz w:val="18"/>
          <w:szCs w:val="18"/>
        </w:rPr>
      </w:pPr>
    </w:p>
    <w:p w:rsidR="006F2554" w:rsidRPr="0077250D" w:rsidRDefault="0002086B" w:rsidP="00FC14D6">
      <w:pPr>
        <w:tabs>
          <w:tab w:val="left" w:pos="5387"/>
          <w:tab w:val="left" w:pos="5954"/>
        </w:tabs>
        <w:ind w:left="4820"/>
        <w:rPr>
          <w:i/>
        </w:rPr>
      </w:pPr>
      <w:r w:rsidRPr="0077250D">
        <w:rPr>
          <w:i/>
        </w:rPr>
        <w:fldChar w:fldCharType="begin"/>
      </w:r>
      <w:r w:rsidRPr="0077250D">
        <w:rPr>
          <w:i/>
        </w:rPr>
        <w:instrText xml:space="preserve"> AUTONUM  </w:instrText>
      </w:r>
      <w:r w:rsidRPr="0077250D">
        <w:rPr>
          <w:i/>
        </w:rPr>
        <w:fldChar w:fldCharType="end"/>
      </w:r>
      <w:r w:rsidRPr="0077250D">
        <w:rPr>
          <w:i/>
        </w:rPr>
        <w:tab/>
        <w:t>Le Conseil est invité à approuver le rapport de gestion financière pour l</w:t>
      </w:r>
      <w:r w:rsidR="00BE613C" w:rsidRPr="0077250D">
        <w:rPr>
          <w:i/>
        </w:rPr>
        <w:t>’</w:t>
      </w:r>
      <w:r w:rsidRPr="0077250D">
        <w:rPr>
          <w:i/>
        </w:rPr>
        <w:t xml:space="preserve">exercice </w:t>
      </w:r>
      <w:r w:rsidR="00FC14D6" w:rsidRPr="0077250D">
        <w:rPr>
          <w:i/>
        </w:rPr>
        <w:t>biennal</w:t>
      </w:r>
      <w:r w:rsidRPr="0077250D">
        <w:rPr>
          <w:i/>
        </w:rPr>
        <w:t> 2014</w:t>
      </w:r>
      <w:r w:rsidR="00F32060" w:rsidRPr="0077250D">
        <w:rPr>
          <w:i/>
        </w:rPr>
        <w:noBreakHyphen/>
      </w:r>
      <w:r w:rsidRPr="0077250D">
        <w:rPr>
          <w:i/>
        </w:rPr>
        <w:t>2015.</w:t>
      </w:r>
    </w:p>
    <w:p w:rsidR="006F2554" w:rsidRPr="0077250D" w:rsidRDefault="006F2554" w:rsidP="00FC14D6">
      <w:pPr>
        <w:tabs>
          <w:tab w:val="left" w:pos="5387"/>
          <w:tab w:val="left" w:pos="5954"/>
        </w:tabs>
        <w:ind w:left="4820" w:hanging="4820"/>
        <w:rPr>
          <w:i/>
        </w:rPr>
      </w:pPr>
    </w:p>
    <w:p w:rsidR="006F2554" w:rsidRPr="0077250D" w:rsidRDefault="006F2554" w:rsidP="00FC14D6"/>
    <w:p w:rsidR="006F2554" w:rsidRPr="0077250D" w:rsidRDefault="006F2554" w:rsidP="00FC14D6"/>
    <w:p w:rsidR="006F2554" w:rsidRPr="0077250D" w:rsidRDefault="0002086B" w:rsidP="00FC14D6">
      <w:pPr>
        <w:jc w:val="right"/>
      </w:pPr>
      <w:r w:rsidRPr="0077250D">
        <w:t>[L</w:t>
      </w:r>
      <w:r w:rsidR="00BE613C" w:rsidRPr="0077250D">
        <w:t>’</w:t>
      </w:r>
      <w:r w:rsidRPr="0077250D">
        <w:t>annexe suit]</w:t>
      </w:r>
    </w:p>
    <w:p w:rsidR="006F2554" w:rsidRPr="0077250D" w:rsidRDefault="006F2554" w:rsidP="00FC14D6">
      <w:pPr>
        <w:jc w:val="center"/>
      </w:pPr>
    </w:p>
    <w:p w:rsidR="00A4653A" w:rsidRPr="0077250D" w:rsidRDefault="00A4653A" w:rsidP="00FC14D6">
      <w:pPr>
        <w:jc w:val="right"/>
        <w:sectPr w:rsidR="00A4653A" w:rsidRPr="0077250D" w:rsidSect="00141316">
          <w:headerReference w:type="default" r:id="rId10"/>
          <w:footerReference w:type="first" r:id="rId11"/>
          <w:pgSz w:w="11907" w:h="16840" w:code="9"/>
          <w:pgMar w:top="510" w:right="1134" w:bottom="1134" w:left="1134" w:header="510" w:footer="680" w:gutter="0"/>
          <w:cols w:space="720"/>
          <w:titlePg/>
        </w:sectPr>
      </w:pPr>
    </w:p>
    <w:p w:rsidR="006F2554" w:rsidRPr="0077250D" w:rsidRDefault="006F2554" w:rsidP="00FC14D6"/>
    <w:p w:rsidR="006F2554" w:rsidRPr="0077250D" w:rsidRDefault="006F2554" w:rsidP="00FC14D6"/>
    <w:p w:rsidR="006F2554" w:rsidRPr="0077250D" w:rsidRDefault="001F7FD1" w:rsidP="00FC14D6">
      <w:pPr>
        <w:jc w:val="center"/>
        <w:rPr>
          <w:b/>
        </w:rPr>
      </w:pPr>
      <w:r w:rsidRPr="0077250D">
        <w:rPr>
          <w:b/>
          <w:snapToGrid w:val="0"/>
        </w:rPr>
        <w:t>UNION INTERNATIONALE POUR LA PROTECTION DES OBTENTIONS VÉGÉTALES</w:t>
      </w:r>
    </w:p>
    <w:p w:rsidR="006F2554" w:rsidRPr="0077250D" w:rsidRDefault="006F2554" w:rsidP="00FC14D6">
      <w:pPr>
        <w:jc w:val="center"/>
      </w:pPr>
    </w:p>
    <w:p w:rsidR="006F2554" w:rsidRPr="0077250D" w:rsidRDefault="001F7FD1" w:rsidP="00FC14D6">
      <w:pPr>
        <w:jc w:val="center"/>
      </w:pPr>
      <w:r w:rsidRPr="0077250D">
        <w:t>Rapport sur la gestion financière pour l</w:t>
      </w:r>
      <w:r w:rsidR="00BE613C" w:rsidRPr="0077250D">
        <w:t>’</w:t>
      </w:r>
      <w:r w:rsidRPr="0077250D">
        <w:t>exercice biennal 2014</w:t>
      </w:r>
      <w:r w:rsidR="00F32060" w:rsidRPr="0077250D">
        <w:noBreakHyphen/>
      </w:r>
      <w:r w:rsidRPr="0077250D">
        <w:t>2015</w:t>
      </w:r>
    </w:p>
    <w:p w:rsidR="006F2554" w:rsidRPr="0077250D" w:rsidRDefault="006F2554" w:rsidP="00FC14D6">
      <w:pPr>
        <w:jc w:val="center"/>
      </w:pPr>
    </w:p>
    <w:p w:rsidR="006F2554" w:rsidRPr="0077250D" w:rsidRDefault="006F2554" w:rsidP="00FC14D6">
      <w:pPr>
        <w:jc w:val="center"/>
      </w:pPr>
    </w:p>
    <w:p w:rsidR="006F2554" w:rsidRPr="0077250D" w:rsidRDefault="006F2554" w:rsidP="00FC14D6">
      <w:pPr>
        <w:tabs>
          <w:tab w:val="right" w:pos="9639"/>
        </w:tabs>
        <w:rPr>
          <w:b/>
        </w:rPr>
      </w:pPr>
    </w:p>
    <w:p w:rsidR="006F2554" w:rsidRPr="0077250D" w:rsidRDefault="006F2554" w:rsidP="00FC14D6">
      <w:pPr>
        <w:tabs>
          <w:tab w:val="right" w:pos="9639"/>
        </w:tabs>
        <w:rPr>
          <w:b/>
        </w:rPr>
      </w:pPr>
    </w:p>
    <w:p w:rsidR="006F2554" w:rsidRDefault="006C571D" w:rsidP="00FC14D6">
      <w:pPr>
        <w:tabs>
          <w:tab w:val="right" w:pos="9639"/>
        </w:tabs>
        <w:rPr>
          <w:rFonts w:ascii="Arial Bold" w:hAnsi="Arial Bold"/>
          <w:b/>
          <w:caps/>
        </w:rPr>
      </w:pPr>
      <w:r w:rsidRPr="0077250D">
        <w:rPr>
          <w:b/>
        </w:rPr>
        <w:t>TABLE DES MATI</w:t>
      </w:r>
      <w:r w:rsidRPr="0077250D">
        <w:rPr>
          <w:rFonts w:cs="Arial"/>
          <w:b/>
        </w:rPr>
        <w:t>È</w:t>
      </w:r>
      <w:r w:rsidRPr="0077250D">
        <w:rPr>
          <w:b/>
        </w:rPr>
        <w:t>RES</w:t>
      </w:r>
      <w:r w:rsidRPr="0077250D">
        <w:rPr>
          <w:b/>
        </w:rPr>
        <w:tab/>
      </w:r>
      <w:r w:rsidRPr="0077250D">
        <w:rPr>
          <w:rFonts w:ascii="Arial Bold" w:hAnsi="Arial Bold"/>
          <w:b/>
          <w:caps/>
        </w:rPr>
        <w:t>page</w:t>
      </w:r>
    </w:p>
    <w:p w:rsidR="00CC0CD3" w:rsidRPr="0077250D" w:rsidRDefault="00CC0CD3" w:rsidP="00FC14D6">
      <w:pPr>
        <w:tabs>
          <w:tab w:val="right" w:pos="9639"/>
        </w:tabs>
      </w:pPr>
    </w:p>
    <w:p w:rsidR="00C43F20" w:rsidRDefault="00347590">
      <w:pPr>
        <w:pStyle w:val="TOC1"/>
        <w:rPr>
          <w:rFonts w:asciiTheme="minorHAnsi" w:eastAsiaTheme="minorEastAsia" w:hAnsiTheme="minorHAnsi" w:cstheme="minorBidi"/>
          <w:b w:val="0"/>
          <w:caps w:val="0"/>
          <w:sz w:val="22"/>
          <w:szCs w:val="22"/>
        </w:rPr>
      </w:pPr>
      <w:r w:rsidRPr="0077250D">
        <w:fldChar w:fldCharType="begin"/>
      </w:r>
      <w:r w:rsidRPr="0077250D">
        <w:instrText xml:space="preserve"> TOC \o "1-3" \u </w:instrText>
      </w:r>
      <w:r w:rsidRPr="0077250D">
        <w:fldChar w:fldCharType="separate"/>
      </w:r>
      <w:r w:rsidR="00C43F20" w:rsidRPr="00B7551E">
        <w:rPr>
          <w:lang w:val="fr-FR"/>
        </w:rPr>
        <w:t>R</w:t>
      </w:r>
      <w:r w:rsidR="00C43F20" w:rsidRPr="00B7551E">
        <w:rPr>
          <w:rFonts w:cs="Arial"/>
          <w:lang w:val="fr-FR"/>
        </w:rPr>
        <w:t>É</w:t>
      </w:r>
      <w:r w:rsidR="00C43F20" w:rsidRPr="00B7551E">
        <w:rPr>
          <w:lang w:val="fr-FR"/>
        </w:rPr>
        <w:t>SUM</w:t>
      </w:r>
      <w:r w:rsidR="00C43F20" w:rsidRPr="00B7551E">
        <w:rPr>
          <w:rFonts w:cs="Arial"/>
          <w:lang w:val="fr-FR"/>
        </w:rPr>
        <w:t>É</w:t>
      </w:r>
      <w:r w:rsidR="00C43F20" w:rsidRPr="00B7551E">
        <w:rPr>
          <w:lang w:val="fr-FR"/>
        </w:rPr>
        <w:t xml:space="preserve"> ET AnalysE du résultat budgétaire</w:t>
      </w:r>
      <w:r w:rsidR="00C43F20">
        <w:tab/>
      </w:r>
      <w:r w:rsidR="00C43F20">
        <w:fldChar w:fldCharType="begin"/>
      </w:r>
      <w:r w:rsidR="00C43F20">
        <w:instrText xml:space="preserve"> PAGEREF _Toc460231954 \h </w:instrText>
      </w:r>
      <w:r w:rsidR="00C43F20">
        <w:fldChar w:fldCharType="separate"/>
      </w:r>
      <w:r w:rsidR="00627DAA">
        <w:t>2</w:t>
      </w:r>
      <w:r w:rsidR="00C43F20">
        <w:fldChar w:fldCharType="end"/>
      </w:r>
    </w:p>
    <w:p w:rsidR="00C43F20" w:rsidRDefault="00C43F20">
      <w:pPr>
        <w:pStyle w:val="TOC2"/>
        <w:rPr>
          <w:rFonts w:asciiTheme="minorHAnsi" w:eastAsiaTheme="minorEastAsia" w:hAnsiTheme="minorHAnsi" w:cstheme="minorBidi"/>
          <w:sz w:val="22"/>
          <w:szCs w:val="22"/>
        </w:rPr>
      </w:pPr>
      <w:r>
        <w:t>Tableau 1.  Recettes, dépenses et fonds de réserve et de roulement (FFR) pour l’exercice biennal 2014</w:t>
      </w:r>
      <w:r>
        <w:noBreakHyphen/>
        <w:t>2015</w:t>
      </w:r>
      <w:r>
        <w:tab/>
      </w:r>
      <w:r>
        <w:fldChar w:fldCharType="begin"/>
      </w:r>
      <w:r>
        <w:instrText xml:space="preserve"> PAGEREF _Toc460231955 \h </w:instrText>
      </w:r>
      <w:r>
        <w:fldChar w:fldCharType="separate"/>
      </w:r>
      <w:r w:rsidR="00627DAA">
        <w:t>2</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2.  Recettes prévues et effectives par source pour l’exercice biennal 2014</w:t>
      </w:r>
      <w:r w:rsidRPr="00B7551E">
        <w:rPr>
          <w:lang w:val="fr-FR"/>
        </w:rPr>
        <w:noBreakHyphen/>
        <w:t>2015</w:t>
      </w:r>
      <w:r>
        <w:tab/>
      </w:r>
      <w:r>
        <w:fldChar w:fldCharType="begin"/>
      </w:r>
      <w:r>
        <w:instrText xml:space="preserve"> PAGEREF _Toc460231956 \h </w:instrText>
      </w:r>
      <w:r>
        <w:fldChar w:fldCharType="separate"/>
      </w:r>
      <w:r w:rsidR="00627DAA">
        <w:t>3</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3.  Budget approuvé et dépenses par objet de dépense pour l’exercice biennal 2014</w:t>
      </w:r>
      <w:r w:rsidRPr="00B7551E">
        <w:rPr>
          <w:lang w:val="fr-FR"/>
        </w:rPr>
        <w:noBreakHyphen/>
        <w:t>2015</w:t>
      </w:r>
      <w:r>
        <w:tab/>
      </w:r>
      <w:r>
        <w:fldChar w:fldCharType="begin"/>
      </w:r>
      <w:r>
        <w:instrText xml:space="preserve"> PAGEREF _Toc460231957 \h </w:instrText>
      </w:r>
      <w:r>
        <w:fldChar w:fldCharType="separate"/>
      </w:r>
      <w:r w:rsidR="00627DAA">
        <w:t>4</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4.  Budget approuvé et dépenses par sous</w:t>
      </w:r>
      <w:r w:rsidRPr="00B7551E">
        <w:rPr>
          <w:lang w:val="fr-FR"/>
        </w:rPr>
        <w:noBreakHyphen/>
        <w:t>programme pour l’exercice biennal 2014</w:t>
      </w:r>
      <w:r w:rsidRPr="00B7551E">
        <w:rPr>
          <w:lang w:val="fr-FR"/>
        </w:rPr>
        <w:noBreakHyphen/>
        <w:t>2015</w:t>
      </w:r>
      <w:r>
        <w:tab/>
      </w:r>
      <w:r>
        <w:fldChar w:fldCharType="begin"/>
      </w:r>
      <w:r>
        <w:instrText xml:space="preserve"> PAGEREF _Toc460231958 \h </w:instrText>
      </w:r>
      <w:r>
        <w:fldChar w:fldCharType="separate"/>
      </w:r>
      <w:r w:rsidR="00627DAA">
        <w:t>5</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5.  Détail des dépenses par sous</w:t>
      </w:r>
      <w:r w:rsidRPr="00B7551E">
        <w:rPr>
          <w:lang w:val="fr-FR"/>
        </w:rPr>
        <w:noBreakHyphen/>
        <w:t>programme pour l’exercice biennal 2014</w:t>
      </w:r>
      <w:r w:rsidRPr="00B7551E">
        <w:rPr>
          <w:lang w:val="fr-FR"/>
        </w:rPr>
        <w:noBreakHyphen/>
        <w:t>2015</w:t>
      </w:r>
      <w:r>
        <w:tab/>
      </w:r>
      <w:r>
        <w:fldChar w:fldCharType="begin"/>
      </w:r>
      <w:r>
        <w:instrText xml:space="preserve"> PAGEREF _Toc460231959 \h </w:instrText>
      </w:r>
      <w:r>
        <w:fldChar w:fldCharType="separate"/>
      </w:r>
      <w:r w:rsidR="00627DAA">
        <w:t>6</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6.  Postes inscrits au budget et postes effectifs pour l’exercice biennal 2014</w:t>
      </w:r>
      <w:r w:rsidRPr="00B7551E">
        <w:rPr>
          <w:lang w:val="fr-FR"/>
        </w:rPr>
        <w:noBreakHyphen/>
        <w:t>2015</w:t>
      </w:r>
      <w:r>
        <w:tab/>
      </w:r>
      <w:r>
        <w:fldChar w:fldCharType="begin"/>
      </w:r>
      <w:r>
        <w:instrText xml:space="preserve"> PAGEREF _Toc460231960 \h </w:instrText>
      </w:r>
      <w:r>
        <w:fldChar w:fldCharType="separate"/>
      </w:r>
      <w:r w:rsidR="00627DAA">
        <w:t>7</w:t>
      </w:r>
      <w:r>
        <w:fldChar w:fldCharType="end"/>
      </w:r>
    </w:p>
    <w:p w:rsidR="00C43F20" w:rsidRDefault="00C43F20">
      <w:pPr>
        <w:pStyle w:val="TOC2"/>
        <w:rPr>
          <w:rFonts w:asciiTheme="minorHAnsi" w:eastAsiaTheme="minorEastAsia" w:hAnsiTheme="minorHAnsi" w:cstheme="minorBidi"/>
          <w:sz w:val="22"/>
          <w:szCs w:val="22"/>
        </w:rPr>
      </w:pPr>
      <w:r w:rsidRPr="00B7551E">
        <w:rPr>
          <w:lang w:val="fr-FR"/>
        </w:rPr>
        <w:t>Tableau 7.  Évolution des recettes et des dépenses effectives de 2008 à 2015</w:t>
      </w:r>
      <w:r>
        <w:tab/>
      </w:r>
      <w:r>
        <w:fldChar w:fldCharType="begin"/>
      </w:r>
      <w:r>
        <w:instrText xml:space="preserve"> PAGEREF _Toc460231961 \h </w:instrText>
      </w:r>
      <w:r>
        <w:fldChar w:fldCharType="separate"/>
      </w:r>
      <w:r w:rsidR="00627DAA">
        <w:t>7</w:t>
      </w:r>
      <w:r>
        <w:fldChar w:fldCharType="end"/>
      </w:r>
    </w:p>
    <w:p w:rsidR="00C43F20" w:rsidRDefault="00C43F20">
      <w:pPr>
        <w:pStyle w:val="TOC1"/>
        <w:rPr>
          <w:rFonts w:asciiTheme="minorHAnsi" w:eastAsiaTheme="minorEastAsia" w:hAnsiTheme="minorHAnsi" w:cstheme="minorBidi"/>
          <w:b w:val="0"/>
          <w:caps w:val="0"/>
          <w:sz w:val="22"/>
          <w:szCs w:val="22"/>
        </w:rPr>
      </w:pPr>
      <w:r w:rsidRPr="00B7551E">
        <w:rPr>
          <w:lang w:val="fr-FR"/>
        </w:rPr>
        <w:t>PLACEMENTS</w:t>
      </w:r>
      <w:r>
        <w:tab/>
      </w:r>
      <w:r>
        <w:fldChar w:fldCharType="begin"/>
      </w:r>
      <w:r>
        <w:instrText xml:space="preserve"> PAGEREF _Toc460231962 \h </w:instrText>
      </w:r>
      <w:r>
        <w:fldChar w:fldCharType="separate"/>
      </w:r>
      <w:r w:rsidR="00627DAA">
        <w:t>8</w:t>
      </w:r>
      <w:r>
        <w:fldChar w:fldCharType="end"/>
      </w:r>
    </w:p>
    <w:p w:rsidR="00C43F20" w:rsidRDefault="00C43F20">
      <w:pPr>
        <w:pStyle w:val="TOC1"/>
        <w:rPr>
          <w:rFonts w:asciiTheme="minorHAnsi" w:eastAsiaTheme="minorEastAsia" w:hAnsiTheme="minorHAnsi" w:cstheme="minorBidi"/>
          <w:b w:val="0"/>
          <w:caps w:val="0"/>
          <w:sz w:val="22"/>
          <w:szCs w:val="22"/>
        </w:rPr>
      </w:pPr>
      <w:r w:rsidRPr="00B7551E">
        <w:rPr>
          <w:rFonts w:cs="Arial"/>
          <w:lang w:val="fr-FR"/>
        </w:rPr>
        <w:t>É</w:t>
      </w:r>
      <w:r w:rsidRPr="00B7551E">
        <w:rPr>
          <w:lang w:val="fr-FR"/>
        </w:rPr>
        <w:t>TATS FINANCIERS</w:t>
      </w:r>
      <w:r>
        <w:tab/>
      </w:r>
      <w:r>
        <w:fldChar w:fldCharType="begin"/>
      </w:r>
      <w:r>
        <w:instrText xml:space="preserve"> PAGEREF _Toc460231963 \h </w:instrText>
      </w:r>
      <w:r>
        <w:fldChar w:fldCharType="separate"/>
      </w:r>
      <w:r w:rsidR="00627DAA">
        <w:t>9</w:t>
      </w:r>
      <w:r>
        <w:fldChar w:fldCharType="end"/>
      </w:r>
    </w:p>
    <w:p w:rsidR="00C43F20" w:rsidRDefault="00C43F20">
      <w:pPr>
        <w:pStyle w:val="TOC3"/>
        <w:rPr>
          <w:rFonts w:asciiTheme="minorHAnsi" w:eastAsiaTheme="minorEastAsia" w:hAnsiTheme="minorHAnsi" w:cstheme="minorBidi"/>
          <w:sz w:val="22"/>
          <w:szCs w:val="22"/>
          <w:lang w:val="en-US"/>
        </w:rPr>
      </w:pPr>
      <w:r>
        <w:t>État I     État de la situation financière</w:t>
      </w:r>
      <w:r>
        <w:tab/>
      </w:r>
      <w:r>
        <w:fldChar w:fldCharType="begin"/>
      </w:r>
      <w:r>
        <w:instrText xml:space="preserve"> PAGEREF _Toc460231964 \h </w:instrText>
      </w:r>
      <w:r>
        <w:fldChar w:fldCharType="separate"/>
      </w:r>
      <w:r w:rsidR="00627DAA">
        <w:t>10</w:t>
      </w:r>
      <w:r>
        <w:fldChar w:fldCharType="end"/>
      </w:r>
    </w:p>
    <w:p w:rsidR="00C43F20" w:rsidRDefault="00C43F20">
      <w:pPr>
        <w:pStyle w:val="TOC3"/>
        <w:rPr>
          <w:rFonts w:asciiTheme="minorHAnsi" w:eastAsiaTheme="minorEastAsia" w:hAnsiTheme="minorHAnsi" w:cstheme="minorBidi"/>
          <w:sz w:val="22"/>
          <w:szCs w:val="22"/>
          <w:lang w:val="en-US"/>
        </w:rPr>
      </w:pPr>
      <w:r>
        <w:t>État II    État de la performance financière</w:t>
      </w:r>
      <w:r>
        <w:tab/>
      </w:r>
      <w:r>
        <w:fldChar w:fldCharType="begin"/>
      </w:r>
      <w:r>
        <w:instrText xml:space="preserve"> PAGEREF _Toc460231965 \h </w:instrText>
      </w:r>
      <w:r>
        <w:fldChar w:fldCharType="separate"/>
      </w:r>
      <w:r w:rsidR="00627DAA">
        <w:t>11</w:t>
      </w:r>
      <w:r>
        <w:fldChar w:fldCharType="end"/>
      </w:r>
    </w:p>
    <w:p w:rsidR="00C43F20" w:rsidRDefault="00C43F20">
      <w:pPr>
        <w:pStyle w:val="TOC3"/>
        <w:rPr>
          <w:rFonts w:asciiTheme="minorHAnsi" w:eastAsiaTheme="minorEastAsia" w:hAnsiTheme="minorHAnsi" w:cstheme="minorBidi"/>
          <w:sz w:val="22"/>
          <w:szCs w:val="22"/>
          <w:lang w:val="en-US"/>
        </w:rPr>
      </w:pPr>
      <w:r>
        <w:t>État III   État des variations des actifs nets</w:t>
      </w:r>
      <w:r>
        <w:tab/>
      </w:r>
      <w:r>
        <w:fldChar w:fldCharType="begin"/>
      </w:r>
      <w:r>
        <w:instrText xml:space="preserve"> PAGEREF _Toc460231966 \h </w:instrText>
      </w:r>
      <w:r>
        <w:fldChar w:fldCharType="separate"/>
      </w:r>
      <w:r w:rsidR="00627DAA">
        <w:t>12</w:t>
      </w:r>
      <w:r>
        <w:fldChar w:fldCharType="end"/>
      </w:r>
    </w:p>
    <w:p w:rsidR="00C43F20" w:rsidRDefault="00C43F20">
      <w:pPr>
        <w:pStyle w:val="TOC3"/>
        <w:rPr>
          <w:rFonts w:asciiTheme="minorHAnsi" w:eastAsiaTheme="minorEastAsia" w:hAnsiTheme="minorHAnsi" w:cstheme="minorBidi"/>
          <w:sz w:val="22"/>
          <w:szCs w:val="22"/>
          <w:lang w:val="en-US"/>
        </w:rPr>
      </w:pPr>
      <w:r>
        <w:t>État IV   État des flux de trésorerie</w:t>
      </w:r>
      <w:r>
        <w:tab/>
      </w:r>
      <w:r>
        <w:fldChar w:fldCharType="begin"/>
      </w:r>
      <w:r>
        <w:instrText xml:space="preserve"> PAGEREF _Toc460231967 \h </w:instrText>
      </w:r>
      <w:r>
        <w:fldChar w:fldCharType="separate"/>
      </w:r>
      <w:r w:rsidR="00627DAA">
        <w:t>13</w:t>
      </w:r>
      <w:r>
        <w:fldChar w:fldCharType="end"/>
      </w:r>
    </w:p>
    <w:p w:rsidR="00C43F20" w:rsidRDefault="00C43F20">
      <w:pPr>
        <w:pStyle w:val="TOC3"/>
        <w:rPr>
          <w:rFonts w:asciiTheme="minorHAnsi" w:eastAsiaTheme="minorEastAsia" w:hAnsiTheme="minorHAnsi" w:cstheme="minorBidi"/>
          <w:sz w:val="22"/>
          <w:szCs w:val="22"/>
          <w:lang w:val="en-US"/>
        </w:rPr>
      </w:pPr>
      <w:r>
        <w:t>État V    État de comparaison des montants budgétaires et des montants réels</w:t>
      </w:r>
      <w:r>
        <w:tab/>
      </w:r>
      <w:r>
        <w:fldChar w:fldCharType="begin"/>
      </w:r>
      <w:r>
        <w:instrText xml:space="preserve"> PAGEREF _Toc460231968 \h </w:instrText>
      </w:r>
      <w:r>
        <w:fldChar w:fldCharType="separate"/>
      </w:r>
      <w:r w:rsidR="00627DAA">
        <w:t>14</w:t>
      </w:r>
      <w:r>
        <w:fldChar w:fldCharType="end"/>
      </w:r>
      <w:bookmarkStart w:id="8" w:name="_GoBack"/>
      <w:bookmarkEnd w:id="8"/>
    </w:p>
    <w:p w:rsidR="00C43F20" w:rsidRDefault="00C43F20">
      <w:pPr>
        <w:pStyle w:val="TOC3"/>
        <w:rPr>
          <w:rFonts w:asciiTheme="minorHAnsi" w:eastAsiaTheme="minorEastAsia" w:hAnsiTheme="minorHAnsi" w:cstheme="minorBidi"/>
          <w:sz w:val="22"/>
          <w:szCs w:val="22"/>
          <w:lang w:val="en-US"/>
        </w:rPr>
      </w:pPr>
      <w:r>
        <w:t>Analyse de l’état de la situation financière</w:t>
      </w:r>
      <w:r>
        <w:tab/>
      </w:r>
      <w:r>
        <w:fldChar w:fldCharType="begin"/>
      </w:r>
      <w:r>
        <w:instrText xml:space="preserve"> PAGEREF _Toc460231969 \h </w:instrText>
      </w:r>
      <w:r>
        <w:fldChar w:fldCharType="separate"/>
      </w:r>
      <w:r w:rsidR="00627DAA">
        <w:t>15</w:t>
      </w:r>
      <w:r>
        <w:fldChar w:fldCharType="end"/>
      </w:r>
    </w:p>
    <w:p w:rsidR="00C43F20" w:rsidRDefault="00C43F20">
      <w:pPr>
        <w:pStyle w:val="TOC3"/>
        <w:rPr>
          <w:rFonts w:asciiTheme="minorHAnsi" w:eastAsiaTheme="minorEastAsia" w:hAnsiTheme="minorHAnsi" w:cstheme="minorBidi"/>
          <w:sz w:val="22"/>
          <w:szCs w:val="22"/>
          <w:lang w:val="en-US"/>
        </w:rPr>
      </w:pPr>
      <w:r>
        <w:t>Analyse de l’état de la performance financière</w:t>
      </w:r>
      <w:r>
        <w:tab/>
      </w:r>
      <w:r>
        <w:fldChar w:fldCharType="begin"/>
      </w:r>
      <w:r>
        <w:instrText xml:space="preserve"> PAGEREF _Toc460231970 \h </w:instrText>
      </w:r>
      <w:r>
        <w:fldChar w:fldCharType="separate"/>
      </w:r>
      <w:r w:rsidR="00627DAA">
        <w:t>19</w:t>
      </w:r>
      <w:r>
        <w:fldChar w:fldCharType="end"/>
      </w:r>
    </w:p>
    <w:p w:rsidR="00C43F20" w:rsidRDefault="00C43F20">
      <w:pPr>
        <w:pStyle w:val="TOC1"/>
        <w:rPr>
          <w:rFonts w:asciiTheme="minorHAnsi" w:eastAsiaTheme="minorEastAsia" w:hAnsiTheme="minorHAnsi" w:cstheme="minorBidi"/>
          <w:b w:val="0"/>
          <w:caps w:val="0"/>
          <w:sz w:val="22"/>
          <w:szCs w:val="22"/>
        </w:rPr>
      </w:pPr>
      <w:r w:rsidRPr="00B7551E">
        <w:rPr>
          <w:lang w:val="fr-FR"/>
        </w:rPr>
        <w:t>FONDS DE ROULEMENT ET CONTRIBUTIONS</w:t>
      </w:r>
      <w:r>
        <w:tab/>
      </w:r>
      <w:r>
        <w:fldChar w:fldCharType="begin"/>
      </w:r>
      <w:r>
        <w:instrText xml:space="preserve"> PAGEREF _Toc460231971 \h </w:instrText>
      </w:r>
      <w:r>
        <w:fldChar w:fldCharType="separate"/>
      </w:r>
      <w:r w:rsidR="00627DAA">
        <w:t>20</w:t>
      </w:r>
      <w:r>
        <w:fldChar w:fldCharType="end"/>
      </w:r>
    </w:p>
    <w:p w:rsidR="00C43F20" w:rsidRDefault="00C43F20">
      <w:pPr>
        <w:pStyle w:val="TOC2"/>
        <w:rPr>
          <w:rFonts w:asciiTheme="minorHAnsi" w:eastAsiaTheme="minorEastAsia" w:hAnsiTheme="minorHAnsi" w:cstheme="minorBidi"/>
          <w:sz w:val="22"/>
          <w:szCs w:val="22"/>
        </w:rPr>
      </w:pPr>
      <w:r>
        <w:t>Fonds de roulement au 31 décembre 2015</w:t>
      </w:r>
      <w:r>
        <w:tab/>
      </w:r>
      <w:r>
        <w:fldChar w:fldCharType="begin"/>
      </w:r>
      <w:r>
        <w:instrText xml:space="preserve"> PAGEREF _Toc460231972 \h </w:instrText>
      </w:r>
      <w:r>
        <w:fldChar w:fldCharType="separate"/>
      </w:r>
      <w:r w:rsidR="00627DAA">
        <w:t>20</w:t>
      </w:r>
      <w:r>
        <w:fldChar w:fldCharType="end"/>
      </w:r>
    </w:p>
    <w:p w:rsidR="00C43F20" w:rsidRDefault="00C43F20">
      <w:pPr>
        <w:pStyle w:val="TOC2"/>
        <w:rPr>
          <w:rFonts w:asciiTheme="minorHAnsi" w:eastAsiaTheme="minorEastAsia" w:hAnsiTheme="minorHAnsi" w:cstheme="minorBidi"/>
          <w:sz w:val="22"/>
          <w:szCs w:val="22"/>
        </w:rPr>
      </w:pPr>
      <w:r>
        <w:t>Contributions des membres de l’Union</w:t>
      </w:r>
      <w:r>
        <w:tab/>
      </w:r>
      <w:r>
        <w:fldChar w:fldCharType="begin"/>
      </w:r>
      <w:r>
        <w:instrText xml:space="preserve"> PAGEREF _Toc460231973 \h </w:instrText>
      </w:r>
      <w:r>
        <w:fldChar w:fldCharType="separate"/>
      </w:r>
      <w:r w:rsidR="00627DAA">
        <w:t>21</w:t>
      </w:r>
      <w:r>
        <w:fldChar w:fldCharType="end"/>
      </w:r>
    </w:p>
    <w:p w:rsidR="00C43F20" w:rsidRDefault="00C43F20">
      <w:pPr>
        <w:pStyle w:val="TOC2"/>
        <w:rPr>
          <w:rFonts w:asciiTheme="minorHAnsi" w:eastAsiaTheme="minorEastAsia" w:hAnsiTheme="minorHAnsi" w:cstheme="minorBidi"/>
          <w:sz w:val="22"/>
          <w:szCs w:val="22"/>
        </w:rPr>
      </w:pPr>
      <w:r>
        <w:t>Paiements des contributions reçus d’avance</w:t>
      </w:r>
      <w:r>
        <w:tab/>
      </w:r>
      <w:r>
        <w:fldChar w:fldCharType="begin"/>
      </w:r>
      <w:r>
        <w:instrText xml:space="preserve"> PAGEREF _Toc460231974 \h </w:instrText>
      </w:r>
      <w:r>
        <w:fldChar w:fldCharType="separate"/>
      </w:r>
      <w:r w:rsidR="00627DAA">
        <w:t>23</w:t>
      </w:r>
      <w:r>
        <w:fldChar w:fldCharType="end"/>
      </w:r>
    </w:p>
    <w:p w:rsidR="00C43F20" w:rsidRDefault="00C43F20">
      <w:pPr>
        <w:pStyle w:val="TOC2"/>
        <w:rPr>
          <w:rFonts w:asciiTheme="minorHAnsi" w:eastAsiaTheme="minorEastAsia" w:hAnsiTheme="minorHAnsi" w:cstheme="minorBidi"/>
          <w:sz w:val="22"/>
          <w:szCs w:val="22"/>
        </w:rPr>
      </w:pPr>
      <w:r>
        <w:t>Montants non payés au titre des contributions et du fonds de roulement au 31 décembre 2015</w:t>
      </w:r>
      <w:r>
        <w:tab/>
      </w:r>
      <w:r>
        <w:fldChar w:fldCharType="begin"/>
      </w:r>
      <w:r>
        <w:instrText xml:space="preserve"> PAGEREF _Toc460231975 \h </w:instrText>
      </w:r>
      <w:r>
        <w:fldChar w:fldCharType="separate"/>
      </w:r>
      <w:r w:rsidR="00627DAA">
        <w:t>24</w:t>
      </w:r>
      <w:r>
        <w:fldChar w:fldCharType="end"/>
      </w:r>
    </w:p>
    <w:p w:rsidR="00C43F20" w:rsidRDefault="00C43F20">
      <w:pPr>
        <w:pStyle w:val="TOC1"/>
        <w:rPr>
          <w:rFonts w:asciiTheme="minorHAnsi" w:eastAsiaTheme="minorEastAsia" w:hAnsiTheme="minorHAnsi" w:cstheme="minorBidi"/>
          <w:b w:val="0"/>
          <w:caps w:val="0"/>
          <w:sz w:val="22"/>
          <w:szCs w:val="22"/>
        </w:rPr>
      </w:pPr>
      <w:r w:rsidRPr="00B7551E">
        <w:rPr>
          <w:lang w:val="fr-FR"/>
        </w:rPr>
        <w:t>Ressources extrabudgétaires (fonds fiduciaires)</w:t>
      </w:r>
      <w:r>
        <w:tab/>
      </w:r>
      <w:r>
        <w:fldChar w:fldCharType="begin"/>
      </w:r>
      <w:r>
        <w:instrText xml:space="preserve"> PAGEREF _Toc460231976 \h </w:instrText>
      </w:r>
      <w:r>
        <w:fldChar w:fldCharType="separate"/>
      </w:r>
      <w:r w:rsidR="00627DAA">
        <w:t>26</w:t>
      </w:r>
      <w:r>
        <w:fldChar w:fldCharType="end"/>
      </w:r>
    </w:p>
    <w:p w:rsidR="006F2554" w:rsidRPr="0077250D" w:rsidRDefault="00347590" w:rsidP="00FC14D6">
      <w:r w:rsidRPr="0077250D">
        <w:rPr>
          <w:b/>
          <w:caps/>
          <w:noProof/>
        </w:rPr>
        <w:fldChar w:fldCharType="end"/>
      </w:r>
    </w:p>
    <w:p w:rsidR="006F2554" w:rsidRPr="0077250D" w:rsidRDefault="006F2554" w:rsidP="00FC14D6">
      <w:pPr>
        <w:jc w:val="center"/>
      </w:pPr>
    </w:p>
    <w:p w:rsidR="006F2554" w:rsidRPr="0077250D" w:rsidRDefault="006F2554" w:rsidP="00FC14D6"/>
    <w:p w:rsidR="007A5B7C" w:rsidRPr="0077250D" w:rsidRDefault="007A5B7C" w:rsidP="00FC14D6">
      <w:pPr>
        <w:sectPr w:rsidR="007A5B7C" w:rsidRPr="0077250D" w:rsidSect="00141316">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6F2554" w:rsidRPr="0077250D" w:rsidRDefault="002D7C86" w:rsidP="00FC14D6">
      <w:pPr>
        <w:pStyle w:val="Heading1"/>
        <w:rPr>
          <w:lang w:val="fr-FR"/>
        </w:rPr>
      </w:pPr>
      <w:bookmarkStart w:id="9" w:name="_Toc395251214"/>
      <w:bookmarkStart w:id="10" w:name="_Toc460231954"/>
      <w:r w:rsidRPr="0077250D">
        <w:rPr>
          <w:lang w:val="fr-FR"/>
        </w:rPr>
        <w:lastRenderedPageBreak/>
        <w:t>R</w:t>
      </w:r>
      <w:r w:rsidRPr="0077250D">
        <w:rPr>
          <w:rFonts w:cs="Arial"/>
          <w:lang w:val="fr-FR"/>
        </w:rPr>
        <w:t>É</w:t>
      </w:r>
      <w:r w:rsidRPr="0077250D">
        <w:rPr>
          <w:lang w:val="fr-FR"/>
        </w:rPr>
        <w:t>SUM</w:t>
      </w:r>
      <w:r w:rsidRPr="0077250D">
        <w:rPr>
          <w:rFonts w:cs="Arial"/>
          <w:lang w:val="fr-FR"/>
        </w:rPr>
        <w:t>É</w:t>
      </w:r>
      <w:r w:rsidRPr="0077250D">
        <w:rPr>
          <w:lang w:val="fr-FR"/>
        </w:rPr>
        <w:t xml:space="preserve"> ET AnalysE </w:t>
      </w:r>
      <w:bookmarkEnd w:id="9"/>
      <w:r w:rsidRPr="0077250D">
        <w:rPr>
          <w:lang w:val="fr-FR"/>
        </w:rPr>
        <w:t>du résultat budgétaire</w:t>
      </w:r>
      <w:bookmarkEnd w:id="10"/>
    </w:p>
    <w:p w:rsidR="006F2554" w:rsidRPr="0077250D" w:rsidRDefault="006F2554" w:rsidP="00FC14D6"/>
    <w:p w:rsidR="006F2554" w:rsidRPr="0077250D" w:rsidRDefault="002D7C86" w:rsidP="00FC14D6">
      <w:pPr>
        <w:spacing w:after="200"/>
        <w:rPr>
          <w:rFonts w:eastAsiaTheme="minorHAnsi" w:cs="Arial"/>
        </w:rPr>
      </w:pPr>
      <w:r w:rsidRPr="0077250D">
        <w:rPr>
          <w:rFonts w:eastAsiaTheme="minorHAnsi" w:cs="Arial"/>
        </w:rPr>
        <w:t>Le tableau 1 ci</w:t>
      </w:r>
      <w:r w:rsidR="00F32060" w:rsidRPr="0077250D">
        <w:rPr>
          <w:rFonts w:eastAsiaTheme="minorHAnsi" w:cs="Arial"/>
        </w:rPr>
        <w:noBreakHyphen/>
      </w:r>
      <w:r w:rsidRPr="0077250D">
        <w:rPr>
          <w:rFonts w:eastAsiaTheme="minorHAnsi" w:cs="Arial"/>
        </w:rPr>
        <w:t>dessous présente le résultat budgétaire global réalisé par l</w:t>
      </w:r>
      <w:r w:rsidR="00BE613C" w:rsidRPr="0077250D">
        <w:rPr>
          <w:rFonts w:eastAsiaTheme="minorHAnsi" w:cs="Arial"/>
        </w:rPr>
        <w:t>’</w:t>
      </w:r>
      <w:r w:rsidRPr="0077250D">
        <w:rPr>
          <w:rFonts w:eastAsiaTheme="minorHAnsi" w:cs="Arial"/>
        </w:rPr>
        <w:t>UPOV pour l</w:t>
      </w:r>
      <w:r w:rsidR="00BE613C" w:rsidRPr="0077250D">
        <w:rPr>
          <w:rFonts w:eastAsiaTheme="minorHAnsi" w:cs="Arial"/>
        </w:rPr>
        <w:t>’</w:t>
      </w:r>
      <w:r w:rsidRPr="0077250D">
        <w:rPr>
          <w:rFonts w:eastAsiaTheme="minorHAnsi" w:cs="Arial"/>
        </w:rPr>
        <w:t>exercice biennal 2014</w:t>
      </w:r>
      <w:r w:rsidR="00F32060" w:rsidRPr="0077250D">
        <w:rPr>
          <w:rFonts w:eastAsiaTheme="minorHAnsi" w:cs="Arial"/>
        </w:rPr>
        <w:noBreakHyphen/>
      </w:r>
      <w:r w:rsidRPr="0077250D">
        <w:rPr>
          <w:rFonts w:eastAsiaTheme="minorHAnsi" w:cs="Arial"/>
        </w:rPr>
        <w:t>2015 ainsi que les fonds de réserve et de roulement à la fin de 2015.  Au total, les recettes (avant les ajustements IPSAS) se sont élevées à 6,8 millions de francs suisses et les dépenses budgétaires à 6,8 millions de francs suisses, soit un résultat budgétaire de 562 francs suisses pour l</w:t>
      </w:r>
      <w:r w:rsidR="00BE613C" w:rsidRPr="0077250D">
        <w:rPr>
          <w:rFonts w:eastAsiaTheme="minorHAnsi" w:cs="Arial"/>
        </w:rPr>
        <w:t>’</w:t>
      </w:r>
      <w:r w:rsidRPr="0077250D">
        <w:rPr>
          <w:rFonts w:eastAsiaTheme="minorHAnsi" w:cs="Arial"/>
        </w:rPr>
        <w:t>exercice biennal 2014</w:t>
      </w:r>
      <w:r w:rsidR="00F32060" w:rsidRPr="0077250D">
        <w:rPr>
          <w:rFonts w:eastAsiaTheme="minorHAnsi" w:cs="Arial"/>
        </w:rPr>
        <w:noBreakHyphen/>
      </w:r>
      <w:r w:rsidRPr="0077250D">
        <w:rPr>
          <w:rFonts w:eastAsiaTheme="minorHAnsi" w:cs="Arial"/>
        </w:rPr>
        <w:t>2015.</w:t>
      </w:r>
      <w:r w:rsidRPr="0077250D">
        <w:rPr>
          <w:rFonts w:eastAsiaTheme="minorHAnsi"/>
        </w:rPr>
        <w:t xml:space="preserve">  </w:t>
      </w:r>
      <w:r w:rsidRPr="0077250D">
        <w:rPr>
          <w:rFonts w:eastAsiaTheme="minorHAnsi" w:cs="Arial"/>
        </w:rPr>
        <w:t>À titre de comparaison, le budget 2014</w:t>
      </w:r>
      <w:r w:rsidR="00F32060" w:rsidRPr="0077250D">
        <w:rPr>
          <w:rFonts w:eastAsiaTheme="minorHAnsi" w:cs="Arial"/>
        </w:rPr>
        <w:noBreakHyphen/>
      </w:r>
      <w:r w:rsidRPr="0077250D">
        <w:rPr>
          <w:rFonts w:eastAsiaTheme="minorHAnsi" w:cs="Arial"/>
        </w:rPr>
        <w:t>2015 approuvé prévoyait un résultat budgétaire équival</w:t>
      </w:r>
      <w:r w:rsidR="00423475" w:rsidRPr="0077250D">
        <w:rPr>
          <w:rFonts w:eastAsiaTheme="minorHAnsi" w:cs="Arial"/>
        </w:rPr>
        <w:t>a</w:t>
      </w:r>
      <w:r w:rsidRPr="0077250D">
        <w:rPr>
          <w:rFonts w:eastAsiaTheme="minorHAnsi" w:cs="Arial"/>
        </w:rPr>
        <w:t>nt à zéro (voir le document C/47/4 </w:t>
      </w:r>
      <w:proofErr w:type="spellStart"/>
      <w:r w:rsidRPr="0077250D">
        <w:rPr>
          <w:rFonts w:eastAsiaTheme="minorHAnsi" w:cs="Arial"/>
        </w:rPr>
        <w:t>Rev</w:t>
      </w:r>
      <w:proofErr w:type="spellEnd"/>
      <w:r w:rsidRPr="0077250D">
        <w:rPr>
          <w:rFonts w:eastAsiaTheme="minorHAnsi" w:cs="Arial"/>
        </w:rPr>
        <w:t>.).</w:t>
      </w:r>
    </w:p>
    <w:p w:rsidR="006F2554" w:rsidRPr="0077250D" w:rsidRDefault="002D7C86" w:rsidP="00FC14D6">
      <w:pPr>
        <w:spacing w:after="200"/>
        <w:rPr>
          <w:rFonts w:eastAsiaTheme="minorHAnsi" w:cs="Arial"/>
        </w:rPr>
      </w:pPr>
      <w:r w:rsidRPr="0077250D">
        <w:rPr>
          <w:rFonts w:eastAsiaTheme="minorHAnsi" w:cs="Arial"/>
        </w:rPr>
        <w:t>Fin 2015, le total des fonds de réserve et de roulement s</w:t>
      </w:r>
      <w:r w:rsidR="00BE613C" w:rsidRPr="0077250D">
        <w:rPr>
          <w:rFonts w:eastAsiaTheme="minorHAnsi" w:cs="Arial"/>
        </w:rPr>
        <w:t>’</w:t>
      </w:r>
      <w:r w:rsidRPr="0077250D">
        <w:rPr>
          <w:rFonts w:eastAsiaTheme="minorHAnsi" w:cs="Arial"/>
        </w:rPr>
        <w:t xml:space="preserve">est élevé à 1,7 million de francs suisses, </w:t>
      </w:r>
      <w:r w:rsidR="00BE613C" w:rsidRPr="0077250D">
        <w:rPr>
          <w:rFonts w:eastAsiaTheme="minorHAnsi" w:cs="Arial"/>
        </w:rPr>
        <w:t>à savoir</w:t>
      </w:r>
      <w:r w:rsidRPr="0077250D">
        <w:rPr>
          <w:rFonts w:eastAsiaTheme="minorHAnsi" w:cs="Arial"/>
        </w:rPr>
        <w:t xml:space="preserve"> 1,1 million de francs suisses dans le fonds de réserve, 70 000 francs suisses dans le Fonds spécial pour des projets et 0,5 million de francs suisses dans le fonds de roulement.</w:t>
      </w:r>
    </w:p>
    <w:p w:rsidR="006F2554" w:rsidRPr="0077250D" w:rsidRDefault="00944332" w:rsidP="00FE6D2F">
      <w:pPr>
        <w:pStyle w:val="Heading2"/>
      </w:pPr>
      <w:bookmarkStart w:id="11" w:name="_Toc460231955"/>
      <w:r w:rsidRPr="0077250D">
        <w:t>Tableau</w:t>
      </w:r>
      <w:r w:rsidR="00FB471C" w:rsidRPr="0077250D">
        <w:t> </w:t>
      </w:r>
      <w:r w:rsidRPr="0077250D">
        <w:t>1.</w:t>
      </w:r>
      <w:r w:rsidR="00C67BFC">
        <w:t xml:space="preserve">  </w:t>
      </w:r>
      <w:proofErr w:type="spellStart"/>
      <w:r w:rsidR="00975A7C" w:rsidRPr="0077250D">
        <w:t>Recettes</w:t>
      </w:r>
      <w:proofErr w:type="spellEnd"/>
      <w:r w:rsidR="00975A7C" w:rsidRPr="0077250D">
        <w:t xml:space="preserve">, </w:t>
      </w:r>
      <w:proofErr w:type="spellStart"/>
      <w:r w:rsidR="00975A7C" w:rsidRPr="0077250D">
        <w:t>dépenses</w:t>
      </w:r>
      <w:proofErr w:type="spellEnd"/>
      <w:r w:rsidR="00975A7C" w:rsidRPr="0077250D">
        <w:t xml:space="preserve"> et </w:t>
      </w:r>
      <w:proofErr w:type="spellStart"/>
      <w:r w:rsidR="00975A7C" w:rsidRPr="0077250D">
        <w:t>fonds</w:t>
      </w:r>
      <w:proofErr w:type="spellEnd"/>
      <w:r w:rsidR="00975A7C" w:rsidRPr="0077250D">
        <w:t xml:space="preserve"> de rés</w:t>
      </w:r>
      <w:r w:rsidR="00FE6D2F">
        <w:t xml:space="preserve">erve et de roulement (FFR) pour </w:t>
      </w:r>
      <w:r w:rsidR="00975A7C" w:rsidRPr="0077250D">
        <w:t>l</w:t>
      </w:r>
      <w:r w:rsidR="00BE613C" w:rsidRPr="0077250D">
        <w:t>’</w:t>
      </w:r>
      <w:r w:rsidR="00FE6D2F">
        <w:t>exercice </w:t>
      </w:r>
      <w:r w:rsidR="00975A7C" w:rsidRPr="0077250D">
        <w:t>biennal</w:t>
      </w:r>
      <w:r w:rsidR="00FB471C" w:rsidRPr="0077250D">
        <w:t> </w:t>
      </w:r>
      <w:r w:rsidR="00975A7C" w:rsidRPr="0077250D">
        <w:t>2014</w:t>
      </w:r>
      <w:r w:rsidR="00F32060" w:rsidRPr="0077250D">
        <w:noBreakHyphen/>
      </w:r>
      <w:r w:rsidR="00975A7C" w:rsidRPr="0077250D">
        <w:t>2015</w:t>
      </w:r>
      <w:bookmarkEnd w:id="11"/>
    </w:p>
    <w:p w:rsidR="006F2554" w:rsidRPr="0077250D" w:rsidRDefault="00975A7C" w:rsidP="00FC14D6">
      <w:pPr>
        <w:spacing w:after="200"/>
        <w:jc w:val="center"/>
        <w:rPr>
          <w:rFonts w:eastAsiaTheme="minorHAnsi" w:cs="Arial"/>
          <w:i/>
        </w:rPr>
      </w:pPr>
      <w:r w:rsidRPr="0077250D">
        <w:rPr>
          <w:rFonts w:eastAsiaTheme="minorHAnsi" w:cs="Arial"/>
          <w:i/>
        </w:rPr>
        <w:t>(en milliers de francs suisses)</w:t>
      </w:r>
    </w:p>
    <w:p w:rsidR="00347590" w:rsidRPr="0077250D" w:rsidRDefault="00FC14D6" w:rsidP="00FC14D6">
      <w:pPr>
        <w:jc w:val="center"/>
        <w:rPr>
          <w:rFonts w:eastAsiaTheme="minorHAnsi"/>
        </w:rPr>
      </w:pPr>
      <w:r w:rsidRPr="0077250D">
        <w:rPr>
          <w:rFonts w:eastAsiaTheme="minorHAnsi"/>
          <w:noProof/>
          <w:lang w:val="en-US"/>
        </w:rPr>
        <w:drawing>
          <wp:inline distT="0" distB="0" distL="0" distR="0" wp14:anchorId="6948B3BC" wp14:editId="25242890">
            <wp:extent cx="5398770" cy="2487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8770" cy="2487295"/>
                    </a:xfrm>
                    <a:prstGeom prst="rect">
                      <a:avLst/>
                    </a:prstGeom>
                    <a:noFill/>
                    <a:ln>
                      <a:noFill/>
                    </a:ln>
                  </pic:spPr>
                </pic:pic>
              </a:graphicData>
            </a:graphic>
          </wp:inline>
        </w:drawing>
      </w:r>
    </w:p>
    <w:p w:rsidR="006F2554" w:rsidRPr="0077250D" w:rsidRDefault="006F2554" w:rsidP="00FC14D6">
      <w:pPr>
        <w:rPr>
          <w:rFonts w:eastAsiaTheme="minorHAnsi"/>
        </w:rPr>
      </w:pPr>
    </w:p>
    <w:p w:rsidR="005E7BB7" w:rsidRPr="0077250D" w:rsidRDefault="009F5071" w:rsidP="0077250D">
      <w:pPr>
        <w:tabs>
          <w:tab w:val="left" w:pos="851"/>
        </w:tabs>
        <w:ind w:left="567"/>
        <w:rPr>
          <w:i/>
          <w:sz w:val="18"/>
          <w:szCs w:val="18"/>
        </w:rPr>
      </w:pPr>
      <w:r w:rsidRPr="0077250D">
        <w:rPr>
          <w:i/>
          <w:sz w:val="18"/>
          <w:szCs w:val="18"/>
        </w:rPr>
        <w:t>*</w:t>
      </w:r>
      <w:r w:rsidR="0077250D" w:rsidRPr="0077250D">
        <w:rPr>
          <w:i/>
          <w:sz w:val="18"/>
          <w:szCs w:val="18"/>
        </w:rPr>
        <w:tab/>
      </w:r>
      <w:r w:rsidRPr="0077250D">
        <w:rPr>
          <w:i/>
          <w:sz w:val="18"/>
          <w:szCs w:val="18"/>
        </w:rPr>
        <w:t>En</w:t>
      </w:r>
      <w:r w:rsidR="00FB471C" w:rsidRPr="0077250D">
        <w:rPr>
          <w:i/>
          <w:sz w:val="18"/>
          <w:szCs w:val="18"/>
        </w:rPr>
        <w:t> </w:t>
      </w:r>
      <w:r w:rsidRPr="0077250D">
        <w:rPr>
          <w:i/>
          <w:sz w:val="18"/>
          <w:szCs w:val="18"/>
        </w:rPr>
        <w:t>2015, un montant de</w:t>
      </w:r>
      <w:r w:rsidR="008B05B2" w:rsidRPr="0077250D">
        <w:rPr>
          <w:i/>
          <w:sz w:val="18"/>
          <w:szCs w:val="18"/>
        </w:rPr>
        <w:t xml:space="preserve"> </w:t>
      </w:r>
      <w:r w:rsidRPr="0077250D">
        <w:rPr>
          <w:i/>
          <w:sz w:val="18"/>
          <w:szCs w:val="18"/>
        </w:rPr>
        <w:t>183 824</w:t>
      </w:r>
      <w:r w:rsidR="00FB471C" w:rsidRPr="0077250D">
        <w:rPr>
          <w:i/>
          <w:sz w:val="18"/>
          <w:szCs w:val="18"/>
        </w:rPr>
        <w:t> </w:t>
      </w:r>
      <w:r w:rsidRPr="0077250D">
        <w:rPr>
          <w:i/>
          <w:sz w:val="18"/>
          <w:szCs w:val="18"/>
        </w:rPr>
        <w:t>francs suisses, représentant le montant du fonds de réserve dépassant 15% des recettes totales pour l</w:t>
      </w:r>
      <w:r w:rsidR="00BE613C" w:rsidRPr="0077250D">
        <w:rPr>
          <w:i/>
          <w:sz w:val="18"/>
          <w:szCs w:val="18"/>
        </w:rPr>
        <w:t>’</w:t>
      </w:r>
      <w:r w:rsidRPr="0077250D">
        <w:rPr>
          <w:i/>
          <w:sz w:val="18"/>
          <w:szCs w:val="18"/>
        </w:rPr>
        <w:t>exercice bienna</w:t>
      </w:r>
      <w:r w:rsidR="001604A3" w:rsidRPr="0077250D">
        <w:rPr>
          <w:i/>
          <w:sz w:val="18"/>
          <w:szCs w:val="18"/>
        </w:rPr>
        <w:t>l</w:t>
      </w:r>
      <w:r w:rsidR="00FB471C" w:rsidRPr="0077250D">
        <w:rPr>
          <w:i/>
          <w:sz w:val="18"/>
          <w:szCs w:val="18"/>
        </w:rPr>
        <w:t> </w:t>
      </w:r>
      <w:r w:rsidR="001604A3" w:rsidRPr="0077250D">
        <w:rPr>
          <w:i/>
          <w:sz w:val="18"/>
          <w:szCs w:val="18"/>
        </w:rPr>
        <w:t>2012</w:t>
      </w:r>
      <w:r w:rsidR="00F32060" w:rsidRPr="0077250D">
        <w:rPr>
          <w:i/>
          <w:sz w:val="18"/>
          <w:szCs w:val="18"/>
        </w:rPr>
        <w:noBreakHyphen/>
      </w:r>
      <w:r w:rsidR="001604A3" w:rsidRPr="0077250D">
        <w:rPr>
          <w:i/>
          <w:sz w:val="18"/>
          <w:szCs w:val="18"/>
        </w:rPr>
        <w:t>2013, a été transféré vers</w:t>
      </w:r>
      <w:r w:rsidRPr="0077250D">
        <w:rPr>
          <w:i/>
          <w:sz w:val="18"/>
          <w:szCs w:val="18"/>
        </w:rPr>
        <w:t xml:space="preserve"> un Fonds spécial pour des proje</w:t>
      </w:r>
      <w:r w:rsidR="00F32060" w:rsidRPr="0077250D">
        <w:rPr>
          <w:i/>
          <w:sz w:val="18"/>
          <w:szCs w:val="18"/>
        </w:rPr>
        <w:t>ts.  De</w:t>
      </w:r>
      <w:r w:rsidR="008D5077" w:rsidRPr="0077250D">
        <w:rPr>
          <w:i/>
          <w:sz w:val="18"/>
          <w:szCs w:val="18"/>
        </w:rPr>
        <w:t xml:space="preserve"> ce montant, 114 151</w:t>
      </w:r>
      <w:r w:rsidR="00FB471C" w:rsidRPr="0077250D">
        <w:rPr>
          <w:i/>
          <w:sz w:val="18"/>
          <w:szCs w:val="18"/>
        </w:rPr>
        <w:t> </w:t>
      </w:r>
      <w:r w:rsidR="008D5077" w:rsidRPr="0077250D">
        <w:rPr>
          <w:i/>
          <w:sz w:val="18"/>
          <w:szCs w:val="18"/>
        </w:rPr>
        <w:t>francs suisses ont été dépensés en</w:t>
      </w:r>
      <w:r w:rsidR="00FB471C" w:rsidRPr="0077250D">
        <w:rPr>
          <w:i/>
          <w:sz w:val="18"/>
          <w:szCs w:val="18"/>
        </w:rPr>
        <w:t> </w:t>
      </w:r>
      <w:r w:rsidR="008D5077" w:rsidRPr="0077250D">
        <w:rPr>
          <w:i/>
          <w:sz w:val="18"/>
          <w:szCs w:val="18"/>
        </w:rPr>
        <w:t xml:space="preserve">2015, de sorte que le solde </w:t>
      </w:r>
      <w:r w:rsidR="001604A3" w:rsidRPr="0077250D">
        <w:rPr>
          <w:i/>
          <w:sz w:val="18"/>
          <w:szCs w:val="18"/>
        </w:rPr>
        <w:t xml:space="preserve">du Fonds spécial pour des projets </w:t>
      </w:r>
      <w:r w:rsidR="008D5077" w:rsidRPr="0077250D">
        <w:rPr>
          <w:i/>
          <w:sz w:val="18"/>
          <w:szCs w:val="18"/>
        </w:rPr>
        <w:t>s</w:t>
      </w:r>
      <w:r w:rsidR="00BE613C" w:rsidRPr="0077250D">
        <w:rPr>
          <w:i/>
          <w:sz w:val="18"/>
          <w:szCs w:val="18"/>
        </w:rPr>
        <w:t>’</w:t>
      </w:r>
      <w:r w:rsidR="008D5077" w:rsidRPr="0077250D">
        <w:rPr>
          <w:i/>
          <w:sz w:val="18"/>
          <w:szCs w:val="18"/>
        </w:rPr>
        <w:t>élevait à 69 673</w:t>
      </w:r>
      <w:r w:rsidR="00FB471C" w:rsidRPr="0077250D">
        <w:rPr>
          <w:i/>
          <w:sz w:val="18"/>
          <w:szCs w:val="18"/>
        </w:rPr>
        <w:t> </w:t>
      </w:r>
      <w:r w:rsidR="008D5077" w:rsidRPr="0077250D">
        <w:rPr>
          <w:i/>
          <w:sz w:val="18"/>
          <w:szCs w:val="18"/>
        </w:rPr>
        <w:t>francs suisses au 3</w:t>
      </w:r>
      <w:r w:rsidR="00BE613C" w:rsidRPr="0077250D">
        <w:rPr>
          <w:i/>
          <w:sz w:val="18"/>
          <w:szCs w:val="18"/>
        </w:rPr>
        <w:t>1 décembre 20</w:t>
      </w:r>
      <w:r w:rsidR="008D5077" w:rsidRPr="0077250D">
        <w:rPr>
          <w:i/>
          <w:sz w:val="18"/>
          <w:szCs w:val="18"/>
        </w:rPr>
        <w:t>15.</w:t>
      </w:r>
    </w:p>
    <w:p w:rsidR="006F2554" w:rsidRPr="0077250D" w:rsidRDefault="006F2554" w:rsidP="00FC14D6">
      <w:pPr>
        <w:rPr>
          <w:rFonts w:eastAsiaTheme="minorHAnsi"/>
        </w:rPr>
      </w:pPr>
    </w:p>
    <w:p w:rsidR="006F2554" w:rsidRPr="0077250D" w:rsidRDefault="006F2554" w:rsidP="00FC14D6"/>
    <w:p w:rsidR="006F2554" w:rsidRPr="0077250D" w:rsidRDefault="008D5077" w:rsidP="00FC14D6">
      <w:r w:rsidRPr="0077250D">
        <w:t>Les recettes effectives pour l</w:t>
      </w:r>
      <w:r w:rsidR="00BE613C" w:rsidRPr="0077250D">
        <w:t>’</w:t>
      </w:r>
      <w:r w:rsidRPr="0077250D">
        <w:t>exercice biennal</w:t>
      </w:r>
      <w:r w:rsidR="00FB471C" w:rsidRPr="0077250D">
        <w:t> </w:t>
      </w:r>
      <w:r w:rsidRPr="0077250D">
        <w:t>2014</w:t>
      </w:r>
      <w:r w:rsidR="00F32060" w:rsidRPr="0077250D">
        <w:noBreakHyphen/>
      </w:r>
      <w:r w:rsidRPr="0077250D">
        <w:t>2015 se sont élevées à 6,8</w:t>
      </w:r>
      <w:r w:rsidR="00FB471C" w:rsidRPr="0077250D">
        <w:t> </w:t>
      </w:r>
      <w:r w:rsidRPr="0077250D">
        <w:t>millions de francs suisses, soit 957</w:t>
      </w:r>
      <w:r w:rsidR="00FB471C" w:rsidRPr="0077250D">
        <w:t> </w:t>
      </w:r>
      <w:r w:rsidRPr="0077250D">
        <w:t>francs suisses de moins que l</w:t>
      </w:r>
      <w:r w:rsidR="00BE613C" w:rsidRPr="0077250D">
        <w:t>’</w:t>
      </w:r>
      <w:r w:rsidRPr="0077250D">
        <w:t>objectif inscrit au budget (tableau</w:t>
      </w:r>
      <w:r w:rsidR="00FB471C" w:rsidRPr="0077250D">
        <w:t> </w:t>
      </w:r>
      <w:r w:rsidRPr="0077250D">
        <w:t>2 ci</w:t>
      </w:r>
      <w:r w:rsidR="00F32060" w:rsidRPr="0077250D">
        <w:noBreakHyphen/>
      </w:r>
      <w:r w:rsidRPr="0077250D">
        <w:t>desso</w:t>
      </w:r>
      <w:r w:rsidR="00F32060" w:rsidRPr="0077250D">
        <w:t>us).  Le</w:t>
      </w:r>
      <w:r w:rsidR="002456C8" w:rsidRPr="0077250D">
        <w:t>s contributions sont restées de loin la source de recettes la plus importante, représentant 98% des recettes totales, conformément au programme et budget approuvé pour l</w:t>
      </w:r>
      <w:r w:rsidR="00BE613C" w:rsidRPr="0077250D">
        <w:t>’</w:t>
      </w:r>
      <w:r w:rsidR="002456C8" w:rsidRPr="0077250D">
        <w:t>exercice biennal</w:t>
      </w:r>
      <w:r w:rsidR="00FB471C" w:rsidRPr="0077250D">
        <w:t> </w:t>
      </w:r>
      <w:r w:rsidR="002456C8" w:rsidRPr="0077250D">
        <w:t>2014</w:t>
      </w:r>
      <w:r w:rsidR="00F32060" w:rsidRPr="0077250D">
        <w:noBreakHyphen/>
      </w:r>
      <w:r w:rsidR="002456C8" w:rsidRPr="0077250D">
        <w:t>2015.</w:t>
      </w:r>
      <w:r w:rsidR="008402C8" w:rsidRPr="0077250D">
        <w:t xml:space="preserve">  </w:t>
      </w:r>
      <w:r w:rsidR="002456C8" w:rsidRPr="0077250D">
        <w:t>La prévision des recettes provenant des contributions dans le programme et budget 2014</w:t>
      </w:r>
      <w:r w:rsidR="00F32060" w:rsidRPr="0077250D">
        <w:noBreakHyphen/>
      </w:r>
      <w:r w:rsidR="002456C8" w:rsidRPr="0077250D">
        <w:t>2015 était basée sur l</w:t>
      </w:r>
      <w:r w:rsidR="00BE613C" w:rsidRPr="0077250D">
        <w:t>’</w:t>
      </w:r>
      <w:r w:rsidR="002456C8" w:rsidRPr="0077250D">
        <w:t>hypothèse d</w:t>
      </w:r>
      <w:r w:rsidR="00BE613C" w:rsidRPr="0077250D">
        <w:t>’</w:t>
      </w:r>
      <w:r w:rsidR="002456C8" w:rsidRPr="0077250D">
        <w:t>un nouveau membre de l</w:t>
      </w:r>
      <w:r w:rsidR="00BE613C" w:rsidRPr="0077250D">
        <w:t>’</w:t>
      </w:r>
      <w:r w:rsidR="002456C8" w:rsidRPr="0077250D">
        <w:t xml:space="preserve">Union par an, chacun contribuant au budget à hauteur de </w:t>
      </w:r>
      <w:r w:rsidR="00423475" w:rsidRPr="0077250D">
        <w:t>0,2 </w:t>
      </w:r>
      <w:r w:rsidR="002456C8" w:rsidRPr="0077250D">
        <w:t>unité de contributi</w:t>
      </w:r>
      <w:r w:rsidR="00F32060" w:rsidRPr="0077250D">
        <w:t>on.  Un</w:t>
      </w:r>
      <w:r w:rsidR="001026B5" w:rsidRPr="0077250D">
        <w:t xml:space="preserve"> nouveau membre a rejoint l</w:t>
      </w:r>
      <w:r w:rsidR="00BE613C" w:rsidRPr="0077250D">
        <w:t>’</w:t>
      </w:r>
      <w:r w:rsidR="001026B5" w:rsidRPr="0077250D">
        <w:t>Union en</w:t>
      </w:r>
      <w:r w:rsidR="00FB471C" w:rsidRPr="0077250D">
        <w:t> </w:t>
      </w:r>
      <w:r w:rsidR="001026B5" w:rsidRPr="0077250D">
        <w:t>2013 (Serbie) et en</w:t>
      </w:r>
      <w:r w:rsidR="00FB471C" w:rsidRPr="0077250D">
        <w:t> </w:t>
      </w:r>
      <w:r w:rsidR="001026B5" w:rsidRPr="0077250D">
        <w:t xml:space="preserve">2014 (Organisation africaine de la propriété intellectuelle (OAPI)), chacun contribuant à hauteur de </w:t>
      </w:r>
      <w:r w:rsidR="00423475" w:rsidRPr="0077250D">
        <w:t>0,2 </w:t>
      </w:r>
      <w:r w:rsidR="001026B5" w:rsidRPr="0077250D">
        <w:t>unité à partir, respectivement, de</w:t>
      </w:r>
      <w:r w:rsidR="00FB471C" w:rsidRPr="0077250D">
        <w:t> </w:t>
      </w:r>
      <w:r w:rsidR="001026B5" w:rsidRPr="0077250D">
        <w:t>2014 et 2015.</w:t>
      </w:r>
      <w:r w:rsidR="008402C8" w:rsidRPr="0077250D">
        <w:t xml:space="preserve">  </w:t>
      </w:r>
      <w:r w:rsidR="00AC58A4" w:rsidRPr="0077250D">
        <w:t>Les publications n</w:t>
      </w:r>
      <w:r w:rsidR="00BE613C" w:rsidRPr="0077250D">
        <w:t>’</w:t>
      </w:r>
      <w:r w:rsidR="00AC58A4" w:rsidRPr="0077250D">
        <w:t xml:space="preserve">ont pas </w:t>
      </w:r>
      <w:r w:rsidR="00FC14D6" w:rsidRPr="0077250D">
        <w:t>produit</w:t>
      </w:r>
      <w:r w:rsidR="00AC58A4" w:rsidRPr="0077250D">
        <w:t xml:space="preserve"> de recettes au cours de l</w:t>
      </w:r>
      <w:r w:rsidR="00BE613C" w:rsidRPr="0077250D">
        <w:t>’</w:t>
      </w:r>
      <w:r w:rsidR="00AC58A4" w:rsidRPr="0077250D">
        <w:t>exercice biennal</w:t>
      </w:r>
      <w:r w:rsidR="00FB471C" w:rsidRPr="0077250D">
        <w:t> </w:t>
      </w:r>
      <w:r w:rsidR="00AC58A4" w:rsidRPr="0077250D">
        <w:t>2014</w:t>
      </w:r>
      <w:r w:rsidR="00F32060" w:rsidRPr="0077250D">
        <w:noBreakHyphen/>
      </w:r>
      <w:r w:rsidR="00AC58A4" w:rsidRPr="0077250D">
        <w:t>2015, car elles sont toutes disponibles gratuiteme</w:t>
      </w:r>
      <w:r w:rsidR="00F32060" w:rsidRPr="0077250D">
        <w:t>nt.  Le</w:t>
      </w:r>
      <w:r w:rsidR="00F769B8" w:rsidRPr="0077250D">
        <w:t>s recettes provenant des intérêts se sont élevées à 14 000</w:t>
      </w:r>
      <w:r w:rsidR="00FB471C" w:rsidRPr="0077250D">
        <w:t> </w:t>
      </w:r>
      <w:r w:rsidR="00F769B8" w:rsidRPr="0077250D">
        <w:t xml:space="preserve">francs suisses, soit </w:t>
      </w:r>
      <w:r w:rsidR="00FB471C" w:rsidRPr="0077250D">
        <w:t>6000 </w:t>
      </w:r>
      <w:r w:rsidR="00F769B8" w:rsidRPr="0077250D">
        <w:t>francs suisses de moins que le montant pré</w:t>
      </w:r>
      <w:r w:rsidR="00F32060" w:rsidRPr="0077250D">
        <w:t>vu.  Au</w:t>
      </w:r>
      <w:r w:rsidR="00F769B8" w:rsidRPr="0077250D">
        <w:t>cun intérêt n</w:t>
      </w:r>
      <w:r w:rsidR="00BE613C" w:rsidRPr="0077250D">
        <w:t>’</w:t>
      </w:r>
      <w:r w:rsidR="00F769B8" w:rsidRPr="0077250D">
        <w:t>a été perçu sur les fonds placés auprès de l</w:t>
      </w:r>
      <w:r w:rsidR="00BE613C" w:rsidRPr="0077250D">
        <w:t>’</w:t>
      </w:r>
      <w:r w:rsidR="00F769B8" w:rsidRPr="0077250D">
        <w:t>Administration fédérale des finances (AFF) en</w:t>
      </w:r>
      <w:r w:rsidR="00FB471C" w:rsidRPr="0077250D">
        <w:t> </w:t>
      </w:r>
      <w:r w:rsidR="00F769B8" w:rsidRPr="0077250D">
        <w:t>2015, en raison de l</w:t>
      </w:r>
      <w:r w:rsidR="00BE613C" w:rsidRPr="0077250D">
        <w:t>’</w:t>
      </w:r>
      <w:r w:rsidR="00F769B8" w:rsidRPr="0077250D">
        <w:t>évolution de la politique de taux d</w:t>
      </w:r>
      <w:r w:rsidR="00BE613C" w:rsidRPr="0077250D">
        <w:t>’</w:t>
      </w:r>
      <w:r w:rsidR="00F769B8" w:rsidRPr="0077250D">
        <w:t xml:space="preserve">intérêt de </w:t>
      </w:r>
      <w:r w:rsidR="001604A3" w:rsidRPr="0077250D">
        <w:t>cette administrati</w:t>
      </w:r>
      <w:r w:rsidR="00F32060" w:rsidRPr="0077250D">
        <w:t>on.  Le</w:t>
      </w:r>
      <w:r w:rsidR="00F769B8" w:rsidRPr="0077250D">
        <w:t>s autres recettes ont atteint 100 000</w:t>
      </w:r>
      <w:r w:rsidR="00FB471C" w:rsidRPr="0077250D">
        <w:t> </w:t>
      </w:r>
      <w:r w:rsidR="00F769B8" w:rsidRPr="0077250D">
        <w:t>francs suisses, soit 14</w:t>
      </w:r>
      <w:r w:rsidR="00FB471C" w:rsidRPr="0077250D">
        <w:t> </w:t>
      </w:r>
      <w:r w:rsidR="00F769B8" w:rsidRPr="0077250D">
        <w:t>francs suisses de plus que le montant pré</w:t>
      </w:r>
      <w:r w:rsidR="00F32060" w:rsidRPr="0077250D">
        <w:t>vu.  El</w:t>
      </w:r>
      <w:r w:rsidR="00BD6AA7" w:rsidRPr="0077250D">
        <w:t xml:space="preserve">les </w:t>
      </w:r>
      <w:r w:rsidR="006D4D7B" w:rsidRPr="0077250D">
        <w:t>provenaient</w:t>
      </w:r>
      <w:r w:rsidR="00BD6AA7" w:rsidRPr="0077250D">
        <w:t xml:space="preserve"> des coûts </w:t>
      </w:r>
      <w:r w:rsidR="003240C6" w:rsidRPr="0077250D">
        <w:t>d</w:t>
      </w:r>
      <w:r w:rsidR="00BE613C" w:rsidRPr="0077250D">
        <w:t>’</w:t>
      </w:r>
      <w:r w:rsidR="001273F6" w:rsidRPr="0077250D">
        <w:t xml:space="preserve">appui administratif </w:t>
      </w:r>
      <w:r w:rsidR="003240C6" w:rsidRPr="0077250D">
        <w:t>financés par les</w:t>
      </w:r>
      <w:r w:rsidR="00BD6AA7" w:rsidRPr="0077250D">
        <w:t xml:space="preserve"> ressources extrabudgétaires (par ex</w:t>
      </w:r>
      <w:r w:rsidR="006D4D7B" w:rsidRPr="0077250D">
        <w:t xml:space="preserve">emple, les fonds fiduciaires), </w:t>
      </w:r>
      <w:r w:rsidR="00485BCC" w:rsidRPr="0077250D">
        <w:t>d</w:t>
      </w:r>
      <w:r w:rsidR="00BD6AA7" w:rsidRPr="0077250D">
        <w:t xml:space="preserve">es frais </w:t>
      </w:r>
      <w:r w:rsidR="001604A3" w:rsidRPr="0077250D">
        <w:t xml:space="preserve">versés par les </w:t>
      </w:r>
      <w:r w:rsidR="006D4D7B" w:rsidRPr="0077250D">
        <w:t>participa</w:t>
      </w:r>
      <w:r w:rsidR="001604A3" w:rsidRPr="0077250D">
        <w:t>n</w:t>
      </w:r>
      <w:r w:rsidR="001273F6" w:rsidRPr="0077250D">
        <w:t>t</w:t>
      </w:r>
      <w:r w:rsidR="001604A3" w:rsidRPr="0077250D">
        <w:t>s</w:t>
      </w:r>
      <w:r w:rsidR="00BD6AA7" w:rsidRPr="0077250D">
        <w:t xml:space="preserve"> au programme d</w:t>
      </w:r>
      <w:r w:rsidR="00BE613C" w:rsidRPr="0077250D">
        <w:t>’</w:t>
      </w:r>
      <w:r w:rsidR="00BD6AA7" w:rsidRPr="0077250D">
        <w:t>enseig</w:t>
      </w:r>
      <w:r w:rsidR="006D4D7B" w:rsidRPr="0077250D">
        <w:t>nement à distance de l</w:t>
      </w:r>
      <w:r w:rsidR="00BE613C" w:rsidRPr="0077250D">
        <w:t>’</w:t>
      </w:r>
      <w:r w:rsidR="006D4D7B" w:rsidRPr="0077250D">
        <w:t>UPOV et d</w:t>
      </w:r>
      <w:r w:rsidR="00BD6AA7" w:rsidRPr="0077250D">
        <w:t>es ajustements com</w:t>
      </w:r>
      <w:r w:rsidR="006D4D7B" w:rsidRPr="0077250D">
        <w:t>ptables des années précédentes.</w:t>
      </w:r>
    </w:p>
    <w:p w:rsidR="006F2554" w:rsidRPr="0077250D" w:rsidRDefault="004D202D" w:rsidP="00FC14D6">
      <w:pPr>
        <w:rPr>
          <w:rFonts w:eastAsiaTheme="minorHAnsi"/>
          <w:b/>
          <w:u w:val="single"/>
        </w:rPr>
      </w:pPr>
      <w:r w:rsidRPr="0077250D">
        <w:br w:type="page"/>
      </w:r>
    </w:p>
    <w:p w:rsidR="005E7BB7" w:rsidRPr="0077250D" w:rsidRDefault="0045380F" w:rsidP="00D630E8">
      <w:pPr>
        <w:pStyle w:val="Heading2"/>
        <w:rPr>
          <w:lang w:val="fr-FR"/>
        </w:rPr>
      </w:pPr>
      <w:bookmarkStart w:id="12" w:name="_Toc460231956"/>
      <w:r w:rsidRPr="0077250D">
        <w:rPr>
          <w:lang w:val="fr-FR"/>
        </w:rPr>
        <w:t>Tableau</w:t>
      </w:r>
      <w:r w:rsidR="00FB471C" w:rsidRPr="0077250D">
        <w:rPr>
          <w:lang w:val="fr-FR"/>
        </w:rPr>
        <w:t> </w:t>
      </w:r>
      <w:r w:rsidRPr="0077250D">
        <w:rPr>
          <w:lang w:val="fr-FR"/>
        </w:rPr>
        <w:t>2.</w:t>
      </w:r>
      <w:r w:rsidR="00C67BFC">
        <w:rPr>
          <w:lang w:val="fr-FR"/>
        </w:rPr>
        <w:t xml:space="preserve">  </w:t>
      </w:r>
      <w:r w:rsidRPr="0077250D">
        <w:rPr>
          <w:lang w:val="fr-FR"/>
        </w:rPr>
        <w:t xml:space="preserve">Recettes prévues et effectives </w:t>
      </w:r>
      <w:r w:rsidR="001604A3" w:rsidRPr="0077250D">
        <w:rPr>
          <w:lang w:val="fr-FR"/>
        </w:rPr>
        <w:t xml:space="preserve">par source </w:t>
      </w:r>
      <w:r w:rsidR="007371C8" w:rsidRPr="0077250D">
        <w:rPr>
          <w:lang w:val="fr-FR"/>
        </w:rPr>
        <w:t xml:space="preserve">pour </w:t>
      </w:r>
      <w:r w:rsidR="001604A3" w:rsidRPr="0077250D">
        <w:rPr>
          <w:lang w:val="fr-FR"/>
        </w:rPr>
        <w:t>l</w:t>
      </w:r>
      <w:r w:rsidR="00BE613C" w:rsidRPr="0077250D">
        <w:rPr>
          <w:lang w:val="fr-FR"/>
        </w:rPr>
        <w:t>’</w:t>
      </w:r>
      <w:r w:rsidR="001604A3" w:rsidRPr="0077250D">
        <w:rPr>
          <w:lang w:val="fr-FR"/>
        </w:rPr>
        <w:t>exercice biennal</w:t>
      </w:r>
      <w:r w:rsidR="00FB471C" w:rsidRPr="0077250D">
        <w:rPr>
          <w:lang w:val="fr-FR"/>
        </w:rPr>
        <w:t> </w:t>
      </w:r>
      <w:r w:rsidR="007371C8" w:rsidRPr="0077250D">
        <w:rPr>
          <w:lang w:val="fr-FR"/>
        </w:rPr>
        <w:t>2014</w:t>
      </w:r>
      <w:r w:rsidR="00F32060" w:rsidRPr="0077250D">
        <w:rPr>
          <w:lang w:val="fr-FR"/>
        </w:rPr>
        <w:noBreakHyphen/>
      </w:r>
      <w:r w:rsidR="007371C8" w:rsidRPr="0077250D">
        <w:rPr>
          <w:lang w:val="fr-FR"/>
        </w:rPr>
        <w:t>2015</w:t>
      </w:r>
      <w:bookmarkEnd w:id="12"/>
    </w:p>
    <w:p w:rsidR="006F2554" w:rsidRPr="0077250D" w:rsidRDefault="0045380F" w:rsidP="00FC14D6">
      <w:pPr>
        <w:spacing w:after="200"/>
        <w:jc w:val="center"/>
        <w:rPr>
          <w:rFonts w:eastAsiaTheme="minorHAnsi" w:cs="Arial"/>
          <w:i/>
        </w:rPr>
      </w:pPr>
      <w:r w:rsidRPr="0077250D">
        <w:rPr>
          <w:rFonts w:eastAsiaTheme="minorHAnsi" w:cs="Arial"/>
          <w:i/>
        </w:rPr>
        <w:t>(en milliers de francs suisses)</w:t>
      </w:r>
    </w:p>
    <w:p w:rsidR="00347590" w:rsidRPr="0077250D" w:rsidRDefault="00FC14D6" w:rsidP="00FC14D6">
      <w:pPr>
        <w:jc w:val="center"/>
        <w:rPr>
          <w:rFonts w:eastAsiaTheme="minorHAnsi"/>
        </w:rPr>
      </w:pPr>
      <w:r w:rsidRPr="0077250D">
        <w:rPr>
          <w:rFonts w:eastAsiaTheme="minorHAnsi"/>
          <w:noProof/>
          <w:lang w:val="en-US"/>
        </w:rPr>
        <w:drawing>
          <wp:inline distT="0" distB="0" distL="0" distR="0" wp14:anchorId="7734DA0D" wp14:editId="419E1856">
            <wp:extent cx="5478780" cy="4484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8780" cy="4484370"/>
                    </a:xfrm>
                    <a:prstGeom prst="rect">
                      <a:avLst/>
                    </a:prstGeom>
                    <a:noFill/>
                    <a:ln>
                      <a:noFill/>
                    </a:ln>
                  </pic:spPr>
                </pic:pic>
              </a:graphicData>
            </a:graphic>
          </wp:inline>
        </w:drawing>
      </w:r>
    </w:p>
    <w:p w:rsidR="006F2554" w:rsidRPr="0077250D" w:rsidRDefault="006F2554" w:rsidP="00FC14D6"/>
    <w:p w:rsidR="0077250D" w:rsidRPr="0077250D" w:rsidRDefault="0077250D">
      <w:pPr>
        <w:jc w:val="left"/>
        <w:rPr>
          <w:rFonts w:cs="Arial"/>
        </w:rPr>
      </w:pPr>
      <w:r w:rsidRPr="0077250D">
        <w:rPr>
          <w:rFonts w:cs="Arial"/>
        </w:rPr>
        <w:br w:type="page"/>
      </w:r>
    </w:p>
    <w:p w:rsidR="006F2554" w:rsidRPr="0077250D" w:rsidRDefault="00DC4BF8" w:rsidP="00FC14D6">
      <w:pPr>
        <w:rPr>
          <w:rFonts w:asciiTheme="minorHAnsi" w:eastAsiaTheme="minorHAnsi" w:hAnsiTheme="minorHAnsi" w:cstheme="minorBidi"/>
          <w:sz w:val="22"/>
          <w:szCs w:val="22"/>
        </w:rPr>
      </w:pPr>
      <w:r w:rsidRPr="0077250D">
        <w:rPr>
          <w:rFonts w:cs="Arial"/>
        </w:rPr>
        <w:t>Les dépenses effectives pour l</w:t>
      </w:r>
      <w:r w:rsidR="00BE613C" w:rsidRPr="0077250D">
        <w:rPr>
          <w:rFonts w:cs="Arial"/>
        </w:rPr>
        <w:t>’</w:t>
      </w:r>
      <w:r w:rsidRPr="0077250D">
        <w:rPr>
          <w:rFonts w:cs="Arial"/>
        </w:rPr>
        <w:t>exercice biennal</w:t>
      </w:r>
      <w:r w:rsidR="00FB471C" w:rsidRPr="0077250D">
        <w:rPr>
          <w:rFonts w:cs="Arial"/>
        </w:rPr>
        <w:t> </w:t>
      </w:r>
      <w:r w:rsidRPr="0077250D">
        <w:rPr>
          <w:rFonts w:cs="Arial"/>
        </w:rPr>
        <w:t>2014</w:t>
      </w:r>
      <w:r w:rsidR="00F32060" w:rsidRPr="0077250D">
        <w:rPr>
          <w:rFonts w:cs="Arial"/>
        </w:rPr>
        <w:noBreakHyphen/>
      </w:r>
      <w:r w:rsidRPr="0077250D">
        <w:rPr>
          <w:rFonts w:cs="Arial"/>
        </w:rPr>
        <w:t>2015 et leur comparaison avec le programme et budget approuvé pour cet exercice sont présentées ci</w:t>
      </w:r>
      <w:r w:rsidR="00F32060" w:rsidRPr="0077250D">
        <w:rPr>
          <w:rFonts w:cs="Arial"/>
        </w:rPr>
        <w:noBreakHyphen/>
      </w:r>
      <w:r w:rsidRPr="0077250D">
        <w:rPr>
          <w:rFonts w:cs="Arial"/>
        </w:rPr>
        <w:t>dessous, par catégorie de coûts dans le tableau</w:t>
      </w:r>
      <w:r w:rsidR="00FB471C" w:rsidRPr="0077250D">
        <w:rPr>
          <w:rFonts w:cs="Arial"/>
        </w:rPr>
        <w:t> </w:t>
      </w:r>
      <w:r w:rsidRPr="0077250D">
        <w:rPr>
          <w:rFonts w:cs="Arial"/>
        </w:rPr>
        <w:t>3 et par sous</w:t>
      </w:r>
      <w:r w:rsidR="00F32060" w:rsidRPr="0077250D">
        <w:rPr>
          <w:rFonts w:cs="Arial"/>
        </w:rPr>
        <w:noBreakHyphen/>
      </w:r>
      <w:r w:rsidRPr="0077250D">
        <w:rPr>
          <w:rFonts w:cs="Arial"/>
        </w:rPr>
        <w:t>programme dans le tableau</w:t>
      </w:r>
      <w:r w:rsidR="00FB471C" w:rsidRPr="0077250D">
        <w:rPr>
          <w:rFonts w:cs="Arial"/>
        </w:rPr>
        <w:t> </w:t>
      </w:r>
      <w:r w:rsidRPr="0077250D">
        <w:rPr>
          <w:rFonts w:cs="Arial"/>
        </w:rPr>
        <w:t>4.</w:t>
      </w:r>
    </w:p>
    <w:p w:rsidR="006F2554" w:rsidRPr="0077250D" w:rsidRDefault="006F2554" w:rsidP="00FC14D6">
      <w:pPr>
        <w:rPr>
          <w:rFonts w:asciiTheme="minorHAnsi" w:eastAsiaTheme="minorHAnsi" w:hAnsiTheme="minorHAnsi" w:cstheme="minorBidi"/>
          <w:sz w:val="22"/>
          <w:szCs w:val="22"/>
        </w:rPr>
      </w:pPr>
    </w:p>
    <w:p w:rsidR="005E7BB7" w:rsidRPr="0077250D" w:rsidRDefault="00DC4BF8" w:rsidP="00D630E8">
      <w:pPr>
        <w:pStyle w:val="Heading2"/>
        <w:rPr>
          <w:lang w:val="fr-FR"/>
        </w:rPr>
      </w:pPr>
      <w:bookmarkStart w:id="13" w:name="_Toc460231957"/>
      <w:r w:rsidRPr="0077250D">
        <w:rPr>
          <w:lang w:val="fr-FR"/>
        </w:rPr>
        <w:t>Tableau</w:t>
      </w:r>
      <w:r w:rsidR="00FB471C" w:rsidRPr="0077250D">
        <w:rPr>
          <w:lang w:val="fr-FR"/>
        </w:rPr>
        <w:t> </w:t>
      </w:r>
      <w:r w:rsidR="00C67BFC">
        <w:rPr>
          <w:lang w:val="fr-FR"/>
        </w:rPr>
        <w:t xml:space="preserve">3.  </w:t>
      </w:r>
      <w:r w:rsidRPr="0077250D">
        <w:rPr>
          <w:lang w:val="fr-FR"/>
        </w:rPr>
        <w:t xml:space="preserve">Budget approuvé et dépenses </w:t>
      </w:r>
      <w:r w:rsidR="001604A3" w:rsidRPr="0077250D">
        <w:rPr>
          <w:lang w:val="fr-FR"/>
        </w:rPr>
        <w:t xml:space="preserve">par objet de dépense </w:t>
      </w:r>
      <w:r w:rsidRPr="0077250D">
        <w:rPr>
          <w:lang w:val="fr-FR"/>
        </w:rPr>
        <w:t xml:space="preserve">pour </w:t>
      </w:r>
      <w:r w:rsidR="001604A3" w:rsidRPr="0077250D">
        <w:rPr>
          <w:lang w:val="fr-FR"/>
        </w:rPr>
        <w:t>l</w:t>
      </w:r>
      <w:r w:rsidR="00BE613C" w:rsidRPr="0077250D">
        <w:rPr>
          <w:lang w:val="fr-FR"/>
        </w:rPr>
        <w:t>’</w:t>
      </w:r>
      <w:r w:rsidR="001604A3" w:rsidRPr="0077250D">
        <w:rPr>
          <w:lang w:val="fr-FR"/>
        </w:rPr>
        <w:t>exercice biennal</w:t>
      </w:r>
      <w:r w:rsidR="00FB471C" w:rsidRPr="0077250D">
        <w:rPr>
          <w:lang w:val="fr-FR"/>
        </w:rPr>
        <w:t> </w:t>
      </w:r>
      <w:r w:rsidRPr="0077250D">
        <w:rPr>
          <w:lang w:val="fr-FR"/>
        </w:rPr>
        <w:t>2014</w:t>
      </w:r>
      <w:r w:rsidR="00F32060" w:rsidRPr="0077250D">
        <w:rPr>
          <w:lang w:val="fr-FR"/>
        </w:rPr>
        <w:noBreakHyphen/>
      </w:r>
      <w:r w:rsidRPr="0077250D">
        <w:rPr>
          <w:lang w:val="fr-FR"/>
        </w:rPr>
        <w:t>2015</w:t>
      </w:r>
      <w:bookmarkEnd w:id="13"/>
    </w:p>
    <w:p w:rsidR="006F2554" w:rsidRPr="0077250D" w:rsidRDefault="00DC4BF8" w:rsidP="00FC14D6">
      <w:pPr>
        <w:keepNext/>
        <w:spacing w:after="200"/>
        <w:jc w:val="center"/>
        <w:rPr>
          <w:rFonts w:eastAsiaTheme="minorHAnsi" w:cs="Arial"/>
          <w:i/>
        </w:rPr>
      </w:pPr>
      <w:r w:rsidRPr="0077250D">
        <w:rPr>
          <w:rFonts w:eastAsiaTheme="minorHAnsi" w:cs="Arial"/>
          <w:i/>
        </w:rPr>
        <w:t>(en milliers de francs suisses)</w:t>
      </w:r>
    </w:p>
    <w:p w:rsidR="006F2554" w:rsidRPr="0077250D" w:rsidRDefault="00FC14D6" w:rsidP="00FC14D6">
      <w:pPr>
        <w:jc w:val="center"/>
        <w:rPr>
          <w:rFonts w:eastAsiaTheme="minorHAnsi"/>
        </w:rPr>
      </w:pPr>
      <w:r w:rsidRPr="0077250D">
        <w:rPr>
          <w:rFonts w:eastAsiaTheme="minorHAnsi"/>
          <w:noProof/>
          <w:lang w:val="en-US"/>
        </w:rPr>
        <w:drawing>
          <wp:inline distT="0" distB="0" distL="0" distR="0" wp14:anchorId="69187F92" wp14:editId="6BE2E631">
            <wp:extent cx="5779135" cy="50692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9135" cy="5069205"/>
                    </a:xfrm>
                    <a:prstGeom prst="rect">
                      <a:avLst/>
                    </a:prstGeom>
                    <a:noFill/>
                    <a:ln>
                      <a:noFill/>
                    </a:ln>
                  </pic:spPr>
                </pic:pic>
              </a:graphicData>
            </a:graphic>
          </wp:inline>
        </w:drawing>
      </w:r>
    </w:p>
    <w:p w:rsidR="00347590" w:rsidRPr="0077250D" w:rsidRDefault="00347590" w:rsidP="00FC14D6">
      <w:pPr>
        <w:jc w:val="center"/>
        <w:rPr>
          <w:rFonts w:eastAsiaTheme="minorHAnsi"/>
        </w:rPr>
      </w:pPr>
    </w:p>
    <w:p w:rsidR="006F2554" w:rsidRPr="0077250D" w:rsidRDefault="00743C2D" w:rsidP="0077250D">
      <w:pPr>
        <w:ind w:left="567" w:hanging="283"/>
        <w:rPr>
          <w:rFonts w:eastAsiaTheme="minorHAnsi" w:cs="Arial"/>
          <w:sz w:val="18"/>
          <w:szCs w:val="18"/>
        </w:rPr>
      </w:pPr>
      <w:r w:rsidRPr="0077250D">
        <w:rPr>
          <w:rFonts w:eastAsiaTheme="minorHAnsi" w:cs="Arial"/>
          <w:sz w:val="18"/>
          <w:szCs w:val="18"/>
        </w:rPr>
        <w:t>*</w:t>
      </w:r>
      <w:r w:rsidR="0077250D" w:rsidRPr="0077250D">
        <w:rPr>
          <w:rFonts w:eastAsiaTheme="minorHAnsi" w:cs="Arial"/>
          <w:sz w:val="18"/>
          <w:szCs w:val="18"/>
        </w:rPr>
        <w:tab/>
      </w:r>
      <w:r w:rsidR="00DC4BF8" w:rsidRPr="0077250D">
        <w:rPr>
          <w:rFonts w:eastAsiaTheme="minorHAnsi" w:cs="Arial"/>
          <w:sz w:val="18"/>
          <w:szCs w:val="18"/>
        </w:rPr>
        <w:t xml:space="preserve">On notera que dans la présentation des états financiers, les coûts liés </w:t>
      </w:r>
      <w:r w:rsidR="00BD534D" w:rsidRPr="0077250D">
        <w:rPr>
          <w:rFonts w:eastAsiaTheme="minorHAnsi" w:cs="Arial"/>
          <w:sz w:val="18"/>
          <w:szCs w:val="18"/>
        </w:rPr>
        <w:t>au recrutement des</w:t>
      </w:r>
      <w:r w:rsidR="00DC4BF8" w:rsidRPr="0077250D">
        <w:rPr>
          <w:rFonts w:eastAsiaTheme="minorHAnsi" w:cs="Arial"/>
          <w:sz w:val="18"/>
          <w:szCs w:val="18"/>
        </w:rPr>
        <w:t xml:space="preserve"> stagiaires sont </w:t>
      </w:r>
      <w:r w:rsidR="00BD534D" w:rsidRPr="0077250D">
        <w:rPr>
          <w:rFonts w:eastAsiaTheme="minorHAnsi" w:cs="Arial"/>
          <w:sz w:val="18"/>
          <w:szCs w:val="18"/>
        </w:rPr>
        <w:t>comptabilisés au titre</w:t>
      </w:r>
      <w:r w:rsidR="00DC4BF8" w:rsidRPr="0077250D">
        <w:rPr>
          <w:rFonts w:eastAsiaTheme="minorHAnsi" w:cs="Arial"/>
          <w:sz w:val="18"/>
          <w:szCs w:val="18"/>
        </w:rPr>
        <w:t xml:space="preserve"> </w:t>
      </w:r>
      <w:r w:rsidR="00BD534D" w:rsidRPr="0077250D">
        <w:rPr>
          <w:rFonts w:eastAsiaTheme="minorHAnsi" w:cs="Arial"/>
          <w:sz w:val="18"/>
          <w:szCs w:val="18"/>
        </w:rPr>
        <w:t>d</w:t>
      </w:r>
      <w:r w:rsidR="00DC4BF8" w:rsidRPr="0077250D">
        <w:rPr>
          <w:rFonts w:eastAsiaTheme="minorHAnsi" w:cs="Arial"/>
          <w:sz w:val="18"/>
          <w:szCs w:val="18"/>
        </w:rPr>
        <w:t>es services contractuels.</w:t>
      </w:r>
    </w:p>
    <w:p w:rsidR="006F2554" w:rsidRPr="0077250D" w:rsidRDefault="0077250D" w:rsidP="0077250D">
      <w:pPr>
        <w:ind w:left="567" w:hanging="283"/>
        <w:rPr>
          <w:rFonts w:eastAsiaTheme="minorHAnsi" w:cs="Arial"/>
          <w:sz w:val="18"/>
          <w:szCs w:val="18"/>
        </w:rPr>
      </w:pPr>
      <w:r w:rsidRPr="0077250D">
        <w:rPr>
          <w:rFonts w:eastAsiaTheme="minorHAnsi" w:cs="Arial"/>
          <w:sz w:val="18"/>
          <w:szCs w:val="18"/>
        </w:rPr>
        <w:t>**</w:t>
      </w:r>
      <w:r w:rsidRPr="0077250D">
        <w:rPr>
          <w:rFonts w:eastAsiaTheme="minorHAnsi" w:cs="Arial"/>
          <w:sz w:val="18"/>
          <w:szCs w:val="18"/>
        </w:rPr>
        <w:tab/>
      </w:r>
      <w:r w:rsidR="004C4BAF" w:rsidRPr="0077250D">
        <w:rPr>
          <w:rFonts w:eastAsiaTheme="minorHAnsi" w:cs="Arial"/>
          <w:sz w:val="18"/>
          <w:szCs w:val="18"/>
        </w:rPr>
        <w:t>Toute</w:t>
      </w:r>
      <w:r w:rsidR="00290CD1" w:rsidRPr="0077250D">
        <w:rPr>
          <w:rFonts w:eastAsiaTheme="minorHAnsi" w:cs="Arial"/>
          <w:sz w:val="18"/>
          <w:szCs w:val="18"/>
        </w:rPr>
        <w:t xml:space="preserve"> autre différence entre les chiffres indiqués dans le présent tableau et les suivants et ceux qui figurent dans les états financiers </w:t>
      </w:r>
      <w:r w:rsidR="004C4BAF" w:rsidRPr="0077250D">
        <w:rPr>
          <w:rFonts w:eastAsiaTheme="minorHAnsi" w:cs="Arial"/>
          <w:sz w:val="18"/>
          <w:szCs w:val="18"/>
        </w:rPr>
        <w:t>es</w:t>
      </w:r>
      <w:r w:rsidR="00290CD1" w:rsidRPr="0077250D">
        <w:rPr>
          <w:rFonts w:eastAsiaTheme="minorHAnsi" w:cs="Arial"/>
          <w:sz w:val="18"/>
          <w:szCs w:val="18"/>
        </w:rPr>
        <w:t>t due au fait que les montants ont été arrondis.</w:t>
      </w:r>
    </w:p>
    <w:p w:rsidR="006F2554" w:rsidRPr="0077250D" w:rsidRDefault="006F2554" w:rsidP="00FC14D6"/>
    <w:p w:rsidR="006F2554" w:rsidRPr="0077250D" w:rsidRDefault="006F2554" w:rsidP="00FC14D6">
      <w:pPr>
        <w:rPr>
          <w:rFonts w:eastAsiaTheme="minorHAnsi"/>
          <w:b/>
          <w:u w:val="single"/>
        </w:rPr>
      </w:pPr>
    </w:p>
    <w:p w:rsidR="0077250D" w:rsidRPr="0077250D" w:rsidRDefault="0077250D">
      <w:pPr>
        <w:jc w:val="left"/>
        <w:rPr>
          <w:rFonts w:ascii="Arial Bold" w:hAnsi="Arial Bold"/>
          <w:b/>
          <w:u w:val="single"/>
        </w:rPr>
      </w:pPr>
      <w:r w:rsidRPr="0077250D">
        <w:br w:type="page"/>
      </w:r>
    </w:p>
    <w:p w:rsidR="005E7BB7" w:rsidRPr="0077250D" w:rsidRDefault="00290CD1" w:rsidP="00D630E8">
      <w:pPr>
        <w:pStyle w:val="Heading2"/>
        <w:rPr>
          <w:lang w:val="fr-FR"/>
        </w:rPr>
      </w:pPr>
      <w:bookmarkStart w:id="14" w:name="_Toc460231958"/>
      <w:r w:rsidRPr="0077250D">
        <w:rPr>
          <w:lang w:val="fr-FR"/>
        </w:rPr>
        <w:t>Tableau</w:t>
      </w:r>
      <w:r w:rsidR="00FB471C" w:rsidRPr="0077250D">
        <w:rPr>
          <w:lang w:val="fr-FR"/>
        </w:rPr>
        <w:t> </w:t>
      </w:r>
      <w:r w:rsidR="00C67BFC">
        <w:rPr>
          <w:lang w:val="fr-FR"/>
        </w:rPr>
        <w:t xml:space="preserve">4.  </w:t>
      </w:r>
      <w:r w:rsidRPr="0077250D">
        <w:rPr>
          <w:lang w:val="fr-FR"/>
        </w:rPr>
        <w:t xml:space="preserve">Budget approuvé et dépenses </w:t>
      </w:r>
      <w:r w:rsidR="001604A3" w:rsidRPr="0077250D">
        <w:rPr>
          <w:lang w:val="fr-FR"/>
        </w:rPr>
        <w:t>par sous</w:t>
      </w:r>
      <w:r w:rsidR="00F32060" w:rsidRPr="0077250D">
        <w:rPr>
          <w:lang w:val="fr-FR"/>
        </w:rPr>
        <w:noBreakHyphen/>
      </w:r>
      <w:r w:rsidR="001604A3" w:rsidRPr="0077250D">
        <w:rPr>
          <w:lang w:val="fr-FR"/>
        </w:rPr>
        <w:t xml:space="preserve">programme </w:t>
      </w:r>
      <w:r w:rsidRPr="0077250D">
        <w:rPr>
          <w:lang w:val="fr-FR"/>
        </w:rPr>
        <w:t xml:space="preserve">pour </w:t>
      </w:r>
      <w:r w:rsidR="001604A3" w:rsidRPr="0077250D">
        <w:rPr>
          <w:lang w:val="fr-FR"/>
        </w:rPr>
        <w:t>l</w:t>
      </w:r>
      <w:r w:rsidR="00BE613C" w:rsidRPr="0077250D">
        <w:rPr>
          <w:lang w:val="fr-FR"/>
        </w:rPr>
        <w:t>’</w:t>
      </w:r>
      <w:r w:rsidR="001604A3" w:rsidRPr="0077250D">
        <w:rPr>
          <w:lang w:val="fr-FR"/>
        </w:rPr>
        <w:t>exercice biennal</w:t>
      </w:r>
      <w:r w:rsidR="00FB471C" w:rsidRPr="0077250D">
        <w:rPr>
          <w:lang w:val="fr-FR"/>
        </w:rPr>
        <w:t> </w:t>
      </w:r>
      <w:r w:rsidRPr="0077250D">
        <w:rPr>
          <w:lang w:val="fr-FR"/>
        </w:rPr>
        <w:t>2014</w:t>
      </w:r>
      <w:r w:rsidR="00F32060" w:rsidRPr="0077250D">
        <w:rPr>
          <w:lang w:val="fr-FR"/>
        </w:rPr>
        <w:noBreakHyphen/>
      </w:r>
      <w:r w:rsidRPr="0077250D">
        <w:rPr>
          <w:lang w:val="fr-FR"/>
        </w:rPr>
        <w:t>2015</w:t>
      </w:r>
      <w:bookmarkEnd w:id="14"/>
    </w:p>
    <w:p w:rsidR="006F2554" w:rsidRPr="0077250D" w:rsidRDefault="00290CD1" w:rsidP="00FC14D6">
      <w:pPr>
        <w:spacing w:after="200"/>
        <w:jc w:val="center"/>
        <w:rPr>
          <w:rFonts w:eastAsiaTheme="minorHAnsi" w:cs="Arial"/>
          <w:i/>
        </w:rPr>
      </w:pPr>
      <w:r w:rsidRPr="0077250D">
        <w:rPr>
          <w:rFonts w:eastAsiaTheme="minorHAnsi" w:cs="Arial"/>
          <w:i/>
        </w:rPr>
        <w:t>(en milliers de francs suisses)</w:t>
      </w:r>
    </w:p>
    <w:p w:rsidR="006F2554" w:rsidRPr="0077250D" w:rsidRDefault="00FC14D6" w:rsidP="00FC14D6">
      <w:pPr>
        <w:jc w:val="center"/>
        <w:rPr>
          <w:rFonts w:asciiTheme="minorHAnsi" w:eastAsiaTheme="minorHAnsi" w:hAnsiTheme="minorHAnsi" w:cstheme="minorBidi"/>
          <w:b/>
          <w:sz w:val="22"/>
          <w:szCs w:val="22"/>
        </w:rPr>
      </w:pPr>
      <w:r w:rsidRPr="0077250D">
        <w:rPr>
          <w:rFonts w:eastAsiaTheme="minorHAnsi"/>
          <w:noProof/>
          <w:lang w:val="en-US"/>
        </w:rPr>
        <w:drawing>
          <wp:inline distT="0" distB="0" distL="0" distR="0" wp14:anchorId="7AA5E40D" wp14:editId="492AC979">
            <wp:extent cx="6120765" cy="228450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284506"/>
                    </a:xfrm>
                    <a:prstGeom prst="rect">
                      <a:avLst/>
                    </a:prstGeom>
                    <a:noFill/>
                    <a:ln>
                      <a:noFill/>
                    </a:ln>
                  </pic:spPr>
                </pic:pic>
              </a:graphicData>
            </a:graphic>
          </wp:inline>
        </w:drawing>
      </w:r>
    </w:p>
    <w:p w:rsidR="0077250D" w:rsidRPr="0077250D" w:rsidRDefault="0077250D" w:rsidP="00FC14D6"/>
    <w:p w:rsidR="0077250D" w:rsidRPr="0077250D" w:rsidRDefault="0077250D" w:rsidP="00FC14D6"/>
    <w:p w:rsidR="00E35895" w:rsidRPr="0077250D" w:rsidRDefault="00D0774B" w:rsidP="00FC14D6">
      <w:pPr>
        <w:rPr>
          <w:u w:val="single"/>
        </w:rPr>
      </w:pPr>
      <w:r w:rsidRPr="0077250D">
        <w:rPr>
          <w:u w:val="single"/>
        </w:rPr>
        <w:t>Ressources en personnel</w:t>
      </w:r>
    </w:p>
    <w:p w:rsidR="00E35895" w:rsidRPr="0077250D" w:rsidRDefault="00E35895" w:rsidP="00FC14D6">
      <w:pPr>
        <w:rPr>
          <w:u w:val="single"/>
        </w:rPr>
      </w:pPr>
    </w:p>
    <w:p w:rsidR="00E35895" w:rsidRPr="0077250D" w:rsidRDefault="00F42FFE" w:rsidP="00FC14D6">
      <w:pPr>
        <w:rPr>
          <w:rFonts w:cs="Arial"/>
        </w:rPr>
      </w:pPr>
      <w:r w:rsidRPr="0077250D">
        <w:rPr>
          <w:rFonts w:cs="Arial"/>
        </w:rPr>
        <w:t>Les dépenses de personnel (avant ajustements IPSAS) pour l</w:t>
      </w:r>
      <w:r w:rsidR="00BE613C" w:rsidRPr="0077250D">
        <w:rPr>
          <w:rFonts w:cs="Arial"/>
        </w:rPr>
        <w:t>’</w:t>
      </w:r>
      <w:r w:rsidRPr="0077250D">
        <w:rPr>
          <w:rFonts w:cs="Arial"/>
        </w:rPr>
        <w:t>exercice biennal</w:t>
      </w:r>
      <w:r w:rsidR="00FB471C" w:rsidRPr="0077250D">
        <w:rPr>
          <w:rFonts w:cs="Arial"/>
        </w:rPr>
        <w:t> </w:t>
      </w:r>
      <w:r w:rsidRPr="0077250D">
        <w:rPr>
          <w:rFonts w:cs="Arial"/>
        </w:rPr>
        <w:t>2014</w:t>
      </w:r>
      <w:r w:rsidR="00F32060" w:rsidRPr="0077250D">
        <w:rPr>
          <w:rFonts w:cs="Arial"/>
        </w:rPr>
        <w:noBreakHyphen/>
      </w:r>
      <w:r w:rsidRPr="0077250D">
        <w:rPr>
          <w:rFonts w:cs="Arial"/>
        </w:rPr>
        <w:t>2015 se sont élevées à 4,364</w:t>
      </w:r>
      <w:r w:rsidR="00FB471C" w:rsidRPr="0077250D">
        <w:rPr>
          <w:rFonts w:cs="Arial"/>
        </w:rPr>
        <w:t> </w:t>
      </w:r>
      <w:r w:rsidRPr="0077250D">
        <w:rPr>
          <w:rFonts w:cs="Arial"/>
        </w:rPr>
        <w:t>millions de francs suisses, soit 60 940</w:t>
      </w:r>
      <w:r w:rsidR="00FB471C" w:rsidRPr="0077250D">
        <w:rPr>
          <w:rFonts w:cs="Arial"/>
        </w:rPr>
        <w:t> </w:t>
      </w:r>
      <w:r w:rsidRPr="0077250D">
        <w:rPr>
          <w:rFonts w:cs="Arial"/>
        </w:rPr>
        <w:t>francs suisses de moins que le montant inscrit dans le programme et budget approuvé</w:t>
      </w:r>
      <w:r w:rsidR="001604A3" w:rsidRPr="0077250D">
        <w:rPr>
          <w:rFonts w:cs="Arial"/>
        </w:rPr>
        <w:t xml:space="preserve"> pour cet exerci</w:t>
      </w:r>
      <w:r w:rsidR="00F32060" w:rsidRPr="0077250D">
        <w:rPr>
          <w:rFonts w:cs="Arial"/>
        </w:rPr>
        <w:t>ce.  Ce</w:t>
      </w:r>
      <w:r w:rsidR="00456F2A" w:rsidRPr="0077250D">
        <w:rPr>
          <w:rFonts w:cs="Arial"/>
        </w:rPr>
        <w:t xml:space="preserve">tte </w:t>
      </w:r>
      <w:r w:rsidR="00B715CC" w:rsidRPr="0077250D">
        <w:rPr>
          <w:rFonts w:cs="Arial"/>
        </w:rPr>
        <w:t>réduction</w:t>
      </w:r>
      <w:r w:rsidR="00456F2A" w:rsidRPr="0077250D">
        <w:rPr>
          <w:rFonts w:cs="Arial"/>
        </w:rPr>
        <w:t xml:space="preserve"> </w:t>
      </w:r>
      <w:r w:rsidR="00061658" w:rsidRPr="0077250D">
        <w:rPr>
          <w:rFonts w:cs="Arial"/>
        </w:rPr>
        <w:t xml:space="preserve">est due </w:t>
      </w:r>
      <w:r w:rsidR="004C0D70" w:rsidRPr="0077250D">
        <w:rPr>
          <w:rFonts w:cs="Arial"/>
        </w:rPr>
        <w:t>au fait que</w:t>
      </w:r>
      <w:r w:rsidR="00061658" w:rsidRPr="0077250D">
        <w:rPr>
          <w:rFonts w:cs="Arial"/>
        </w:rPr>
        <w:t xml:space="preserve"> </w:t>
      </w:r>
      <w:r w:rsidR="004C0D70" w:rsidRPr="0077250D">
        <w:rPr>
          <w:rFonts w:cs="Arial"/>
        </w:rPr>
        <w:t>l</w:t>
      </w:r>
      <w:r w:rsidR="00061658" w:rsidRPr="0077250D">
        <w:rPr>
          <w:rFonts w:cs="Arial"/>
        </w:rPr>
        <w:t xml:space="preserve">es dépenses </w:t>
      </w:r>
      <w:r w:rsidR="004C0D70" w:rsidRPr="0077250D">
        <w:rPr>
          <w:rFonts w:cs="Arial"/>
        </w:rPr>
        <w:t xml:space="preserve">liées aux postes ont été </w:t>
      </w:r>
      <w:r w:rsidR="00061658" w:rsidRPr="0077250D">
        <w:rPr>
          <w:rFonts w:cs="Arial"/>
        </w:rPr>
        <w:t>moins élevées</w:t>
      </w:r>
      <w:r w:rsidR="00456F2A" w:rsidRPr="0077250D">
        <w:rPr>
          <w:rFonts w:cs="Arial"/>
        </w:rPr>
        <w:t xml:space="preserve"> que prévu</w:t>
      </w:r>
      <w:r w:rsidR="004C0D70" w:rsidRPr="0077250D">
        <w:rPr>
          <w:rFonts w:cs="Arial"/>
        </w:rPr>
        <w:t>,</w:t>
      </w:r>
      <w:r w:rsidR="00061658" w:rsidRPr="0077250D">
        <w:rPr>
          <w:rFonts w:cs="Arial"/>
        </w:rPr>
        <w:t xml:space="preserve"> </w:t>
      </w:r>
      <w:r w:rsidR="001604A3" w:rsidRPr="0077250D">
        <w:rPr>
          <w:rFonts w:cs="Arial"/>
        </w:rPr>
        <w:t>ce qui a</w:t>
      </w:r>
      <w:r w:rsidR="00456F2A" w:rsidRPr="0077250D">
        <w:rPr>
          <w:rFonts w:cs="Arial"/>
        </w:rPr>
        <w:t xml:space="preserve"> été en partie compensé par de</w:t>
      </w:r>
      <w:r w:rsidR="00590B54" w:rsidRPr="0077250D">
        <w:rPr>
          <w:rFonts w:cs="Arial"/>
        </w:rPr>
        <w:t>s</w:t>
      </w:r>
      <w:r w:rsidR="00456F2A" w:rsidRPr="0077250D">
        <w:rPr>
          <w:rFonts w:cs="Arial"/>
        </w:rPr>
        <w:t xml:space="preserve"> dépenses </w:t>
      </w:r>
      <w:r w:rsidR="00D51DE3" w:rsidRPr="0077250D">
        <w:rPr>
          <w:rFonts w:cs="Arial"/>
        </w:rPr>
        <w:t>plus élevées que prévu</w:t>
      </w:r>
      <w:r w:rsidR="00590B54" w:rsidRPr="0077250D">
        <w:rPr>
          <w:rFonts w:cs="Arial"/>
        </w:rPr>
        <w:t xml:space="preserve"> pour </w:t>
      </w:r>
      <w:r w:rsidR="00061658" w:rsidRPr="0077250D">
        <w:rPr>
          <w:rFonts w:cs="Arial"/>
        </w:rPr>
        <w:t>les</w:t>
      </w:r>
      <w:r w:rsidR="00456F2A" w:rsidRPr="0077250D">
        <w:rPr>
          <w:rFonts w:cs="Arial"/>
        </w:rPr>
        <w:t xml:space="preserve"> fonctionnaires temporair</w:t>
      </w:r>
      <w:r w:rsidR="00F32060" w:rsidRPr="0077250D">
        <w:rPr>
          <w:rFonts w:cs="Arial"/>
        </w:rPr>
        <w:t>es.  Le</w:t>
      </w:r>
      <w:r w:rsidR="00456F2A" w:rsidRPr="0077250D">
        <w:rPr>
          <w:rFonts w:cs="Arial"/>
        </w:rPr>
        <w:t xml:space="preserve">s dépenses liées </w:t>
      </w:r>
      <w:r w:rsidR="00D51DE3" w:rsidRPr="0077250D">
        <w:rPr>
          <w:rFonts w:cs="Arial"/>
        </w:rPr>
        <w:t>aux</w:t>
      </w:r>
      <w:r w:rsidR="00456F2A" w:rsidRPr="0077250D">
        <w:rPr>
          <w:rFonts w:cs="Arial"/>
        </w:rPr>
        <w:t xml:space="preserve"> postes ont été inférieures aux prévisions </w:t>
      </w:r>
      <w:r w:rsidR="001604A3" w:rsidRPr="0077250D">
        <w:rPr>
          <w:rFonts w:cs="Arial"/>
        </w:rPr>
        <w:t>parce</w:t>
      </w:r>
      <w:r w:rsidR="00456F2A" w:rsidRPr="0077250D">
        <w:rPr>
          <w:rFonts w:cs="Arial"/>
        </w:rPr>
        <w:t xml:space="preserve"> qu</w:t>
      </w:r>
      <w:r w:rsidR="00BE613C" w:rsidRPr="0077250D">
        <w:rPr>
          <w:rFonts w:cs="Arial"/>
        </w:rPr>
        <w:t>’</w:t>
      </w:r>
      <w:r w:rsidR="00456F2A" w:rsidRPr="0077250D">
        <w:rPr>
          <w:rFonts w:cs="Arial"/>
        </w:rPr>
        <w:t>une fonctionnaire a repris le travail à temps partiel après son congé de materni</w:t>
      </w:r>
      <w:r w:rsidR="00F32060" w:rsidRPr="0077250D">
        <w:rPr>
          <w:rFonts w:cs="Arial"/>
        </w:rPr>
        <w:t>té.  Le</w:t>
      </w:r>
      <w:r w:rsidR="00456F2A" w:rsidRPr="0077250D">
        <w:rPr>
          <w:rFonts w:cs="Arial"/>
        </w:rPr>
        <w:t xml:space="preserve">s dépenses </w:t>
      </w:r>
      <w:r w:rsidR="001604A3" w:rsidRPr="0077250D">
        <w:rPr>
          <w:rFonts w:cs="Arial"/>
        </w:rPr>
        <w:t>supérieures aux prévisions s</w:t>
      </w:r>
      <w:r w:rsidR="00BE613C" w:rsidRPr="0077250D">
        <w:rPr>
          <w:rFonts w:cs="Arial"/>
        </w:rPr>
        <w:t>’</w:t>
      </w:r>
      <w:r w:rsidR="001604A3" w:rsidRPr="0077250D">
        <w:rPr>
          <w:rFonts w:cs="Arial"/>
        </w:rPr>
        <w:t>agissant des</w:t>
      </w:r>
      <w:r w:rsidR="00456F2A" w:rsidRPr="0077250D">
        <w:rPr>
          <w:rFonts w:cs="Arial"/>
        </w:rPr>
        <w:t xml:space="preserve"> fonctionnaires temporaires </w:t>
      </w:r>
      <w:r w:rsidR="00590B54" w:rsidRPr="0077250D">
        <w:rPr>
          <w:rFonts w:cs="Arial"/>
        </w:rPr>
        <w:t>ont servi à</w:t>
      </w:r>
      <w:r w:rsidR="00456F2A" w:rsidRPr="0077250D">
        <w:rPr>
          <w:rFonts w:cs="Arial"/>
        </w:rPr>
        <w:t xml:space="preserve"> appuyer </w:t>
      </w:r>
      <w:r w:rsidR="00590B54" w:rsidRPr="0077250D">
        <w:rPr>
          <w:rFonts w:cs="Arial"/>
        </w:rPr>
        <w:t xml:space="preserve">la mise en </w:t>
      </w:r>
      <w:r w:rsidR="001604A3" w:rsidRPr="0077250D">
        <w:rPr>
          <w:rFonts w:cs="Arial"/>
        </w:rPr>
        <w:t>place</w:t>
      </w:r>
      <w:r w:rsidR="00590B54" w:rsidRPr="0077250D">
        <w:rPr>
          <w:rFonts w:cs="Arial"/>
        </w:rPr>
        <w:t xml:space="preserve"> du</w:t>
      </w:r>
      <w:r w:rsidR="00456F2A" w:rsidRPr="0077250D">
        <w:rPr>
          <w:rFonts w:cs="Arial"/>
        </w:rPr>
        <w:t xml:space="preserve"> projet de formulaire de demande électronique.</w:t>
      </w:r>
    </w:p>
    <w:p w:rsidR="00E35895" w:rsidRPr="0077250D" w:rsidRDefault="00E35895" w:rsidP="00FC14D6">
      <w:pPr>
        <w:rPr>
          <w:rFonts w:cs="Arial"/>
        </w:rPr>
      </w:pPr>
    </w:p>
    <w:p w:rsidR="00E35895" w:rsidRPr="0077250D" w:rsidRDefault="00D0774B" w:rsidP="00FC14D6">
      <w:pPr>
        <w:rPr>
          <w:u w:val="single"/>
        </w:rPr>
      </w:pPr>
      <w:r w:rsidRPr="0077250D">
        <w:rPr>
          <w:u w:val="single"/>
        </w:rPr>
        <w:t>Autres ressources</w:t>
      </w:r>
    </w:p>
    <w:p w:rsidR="00E35895" w:rsidRPr="0077250D" w:rsidRDefault="00E35895" w:rsidP="00FC14D6">
      <w:pPr>
        <w:rPr>
          <w:u w:val="single"/>
        </w:rPr>
      </w:pPr>
    </w:p>
    <w:p w:rsidR="00E35895" w:rsidRPr="0077250D" w:rsidRDefault="00D0774B" w:rsidP="00FC14D6">
      <w:pPr>
        <w:rPr>
          <w:rFonts w:eastAsiaTheme="minorHAnsi" w:cs="Arial"/>
        </w:rPr>
      </w:pPr>
      <w:r w:rsidRPr="0077250D">
        <w:rPr>
          <w:rFonts w:eastAsiaTheme="minorHAnsi" w:cs="Arial"/>
        </w:rPr>
        <w:t>Le total des autres dépenses (avant les ajustements IPSAS) s</w:t>
      </w:r>
      <w:r w:rsidR="00BE613C" w:rsidRPr="0077250D">
        <w:rPr>
          <w:rFonts w:eastAsiaTheme="minorHAnsi" w:cs="Arial"/>
        </w:rPr>
        <w:t>’</w:t>
      </w:r>
      <w:r w:rsidRPr="0077250D">
        <w:rPr>
          <w:rFonts w:eastAsiaTheme="minorHAnsi" w:cs="Arial"/>
        </w:rPr>
        <w:t>est élevé à 2,428 millions de francs suisses, c</w:t>
      </w:r>
      <w:r w:rsidR="00BE613C" w:rsidRPr="0077250D">
        <w:rPr>
          <w:rFonts w:eastAsiaTheme="minorHAnsi" w:cs="Arial"/>
        </w:rPr>
        <w:t>’</w:t>
      </w:r>
      <w:r w:rsidRPr="0077250D">
        <w:rPr>
          <w:rFonts w:eastAsiaTheme="minorHAnsi" w:cs="Arial"/>
        </w:rPr>
        <w:t>est</w:t>
      </w:r>
      <w:r w:rsidR="00F32060" w:rsidRPr="0077250D">
        <w:rPr>
          <w:rFonts w:eastAsiaTheme="minorHAnsi" w:cs="Arial"/>
        </w:rPr>
        <w:noBreakHyphen/>
      </w:r>
      <w:r w:rsidRPr="0077250D">
        <w:rPr>
          <w:rFonts w:eastAsiaTheme="minorHAnsi" w:cs="Arial"/>
        </w:rPr>
        <w:t>à</w:t>
      </w:r>
      <w:r w:rsidR="00F32060" w:rsidRPr="0077250D">
        <w:rPr>
          <w:rFonts w:eastAsiaTheme="minorHAnsi" w:cs="Arial"/>
        </w:rPr>
        <w:noBreakHyphen/>
      </w:r>
      <w:r w:rsidRPr="0077250D">
        <w:rPr>
          <w:rFonts w:eastAsiaTheme="minorHAnsi" w:cs="Arial"/>
        </w:rPr>
        <w:t>dire 59, 421</w:t>
      </w:r>
      <w:r w:rsidR="00FB471C" w:rsidRPr="0077250D">
        <w:rPr>
          <w:rFonts w:eastAsiaTheme="minorHAnsi" w:cs="Arial"/>
        </w:rPr>
        <w:t> </w:t>
      </w:r>
      <w:r w:rsidRPr="0077250D">
        <w:rPr>
          <w:rFonts w:eastAsiaTheme="minorHAnsi" w:cs="Arial"/>
        </w:rPr>
        <w:t>francs suisses ou 3% de plus que l</w:t>
      </w:r>
      <w:r w:rsidR="00BE613C" w:rsidRPr="0077250D">
        <w:rPr>
          <w:rFonts w:eastAsiaTheme="minorHAnsi" w:cs="Arial"/>
        </w:rPr>
        <w:t>’</w:t>
      </w:r>
      <w:r w:rsidRPr="0077250D">
        <w:rPr>
          <w:rFonts w:eastAsiaTheme="minorHAnsi" w:cs="Arial"/>
        </w:rPr>
        <w:t>objectif inscrit au budget (99% du budg</w:t>
      </w:r>
      <w:r w:rsidR="00F32060" w:rsidRPr="0077250D">
        <w:rPr>
          <w:rFonts w:eastAsiaTheme="minorHAnsi" w:cs="Arial"/>
        </w:rPr>
        <w:t>et).  On</w:t>
      </w:r>
      <w:r w:rsidR="00CC0CD3">
        <w:rPr>
          <w:rFonts w:eastAsiaTheme="minorHAnsi" w:cs="Arial"/>
        </w:rPr>
        <w:t> </w:t>
      </w:r>
      <w:r w:rsidRPr="0077250D">
        <w:rPr>
          <w:rFonts w:eastAsiaTheme="minorHAnsi" w:cs="Arial"/>
        </w:rPr>
        <w:t>trouvera ci</w:t>
      </w:r>
      <w:r w:rsidR="00F32060" w:rsidRPr="0077250D">
        <w:rPr>
          <w:rFonts w:eastAsiaTheme="minorHAnsi" w:cs="Arial"/>
        </w:rPr>
        <w:noBreakHyphen/>
      </w:r>
      <w:r w:rsidRPr="0077250D">
        <w:rPr>
          <w:rFonts w:eastAsiaTheme="minorHAnsi" w:cs="Arial"/>
        </w:rPr>
        <w:t>après des explications par catégorie de dépense.</w:t>
      </w:r>
    </w:p>
    <w:p w:rsidR="00E35895" w:rsidRPr="0077250D" w:rsidRDefault="00E35895" w:rsidP="00FC14D6">
      <w:pPr>
        <w:rPr>
          <w:rFonts w:eastAsiaTheme="minorHAnsi" w:cs="Arial"/>
        </w:rPr>
      </w:pPr>
    </w:p>
    <w:p w:rsidR="00E35895" w:rsidRPr="0077250D" w:rsidRDefault="004C0D70" w:rsidP="00FC14D6">
      <w:pPr>
        <w:rPr>
          <w:i/>
        </w:rPr>
      </w:pPr>
      <w:r w:rsidRPr="0077250D">
        <w:rPr>
          <w:i/>
        </w:rPr>
        <w:t>Stagiaires</w:t>
      </w:r>
    </w:p>
    <w:p w:rsidR="00E35895" w:rsidRPr="0077250D" w:rsidRDefault="00E35895" w:rsidP="00FC14D6">
      <w:pPr>
        <w:rPr>
          <w:i/>
        </w:rPr>
      </w:pPr>
    </w:p>
    <w:p w:rsidR="00E35895" w:rsidRPr="0077250D" w:rsidRDefault="004C0D70" w:rsidP="00FC14D6">
      <w:pPr>
        <w:rPr>
          <w:rFonts w:cs="Arial"/>
        </w:rPr>
      </w:pPr>
      <w:r w:rsidRPr="0077250D">
        <w:rPr>
          <w:rFonts w:cs="Arial"/>
        </w:rPr>
        <w:t>Les dépenses liées aux stagiaires se sont élevées à 12 247</w:t>
      </w:r>
      <w:r w:rsidR="00FB471C" w:rsidRPr="0077250D">
        <w:rPr>
          <w:rFonts w:cs="Arial"/>
        </w:rPr>
        <w:t> </w:t>
      </w:r>
      <w:r w:rsidRPr="0077250D">
        <w:rPr>
          <w:rFonts w:cs="Arial"/>
        </w:rPr>
        <w:t>francs suiss</w:t>
      </w:r>
      <w:r w:rsidR="00F32060" w:rsidRPr="0077250D">
        <w:rPr>
          <w:rFonts w:cs="Arial"/>
        </w:rPr>
        <w:t xml:space="preserve">es.  </w:t>
      </w:r>
      <w:r w:rsidR="00FC14D6" w:rsidRPr="0077250D">
        <w:rPr>
          <w:rFonts w:cs="Arial"/>
        </w:rPr>
        <w:t xml:space="preserve">Même si </w:t>
      </w:r>
      <w:r w:rsidR="00B715CC" w:rsidRPr="0077250D">
        <w:rPr>
          <w:rFonts w:cs="Arial"/>
        </w:rPr>
        <w:t>le programme et budget 2014</w:t>
      </w:r>
      <w:r w:rsidR="00F32060" w:rsidRPr="0077250D">
        <w:rPr>
          <w:rFonts w:cs="Arial"/>
        </w:rPr>
        <w:noBreakHyphen/>
      </w:r>
      <w:r w:rsidR="00B715CC" w:rsidRPr="0077250D">
        <w:rPr>
          <w:rFonts w:cs="Arial"/>
        </w:rPr>
        <w:t>2015 ne prévoyait pas expressément de ressources pour les stagiaires, les coûts encourus ont été absorbés dans les limites de l</w:t>
      </w:r>
      <w:r w:rsidR="00BE613C" w:rsidRPr="0077250D">
        <w:rPr>
          <w:rFonts w:cs="Arial"/>
        </w:rPr>
        <w:t>’</w:t>
      </w:r>
      <w:r w:rsidR="00B715CC" w:rsidRPr="0077250D">
        <w:rPr>
          <w:rFonts w:cs="Arial"/>
        </w:rPr>
        <w:t>enveloppe budgétaire globale de l</w:t>
      </w:r>
      <w:r w:rsidR="00BE613C" w:rsidRPr="0077250D">
        <w:rPr>
          <w:rFonts w:cs="Arial"/>
        </w:rPr>
        <w:t>’</w:t>
      </w:r>
      <w:r w:rsidR="00B715CC" w:rsidRPr="0077250D">
        <w:rPr>
          <w:rFonts w:cs="Arial"/>
        </w:rPr>
        <w:t>UPOV.</w:t>
      </w:r>
    </w:p>
    <w:p w:rsidR="00E35895" w:rsidRPr="0077250D" w:rsidRDefault="00E35895" w:rsidP="00FC14D6">
      <w:pPr>
        <w:rPr>
          <w:rFonts w:cs="Arial"/>
        </w:rPr>
      </w:pPr>
    </w:p>
    <w:p w:rsidR="00E35895" w:rsidRPr="0077250D" w:rsidRDefault="00B715CC" w:rsidP="00FC14D6">
      <w:pPr>
        <w:rPr>
          <w:rFonts w:eastAsiaTheme="minorHAnsi" w:cs="Arial"/>
          <w:i/>
        </w:rPr>
      </w:pPr>
      <w:r w:rsidRPr="0077250D">
        <w:rPr>
          <w:rFonts w:eastAsiaTheme="minorHAnsi" w:cs="Arial"/>
          <w:i/>
        </w:rPr>
        <w:t>Voyages</w:t>
      </w:r>
    </w:p>
    <w:p w:rsidR="00E35895" w:rsidRPr="0077250D" w:rsidRDefault="00E35895" w:rsidP="00FC14D6">
      <w:pPr>
        <w:rPr>
          <w:rFonts w:eastAsiaTheme="minorHAnsi" w:cs="Arial"/>
          <w:i/>
        </w:rPr>
      </w:pPr>
    </w:p>
    <w:p w:rsidR="00E35895" w:rsidRPr="0077250D" w:rsidRDefault="00B715CC" w:rsidP="00FC14D6">
      <w:pPr>
        <w:rPr>
          <w:rFonts w:cs="Arial"/>
        </w:rPr>
      </w:pPr>
      <w:r w:rsidRPr="0077250D">
        <w:rPr>
          <w:rFonts w:cs="Arial"/>
        </w:rPr>
        <w:t>Le total des dépenses liées aux voyages s</w:t>
      </w:r>
      <w:r w:rsidR="00BE613C" w:rsidRPr="0077250D">
        <w:rPr>
          <w:rFonts w:cs="Arial"/>
        </w:rPr>
        <w:t>’</w:t>
      </w:r>
      <w:r w:rsidRPr="0077250D">
        <w:rPr>
          <w:rFonts w:cs="Arial"/>
        </w:rPr>
        <w:t xml:space="preserve">est </w:t>
      </w:r>
      <w:r w:rsidR="00FC14D6" w:rsidRPr="0077250D">
        <w:rPr>
          <w:rFonts w:cs="Arial"/>
        </w:rPr>
        <w:t>élevé</w:t>
      </w:r>
      <w:r w:rsidRPr="0077250D">
        <w:rPr>
          <w:rFonts w:cs="Arial"/>
        </w:rPr>
        <w:t xml:space="preserve"> à 482 000</w:t>
      </w:r>
      <w:r w:rsidR="00FB471C" w:rsidRPr="0077250D">
        <w:rPr>
          <w:rFonts w:cs="Arial"/>
        </w:rPr>
        <w:t> </w:t>
      </w:r>
      <w:r w:rsidRPr="0077250D">
        <w:rPr>
          <w:rFonts w:cs="Arial"/>
        </w:rPr>
        <w:t>francs suisses, soit 108 000</w:t>
      </w:r>
      <w:r w:rsidR="00FB471C" w:rsidRPr="0077250D">
        <w:rPr>
          <w:rFonts w:cs="Arial"/>
        </w:rPr>
        <w:t> </w:t>
      </w:r>
      <w:r w:rsidRPr="0077250D">
        <w:rPr>
          <w:rFonts w:cs="Arial"/>
        </w:rPr>
        <w:t xml:space="preserve">francs suisses de moins que le montant </w:t>
      </w:r>
      <w:r w:rsidR="001604A3" w:rsidRPr="0077250D">
        <w:rPr>
          <w:rFonts w:cs="Arial"/>
        </w:rPr>
        <w:t>inscrit au budg</w:t>
      </w:r>
      <w:r w:rsidR="00F32060" w:rsidRPr="0077250D">
        <w:rPr>
          <w:rFonts w:cs="Arial"/>
        </w:rPr>
        <w:t>et.  Un</w:t>
      </w:r>
      <w:r w:rsidRPr="0077250D">
        <w:rPr>
          <w:rFonts w:cs="Arial"/>
        </w:rPr>
        <w:t>e part importante de cette réduction s</w:t>
      </w:r>
      <w:r w:rsidR="00BE613C" w:rsidRPr="0077250D">
        <w:rPr>
          <w:rFonts w:cs="Arial"/>
        </w:rPr>
        <w:t>’</w:t>
      </w:r>
      <w:r w:rsidRPr="0077250D">
        <w:rPr>
          <w:rFonts w:cs="Arial"/>
        </w:rPr>
        <w:t xml:space="preserve">explique par </w:t>
      </w:r>
      <w:r w:rsidR="001604A3" w:rsidRPr="0077250D">
        <w:rPr>
          <w:rFonts w:cs="Arial"/>
        </w:rPr>
        <w:t>la mise en place d</w:t>
      </w:r>
      <w:r w:rsidR="00BE613C" w:rsidRPr="0077250D">
        <w:rPr>
          <w:rFonts w:cs="Arial"/>
        </w:rPr>
        <w:t>’</w:t>
      </w:r>
      <w:r w:rsidR="001604A3" w:rsidRPr="0077250D">
        <w:rPr>
          <w:rFonts w:cs="Arial"/>
        </w:rPr>
        <w:t xml:space="preserve">un </w:t>
      </w:r>
      <w:r w:rsidRPr="0077250D">
        <w:rPr>
          <w:rFonts w:cs="Arial"/>
        </w:rPr>
        <w:t>outil de réservation en ligne, qui s</w:t>
      </w:r>
      <w:r w:rsidR="00BE613C" w:rsidRPr="0077250D">
        <w:rPr>
          <w:rFonts w:cs="Arial"/>
        </w:rPr>
        <w:t>’</w:t>
      </w:r>
      <w:r w:rsidRPr="0077250D">
        <w:rPr>
          <w:rFonts w:cs="Arial"/>
        </w:rPr>
        <w:t>est traduite par une baisse de 14% des tarifs moyens des billets entre 2013 et 2015.</w:t>
      </w:r>
    </w:p>
    <w:p w:rsidR="00E35895" w:rsidRPr="0077250D" w:rsidRDefault="00E35895" w:rsidP="00FC14D6">
      <w:pPr>
        <w:rPr>
          <w:rFonts w:cs="Arial"/>
        </w:rPr>
      </w:pPr>
    </w:p>
    <w:p w:rsidR="00E35895" w:rsidRPr="0077250D" w:rsidRDefault="00B715CC" w:rsidP="00FC14D6">
      <w:pPr>
        <w:rPr>
          <w:rFonts w:eastAsiaTheme="minorHAnsi" w:cs="Arial"/>
          <w:i/>
        </w:rPr>
      </w:pPr>
      <w:r w:rsidRPr="0077250D">
        <w:rPr>
          <w:rFonts w:eastAsiaTheme="minorHAnsi" w:cs="Arial"/>
          <w:i/>
        </w:rPr>
        <w:t>Services contractuels</w:t>
      </w:r>
    </w:p>
    <w:p w:rsidR="00E35895" w:rsidRPr="0077250D" w:rsidRDefault="00E35895" w:rsidP="00FC14D6">
      <w:pPr>
        <w:rPr>
          <w:rFonts w:eastAsiaTheme="minorHAnsi" w:cs="Arial"/>
          <w:i/>
        </w:rPr>
      </w:pPr>
    </w:p>
    <w:p w:rsidR="00E35895" w:rsidRPr="0077250D" w:rsidRDefault="004F56F6" w:rsidP="00FC14D6">
      <w:pPr>
        <w:rPr>
          <w:rFonts w:cs="Arial"/>
        </w:rPr>
      </w:pPr>
      <w:r w:rsidRPr="0077250D">
        <w:rPr>
          <w:rFonts w:cs="Arial"/>
        </w:rPr>
        <w:t>Les services contractuels se sont élevés au total à 681 000</w:t>
      </w:r>
      <w:r w:rsidR="00FB471C" w:rsidRPr="0077250D">
        <w:rPr>
          <w:rFonts w:cs="Arial"/>
        </w:rPr>
        <w:t> </w:t>
      </w:r>
      <w:r w:rsidRPr="0077250D">
        <w:rPr>
          <w:rFonts w:cs="Arial"/>
        </w:rPr>
        <w:t>francs suisse</w:t>
      </w:r>
      <w:r w:rsidR="001604A3" w:rsidRPr="0077250D">
        <w:rPr>
          <w:rFonts w:cs="Arial"/>
        </w:rPr>
        <w:t>s</w:t>
      </w:r>
      <w:r w:rsidRPr="0077250D">
        <w:rPr>
          <w:rFonts w:cs="Arial"/>
        </w:rPr>
        <w:t>, soit 206 000</w:t>
      </w:r>
      <w:r w:rsidR="00FB471C" w:rsidRPr="0077250D">
        <w:rPr>
          <w:rFonts w:cs="Arial"/>
        </w:rPr>
        <w:t> </w:t>
      </w:r>
      <w:r w:rsidRPr="0077250D">
        <w:rPr>
          <w:rFonts w:cs="Arial"/>
        </w:rPr>
        <w:t xml:space="preserve">francs suisses de plus que le montant </w:t>
      </w:r>
      <w:r w:rsidR="001604A3" w:rsidRPr="0077250D">
        <w:rPr>
          <w:rFonts w:cs="Arial"/>
        </w:rPr>
        <w:t>inscrit</w:t>
      </w:r>
      <w:r w:rsidRPr="0077250D">
        <w:rPr>
          <w:rFonts w:cs="Arial"/>
        </w:rPr>
        <w:t xml:space="preserve"> au budg</w:t>
      </w:r>
      <w:r w:rsidR="00F32060" w:rsidRPr="0077250D">
        <w:rPr>
          <w:rFonts w:cs="Arial"/>
        </w:rPr>
        <w:t>et.  Ce</w:t>
      </w:r>
      <w:r w:rsidR="00323F3D" w:rsidRPr="0077250D">
        <w:rPr>
          <w:rFonts w:cs="Arial"/>
        </w:rPr>
        <w:t xml:space="preserve">tte augmentation est principalement </w:t>
      </w:r>
      <w:r w:rsidR="001604A3" w:rsidRPr="0077250D">
        <w:rPr>
          <w:rFonts w:cs="Arial"/>
        </w:rPr>
        <w:t xml:space="preserve">à mettre </w:t>
      </w:r>
      <w:r w:rsidR="00323F3D" w:rsidRPr="0077250D">
        <w:rPr>
          <w:rFonts w:cs="Arial"/>
        </w:rPr>
        <w:t>au titre des autres services contractuels, en raison de la nécessité de compenser l</w:t>
      </w:r>
      <w:r w:rsidR="00BE613C" w:rsidRPr="0077250D">
        <w:rPr>
          <w:rFonts w:cs="Arial"/>
        </w:rPr>
        <w:t>’</w:t>
      </w:r>
      <w:r w:rsidR="00323F3D" w:rsidRPr="0077250D">
        <w:rPr>
          <w:rFonts w:cs="Arial"/>
        </w:rPr>
        <w:t>absence d</w:t>
      </w:r>
      <w:r w:rsidR="00BE613C" w:rsidRPr="0077250D">
        <w:rPr>
          <w:rFonts w:cs="Arial"/>
        </w:rPr>
        <w:t>’</w:t>
      </w:r>
      <w:r w:rsidR="00323F3D" w:rsidRPr="0077250D">
        <w:rPr>
          <w:rFonts w:cs="Arial"/>
        </w:rPr>
        <w:t>une fonctionnaire lors de son congé maternité et de sa reprise d</w:t>
      </w:r>
      <w:r w:rsidR="00BE613C" w:rsidRPr="0077250D">
        <w:rPr>
          <w:rFonts w:cs="Arial"/>
        </w:rPr>
        <w:t>’</w:t>
      </w:r>
      <w:r w:rsidR="00323F3D" w:rsidRPr="0077250D">
        <w:rPr>
          <w:rFonts w:cs="Arial"/>
        </w:rPr>
        <w:t>activité à temps parti</w:t>
      </w:r>
      <w:r w:rsidR="00F32060" w:rsidRPr="0077250D">
        <w:rPr>
          <w:rFonts w:cs="Arial"/>
        </w:rPr>
        <w:t>el.  Pa</w:t>
      </w:r>
      <w:r w:rsidR="00571F42" w:rsidRPr="0077250D">
        <w:rPr>
          <w:rFonts w:cs="Arial"/>
        </w:rPr>
        <w:t>r ailleurs, le niveau des ressources extrabudgétaires disponibles pour financer les activités de l</w:t>
      </w:r>
      <w:r w:rsidR="00BE613C" w:rsidRPr="0077250D">
        <w:rPr>
          <w:rFonts w:cs="Arial"/>
        </w:rPr>
        <w:t>’</w:t>
      </w:r>
      <w:r w:rsidR="00571F42" w:rsidRPr="0077250D">
        <w:rPr>
          <w:rFonts w:cs="Arial"/>
        </w:rPr>
        <w:t>exercice biennal a été nettement plus élevé que prévu, ce qui a nécessité un appui administratif supplémentaire, lequel a été assuré par des services contractuels extern</w:t>
      </w:r>
      <w:r w:rsidR="00F32060" w:rsidRPr="0077250D">
        <w:rPr>
          <w:rFonts w:cs="Arial"/>
        </w:rPr>
        <w:t>es.  En</w:t>
      </w:r>
      <w:r w:rsidR="00CF71CB" w:rsidRPr="0077250D">
        <w:rPr>
          <w:rFonts w:cs="Arial"/>
        </w:rPr>
        <w:t>fin, les coûts de développement informatique afférents au modèle de principes directeurs d</w:t>
      </w:r>
      <w:r w:rsidR="00BE613C" w:rsidRPr="0077250D">
        <w:rPr>
          <w:rFonts w:cs="Arial"/>
        </w:rPr>
        <w:t>’</w:t>
      </w:r>
      <w:r w:rsidR="00CF71CB" w:rsidRPr="0077250D">
        <w:rPr>
          <w:rFonts w:cs="Arial"/>
        </w:rPr>
        <w:t>examen ont été supérieurs aux prévisions.</w:t>
      </w:r>
    </w:p>
    <w:p w:rsidR="00E35895" w:rsidRPr="0077250D" w:rsidRDefault="00E35895" w:rsidP="00FC14D6">
      <w:pPr>
        <w:rPr>
          <w:rFonts w:cs="Arial"/>
        </w:rPr>
      </w:pPr>
    </w:p>
    <w:p w:rsidR="00E35895" w:rsidRPr="0077250D" w:rsidRDefault="00CF71CB" w:rsidP="0077250D">
      <w:pPr>
        <w:keepNext/>
        <w:rPr>
          <w:rFonts w:eastAsiaTheme="minorHAnsi" w:cs="Arial"/>
          <w:i/>
        </w:rPr>
      </w:pPr>
      <w:r w:rsidRPr="0077250D">
        <w:rPr>
          <w:rFonts w:eastAsiaTheme="minorHAnsi" w:cs="Arial"/>
          <w:i/>
        </w:rPr>
        <w:t>Dépenses de fonctionnement</w:t>
      </w:r>
    </w:p>
    <w:p w:rsidR="00E35895" w:rsidRPr="0077250D" w:rsidRDefault="00E35895" w:rsidP="0077250D">
      <w:pPr>
        <w:keepNext/>
        <w:rPr>
          <w:rFonts w:eastAsiaTheme="minorHAnsi" w:cs="Arial"/>
          <w:i/>
        </w:rPr>
      </w:pPr>
    </w:p>
    <w:p w:rsidR="00E35895" w:rsidRPr="0077250D" w:rsidRDefault="00CF71CB" w:rsidP="00FC14D6">
      <w:r w:rsidRPr="0077250D">
        <w:t>Les dépenses de fonctionnement ont atteint 1,243</w:t>
      </w:r>
      <w:r w:rsidR="00FB471C" w:rsidRPr="0077250D">
        <w:t> </w:t>
      </w:r>
      <w:r w:rsidRPr="0077250D">
        <w:t xml:space="preserve">million de francs suisses, montant légèrement inférieur à celui </w:t>
      </w:r>
      <w:r w:rsidR="001604A3" w:rsidRPr="0077250D">
        <w:t>inscrit au budget</w:t>
      </w:r>
      <w:r w:rsidRPr="0077250D">
        <w:t>.</w:t>
      </w:r>
    </w:p>
    <w:p w:rsidR="00E35895" w:rsidRPr="0077250D" w:rsidRDefault="00E35895" w:rsidP="00FC14D6"/>
    <w:p w:rsidR="00E35895" w:rsidRPr="0077250D" w:rsidRDefault="00D0774B" w:rsidP="00FC14D6">
      <w:pPr>
        <w:keepNext/>
        <w:keepLines/>
        <w:rPr>
          <w:rFonts w:eastAsiaTheme="minorHAnsi" w:cs="Arial"/>
          <w:i/>
        </w:rPr>
      </w:pPr>
      <w:r w:rsidRPr="0077250D">
        <w:rPr>
          <w:rFonts w:eastAsiaTheme="minorHAnsi" w:cs="Arial"/>
          <w:i/>
        </w:rPr>
        <w:t>Matériel et fournitures</w:t>
      </w:r>
    </w:p>
    <w:p w:rsidR="00E35895" w:rsidRPr="0077250D" w:rsidRDefault="00E35895" w:rsidP="00FC14D6">
      <w:pPr>
        <w:keepNext/>
        <w:keepLines/>
        <w:rPr>
          <w:rFonts w:eastAsiaTheme="minorHAnsi" w:cs="Arial"/>
          <w:i/>
        </w:rPr>
      </w:pPr>
    </w:p>
    <w:p w:rsidR="00E35895" w:rsidRPr="0077250D" w:rsidRDefault="00CF71CB" w:rsidP="00FC14D6">
      <w:pPr>
        <w:keepNext/>
        <w:keepLines/>
        <w:rPr>
          <w:rFonts w:eastAsiaTheme="minorHAnsi" w:cs="Arial"/>
        </w:rPr>
      </w:pPr>
      <w:r w:rsidRPr="0077250D">
        <w:rPr>
          <w:rFonts w:eastAsiaTheme="minorHAnsi" w:cs="Arial"/>
        </w:rPr>
        <w:t>Le coût du matériel et des fournitures s</w:t>
      </w:r>
      <w:r w:rsidR="00BE613C" w:rsidRPr="0077250D">
        <w:rPr>
          <w:rFonts w:eastAsiaTheme="minorHAnsi" w:cs="Arial"/>
        </w:rPr>
        <w:t>’</w:t>
      </w:r>
      <w:r w:rsidRPr="0077250D">
        <w:rPr>
          <w:rFonts w:eastAsiaTheme="minorHAnsi" w:cs="Arial"/>
        </w:rPr>
        <w:t>est élevé à 10 293</w:t>
      </w:r>
      <w:r w:rsidR="00FB471C" w:rsidRPr="0077250D">
        <w:rPr>
          <w:rFonts w:eastAsiaTheme="minorHAnsi" w:cs="Arial"/>
        </w:rPr>
        <w:t> </w:t>
      </w:r>
      <w:r w:rsidRPr="0077250D">
        <w:rPr>
          <w:rFonts w:eastAsiaTheme="minorHAnsi" w:cs="Arial"/>
        </w:rPr>
        <w:t>francs suisses, soit 27 707</w:t>
      </w:r>
      <w:r w:rsidR="00FB471C" w:rsidRPr="0077250D">
        <w:rPr>
          <w:rFonts w:eastAsiaTheme="minorHAnsi" w:cs="Arial"/>
        </w:rPr>
        <w:t> </w:t>
      </w:r>
      <w:r w:rsidRPr="0077250D">
        <w:rPr>
          <w:rFonts w:eastAsiaTheme="minorHAnsi" w:cs="Arial"/>
        </w:rPr>
        <w:t xml:space="preserve">francs suisses de moins que le montant </w:t>
      </w:r>
      <w:r w:rsidR="001604A3" w:rsidRPr="0077250D">
        <w:rPr>
          <w:rFonts w:eastAsiaTheme="minorHAnsi" w:cs="Arial"/>
        </w:rPr>
        <w:t>inscrit</w:t>
      </w:r>
      <w:r w:rsidRPr="0077250D">
        <w:rPr>
          <w:rFonts w:eastAsiaTheme="minorHAnsi" w:cs="Arial"/>
        </w:rPr>
        <w:t xml:space="preserve"> au budget.</w:t>
      </w:r>
    </w:p>
    <w:p w:rsidR="00E35895" w:rsidRPr="0077250D" w:rsidRDefault="00E35895" w:rsidP="00FC14D6">
      <w:pPr>
        <w:keepNext/>
        <w:keepLines/>
        <w:rPr>
          <w:rFonts w:eastAsiaTheme="minorHAnsi" w:cs="Arial"/>
        </w:rPr>
      </w:pPr>
    </w:p>
    <w:p w:rsidR="00E35895" w:rsidRPr="0077250D" w:rsidRDefault="00D0774B" w:rsidP="00FC14D6">
      <w:pPr>
        <w:rPr>
          <w:rFonts w:eastAsiaTheme="minorHAnsi" w:cs="Arial"/>
        </w:rPr>
      </w:pPr>
      <w:r w:rsidRPr="0077250D">
        <w:rPr>
          <w:rFonts w:eastAsiaTheme="minorHAnsi" w:cs="Arial"/>
        </w:rPr>
        <w:t>La ventilation des dépenses pour 2012</w:t>
      </w:r>
      <w:r w:rsidR="00F32060" w:rsidRPr="0077250D">
        <w:rPr>
          <w:rFonts w:eastAsiaTheme="minorHAnsi" w:cs="Arial"/>
        </w:rPr>
        <w:noBreakHyphen/>
      </w:r>
      <w:r w:rsidRPr="0077250D">
        <w:rPr>
          <w:rFonts w:eastAsiaTheme="minorHAnsi" w:cs="Arial"/>
        </w:rPr>
        <w:t>2013 par sous</w:t>
      </w:r>
      <w:r w:rsidR="00F32060" w:rsidRPr="0077250D">
        <w:rPr>
          <w:rFonts w:eastAsiaTheme="minorHAnsi" w:cs="Arial"/>
        </w:rPr>
        <w:noBreakHyphen/>
      </w:r>
      <w:r w:rsidRPr="0077250D">
        <w:rPr>
          <w:rFonts w:eastAsiaTheme="minorHAnsi" w:cs="Arial"/>
        </w:rPr>
        <w:t>programme et par catégorie de dépense est montrée dans le tableau 5 ci</w:t>
      </w:r>
      <w:r w:rsidR="00F32060" w:rsidRPr="0077250D">
        <w:rPr>
          <w:rFonts w:eastAsiaTheme="minorHAnsi" w:cs="Arial"/>
        </w:rPr>
        <w:noBreakHyphen/>
      </w:r>
      <w:r w:rsidRPr="0077250D">
        <w:rPr>
          <w:rFonts w:eastAsiaTheme="minorHAnsi" w:cs="Arial"/>
        </w:rPr>
        <w:t>dessous.</w:t>
      </w:r>
    </w:p>
    <w:p w:rsidR="00E35895" w:rsidRPr="0077250D" w:rsidRDefault="00E35895" w:rsidP="00FC14D6">
      <w:pPr>
        <w:rPr>
          <w:rFonts w:eastAsiaTheme="minorHAnsi" w:cs="Arial"/>
        </w:rPr>
      </w:pPr>
    </w:p>
    <w:p w:rsidR="005E7BB7" w:rsidRPr="0077250D" w:rsidRDefault="00196516" w:rsidP="00D630E8">
      <w:pPr>
        <w:pStyle w:val="Heading2"/>
        <w:rPr>
          <w:lang w:val="fr-FR"/>
        </w:rPr>
      </w:pPr>
      <w:bookmarkStart w:id="15" w:name="_Toc460231959"/>
      <w:r w:rsidRPr="0077250D">
        <w:rPr>
          <w:lang w:val="fr-FR"/>
        </w:rPr>
        <w:t>Tableau</w:t>
      </w:r>
      <w:r w:rsidR="00FB471C" w:rsidRPr="0077250D">
        <w:rPr>
          <w:lang w:val="fr-FR"/>
        </w:rPr>
        <w:t> </w:t>
      </w:r>
      <w:r w:rsidR="00C67BFC">
        <w:rPr>
          <w:lang w:val="fr-FR"/>
        </w:rPr>
        <w:t xml:space="preserve">5.  </w:t>
      </w:r>
      <w:r w:rsidRPr="0077250D">
        <w:rPr>
          <w:lang w:val="fr-FR"/>
        </w:rPr>
        <w:t xml:space="preserve">Détail des dépenses </w:t>
      </w:r>
      <w:r w:rsidR="001604A3" w:rsidRPr="0077250D">
        <w:rPr>
          <w:lang w:val="fr-FR"/>
        </w:rPr>
        <w:t>par sous</w:t>
      </w:r>
      <w:r w:rsidR="00F32060" w:rsidRPr="0077250D">
        <w:rPr>
          <w:lang w:val="fr-FR"/>
        </w:rPr>
        <w:noBreakHyphen/>
      </w:r>
      <w:r w:rsidR="001604A3" w:rsidRPr="0077250D">
        <w:rPr>
          <w:lang w:val="fr-FR"/>
        </w:rPr>
        <w:t xml:space="preserve">programme </w:t>
      </w:r>
      <w:r w:rsidRPr="0077250D">
        <w:rPr>
          <w:lang w:val="fr-FR"/>
        </w:rPr>
        <w:t>pour l</w:t>
      </w:r>
      <w:r w:rsidR="00BE613C" w:rsidRPr="0077250D">
        <w:rPr>
          <w:lang w:val="fr-FR"/>
        </w:rPr>
        <w:t>’</w:t>
      </w:r>
      <w:r w:rsidRPr="0077250D">
        <w:rPr>
          <w:lang w:val="fr-FR"/>
        </w:rPr>
        <w:t>exercice biennal</w:t>
      </w:r>
      <w:r w:rsidR="00FB471C" w:rsidRPr="0077250D">
        <w:rPr>
          <w:lang w:val="fr-FR"/>
        </w:rPr>
        <w:t> </w:t>
      </w:r>
      <w:r w:rsidRPr="0077250D">
        <w:rPr>
          <w:lang w:val="fr-FR"/>
        </w:rPr>
        <w:t>2014</w:t>
      </w:r>
      <w:r w:rsidR="00F32060" w:rsidRPr="0077250D">
        <w:rPr>
          <w:lang w:val="fr-FR"/>
        </w:rPr>
        <w:noBreakHyphen/>
      </w:r>
      <w:r w:rsidRPr="0077250D">
        <w:rPr>
          <w:lang w:val="fr-FR"/>
        </w:rPr>
        <w:t>2015</w:t>
      </w:r>
      <w:bookmarkEnd w:id="15"/>
    </w:p>
    <w:p w:rsidR="006F2554" w:rsidRPr="0077250D" w:rsidRDefault="00196516" w:rsidP="00FC14D6">
      <w:pPr>
        <w:keepNext/>
        <w:spacing w:after="200"/>
        <w:jc w:val="center"/>
        <w:rPr>
          <w:rFonts w:eastAsiaTheme="minorHAnsi" w:cs="Arial"/>
          <w:i/>
        </w:rPr>
      </w:pPr>
      <w:r w:rsidRPr="0077250D">
        <w:rPr>
          <w:rFonts w:eastAsiaTheme="minorHAnsi" w:cs="Arial"/>
          <w:i/>
        </w:rPr>
        <w:t>(en milliers de francs suisses)</w:t>
      </w:r>
    </w:p>
    <w:p w:rsidR="006F2554" w:rsidRPr="0077250D" w:rsidRDefault="00E35895" w:rsidP="00FC14D6">
      <w:pPr>
        <w:rPr>
          <w:rFonts w:eastAsiaTheme="minorHAnsi" w:cs="Arial"/>
        </w:rPr>
      </w:pPr>
      <w:r w:rsidRPr="0077250D">
        <w:rPr>
          <w:rFonts w:eastAsiaTheme="minorHAnsi"/>
          <w:noProof/>
          <w:lang w:val="en-US"/>
        </w:rPr>
        <w:drawing>
          <wp:inline distT="0" distB="0" distL="0" distR="0" wp14:anchorId="097FFF73" wp14:editId="0E77A61D">
            <wp:extent cx="6120765" cy="46823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682353"/>
                    </a:xfrm>
                    <a:prstGeom prst="rect">
                      <a:avLst/>
                    </a:prstGeom>
                    <a:noFill/>
                    <a:ln>
                      <a:noFill/>
                    </a:ln>
                  </pic:spPr>
                </pic:pic>
              </a:graphicData>
            </a:graphic>
          </wp:inline>
        </w:drawing>
      </w:r>
    </w:p>
    <w:p w:rsidR="00E35895" w:rsidRPr="0077250D" w:rsidRDefault="00E35895" w:rsidP="00FC14D6">
      <w:pPr>
        <w:rPr>
          <w:rFonts w:eastAsiaTheme="minorHAnsi"/>
        </w:rPr>
      </w:pPr>
    </w:p>
    <w:p w:rsidR="006F2554" w:rsidRPr="0077250D" w:rsidRDefault="0077250D" w:rsidP="0077250D">
      <w:pPr>
        <w:ind w:left="284" w:hanging="284"/>
        <w:rPr>
          <w:rFonts w:eastAsiaTheme="minorHAnsi" w:cs="Arial"/>
          <w:sz w:val="18"/>
          <w:szCs w:val="18"/>
        </w:rPr>
      </w:pPr>
      <w:r>
        <w:rPr>
          <w:rFonts w:eastAsiaTheme="minorHAnsi" w:cs="Arial"/>
          <w:sz w:val="18"/>
          <w:szCs w:val="18"/>
        </w:rPr>
        <w:t>*</w:t>
      </w:r>
      <w:r>
        <w:rPr>
          <w:rFonts w:eastAsiaTheme="minorHAnsi" w:cs="Arial"/>
          <w:sz w:val="18"/>
          <w:szCs w:val="18"/>
        </w:rPr>
        <w:tab/>
      </w:r>
      <w:r w:rsidR="00196516" w:rsidRPr="0077250D">
        <w:rPr>
          <w:rFonts w:eastAsiaTheme="minorHAnsi" w:cs="Arial"/>
          <w:sz w:val="18"/>
          <w:szCs w:val="18"/>
        </w:rPr>
        <w:t>On notera que</w:t>
      </w:r>
      <w:r w:rsidR="00FC14D6" w:rsidRPr="0077250D">
        <w:rPr>
          <w:rFonts w:eastAsiaTheme="minorHAnsi" w:cs="Arial"/>
          <w:sz w:val="18"/>
          <w:szCs w:val="18"/>
        </w:rPr>
        <w:t>,</w:t>
      </w:r>
      <w:r w:rsidR="00196516" w:rsidRPr="0077250D">
        <w:rPr>
          <w:rFonts w:eastAsiaTheme="minorHAnsi" w:cs="Arial"/>
          <w:sz w:val="18"/>
          <w:szCs w:val="18"/>
        </w:rPr>
        <w:t xml:space="preserve"> </w:t>
      </w:r>
      <w:r w:rsidR="001604A3" w:rsidRPr="0077250D">
        <w:rPr>
          <w:rFonts w:eastAsiaTheme="minorHAnsi" w:cs="Arial"/>
          <w:sz w:val="18"/>
          <w:szCs w:val="18"/>
        </w:rPr>
        <w:t xml:space="preserve">dans </w:t>
      </w:r>
      <w:r w:rsidR="00196516" w:rsidRPr="0077250D">
        <w:rPr>
          <w:rFonts w:eastAsiaTheme="minorHAnsi" w:cs="Arial"/>
          <w:sz w:val="18"/>
          <w:szCs w:val="18"/>
        </w:rPr>
        <w:t>la présentation des états financiers, le</w:t>
      </w:r>
      <w:r w:rsidR="001604A3" w:rsidRPr="0077250D">
        <w:rPr>
          <w:rFonts w:eastAsiaTheme="minorHAnsi" w:cs="Arial"/>
          <w:sz w:val="18"/>
          <w:szCs w:val="18"/>
        </w:rPr>
        <w:t>s</w:t>
      </w:r>
      <w:r w:rsidR="00196516" w:rsidRPr="0077250D">
        <w:rPr>
          <w:rFonts w:eastAsiaTheme="minorHAnsi" w:cs="Arial"/>
          <w:sz w:val="18"/>
          <w:szCs w:val="18"/>
        </w:rPr>
        <w:t xml:space="preserve"> coût</w:t>
      </w:r>
      <w:r w:rsidR="001604A3" w:rsidRPr="0077250D">
        <w:rPr>
          <w:rFonts w:eastAsiaTheme="minorHAnsi" w:cs="Arial"/>
          <w:sz w:val="18"/>
          <w:szCs w:val="18"/>
        </w:rPr>
        <w:t>s</w:t>
      </w:r>
      <w:r w:rsidR="00196516" w:rsidRPr="0077250D">
        <w:rPr>
          <w:rFonts w:eastAsiaTheme="minorHAnsi" w:cs="Arial"/>
          <w:sz w:val="18"/>
          <w:szCs w:val="18"/>
        </w:rPr>
        <w:t xml:space="preserve"> liés </w:t>
      </w:r>
      <w:r w:rsidR="001604A3" w:rsidRPr="0077250D">
        <w:rPr>
          <w:rFonts w:eastAsiaTheme="minorHAnsi" w:cs="Arial"/>
          <w:sz w:val="18"/>
          <w:szCs w:val="18"/>
        </w:rPr>
        <w:t>au recrutement des</w:t>
      </w:r>
      <w:r w:rsidR="00196516" w:rsidRPr="0077250D">
        <w:rPr>
          <w:rFonts w:eastAsiaTheme="minorHAnsi" w:cs="Arial"/>
          <w:sz w:val="18"/>
          <w:szCs w:val="18"/>
        </w:rPr>
        <w:t xml:space="preserve"> stagiaires sont </w:t>
      </w:r>
      <w:r w:rsidR="001604A3" w:rsidRPr="0077250D">
        <w:rPr>
          <w:rFonts w:eastAsiaTheme="minorHAnsi" w:cs="Arial"/>
          <w:sz w:val="18"/>
          <w:szCs w:val="18"/>
        </w:rPr>
        <w:t>comptabilisés au titre des</w:t>
      </w:r>
      <w:r w:rsidR="00196516" w:rsidRPr="0077250D">
        <w:rPr>
          <w:rFonts w:eastAsiaTheme="minorHAnsi" w:cs="Arial"/>
          <w:sz w:val="18"/>
          <w:szCs w:val="18"/>
        </w:rPr>
        <w:t xml:space="preserve"> services contractuels.</w:t>
      </w:r>
    </w:p>
    <w:p w:rsidR="006F2554" w:rsidRPr="0077250D" w:rsidRDefault="0077250D" w:rsidP="0077250D">
      <w:pPr>
        <w:ind w:left="284" w:hanging="284"/>
        <w:rPr>
          <w:rFonts w:eastAsiaTheme="minorHAnsi" w:cs="Arial"/>
          <w:sz w:val="18"/>
          <w:szCs w:val="18"/>
        </w:rPr>
      </w:pPr>
      <w:r>
        <w:rPr>
          <w:rFonts w:eastAsiaTheme="minorHAnsi" w:cs="Arial"/>
          <w:sz w:val="18"/>
          <w:szCs w:val="18"/>
        </w:rPr>
        <w:t>**</w:t>
      </w:r>
      <w:r>
        <w:rPr>
          <w:rFonts w:eastAsiaTheme="minorHAnsi" w:cs="Arial"/>
          <w:sz w:val="18"/>
          <w:szCs w:val="18"/>
        </w:rPr>
        <w:tab/>
      </w:r>
      <w:r w:rsidR="00196516" w:rsidRPr="0077250D">
        <w:rPr>
          <w:rFonts w:eastAsiaTheme="minorHAnsi" w:cs="Arial"/>
          <w:sz w:val="18"/>
          <w:szCs w:val="18"/>
        </w:rPr>
        <w:t>Toute autre différence entre les chiffres indiqués dans ce tableau et les suivants et ceux qui figurent dans les états financiers est due au fait que les montants ont été arrondis.</w:t>
      </w:r>
    </w:p>
    <w:p w:rsidR="006F2554" w:rsidRPr="0077250D" w:rsidRDefault="006F2554" w:rsidP="00FC14D6">
      <w:pPr>
        <w:rPr>
          <w:rFonts w:eastAsiaTheme="minorHAnsi" w:cs="Arial"/>
          <w:sz w:val="18"/>
          <w:szCs w:val="18"/>
        </w:rPr>
      </w:pPr>
    </w:p>
    <w:p w:rsidR="006F2554" w:rsidRPr="0077250D" w:rsidRDefault="006F2554" w:rsidP="00FC14D6">
      <w:pPr>
        <w:rPr>
          <w:rFonts w:eastAsiaTheme="minorHAnsi" w:cs="Arial"/>
        </w:rPr>
      </w:pPr>
    </w:p>
    <w:p w:rsidR="0077250D" w:rsidRDefault="0077250D">
      <w:pPr>
        <w:jc w:val="left"/>
        <w:rPr>
          <w:rFonts w:eastAsiaTheme="minorHAnsi" w:cs="Arial"/>
        </w:rPr>
      </w:pPr>
      <w:r>
        <w:rPr>
          <w:rFonts w:eastAsiaTheme="minorHAnsi" w:cs="Arial"/>
        </w:rPr>
        <w:br w:type="page"/>
      </w:r>
    </w:p>
    <w:p w:rsidR="005E7BB7" w:rsidRPr="0077250D" w:rsidRDefault="00196516" w:rsidP="00FC14D6">
      <w:pPr>
        <w:spacing w:after="200"/>
        <w:rPr>
          <w:rFonts w:eastAsiaTheme="minorHAnsi" w:cs="Arial"/>
        </w:rPr>
      </w:pPr>
      <w:r w:rsidRPr="0077250D">
        <w:rPr>
          <w:rFonts w:eastAsiaTheme="minorHAnsi" w:cs="Arial"/>
        </w:rPr>
        <w:t>Le tableau</w:t>
      </w:r>
      <w:r w:rsidR="00FB471C" w:rsidRPr="0077250D">
        <w:rPr>
          <w:rFonts w:eastAsiaTheme="minorHAnsi" w:cs="Arial"/>
        </w:rPr>
        <w:t> </w:t>
      </w:r>
      <w:r w:rsidRPr="0077250D">
        <w:rPr>
          <w:rFonts w:eastAsiaTheme="minorHAnsi" w:cs="Arial"/>
        </w:rPr>
        <w:t xml:space="preserve">6 présente </w:t>
      </w:r>
      <w:r w:rsidR="001604A3" w:rsidRPr="0077250D">
        <w:rPr>
          <w:rFonts w:eastAsiaTheme="minorHAnsi" w:cs="Arial"/>
        </w:rPr>
        <w:t>d</w:t>
      </w:r>
      <w:r w:rsidR="00BE613C" w:rsidRPr="0077250D">
        <w:rPr>
          <w:rFonts w:eastAsiaTheme="minorHAnsi" w:cs="Arial"/>
        </w:rPr>
        <w:t>’</w:t>
      </w:r>
      <w:r w:rsidR="001604A3" w:rsidRPr="0077250D">
        <w:rPr>
          <w:rFonts w:eastAsiaTheme="minorHAnsi" w:cs="Arial"/>
        </w:rPr>
        <w:t xml:space="preserve">une manière synthétique </w:t>
      </w:r>
      <w:r w:rsidRPr="0077250D">
        <w:rPr>
          <w:rFonts w:eastAsiaTheme="minorHAnsi" w:cs="Arial"/>
        </w:rPr>
        <w:t>le nombre de postes par catégorie.</w:t>
      </w:r>
    </w:p>
    <w:p w:rsidR="006F2554" w:rsidRPr="0077250D" w:rsidRDefault="00196516" w:rsidP="00D630E8">
      <w:pPr>
        <w:pStyle w:val="Heading2"/>
        <w:rPr>
          <w:lang w:val="fr-FR"/>
        </w:rPr>
      </w:pPr>
      <w:bookmarkStart w:id="16" w:name="_Toc460231960"/>
      <w:r w:rsidRPr="0077250D">
        <w:rPr>
          <w:lang w:val="fr-FR"/>
        </w:rPr>
        <w:t>Tableau</w:t>
      </w:r>
      <w:r w:rsidR="00FB471C" w:rsidRPr="0077250D">
        <w:rPr>
          <w:lang w:val="fr-FR"/>
        </w:rPr>
        <w:t> </w:t>
      </w:r>
      <w:r w:rsidR="00C67BFC">
        <w:rPr>
          <w:lang w:val="fr-FR"/>
        </w:rPr>
        <w:t xml:space="preserve">6.  </w:t>
      </w:r>
      <w:r w:rsidRPr="0077250D">
        <w:rPr>
          <w:lang w:val="fr-FR"/>
        </w:rPr>
        <w:t>Postes inscrits au budget et postes effectifs pour l</w:t>
      </w:r>
      <w:r w:rsidR="00BE613C" w:rsidRPr="0077250D">
        <w:rPr>
          <w:lang w:val="fr-FR"/>
        </w:rPr>
        <w:t>’</w:t>
      </w:r>
      <w:r w:rsidRPr="0077250D">
        <w:rPr>
          <w:lang w:val="fr-FR"/>
        </w:rPr>
        <w:t>exercice biennal</w:t>
      </w:r>
      <w:r w:rsidR="00FB471C" w:rsidRPr="0077250D">
        <w:rPr>
          <w:lang w:val="fr-FR"/>
        </w:rPr>
        <w:t> </w:t>
      </w:r>
      <w:r w:rsidRPr="0077250D">
        <w:rPr>
          <w:lang w:val="fr-FR"/>
        </w:rPr>
        <w:t>2014</w:t>
      </w:r>
      <w:r w:rsidR="00F32060" w:rsidRPr="0077250D">
        <w:rPr>
          <w:lang w:val="fr-FR"/>
        </w:rPr>
        <w:noBreakHyphen/>
      </w:r>
      <w:r w:rsidRPr="0077250D">
        <w:rPr>
          <w:lang w:val="fr-FR"/>
        </w:rPr>
        <w:t>2015</w:t>
      </w:r>
      <w:bookmarkEnd w:id="16"/>
    </w:p>
    <w:p w:rsidR="006F2554" w:rsidRPr="0077250D" w:rsidRDefault="006F2554" w:rsidP="00FC14D6">
      <w:pPr>
        <w:rPr>
          <w:rFonts w:eastAsiaTheme="minorHAnsi"/>
        </w:rPr>
      </w:pPr>
    </w:p>
    <w:p w:rsidR="006F2554" w:rsidRPr="0077250D" w:rsidRDefault="00FC14D6" w:rsidP="00FC14D6">
      <w:pPr>
        <w:spacing w:after="200"/>
        <w:jc w:val="center"/>
        <w:rPr>
          <w:rFonts w:eastAsiaTheme="minorHAnsi" w:cs="Arial"/>
        </w:rPr>
      </w:pPr>
      <w:r w:rsidRPr="0077250D">
        <w:rPr>
          <w:rFonts w:eastAsiaTheme="minorHAnsi"/>
          <w:noProof/>
          <w:lang w:val="en-US"/>
        </w:rPr>
        <w:drawing>
          <wp:inline distT="0" distB="0" distL="0" distR="0" wp14:anchorId="1F2C5704" wp14:editId="0312FBF0">
            <wp:extent cx="4045585" cy="1550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45585" cy="1550670"/>
                    </a:xfrm>
                    <a:prstGeom prst="rect">
                      <a:avLst/>
                    </a:prstGeom>
                    <a:noFill/>
                    <a:ln>
                      <a:noFill/>
                    </a:ln>
                  </pic:spPr>
                </pic:pic>
              </a:graphicData>
            </a:graphic>
          </wp:inline>
        </w:drawing>
      </w:r>
    </w:p>
    <w:p w:rsidR="005E7BB7" w:rsidRPr="0077250D" w:rsidRDefault="001604A3" w:rsidP="00FC14D6">
      <w:pPr>
        <w:keepNext/>
        <w:spacing w:after="200"/>
        <w:rPr>
          <w:rFonts w:cs="Arial"/>
        </w:rPr>
      </w:pPr>
      <w:r w:rsidRPr="0077250D">
        <w:rPr>
          <w:rFonts w:cs="Arial"/>
        </w:rPr>
        <w:t xml:space="preserve">Comme </w:t>
      </w:r>
      <w:r w:rsidR="00196516" w:rsidRPr="0077250D">
        <w:rPr>
          <w:rFonts w:cs="Arial"/>
        </w:rPr>
        <w:t>indiqu</w:t>
      </w:r>
      <w:r w:rsidRPr="0077250D">
        <w:rPr>
          <w:rFonts w:cs="Arial"/>
        </w:rPr>
        <w:t>é</w:t>
      </w:r>
      <w:r w:rsidR="00196516" w:rsidRPr="0077250D">
        <w:rPr>
          <w:rFonts w:cs="Arial"/>
        </w:rPr>
        <w:t xml:space="preserve"> </w:t>
      </w:r>
      <w:r w:rsidRPr="0077250D">
        <w:rPr>
          <w:rFonts w:cs="Arial"/>
        </w:rPr>
        <w:t xml:space="preserve">dans </w:t>
      </w:r>
      <w:r w:rsidR="00196516" w:rsidRPr="0077250D">
        <w:rPr>
          <w:rFonts w:cs="Arial"/>
        </w:rPr>
        <w:t>le tableau</w:t>
      </w:r>
      <w:r w:rsidR="00FB471C" w:rsidRPr="0077250D">
        <w:rPr>
          <w:rFonts w:cs="Arial"/>
        </w:rPr>
        <w:t> </w:t>
      </w:r>
      <w:r w:rsidR="00196516" w:rsidRPr="0077250D">
        <w:rPr>
          <w:rFonts w:cs="Arial"/>
        </w:rPr>
        <w:t>6, le nombre total de postes est resté inchangé au cours de l</w:t>
      </w:r>
      <w:r w:rsidR="00BE613C" w:rsidRPr="0077250D">
        <w:rPr>
          <w:rFonts w:cs="Arial"/>
        </w:rPr>
        <w:t>’</w:t>
      </w:r>
      <w:r w:rsidR="00196516" w:rsidRPr="0077250D">
        <w:rPr>
          <w:rFonts w:cs="Arial"/>
        </w:rPr>
        <w:t>exercice bienn</w:t>
      </w:r>
      <w:r w:rsidR="00F32060" w:rsidRPr="0077250D">
        <w:rPr>
          <w:rFonts w:cs="Arial"/>
        </w:rPr>
        <w:t>al.  Le</w:t>
      </w:r>
      <w:r w:rsidR="00196516" w:rsidRPr="0077250D">
        <w:rPr>
          <w:rFonts w:cs="Arial"/>
        </w:rPr>
        <w:t xml:space="preserve"> programme et budget 2014</w:t>
      </w:r>
      <w:r w:rsidR="00F32060" w:rsidRPr="0077250D">
        <w:rPr>
          <w:rFonts w:cs="Arial"/>
        </w:rPr>
        <w:noBreakHyphen/>
      </w:r>
      <w:r w:rsidR="00196516" w:rsidRPr="0077250D">
        <w:rPr>
          <w:rFonts w:cs="Arial"/>
        </w:rPr>
        <w:t>2015 prévoyait trois</w:t>
      </w:r>
      <w:r w:rsidR="00604278" w:rsidRPr="0077250D">
        <w:rPr>
          <w:rFonts w:cs="Arial"/>
        </w:rPr>
        <w:t> </w:t>
      </w:r>
      <w:r w:rsidR="00196516" w:rsidRPr="0077250D">
        <w:rPr>
          <w:rFonts w:cs="Arial"/>
        </w:rPr>
        <w:t>postes dans la catégorie des directeurs, quatre dans celle des administrateurs et quatre dans celle des services généra</w:t>
      </w:r>
      <w:r w:rsidR="00F32060" w:rsidRPr="0077250D">
        <w:rPr>
          <w:rFonts w:cs="Arial"/>
        </w:rPr>
        <w:t>ux.  To</w:t>
      </w:r>
      <w:r w:rsidR="00C90ECE" w:rsidRPr="0077250D">
        <w:rPr>
          <w:rFonts w:cs="Arial"/>
        </w:rPr>
        <w:t>utefois, dans les faits, le nombre de postes a été de deux dans la catégorie des directeurs, de quatre dans celle des administrateurs et de cinq dans celle des services généra</w:t>
      </w:r>
      <w:r w:rsidR="00F32060" w:rsidRPr="0077250D">
        <w:rPr>
          <w:rFonts w:cs="Arial"/>
        </w:rPr>
        <w:t>ux.  Le</w:t>
      </w:r>
      <w:r w:rsidR="00C90ECE" w:rsidRPr="0077250D">
        <w:rPr>
          <w:rFonts w:cs="Arial"/>
        </w:rPr>
        <w:t xml:space="preserve"> nombre plus important de postes dans la catégorie des services généraux est dû au fait qu</w:t>
      </w:r>
      <w:r w:rsidR="00BE613C" w:rsidRPr="0077250D">
        <w:rPr>
          <w:rFonts w:cs="Arial"/>
        </w:rPr>
        <w:t>’</w:t>
      </w:r>
      <w:r w:rsidR="00C90ECE" w:rsidRPr="0077250D">
        <w:rPr>
          <w:rFonts w:cs="Arial"/>
        </w:rPr>
        <w:t>un poste de la catégorie des services généraux n</w:t>
      </w:r>
      <w:r w:rsidR="00BE613C" w:rsidRPr="0077250D">
        <w:rPr>
          <w:rFonts w:cs="Arial"/>
        </w:rPr>
        <w:t>’</w:t>
      </w:r>
      <w:r w:rsidR="00C90ECE" w:rsidRPr="0077250D">
        <w:rPr>
          <w:rFonts w:cs="Arial"/>
        </w:rPr>
        <w:t>a pas été reclassé dans la catégorie des administrateurs en</w:t>
      </w:r>
      <w:r w:rsidR="00FB471C" w:rsidRPr="0077250D">
        <w:rPr>
          <w:rFonts w:cs="Arial"/>
        </w:rPr>
        <w:t> </w:t>
      </w:r>
      <w:r w:rsidR="00C90ECE" w:rsidRPr="0077250D">
        <w:rPr>
          <w:rFonts w:cs="Arial"/>
        </w:rPr>
        <w:t xml:space="preserve">2015. </w:t>
      </w:r>
      <w:r w:rsidR="007B66B8" w:rsidRPr="0077250D">
        <w:t xml:space="preserve"> </w:t>
      </w:r>
      <w:r w:rsidR="00C90ECE" w:rsidRPr="0077250D">
        <w:rPr>
          <w:rFonts w:cs="Arial"/>
        </w:rPr>
        <w:t>Il est prévu qu</w:t>
      </w:r>
      <w:r w:rsidR="00BE613C" w:rsidRPr="0077250D">
        <w:rPr>
          <w:rFonts w:cs="Arial"/>
        </w:rPr>
        <w:t>’</w:t>
      </w:r>
      <w:r w:rsidR="00C90ECE" w:rsidRPr="0077250D">
        <w:rPr>
          <w:rFonts w:cs="Arial"/>
        </w:rPr>
        <w:t>un poste de la catégorie des administrateurs soit reclassé dans la catégorie des directeurs en</w:t>
      </w:r>
      <w:r w:rsidR="00FB471C" w:rsidRPr="0077250D">
        <w:rPr>
          <w:rFonts w:cs="Arial"/>
        </w:rPr>
        <w:t> </w:t>
      </w:r>
      <w:r w:rsidR="00C90ECE" w:rsidRPr="0077250D">
        <w:rPr>
          <w:rFonts w:cs="Arial"/>
        </w:rPr>
        <w:t>2017.</w:t>
      </w:r>
      <w:r w:rsidR="007B66B8" w:rsidRPr="0077250D">
        <w:t xml:space="preserve">  </w:t>
      </w:r>
      <w:r w:rsidR="00C90ECE" w:rsidRPr="0077250D">
        <w:rPr>
          <w:rFonts w:cs="Arial"/>
        </w:rPr>
        <w:t>Le poste de Secrétaire général est compris dans le décompte des postes, mais n</w:t>
      </w:r>
      <w:r w:rsidR="00BE613C" w:rsidRPr="0077250D">
        <w:rPr>
          <w:rFonts w:cs="Arial"/>
        </w:rPr>
        <w:t>’</w:t>
      </w:r>
      <w:r w:rsidR="00C90ECE" w:rsidRPr="0077250D">
        <w:rPr>
          <w:rFonts w:cs="Arial"/>
        </w:rPr>
        <w:t>entraîne aucun coût, étant donné que le Directeur général actuel de l</w:t>
      </w:r>
      <w:r w:rsidR="00BE613C" w:rsidRPr="0077250D">
        <w:rPr>
          <w:rFonts w:cs="Arial"/>
        </w:rPr>
        <w:t>’</w:t>
      </w:r>
      <w:r w:rsidR="00C90ECE" w:rsidRPr="0077250D">
        <w:rPr>
          <w:rFonts w:cs="Arial"/>
        </w:rPr>
        <w:t>OMPI a refusé de percevoir tout traitement ou indemnité pour ses fonctions de secrétaire général de l</w:t>
      </w:r>
      <w:r w:rsidR="00BE613C" w:rsidRPr="0077250D">
        <w:rPr>
          <w:rFonts w:cs="Arial"/>
        </w:rPr>
        <w:t>’</w:t>
      </w:r>
      <w:r w:rsidR="00C90ECE" w:rsidRPr="0077250D">
        <w:rPr>
          <w:rFonts w:cs="Arial"/>
        </w:rPr>
        <w:t>UPOV.</w:t>
      </w:r>
    </w:p>
    <w:p w:rsidR="006F2554" w:rsidRPr="0077250D" w:rsidRDefault="00D0774B" w:rsidP="00FC14D6">
      <w:pPr>
        <w:keepNext/>
        <w:spacing w:after="200"/>
        <w:rPr>
          <w:rFonts w:eastAsiaTheme="minorHAnsi" w:cs="Arial"/>
        </w:rPr>
      </w:pPr>
      <w:r w:rsidRPr="0077250D">
        <w:rPr>
          <w:rFonts w:eastAsiaTheme="minorHAnsi" w:cs="Arial"/>
        </w:rPr>
        <w:t>Enfin, l</w:t>
      </w:r>
      <w:r w:rsidR="00BE613C" w:rsidRPr="0077250D">
        <w:rPr>
          <w:rFonts w:eastAsiaTheme="minorHAnsi" w:cs="Arial"/>
        </w:rPr>
        <w:t>’</w:t>
      </w:r>
      <w:r w:rsidRPr="0077250D">
        <w:rPr>
          <w:rFonts w:eastAsiaTheme="minorHAnsi" w:cs="Arial"/>
        </w:rPr>
        <w:t>évolution globale des recettes et des dépenses effectives (avant les ajustements IPSAS) est présentée ci</w:t>
      </w:r>
      <w:r w:rsidR="00F32060" w:rsidRPr="0077250D">
        <w:rPr>
          <w:rFonts w:eastAsiaTheme="minorHAnsi" w:cs="Arial"/>
        </w:rPr>
        <w:noBreakHyphen/>
      </w:r>
      <w:r w:rsidRPr="0077250D">
        <w:rPr>
          <w:rFonts w:eastAsiaTheme="minorHAnsi" w:cs="Arial"/>
        </w:rPr>
        <w:t>dessous dans le tableau 7 pour la période allant de 2008 à 2015.</w:t>
      </w:r>
    </w:p>
    <w:p w:rsidR="006F2554" w:rsidRPr="0077250D" w:rsidRDefault="001214E9" w:rsidP="00D630E8">
      <w:pPr>
        <w:pStyle w:val="Heading2"/>
        <w:rPr>
          <w:lang w:val="fr-FR"/>
        </w:rPr>
      </w:pPr>
      <w:bookmarkStart w:id="17" w:name="_Toc460231961"/>
      <w:r w:rsidRPr="0077250D">
        <w:rPr>
          <w:lang w:val="fr-FR"/>
        </w:rPr>
        <w:t>Tableau</w:t>
      </w:r>
      <w:r w:rsidR="00FB471C" w:rsidRPr="0077250D">
        <w:rPr>
          <w:lang w:val="fr-FR"/>
        </w:rPr>
        <w:t> </w:t>
      </w:r>
      <w:r w:rsidR="00C67BFC">
        <w:rPr>
          <w:lang w:val="fr-FR"/>
        </w:rPr>
        <w:t xml:space="preserve">7.  </w:t>
      </w:r>
      <w:r w:rsidRPr="0077250D">
        <w:rPr>
          <w:lang w:val="fr-FR"/>
        </w:rPr>
        <w:t>Évolution des recettes et des dépenses effectives de</w:t>
      </w:r>
      <w:r w:rsidR="00FB471C" w:rsidRPr="0077250D">
        <w:rPr>
          <w:lang w:val="fr-FR"/>
        </w:rPr>
        <w:t> </w:t>
      </w:r>
      <w:r w:rsidRPr="0077250D">
        <w:rPr>
          <w:lang w:val="fr-FR"/>
        </w:rPr>
        <w:t>2008 à 2015</w:t>
      </w:r>
      <w:bookmarkEnd w:id="17"/>
    </w:p>
    <w:p w:rsidR="006F2554" w:rsidRPr="0077250D" w:rsidRDefault="001214E9" w:rsidP="00FC14D6">
      <w:pPr>
        <w:spacing w:after="200"/>
        <w:jc w:val="center"/>
        <w:rPr>
          <w:rFonts w:eastAsiaTheme="minorHAnsi" w:cs="Arial"/>
          <w:i/>
        </w:rPr>
      </w:pPr>
      <w:r w:rsidRPr="0077250D">
        <w:rPr>
          <w:rFonts w:eastAsiaTheme="minorHAnsi" w:cs="Arial"/>
          <w:i/>
        </w:rPr>
        <w:t>(en milliers de francs suisses)</w:t>
      </w:r>
    </w:p>
    <w:p w:rsidR="00E35895" w:rsidRPr="0077250D" w:rsidRDefault="00E35895" w:rsidP="00FC14D6">
      <w:pPr>
        <w:rPr>
          <w:rFonts w:eastAsiaTheme="minorHAnsi"/>
        </w:rPr>
      </w:pPr>
    </w:p>
    <w:p w:rsidR="006F2554" w:rsidRPr="0077250D" w:rsidRDefault="00E35895" w:rsidP="00FC14D6">
      <w:pPr>
        <w:jc w:val="center"/>
        <w:rPr>
          <w:rFonts w:eastAsiaTheme="minorHAnsi"/>
        </w:rPr>
      </w:pPr>
      <w:r w:rsidRPr="0077250D">
        <w:rPr>
          <w:rFonts w:eastAsiaTheme="minorHAnsi"/>
          <w:noProof/>
          <w:lang w:val="en-US"/>
        </w:rPr>
        <w:drawing>
          <wp:inline distT="0" distB="0" distL="0" distR="0" wp14:anchorId="0A57E49B" wp14:editId="68E9CD8C">
            <wp:extent cx="6120765" cy="40052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4005217"/>
                    </a:xfrm>
                    <a:prstGeom prst="rect">
                      <a:avLst/>
                    </a:prstGeom>
                    <a:noFill/>
                    <a:ln>
                      <a:noFill/>
                    </a:ln>
                  </pic:spPr>
                </pic:pic>
              </a:graphicData>
            </a:graphic>
          </wp:inline>
        </w:drawing>
      </w:r>
    </w:p>
    <w:p w:rsidR="006F2554" w:rsidRPr="0077250D" w:rsidRDefault="006F2554" w:rsidP="00FC14D6">
      <w:pPr>
        <w:rPr>
          <w:rFonts w:eastAsiaTheme="minorHAnsi"/>
        </w:rPr>
      </w:pPr>
    </w:p>
    <w:p w:rsidR="00E35895" w:rsidRPr="0077250D" w:rsidRDefault="00E35895" w:rsidP="00FC14D6">
      <w:pPr>
        <w:rPr>
          <w:rFonts w:eastAsiaTheme="minorHAnsi"/>
        </w:rPr>
      </w:pPr>
    </w:p>
    <w:p w:rsidR="006F2554" w:rsidRPr="0077250D" w:rsidRDefault="00D0774B" w:rsidP="00FC14D6">
      <w:pPr>
        <w:pStyle w:val="Heading1"/>
        <w:rPr>
          <w:lang w:val="fr-FR"/>
        </w:rPr>
      </w:pPr>
      <w:bookmarkStart w:id="18" w:name="_Toc395251222"/>
      <w:bookmarkStart w:id="19" w:name="_Toc460231962"/>
      <w:r w:rsidRPr="0077250D">
        <w:rPr>
          <w:lang w:val="fr-FR"/>
        </w:rPr>
        <w:t>PLACEMENTS</w:t>
      </w:r>
      <w:bookmarkEnd w:id="18"/>
      <w:bookmarkEnd w:id="19"/>
    </w:p>
    <w:p w:rsidR="006F2554" w:rsidRPr="0077250D" w:rsidRDefault="006F2554" w:rsidP="00FC14D6"/>
    <w:p w:rsidR="006F2554" w:rsidRPr="0077250D" w:rsidRDefault="00D0774B" w:rsidP="00FC14D6">
      <w:pPr>
        <w:spacing w:after="200"/>
      </w:pPr>
      <w:r w:rsidRPr="0077250D">
        <w:t>Selon l</w:t>
      </w:r>
      <w:r w:rsidR="00BE613C" w:rsidRPr="0077250D">
        <w:t>’</w:t>
      </w:r>
      <w:r w:rsidRPr="0077250D">
        <w:t>article 4.10 du Règlement financier et règlement d</w:t>
      </w:r>
      <w:r w:rsidR="00BE613C" w:rsidRPr="0077250D">
        <w:t>’</w:t>
      </w:r>
      <w:r w:rsidRPr="0077250D">
        <w:t>exécution du Règlement financier de l</w:t>
      </w:r>
      <w:r w:rsidR="00BE613C" w:rsidRPr="0077250D">
        <w:t>’</w:t>
      </w:r>
      <w:r w:rsidRPr="0077250D">
        <w:t>UPOV (voir le document UPOV/INF/4/4), le Secrétaire général peut placer à court terme les fonds qui ne sont pas nécessaires pour faire face à des besoins immédiats conformément à la politique de placement de l</w:t>
      </w:r>
      <w:r w:rsidR="00BE613C" w:rsidRPr="0077250D">
        <w:t>’</w:t>
      </w:r>
      <w:r w:rsidRPr="0077250D">
        <w:t>UPOV approuvée par le Conseil;  il informe régulièrement le Comité consultatif des placements ainsi réalisés.</w:t>
      </w:r>
    </w:p>
    <w:p w:rsidR="005E7BB7" w:rsidRPr="0077250D" w:rsidRDefault="00D0774B" w:rsidP="00FC14D6">
      <w:r w:rsidRPr="0077250D">
        <w:t>Par ailleurs, en vertu de l</w:t>
      </w:r>
      <w:r w:rsidR="00BE613C" w:rsidRPr="0077250D">
        <w:t>’</w:t>
      </w:r>
      <w:r w:rsidRPr="0077250D">
        <w:t>article 4.11, le Secrétaire général peut placer à long terme les sommes inscrites au crédit de l</w:t>
      </w:r>
      <w:r w:rsidR="00BE613C" w:rsidRPr="0077250D">
        <w:t>’</w:t>
      </w:r>
      <w:r w:rsidRPr="0077250D">
        <w:t>UPOV conformément à la politique de placement de l</w:t>
      </w:r>
      <w:r w:rsidR="00BE613C" w:rsidRPr="0077250D">
        <w:t>’</w:t>
      </w:r>
      <w:r w:rsidRPr="0077250D">
        <w:t>UPOV approuvée par le Conseil et informe régulièrement le Comité consultatif des placements ainsi effectués.</w:t>
      </w:r>
    </w:p>
    <w:p w:rsidR="006F2554" w:rsidRPr="0077250D" w:rsidRDefault="006F2554" w:rsidP="00FC14D6"/>
    <w:p w:rsidR="005E7BB7" w:rsidRPr="0077250D" w:rsidRDefault="001214E9" w:rsidP="00FC14D6">
      <w:r w:rsidRPr="0077250D">
        <w:t>Sauf si le Conseil en décide autrement, la politique de placement</w:t>
      </w:r>
      <w:r w:rsidR="00FC14D6" w:rsidRPr="0077250D">
        <w:t>s</w:t>
      </w:r>
      <w:r w:rsidRPr="0077250D">
        <w:t xml:space="preserve"> de l</w:t>
      </w:r>
      <w:r w:rsidR="00BE613C" w:rsidRPr="0077250D">
        <w:t>’</w:t>
      </w:r>
      <w:r w:rsidRPr="0077250D">
        <w:t>UPOV est la même que celle de l</w:t>
      </w:r>
      <w:r w:rsidR="00BE613C" w:rsidRPr="0077250D">
        <w:t>’</w:t>
      </w:r>
      <w:r w:rsidRPr="0077250D">
        <w:t>O</w:t>
      </w:r>
      <w:r w:rsidR="00F32060" w:rsidRPr="0077250D">
        <w:t>MPI.  En</w:t>
      </w:r>
      <w:r w:rsidR="00FB471C" w:rsidRPr="0077250D">
        <w:t> </w:t>
      </w:r>
      <w:r w:rsidRPr="0077250D">
        <w:t>2015, la politique de l</w:t>
      </w:r>
      <w:r w:rsidR="00BE613C" w:rsidRPr="0077250D">
        <w:t>’</w:t>
      </w:r>
      <w:r w:rsidRPr="0077250D">
        <w:t>OMPI en matière de placement</w:t>
      </w:r>
      <w:r w:rsidR="00FC14D6" w:rsidRPr="0077250D">
        <w:t>s</w:t>
      </w:r>
      <w:r w:rsidRPr="0077250D">
        <w:t xml:space="preserve"> a été révisée et adoptée lors de la cinquante</w:t>
      </w:r>
      <w:r w:rsidR="00F32060" w:rsidRPr="0077250D">
        <w:noBreakHyphen/>
      </w:r>
      <w:r w:rsidRPr="0077250D">
        <w:t>cinquième série de réunions des assemblées des États membres de l</w:t>
      </w:r>
      <w:r w:rsidR="00BE613C" w:rsidRPr="0077250D">
        <w:t>’</w:t>
      </w:r>
      <w:r w:rsidRPr="0077250D">
        <w:t>O</w:t>
      </w:r>
      <w:r w:rsidR="00F32060" w:rsidRPr="0077250D">
        <w:t>MPI.  La</w:t>
      </w:r>
      <w:r w:rsidRPr="0077250D">
        <w:t xml:space="preserve"> politique révisée comprend deux</w:t>
      </w:r>
      <w:r w:rsidR="00604278" w:rsidRPr="0077250D">
        <w:t> </w:t>
      </w:r>
      <w:r w:rsidRPr="0077250D">
        <w:t xml:space="preserve">politiques particulières en matière de placements, </w:t>
      </w:r>
      <w:r w:rsidR="001604A3" w:rsidRPr="0077250D">
        <w:t xml:space="preserve">dont </w:t>
      </w:r>
      <w:r w:rsidRPr="0077250D">
        <w:t>l</w:t>
      </w:r>
      <w:r w:rsidR="00BE613C" w:rsidRPr="0077250D">
        <w:t>’</w:t>
      </w:r>
      <w:r w:rsidRPr="0077250D">
        <w:t>une concern</w:t>
      </w:r>
      <w:r w:rsidR="001604A3" w:rsidRPr="0077250D">
        <w:t>e</w:t>
      </w:r>
      <w:r w:rsidRPr="0077250D">
        <w:t xml:space="preserve"> la trésorerie d</w:t>
      </w:r>
      <w:r w:rsidR="00BE613C" w:rsidRPr="0077250D">
        <w:t>’</w:t>
      </w:r>
      <w:r w:rsidRPr="0077250D">
        <w:t>exploitation et les fonds propres</w:t>
      </w:r>
      <w:r w:rsidR="001604A3" w:rsidRPr="0077250D">
        <w:t xml:space="preserve"> et</w:t>
      </w:r>
      <w:r w:rsidRPr="0077250D">
        <w:t xml:space="preserve"> l</w:t>
      </w:r>
      <w:r w:rsidR="00BE613C" w:rsidRPr="0077250D">
        <w:t>’</w:t>
      </w:r>
      <w:r w:rsidRPr="0077250D">
        <w:t>autre la trésorerie stratégique.</w:t>
      </w:r>
    </w:p>
    <w:p w:rsidR="006F2554" w:rsidRPr="0077250D" w:rsidRDefault="006F2554" w:rsidP="00FC14D6"/>
    <w:p w:rsidR="0077250D" w:rsidRDefault="00052BEA" w:rsidP="00F21872">
      <w:pPr>
        <w:rPr>
          <w:rFonts w:cs="Arial"/>
        </w:rPr>
      </w:pPr>
      <w:r w:rsidRPr="0077250D">
        <w:rPr>
          <w:rFonts w:cs="Arial"/>
        </w:rPr>
        <w:t>Au cours de l</w:t>
      </w:r>
      <w:r w:rsidR="00BE613C" w:rsidRPr="0077250D">
        <w:rPr>
          <w:rFonts w:cs="Arial"/>
        </w:rPr>
        <w:t>’</w:t>
      </w:r>
      <w:r w:rsidRPr="0077250D">
        <w:rPr>
          <w:rFonts w:cs="Arial"/>
        </w:rPr>
        <w:t>exercice biennal</w:t>
      </w:r>
      <w:r w:rsidR="00FB471C" w:rsidRPr="0077250D">
        <w:rPr>
          <w:rFonts w:cs="Arial"/>
        </w:rPr>
        <w:t> </w:t>
      </w:r>
      <w:r w:rsidRPr="0077250D">
        <w:rPr>
          <w:rFonts w:cs="Arial"/>
        </w:rPr>
        <w:t>2014</w:t>
      </w:r>
      <w:r w:rsidR="00F32060" w:rsidRPr="0077250D">
        <w:rPr>
          <w:rFonts w:cs="Arial"/>
        </w:rPr>
        <w:noBreakHyphen/>
      </w:r>
      <w:r w:rsidRPr="0077250D">
        <w:rPr>
          <w:rFonts w:cs="Arial"/>
        </w:rPr>
        <w:t>2015, l</w:t>
      </w:r>
      <w:r w:rsidR="00BE613C" w:rsidRPr="0077250D">
        <w:rPr>
          <w:rFonts w:cs="Arial"/>
        </w:rPr>
        <w:t>’</w:t>
      </w:r>
      <w:r w:rsidRPr="0077250D">
        <w:rPr>
          <w:rFonts w:cs="Arial"/>
        </w:rPr>
        <w:t>UPOV a continué d</w:t>
      </w:r>
      <w:r w:rsidR="00BE613C" w:rsidRPr="0077250D">
        <w:rPr>
          <w:rFonts w:cs="Arial"/>
        </w:rPr>
        <w:t>’</w:t>
      </w:r>
      <w:r w:rsidRPr="0077250D">
        <w:rPr>
          <w:rFonts w:cs="Arial"/>
        </w:rPr>
        <w:t>effectuer ses placements sur des comptes de dépôt auprès de l</w:t>
      </w:r>
      <w:r w:rsidR="00BE613C" w:rsidRPr="0077250D">
        <w:rPr>
          <w:rFonts w:cs="Arial"/>
        </w:rPr>
        <w:t>’</w:t>
      </w:r>
      <w:r w:rsidRPr="0077250D">
        <w:rPr>
          <w:rFonts w:cs="Arial"/>
        </w:rPr>
        <w:t>Administration fédérale des finances (AFF).</w:t>
      </w:r>
      <w:r w:rsidR="00C40EA5" w:rsidRPr="0077250D">
        <w:t xml:space="preserve"> </w:t>
      </w:r>
      <w:r w:rsidR="00604278" w:rsidRPr="0077250D">
        <w:rPr>
          <w:rFonts w:cs="Arial"/>
        </w:rPr>
        <w:t xml:space="preserve"> </w:t>
      </w:r>
      <w:r w:rsidRPr="0077250D">
        <w:rPr>
          <w:rFonts w:cs="Arial"/>
        </w:rPr>
        <w:t>Après la mise en œuvre par l</w:t>
      </w:r>
      <w:r w:rsidR="00BE613C" w:rsidRPr="0077250D">
        <w:rPr>
          <w:rFonts w:cs="Arial"/>
        </w:rPr>
        <w:t>’</w:t>
      </w:r>
      <w:r w:rsidRPr="0077250D">
        <w:rPr>
          <w:rFonts w:cs="Arial"/>
        </w:rPr>
        <w:t>AFF de nouvelles dispositions concernant l</w:t>
      </w:r>
      <w:r w:rsidR="00BE613C" w:rsidRPr="0077250D">
        <w:rPr>
          <w:rFonts w:cs="Arial"/>
        </w:rPr>
        <w:t>’</w:t>
      </w:r>
      <w:r w:rsidRPr="0077250D">
        <w:rPr>
          <w:rFonts w:cs="Arial"/>
        </w:rPr>
        <w:t>ouverture et la tenue de comptes de dépôt, l</w:t>
      </w:r>
      <w:r w:rsidR="00BE613C" w:rsidRPr="0077250D">
        <w:rPr>
          <w:rFonts w:cs="Arial"/>
        </w:rPr>
        <w:t>’</w:t>
      </w:r>
      <w:r w:rsidRPr="0077250D">
        <w:rPr>
          <w:rFonts w:cs="Arial"/>
        </w:rPr>
        <w:t>UPOV a été informée qu</w:t>
      </w:r>
      <w:r w:rsidR="00BE613C" w:rsidRPr="0077250D">
        <w:rPr>
          <w:rFonts w:cs="Arial"/>
        </w:rPr>
        <w:t>’</w:t>
      </w:r>
      <w:r w:rsidRPr="0077250D">
        <w:rPr>
          <w:rFonts w:cs="Arial"/>
        </w:rPr>
        <w:t>à partir de fin 2015, elle ne pourrait plus détenir de comptes de dépôt auprès de cette administrati</w:t>
      </w:r>
      <w:r w:rsidR="00F32060" w:rsidRPr="0077250D">
        <w:rPr>
          <w:rFonts w:cs="Arial"/>
        </w:rPr>
        <w:t>on.  Ce</w:t>
      </w:r>
      <w:r w:rsidRPr="0077250D">
        <w:rPr>
          <w:rFonts w:cs="Arial"/>
        </w:rPr>
        <w:t>tte échéance a néanmoins été étendue au 1</w:t>
      </w:r>
      <w:r w:rsidR="00BE613C" w:rsidRPr="0077250D">
        <w:rPr>
          <w:rFonts w:cs="Arial"/>
        </w:rPr>
        <w:t>5 décembre 20</w:t>
      </w:r>
      <w:r w:rsidRPr="0077250D">
        <w:rPr>
          <w:rFonts w:cs="Arial"/>
        </w:rPr>
        <w:t>17.</w:t>
      </w:r>
    </w:p>
    <w:p w:rsidR="0077250D" w:rsidRDefault="0077250D" w:rsidP="00F21872">
      <w:pPr>
        <w:rPr>
          <w:rFonts w:cs="Arial"/>
        </w:rPr>
      </w:pPr>
    </w:p>
    <w:p w:rsidR="006F2554" w:rsidRPr="0077250D" w:rsidRDefault="00052BEA" w:rsidP="00FC14D6">
      <w:r w:rsidRPr="0077250D">
        <w:rPr>
          <w:rFonts w:cs="Arial"/>
        </w:rPr>
        <w:t>Le tableau suivant présente le détail des placements effectués par l</w:t>
      </w:r>
      <w:r w:rsidR="00BE613C" w:rsidRPr="0077250D">
        <w:rPr>
          <w:rFonts w:cs="Arial"/>
        </w:rPr>
        <w:t>’</w:t>
      </w:r>
      <w:r w:rsidRPr="0077250D">
        <w:rPr>
          <w:rFonts w:cs="Arial"/>
        </w:rPr>
        <w:t>UPOV auprès de l</w:t>
      </w:r>
      <w:r w:rsidR="00BE613C" w:rsidRPr="0077250D">
        <w:rPr>
          <w:rFonts w:cs="Arial"/>
        </w:rPr>
        <w:t>’</w:t>
      </w:r>
      <w:r w:rsidRPr="0077250D">
        <w:rPr>
          <w:rFonts w:cs="Arial"/>
        </w:rPr>
        <w:t>AFF au cours de l</w:t>
      </w:r>
      <w:r w:rsidR="00BE613C" w:rsidRPr="0077250D">
        <w:rPr>
          <w:rFonts w:cs="Arial"/>
        </w:rPr>
        <w:t>’</w:t>
      </w:r>
      <w:r w:rsidRPr="0077250D">
        <w:rPr>
          <w:rFonts w:cs="Arial"/>
        </w:rPr>
        <w:t>exercice biennal</w:t>
      </w:r>
      <w:r w:rsidR="00FB471C" w:rsidRPr="0077250D">
        <w:rPr>
          <w:rFonts w:cs="Arial"/>
        </w:rPr>
        <w:t> </w:t>
      </w:r>
      <w:r w:rsidRPr="0077250D">
        <w:rPr>
          <w:rFonts w:cs="Arial"/>
        </w:rPr>
        <w:t>2014</w:t>
      </w:r>
      <w:r w:rsidR="00F32060" w:rsidRPr="0077250D">
        <w:rPr>
          <w:rFonts w:cs="Arial"/>
        </w:rPr>
        <w:noBreakHyphen/>
      </w:r>
      <w:r w:rsidRPr="0077250D">
        <w:rPr>
          <w:rFonts w:cs="Arial"/>
        </w:rPr>
        <w:t>2015.</w:t>
      </w:r>
      <w:r w:rsidR="00612E92" w:rsidRPr="0077250D">
        <w:t xml:space="preserve"> </w:t>
      </w:r>
      <w:r w:rsidR="00604278" w:rsidRPr="0077250D">
        <w:rPr>
          <w:rFonts w:cs="Arial"/>
        </w:rPr>
        <w:t xml:space="preserve"> </w:t>
      </w:r>
      <w:r w:rsidRPr="0077250D">
        <w:rPr>
          <w:rFonts w:cs="Arial"/>
        </w:rPr>
        <w:t>On notera que le taux d</w:t>
      </w:r>
      <w:r w:rsidR="00BE613C" w:rsidRPr="0077250D">
        <w:rPr>
          <w:rFonts w:cs="Arial"/>
        </w:rPr>
        <w:t>’</w:t>
      </w:r>
      <w:r w:rsidRPr="0077250D">
        <w:rPr>
          <w:rFonts w:cs="Arial"/>
        </w:rPr>
        <w:t xml:space="preserve">intérêt </w:t>
      </w:r>
      <w:r w:rsidR="001604A3" w:rsidRPr="0077250D">
        <w:rPr>
          <w:rFonts w:cs="Arial"/>
        </w:rPr>
        <w:t>de</w:t>
      </w:r>
      <w:r w:rsidRPr="0077250D">
        <w:rPr>
          <w:rFonts w:cs="Arial"/>
        </w:rPr>
        <w:t xml:space="preserve"> ces placements est tombé à 0,00% au début du mois de </w:t>
      </w:r>
      <w:r w:rsidR="00BE613C" w:rsidRPr="0077250D">
        <w:rPr>
          <w:rFonts w:cs="Arial"/>
        </w:rPr>
        <w:t>février 20</w:t>
      </w:r>
      <w:r w:rsidRPr="0077250D">
        <w:rPr>
          <w:rFonts w:cs="Arial"/>
        </w:rPr>
        <w:t xml:space="preserve">15 et </w:t>
      </w:r>
      <w:r w:rsidR="001604A3" w:rsidRPr="0077250D">
        <w:rPr>
          <w:rFonts w:cs="Arial"/>
        </w:rPr>
        <w:t>qu</w:t>
      </w:r>
      <w:r w:rsidR="00BE613C" w:rsidRPr="0077250D">
        <w:rPr>
          <w:rFonts w:cs="Arial"/>
        </w:rPr>
        <w:t>’</w:t>
      </w:r>
      <w:r w:rsidR="001604A3" w:rsidRPr="0077250D">
        <w:rPr>
          <w:rFonts w:cs="Arial"/>
        </w:rPr>
        <w:t>il est resté inchangé pendant</w:t>
      </w:r>
      <w:r w:rsidRPr="0077250D">
        <w:rPr>
          <w:rFonts w:cs="Arial"/>
        </w:rPr>
        <w:t xml:space="preserve"> le reste de l</w:t>
      </w:r>
      <w:r w:rsidR="00BE613C" w:rsidRPr="0077250D">
        <w:rPr>
          <w:rFonts w:cs="Arial"/>
        </w:rPr>
        <w:t>’</w:t>
      </w:r>
      <w:r w:rsidRPr="0077250D">
        <w:rPr>
          <w:rFonts w:cs="Arial"/>
        </w:rPr>
        <w:t>année.</w:t>
      </w:r>
    </w:p>
    <w:p w:rsidR="005E7BB7" w:rsidRPr="0077250D" w:rsidRDefault="005E7BB7" w:rsidP="00FC14D6">
      <w:pPr>
        <w:rPr>
          <w:rFonts w:cs="Arial"/>
        </w:rPr>
      </w:pPr>
    </w:p>
    <w:p w:rsidR="006F2554" w:rsidRPr="0077250D" w:rsidRDefault="006F2554" w:rsidP="00FC14D6"/>
    <w:p w:rsidR="00E35895" w:rsidRPr="0077250D" w:rsidRDefault="00E35895" w:rsidP="00FC14D6">
      <w:pPr>
        <w:jc w:val="center"/>
        <w:rPr>
          <w:noProof/>
          <w:lang w:eastAsia="fr-FR"/>
        </w:rPr>
      </w:pPr>
      <w:r w:rsidRPr="0077250D">
        <w:rPr>
          <w:noProof/>
          <w:lang w:val="en-US"/>
        </w:rPr>
        <w:drawing>
          <wp:inline distT="0" distB="0" distL="0" distR="0" wp14:anchorId="6C7F7061" wp14:editId="700725CF">
            <wp:extent cx="4564380" cy="49453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4380" cy="4945380"/>
                    </a:xfrm>
                    <a:prstGeom prst="rect">
                      <a:avLst/>
                    </a:prstGeom>
                    <a:noFill/>
                    <a:ln>
                      <a:noFill/>
                    </a:ln>
                  </pic:spPr>
                </pic:pic>
              </a:graphicData>
            </a:graphic>
          </wp:inline>
        </w:drawing>
      </w:r>
    </w:p>
    <w:p w:rsidR="006F2554" w:rsidRPr="0077250D" w:rsidRDefault="006F2554" w:rsidP="00FC14D6"/>
    <w:p w:rsidR="006F2554" w:rsidRPr="0077250D" w:rsidRDefault="00945987" w:rsidP="00FC14D6">
      <w:pPr>
        <w:pStyle w:val="Heading1"/>
        <w:rPr>
          <w:lang w:val="fr-FR"/>
        </w:rPr>
      </w:pPr>
      <w:bookmarkStart w:id="20" w:name="_Toc395251223"/>
      <w:bookmarkStart w:id="21" w:name="_Toc460231963"/>
      <w:r w:rsidRPr="0077250D">
        <w:rPr>
          <w:rFonts w:cs="Arial"/>
          <w:lang w:val="fr-FR"/>
        </w:rPr>
        <w:t>É</w:t>
      </w:r>
      <w:r w:rsidRPr="0077250D">
        <w:rPr>
          <w:lang w:val="fr-FR"/>
        </w:rPr>
        <w:t>TATS FINANCIERS</w:t>
      </w:r>
      <w:bookmarkEnd w:id="20"/>
      <w:bookmarkEnd w:id="21"/>
    </w:p>
    <w:p w:rsidR="006F2554" w:rsidRPr="0077250D" w:rsidRDefault="006F2554" w:rsidP="0077250D">
      <w:pPr>
        <w:keepNext/>
      </w:pPr>
    </w:p>
    <w:p w:rsidR="005E7BB7" w:rsidRDefault="00945987" w:rsidP="0077250D">
      <w:r w:rsidRPr="0077250D">
        <w:t>Pour chacune des deux années de l</w:t>
      </w:r>
      <w:r w:rsidR="00BE613C" w:rsidRPr="0077250D">
        <w:t>’</w:t>
      </w:r>
      <w:r w:rsidRPr="0077250D">
        <w:t>exercice biennal 2014</w:t>
      </w:r>
      <w:r w:rsidR="00F32060" w:rsidRPr="0077250D">
        <w:noBreakHyphen/>
      </w:r>
      <w:r w:rsidRPr="0077250D">
        <w:t>2015, les états financiers de l</w:t>
      </w:r>
      <w:r w:rsidR="00BE613C" w:rsidRPr="0077250D">
        <w:t>’</w:t>
      </w:r>
      <w:r w:rsidRPr="0077250D">
        <w:t>UPOV ont été établis conformément aux Normes comptables internationales du secteur public (normes IPSAS).</w:t>
      </w:r>
    </w:p>
    <w:p w:rsidR="0077250D" w:rsidRPr="0077250D" w:rsidRDefault="0077250D" w:rsidP="0077250D"/>
    <w:p w:rsidR="006F2554" w:rsidRPr="0077250D" w:rsidRDefault="00052BEA" w:rsidP="00FC14D6">
      <w:pPr>
        <w:spacing w:after="200"/>
        <w:rPr>
          <w:b/>
        </w:rPr>
      </w:pPr>
      <w:r w:rsidRPr="0077250D">
        <w:rPr>
          <w:b/>
        </w:rPr>
        <w:t>Comptabilité d</w:t>
      </w:r>
      <w:r w:rsidR="00BE613C" w:rsidRPr="0077250D">
        <w:rPr>
          <w:b/>
        </w:rPr>
        <w:t>’</w:t>
      </w:r>
      <w:r w:rsidRPr="0077250D">
        <w:rPr>
          <w:b/>
        </w:rPr>
        <w:t>exercice en application des normes</w:t>
      </w:r>
      <w:r w:rsidR="00FB471C" w:rsidRPr="0077250D">
        <w:rPr>
          <w:b/>
        </w:rPr>
        <w:t> </w:t>
      </w:r>
      <w:r w:rsidRPr="0077250D">
        <w:rPr>
          <w:b/>
        </w:rPr>
        <w:t>IPSAS</w:t>
      </w:r>
    </w:p>
    <w:p w:rsidR="006F2554" w:rsidRPr="0077250D" w:rsidRDefault="00AD26EC" w:rsidP="0077250D">
      <w:pPr>
        <w:rPr>
          <w:szCs w:val="22"/>
        </w:rPr>
      </w:pPr>
      <w:r w:rsidRPr="0077250D">
        <w:t>Conformément aux normes</w:t>
      </w:r>
      <w:r w:rsidR="00FB471C" w:rsidRPr="0077250D">
        <w:t> </w:t>
      </w:r>
      <w:r w:rsidRPr="0077250D">
        <w:t>IPSAS, les états financiers sont établis en appliquant la comptabilité d</w:t>
      </w:r>
      <w:r w:rsidR="00BE613C" w:rsidRPr="0077250D">
        <w:t>’</w:t>
      </w:r>
      <w:r w:rsidRPr="0077250D">
        <w:t>exercice intégra</w:t>
      </w:r>
      <w:r w:rsidR="00F32060" w:rsidRPr="0077250D">
        <w:t>le.  Ce</w:t>
      </w:r>
      <w:r w:rsidRPr="0077250D">
        <w:t>tte comptabilité fait intervenir la comptabilisation des transactions et des événements lorsqu</w:t>
      </w:r>
      <w:r w:rsidR="00BE613C" w:rsidRPr="0077250D">
        <w:t>’</w:t>
      </w:r>
      <w:r w:rsidRPr="0077250D">
        <w:t>ils se produise</w:t>
      </w:r>
      <w:r w:rsidR="00F32060" w:rsidRPr="0077250D">
        <w:t>nt.  Ce</w:t>
      </w:r>
      <w:r w:rsidRPr="0077250D">
        <w:t>la signifie qu</w:t>
      </w:r>
      <w:r w:rsidR="00BE613C" w:rsidRPr="0077250D">
        <w:t>’</w:t>
      </w:r>
      <w:r w:rsidRPr="0077250D">
        <w:t>ils sont enregistrés dans les livres comptables et consignés dans les états financiers des périodes financières auxquelles ils se rapportent et non pas uniquement lors de l</w:t>
      </w:r>
      <w:r w:rsidR="00BE613C" w:rsidRPr="0077250D">
        <w:t>’</w:t>
      </w:r>
      <w:r w:rsidRPr="0077250D">
        <w:t>entrée ou de la sortie de trésorerie ou d</w:t>
      </w:r>
      <w:r w:rsidR="00BE613C" w:rsidRPr="0077250D">
        <w:t>’</w:t>
      </w:r>
      <w:r w:rsidRPr="0077250D">
        <w:t>équivalents de trésorerie.</w:t>
      </w:r>
    </w:p>
    <w:p w:rsidR="005E7BB7" w:rsidRPr="0077250D" w:rsidRDefault="005E7BB7" w:rsidP="00FC14D6">
      <w:pPr>
        <w:autoSpaceDE w:val="0"/>
        <w:autoSpaceDN w:val="0"/>
        <w:adjustRightInd w:val="0"/>
      </w:pPr>
    </w:p>
    <w:p w:rsidR="006F2554" w:rsidRPr="0077250D" w:rsidRDefault="00945987" w:rsidP="00FC14D6">
      <w:pPr>
        <w:autoSpaceDE w:val="0"/>
        <w:autoSpaceDN w:val="0"/>
        <w:adjustRightInd w:val="0"/>
      </w:pPr>
      <w:r w:rsidRPr="0077250D">
        <w:t>Selon les normes IPSAS, les recettes correspondant aux contributions et aux ressources extrabudgétaires (fonds fiduciaires) sont comptabilisées lorsque l</w:t>
      </w:r>
      <w:r w:rsidR="00BE613C" w:rsidRPr="0077250D">
        <w:t>’</w:t>
      </w:r>
      <w:r w:rsidRPr="0077250D">
        <w:t>UPOV a le droit de recevoir la contributi</w:t>
      </w:r>
      <w:r w:rsidR="00F32060" w:rsidRPr="0077250D">
        <w:t>on.  En</w:t>
      </w:r>
      <w:r w:rsidRPr="0077250D">
        <w:t xml:space="preserve"> cas d</w:t>
      </w:r>
      <w:r w:rsidR="00BE613C" w:rsidRPr="0077250D">
        <w:t>’</w:t>
      </w:r>
      <w:r w:rsidRPr="0077250D">
        <w:t>arriérés de contributions, un solde des sommes exigibles est comptabili</w:t>
      </w:r>
      <w:r w:rsidR="00F32060" w:rsidRPr="0077250D">
        <w:t>sé.  Le</w:t>
      </w:r>
      <w:r w:rsidRPr="0077250D">
        <w:t>s arrangements relatifs aux ressources extrabudgétaires sont examinés afin de déterminer si l</w:t>
      </w:r>
      <w:r w:rsidR="00BE613C" w:rsidRPr="0077250D">
        <w:t>’</w:t>
      </w:r>
      <w:r w:rsidRPr="0077250D">
        <w:t>UPOV doit satisfaire à des conditions de rendement et, le cas échéant, les recettes sont comptabilisées uniquement lorsque ces conditions sont remplies.</w:t>
      </w:r>
    </w:p>
    <w:p w:rsidR="006F2554" w:rsidRPr="0077250D" w:rsidRDefault="006F2554" w:rsidP="00FC14D6">
      <w:pPr>
        <w:rPr>
          <w:szCs w:val="22"/>
        </w:rPr>
      </w:pPr>
    </w:p>
    <w:p w:rsidR="006F2554" w:rsidRPr="0077250D" w:rsidRDefault="00945987" w:rsidP="00FC14D6">
      <w:r w:rsidRPr="0077250D">
        <w:t>La valeur des futures prestations (</w:t>
      </w:r>
      <w:r w:rsidR="00BE613C" w:rsidRPr="0077250D">
        <w:t>y compris</w:t>
      </w:r>
      <w:r w:rsidRPr="0077250D">
        <w:t xml:space="preserve"> les congés annuels cumulés, les primes de rapatriement et l</w:t>
      </w:r>
      <w:r w:rsidR="00BE613C" w:rsidRPr="0077250D">
        <w:t>’</w:t>
      </w:r>
      <w:r w:rsidRPr="0077250D">
        <w:t>assurance maladie après la cessation de service) que les fonctionnaires de l</w:t>
      </w:r>
      <w:r w:rsidR="00BE613C" w:rsidRPr="0077250D">
        <w:t>’</w:t>
      </w:r>
      <w:r w:rsidRPr="0077250D">
        <w:t>UPOV ont gagnées mais qu</w:t>
      </w:r>
      <w:r w:rsidR="00BE613C" w:rsidRPr="0077250D">
        <w:t>’</w:t>
      </w:r>
      <w:r w:rsidRPr="0077250D">
        <w:t>ils n</w:t>
      </w:r>
      <w:r w:rsidR="00BE613C" w:rsidRPr="0077250D">
        <w:t>’</w:t>
      </w:r>
      <w:r w:rsidRPr="0077250D">
        <w:t>ont pas encore perçues, est enregistrée afin de saisir le coût intégral d</w:t>
      </w:r>
      <w:r w:rsidR="00BE613C" w:rsidRPr="0077250D">
        <w:t>’</w:t>
      </w:r>
      <w:r w:rsidRPr="0077250D">
        <w:t>emploi du personnel.</w:t>
      </w:r>
    </w:p>
    <w:p w:rsidR="006F2554" w:rsidRPr="0077250D" w:rsidRDefault="006F2554" w:rsidP="00FC14D6">
      <w:pPr>
        <w:rPr>
          <w:szCs w:val="22"/>
        </w:rPr>
      </w:pPr>
    </w:p>
    <w:p w:rsidR="006F2554" w:rsidRPr="0077250D" w:rsidRDefault="00AD26EC" w:rsidP="00FC14D6">
      <w:pPr>
        <w:spacing w:after="200"/>
        <w:rPr>
          <w:szCs w:val="22"/>
        </w:rPr>
      </w:pPr>
      <w:r w:rsidRPr="0077250D">
        <w:rPr>
          <w:szCs w:val="22"/>
        </w:rPr>
        <w:t>Le programme et budget de l</w:t>
      </w:r>
      <w:r w:rsidR="00BE613C" w:rsidRPr="0077250D">
        <w:rPr>
          <w:szCs w:val="22"/>
        </w:rPr>
        <w:t>’</w:t>
      </w:r>
      <w:r w:rsidRPr="0077250D">
        <w:rPr>
          <w:szCs w:val="22"/>
        </w:rPr>
        <w:t>UPOV est établi sur la base d</w:t>
      </w:r>
      <w:r w:rsidR="00BE613C" w:rsidRPr="0077250D">
        <w:rPr>
          <w:szCs w:val="22"/>
        </w:rPr>
        <w:t>’</w:t>
      </w:r>
      <w:r w:rsidRPr="0077250D">
        <w:rPr>
          <w:szCs w:val="22"/>
        </w:rPr>
        <w:t>une comptabilité d</w:t>
      </w:r>
      <w:r w:rsidR="00BE613C" w:rsidRPr="0077250D">
        <w:rPr>
          <w:szCs w:val="22"/>
        </w:rPr>
        <w:t>’</w:t>
      </w:r>
      <w:r w:rsidRPr="0077250D">
        <w:rPr>
          <w:szCs w:val="22"/>
        </w:rPr>
        <w:t xml:space="preserve">exercice modifiée, différente </w:t>
      </w:r>
      <w:r w:rsidR="00FC14D6" w:rsidRPr="0077250D">
        <w:rPr>
          <w:szCs w:val="22"/>
        </w:rPr>
        <w:t>de la</w:t>
      </w:r>
      <w:r w:rsidRPr="0077250D">
        <w:rPr>
          <w:szCs w:val="22"/>
        </w:rPr>
        <w:t xml:space="preserve"> comptabilité d</w:t>
      </w:r>
      <w:r w:rsidR="00BE613C" w:rsidRPr="0077250D">
        <w:rPr>
          <w:szCs w:val="22"/>
        </w:rPr>
        <w:t>’</w:t>
      </w:r>
      <w:r w:rsidRPr="0077250D">
        <w:rPr>
          <w:szCs w:val="22"/>
        </w:rPr>
        <w:t>exercice intégrale appliquée aux états financie</w:t>
      </w:r>
      <w:r w:rsidR="00F32060" w:rsidRPr="0077250D">
        <w:rPr>
          <w:szCs w:val="22"/>
        </w:rPr>
        <w:t>rs.  Le</w:t>
      </w:r>
      <w:r w:rsidRPr="0077250D">
        <w:rPr>
          <w:szCs w:val="22"/>
        </w:rPr>
        <w:t>s autres différences entre les résultats budgétaires et les résultats figurant dans les états financiers sont liées au fait que les états financiers tiennent compte des fonds fiduciaires et du Fonds spécial pour des projets, qui ne font pas partie du programme et budget ordinaire de l</w:t>
      </w:r>
      <w:r w:rsidR="00BE613C" w:rsidRPr="0077250D">
        <w:rPr>
          <w:szCs w:val="22"/>
        </w:rPr>
        <w:t>’</w:t>
      </w:r>
      <w:r w:rsidRPr="0077250D">
        <w:rPr>
          <w:szCs w:val="22"/>
        </w:rPr>
        <w:t>U</w:t>
      </w:r>
      <w:r w:rsidR="00F32060" w:rsidRPr="0077250D">
        <w:rPr>
          <w:szCs w:val="22"/>
        </w:rPr>
        <w:t>POV.  Co</w:t>
      </w:r>
      <w:r w:rsidR="00405BBE" w:rsidRPr="0077250D">
        <w:rPr>
          <w:szCs w:val="22"/>
        </w:rPr>
        <w:t>nformément aux exigences des normes</w:t>
      </w:r>
      <w:r w:rsidR="00FB471C" w:rsidRPr="0077250D">
        <w:rPr>
          <w:szCs w:val="22"/>
        </w:rPr>
        <w:t> </w:t>
      </w:r>
      <w:r w:rsidR="00405BBE" w:rsidRPr="0077250D">
        <w:rPr>
          <w:szCs w:val="22"/>
        </w:rPr>
        <w:t>IPSAS, un rapprochement entre les résultats budgétaires et les états financiers principaux est fourni dans les états financiers de l</w:t>
      </w:r>
      <w:r w:rsidR="00BE613C" w:rsidRPr="0077250D">
        <w:rPr>
          <w:szCs w:val="22"/>
        </w:rPr>
        <w:t>’</w:t>
      </w:r>
      <w:r w:rsidR="00405BBE" w:rsidRPr="0077250D">
        <w:rPr>
          <w:szCs w:val="22"/>
        </w:rPr>
        <w:t>UPOV.</w:t>
      </w:r>
    </w:p>
    <w:p w:rsidR="006F2554" w:rsidRPr="0077250D" w:rsidRDefault="00945987" w:rsidP="00FC14D6">
      <w:pPr>
        <w:spacing w:after="200"/>
        <w:rPr>
          <w:b/>
          <w:szCs w:val="22"/>
        </w:rPr>
      </w:pPr>
      <w:r w:rsidRPr="0077250D">
        <w:rPr>
          <w:b/>
          <w:szCs w:val="22"/>
        </w:rPr>
        <w:t>Présentation des informations financières en application des normes IPSAS</w:t>
      </w:r>
    </w:p>
    <w:p w:rsidR="006F2554" w:rsidRPr="0077250D" w:rsidRDefault="00945987" w:rsidP="00FC14D6">
      <w:pPr>
        <w:autoSpaceDE w:val="0"/>
        <w:autoSpaceDN w:val="0"/>
        <w:adjustRightInd w:val="0"/>
        <w:rPr>
          <w:rFonts w:cs="Arial"/>
          <w:lang w:eastAsia="en-GB"/>
        </w:rPr>
      </w:pPr>
      <w:r w:rsidRPr="0077250D">
        <w:rPr>
          <w:rFonts w:cs="Arial"/>
          <w:lang w:eastAsia="en-GB"/>
        </w:rPr>
        <w:t>Étant donné que les normes IPSAS exigent la préparation d</w:t>
      </w:r>
      <w:r w:rsidR="00BE613C" w:rsidRPr="0077250D">
        <w:rPr>
          <w:rFonts w:cs="Arial"/>
          <w:lang w:eastAsia="en-GB"/>
        </w:rPr>
        <w:t>’</w:t>
      </w:r>
      <w:r w:rsidRPr="0077250D">
        <w:rPr>
          <w:rFonts w:cs="Arial"/>
          <w:lang w:eastAsia="en-GB"/>
        </w:rPr>
        <w:t>états financiers annuels, les états financiers de l</w:t>
      </w:r>
      <w:r w:rsidR="00BE613C" w:rsidRPr="0077250D">
        <w:rPr>
          <w:rFonts w:cs="Arial"/>
          <w:lang w:eastAsia="en-GB"/>
        </w:rPr>
        <w:t>’</w:t>
      </w:r>
      <w:r w:rsidRPr="0077250D">
        <w:rPr>
          <w:rFonts w:cs="Arial"/>
          <w:lang w:eastAsia="en-GB"/>
        </w:rPr>
        <w:t>UPOV sont préparés individuellement pour chaque année civile de l</w:t>
      </w:r>
      <w:r w:rsidR="00BE613C" w:rsidRPr="0077250D">
        <w:rPr>
          <w:rFonts w:cs="Arial"/>
          <w:lang w:eastAsia="en-GB"/>
        </w:rPr>
        <w:t>’</w:t>
      </w:r>
      <w:r w:rsidRPr="0077250D">
        <w:rPr>
          <w:rFonts w:cs="Arial"/>
          <w:lang w:eastAsia="en-GB"/>
        </w:rPr>
        <w:t>exercice bienn</w:t>
      </w:r>
      <w:r w:rsidR="00F32060" w:rsidRPr="0077250D">
        <w:rPr>
          <w:rFonts w:cs="Arial"/>
          <w:lang w:eastAsia="en-GB"/>
        </w:rPr>
        <w:t>al.  Ce</w:t>
      </w:r>
      <w:r w:rsidRPr="0077250D">
        <w:rPr>
          <w:rFonts w:cs="Arial"/>
          <w:lang w:eastAsia="en-GB"/>
        </w:rPr>
        <w:t>s états financiers annuels sont présentés séparément du rapport de gestion financière et, pour toute information financière complète de l</w:t>
      </w:r>
      <w:r w:rsidR="00BE613C" w:rsidRPr="0077250D">
        <w:rPr>
          <w:rFonts w:cs="Arial"/>
          <w:lang w:eastAsia="en-GB"/>
        </w:rPr>
        <w:t>’</w:t>
      </w:r>
      <w:r w:rsidRPr="0077250D">
        <w:rPr>
          <w:rFonts w:cs="Arial"/>
          <w:lang w:eastAsia="en-GB"/>
        </w:rPr>
        <w:t>UPOV préparée en application des normes IPSAS, il convient de se référer aux états financiers annuels de l</w:t>
      </w:r>
      <w:r w:rsidR="00BE613C" w:rsidRPr="0077250D">
        <w:rPr>
          <w:rFonts w:cs="Arial"/>
          <w:lang w:eastAsia="en-GB"/>
        </w:rPr>
        <w:t>’</w:t>
      </w:r>
      <w:r w:rsidRPr="0077250D">
        <w:rPr>
          <w:rFonts w:cs="Arial"/>
          <w:lang w:eastAsia="en-GB"/>
        </w:rPr>
        <w:t>U</w:t>
      </w:r>
      <w:r w:rsidR="00F32060" w:rsidRPr="0077250D">
        <w:rPr>
          <w:rFonts w:cs="Arial"/>
          <w:lang w:eastAsia="en-GB"/>
        </w:rPr>
        <w:t>POV.  En</w:t>
      </w:r>
      <w:r w:rsidRPr="0077250D">
        <w:rPr>
          <w:rFonts w:cs="Arial"/>
          <w:lang w:eastAsia="en-GB"/>
        </w:rPr>
        <w:t xml:space="preserve"> application des normes IPSAS, les états financiers comprennent les éléments suivants :</w:t>
      </w:r>
    </w:p>
    <w:p w:rsidR="006F2554" w:rsidRPr="0077250D" w:rsidRDefault="006F2554" w:rsidP="00FC14D6">
      <w:pPr>
        <w:autoSpaceDE w:val="0"/>
        <w:autoSpaceDN w:val="0"/>
        <w:adjustRightInd w:val="0"/>
        <w:rPr>
          <w:rFonts w:cs="Arial"/>
          <w:lang w:eastAsia="en-GB"/>
        </w:rPr>
      </w:pP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 xml:space="preserve">État I </w:t>
      </w:r>
      <w:r w:rsidR="00423475" w:rsidRPr="0077250D">
        <w:rPr>
          <w:rFonts w:cs="Arial"/>
          <w:lang w:eastAsia="en-GB"/>
        </w:rPr>
        <w:t xml:space="preserve">– </w:t>
      </w:r>
      <w:r w:rsidRPr="0077250D">
        <w:rPr>
          <w:rFonts w:cs="Arial"/>
          <w:lang w:eastAsia="en-GB"/>
        </w:rPr>
        <w:t>État de la situation financière</w:t>
      </w: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État II – État de la performance financière</w:t>
      </w: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État III – État des variations des actifs nets</w:t>
      </w: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État IV – État des flux de trésorerie</w:t>
      </w: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État V – État de comparaison entre les crédits alloués et les dépenses réelles</w:t>
      </w:r>
    </w:p>
    <w:p w:rsidR="006F2554" w:rsidRPr="0077250D" w:rsidRDefault="00945987" w:rsidP="00FC14D6">
      <w:pPr>
        <w:numPr>
          <w:ilvl w:val="0"/>
          <w:numId w:val="22"/>
        </w:numPr>
        <w:autoSpaceDE w:val="0"/>
        <w:autoSpaceDN w:val="0"/>
        <w:adjustRightInd w:val="0"/>
        <w:rPr>
          <w:rFonts w:cs="Arial"/>
          <w:lang w:eastAsia="en-GB"/>
        </w:rPr>
      </w:pPr>
      <w:r w:rsidRPr="0077250D">
        <w:rPr>
          <w:rFonts w:cs="Arial"/>
          <w:lang w:eastAsia="en-GB"/>
        </w:rPr>
        <w:t>Notes aux états financiers</w:t>
      </w:r>
    </w:p>
    <w:p w:rsidR="006F2554" w:rsidRPr="0077250D" w:rsidRDefault="006F2554" w:rsidP="00FC14D6">
      <w:pPr>
        <w:autoSpaceDE w:val="0"/>
        <w:autoSpaceDN w:val="0"/>
        <w:adjustRightInd w:val="0"/>
        <w:rPr>
          <w:rFonts w:cs="Arial"/>
          <w:lang w:eastAsia="en-GB"/>
        </w:rPr>
      </w:pPr>
    </w:p>
    <w:p w:rsidR="006F2554" w:rsidRPr="0077250D" w:rsidRDefault="00945987" w:rsidP="00FC14D6">
      <w:pPr>
        <w:autoSpaceDE w:val="0"/>
        <w:autoSpaceDN w:val="0"/>
        <w:adjustRightInd w:val="0"/>
        <w:rPr>
          <w:rFonts w:cs="Arial"/>
          <w:lang w:eastAsia="en-GB"/>
        </w:rPr>
      </w:pPr>
      <w:r w:rsidRPr="0077250D">
        <w:rPr>
          <w:rFonts w:cs="Arial"/>
          <w:lang w:eastAsia="en-GB"/>
        </w:rPr>
        <w:t>Dans le rapport de gestion financière, les états I à V sont présentés pour l</w:t>
      </w:r>
      <w:r w:rsidR="00BE613C" w:rsidRPr="0077250D">
        <w:rPr>
          <w:rFonts w:cs="Arial"/>
          <w:lang w:eastAsia="en-GB"/>
        </w:rPr>
        <w:t>’</w:t>
      </w:r>
      <w:r w:rsidRPr="0077250D">
        <w:rPr>
          <w:rFonts w:cs="Arial"/>
          <w:lang w:eastAsia="en-GB"/>
        </w:rPr>
        <w:t>exercice biennal 2014</w:t>
      </w:r>
      <w:r w:rsidR="00F32060" w:rsidRPr="0077250D">
        <w:rPr>
          <w:rFonts w:cs="Arial"/>
          <w:lang w:eastAsia="en-GB"/>
        </w:rPr>
        <w:noBreakHyphen/>
      </w:r>
      <w:r w:rsidRPr="0077250D">
        <w:rPr>
          <w:rFonts w:cs="Arial"/>
          <w:lang w:eastAsia="en-GB"/>
        </w:rPr>
        <w:t>2015.  Des informations financières sont fournies pour faire comprendre les différences entre le résultat de l</w:t>
      </w:r>
      <w:r w:rsidR="00BE613C" w:rsidRPr="0077250D">
        <w:rPr>
          <w:rFonts w:cs="Arial"/>
          <w:lang w:eastAsia="en-GB"/>
        </w:rPr>
        <w:t>’</w:t>
      </w:r>
      <w:r w:rsidRPr="0077250D">
        <w:rPr>
          <w:rFonts w:cs="Arial"/>
          <w:lang w:eastAsia="en-GB"/>
        </w:rPr>
        <w:t>UPOV sur une base budgétaire et celui en fonction des états financiers établis selon les normes IPSAS.  D</w:t>
      </w:r>
      <w:r w:rsidR="00BE613C" w:rsidRPr="0077250D">
        <w:rPr>
          <w:rFonts w:cs="Arial"/>
          <w:lang w:eastAsia="en-GB"/>
        </w:rPr>
        <w:t>’</w:t>
      </w:r>
      <w:r w:rsidRPr="0077250D">
        <w:rPr>
          <w:rFonts w:cs="Arial"/>
          <w:lang w:eastAsia="en-GB"/>
        </w:rPr>
        <w:t>autres extraits des états financiers annuels fournissent également de plus amples détails sur les actifs et les passifs de l</w:t>
      </w:r>
      <w:r w:rsidR="00BE613C" w:rsidRPr="0077250D">
        <w:rPr>
          <w:rFonts w:cs="Arial"/>
          <w:lang w:eastAsia="en-GB"/>
        </w:rPr>
        <w:t>’</w:t>
      </w:r>
      <w:r w:rsidRPr="0077250D">
        <w:rPr>
          <w:rFonts w:cs="Arial"/>
          <w:lang w:eastAsia="en-GB"/>
        </w:rPr>
        <w:t>UPOV.</w:t>
      </w:r>
    </w:p>
    <w:p w:rsidR="006F2554" w:rsidRPr="00FE6D2F" w:rsidRDefault="002F09F3" w:rsidP="00FE6D2F">
      <w:pPr>
        <w:pStyle w:val="Heading3"/>
      </w:pPr>
      <w:r w:rsidRPr="0077250D">
        <w:rPr>
          <w:lang w:eastAsia="en-GB"/>
        </w:rPr>
        <w:br w:type="page"/>
      </w:r>
      <w:bookmarkStart w:id="22" w:name="_Toc460231964"/>
      <w:r w:rsidR="00FE6D2F" w:rsidRPr="00FE6D2F">
        <w:t>État </w:t>
      </w:r>
      <w:r w:rsidR="00945987" w:rsidRPr="00FE6D2F">
        <w:t>I</w:t>
      </w:r>
      <w:r w:rsidR="00C43F20">
        <w:t>   </w:t>
      </w:r>
      <w:r w:rsidR="00FE6D2F">
        <w:br/>
      </w:r>
      <w:r w:rsidR="00FE6D2F">
        <w:br/>
      </w:r>
      <w:r w:rsidR="00FE6D2F" w:rsidRPr="00FE6D2F">
        <w:t>État de la situation financière</w:t>
      </w:r>
      <w:bookmarkEnd w:id="22"/>
    </w:p>
    <w:p w:rsidR="006F2554" w:rsidRPr="0077250D" w:rsidRDefault="006F2554" w:rsidP="00FC14D6">
      <w:pPr>
        <w:jc w:val="center"/>
        <w:rPr>
          <w:rFonts w:cs="Arial"/>
          <w:b/>
          <w:lang w:eastAsia="en-GB"/>
        </w:rPr>
      </w:pPr>
    </w:p>
    <w:p w:rsidR="005E7BB7" w:rsidRPr="0077250D" w:rsidRDefault="00945987" w:rsidP="00FC14D6">
      <w:pPr>
        <w:jc w:val="center"/>
        <w:rPr>
          <w:rFonts w:cs="Arial"/>
          <w:b/>
          <w:lang w:eastAsia="en-GB"/>
        </w:rPr>
      </w:pPr>
      <w:r w:rsidRPr="0077250D">
        <w:rPr>
          <w:rFonts w:cs="Arial"/>
          <w:b/>
          <w:lang w:eastAsia="en-GB"/>
        </w:rPr>
        <w:t>au 31 décembre 2015</w:t>
      </w:r>
    </w:p>
    <w:p w:rsidR="005E7BB7" w:rsidRPr="0077250D" w:rsidRDefault="002F09F3" w:rsidP="00FC14D6">
      <w:pPr>
        <w:spacing w:after="200"/>
        <w:jc w:val="center"/>
        <w:rPr>
          <w:i/>
        </w:rPr>
      </w:pPr>
      <w:r w:rsidRPr="0077250D">
        <w:rPr>
          <w:i/>
        </w:rPr>
        <w:t>(</w:t>
      </w:r>
      <w:r w:rsidR="00945987" w:rsidRPr="0077250D">
        <w:rPr>
          <w:i/>
        </w:rPr>
        <w:t xml:space="preserve">en </w:t>
      </w:r>
      <w:r w:rsidRPr="0077250D">
        <w:rPr>
          <w:i/>
        </w:rPr>
        <w:t>francs</w:t>
      </w:r>
      <w:r w:rsidR="00945987" w:rsidRPr="0077250D">
        <w:rPr>
          <w:i/>
        </w:rPr>
        <w:t xml:space="preserve"> suisses</w:t>
      </w:r>
      <w:r w:rsidRPr="0077250D">
        <w:rPr>
          <w:i/>
        </w:rPr>
        <w:t>)</w:t>
      </w:r>
    </w:p>
    <w:p w:rsidR="006F2554" w:rsidRPr="0077250D" w:rsidRDefault="006F2554" w:rsidP="00FC14D6">
      <w:pPr>
        <w:jc w:val="center"/>
        <w:rPr>
          <w:b/>
        </w:rPr>
      </w:pPr>
    </w:p>
    <w:p w:rsidR="006F2554" w:rsidRPr="0077250D" w:rsidRDefault="00E35895" w:rsidP="00FC14D6">
      <w:pPr>
        <w:jc w:val="center"/>
        <w:rPr>
          <w:b/>
        </w:rPr>
      </w:pPr>
      <w:r w:rsidRPr="0077250D">
        <w:rPr>
          <w:noProof/>
          <w:lang w:val="en-US"/>
        </w:rPr>
        <w:drawing>
          <wp:inline distT="0" distB="0" distL="0" distR="0" wp14:anchorId="5D4257AE" wp14:editId="552A9430">
            <wp:extent cx="6120765" cy="4851962"/>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4851962"/>
                    </a:xfrm>
                    <a:prstGeom prst="rect">
                      <a:avLst/>
                    </a:prstGeom>
                    <a:noFill/>
                    <a:ln>
                      <a:noFill/>
                    </a:ln>
                  </pic:spPr>
                </pic:pic>
              </a:graphicData>
            </a:graphic>
          </wp:inline>
        </w:drawing>
      </w:r>
    </w:p>
    <w:p w:rsidR="006F2554" w:rsidRPr="0077250D" w:rsidRDefault="006F2554" w:rsidP="00FC14D6">
      <w:pPr>
        <w:jc w:val="center"/>
        <w:rPr>
          <w:b/>
        </w:rPr>
      </w:pPr>
    </w:p>
    <w:p w:rsidR="006F2554" w:rsidRPr="00FE6D2F" w:rsidRDefault="002F09F3" w:rsidP="00FE6D2F">
      <w:pPr>
        <w:pStyle w:val="Heading3"/>
      </w:pPr>
      <w:r w:rsidRPr="0077250D">
        <w:br w:type="page"/>
      </w:r>
      <w:bookmarkStart w:id="23" w:name="_Toc460231965"/>
      <w:r w:rsidR="00FE6D2F" w:rsidRPr="00FE6D2F">
        <w:t>État </w:t>
      </w:r>
      <w:r w:rsidR="004A6255" w:rsidRPr="00FE6D2F">
        <w:t>II</w:t>
      </w:r>
      <w:r w:rsidR="00C43F20">
        <w:t>  </w:t>
      </w:r>
      <w:r w:rsidR="00FE6D2F">
        <w:br/>
      </w:r>
      <w:r w:rsidR="00FE6D2F">
        <w:br/>
      </w:r>
      <w:r w:rsidR="00FE6D2F" w:rsidRPr="00FE6D2F">
        <w:t>État de la performance financière</w:t>
      </w:r>
      <w:bookmarkEnd w:id="23"/>
    </w:p>
    <w:p w:rsidR="00303B5D" w:rsidRPr="0077250D" w:rsidRDefault="00303B5D" w:rsidP="00FC14D6">
      <w:pPr>
        <w:jc w:val="center"/>
        <w:rPr>
          <w:rFonts w:cs="Arial"/>
          <w:b/>
          <w:lang w:eastAsia="en-GB"/>
        </w:rPr>
      </w:pPr>
    </w:p>
    <w:p w:rsidR="005E7BB7" w:rsidRPr="0077250D" w:rsidRDefault="004A6255" w:rsidP="00FC14D6">
      <w:pPr>
        <w:jc w:val="center"/>
        <w:rPr>
          <w:rFonts w:cs="Arial"/>
          <w:b/>
          <w:lang w:eastAsia="en-GB"/>
        </w:rPr>
      </w:pPr>
      <w:r w:rsidRPr="0077250D">
        <w:rPr>
          <w:rFonts w:cs="Arial"/>
          <w:b/>
          <w:lang w:eastAsia="en-GB"/>
        </w:rPr>
        <w:t>pour l</w:t>
      </w:r>
      <w:r w:rsidR="00BE613C" w:rsidRPr="0077250D">
        <w:rPr>
          <w:rFonts w:cs="Arial"/>
          <w:b/>
          <w:lang w:eastAsia="en-GB"/>
        </w:rPr>
        <w:t>’</w:t>
      </w:r>
      <w:r w:rsidRPr="0077250D">
        <w:rPr>
          <w:rFonts w:cs="Arial"/>
          <w:b/>
          <w:lang w:eastAsia="en-GB"/>
        </w:rPr>
        <w:t>exercice biennal clos le 31 décembre 2015</w:t>
      </w:r>
    </w:p>
    <w:p w:rsidR="005E7BB7" w:rsidRPr="0077250D" w:rsidRDefault="002F09F3" w:rsidP="00FC14D6">
      <w:pPr>
        <w:spacing w:after="200"/>
        <w:jc w:val="center"/>
        <w:rPr>
          <w:i/>
        </w:rPr>
      </w:pPr>
      <w:r w:rsidRPr="0077250D">
        <w:rPr>
          <w:i/>
        </w:rPr>
        <w:t>(</w:t>
      </w:r>
      <w:r w:rsidR="004A6255" w:rsidRPr="0077250D">
        <w:rPr>
          <w:i/>
        </w:rPr>
        <w:t>en francs suisses</w:t>
      </w:r>
      <w:r w:rsidRPr="0077250D">
        <w:rPr>
          <w:i/>
        </w:rPr>
        <w:t>)</w:t>
      </w:r>
    </w:p>
    <w:p w:rsidR="006F2554" w:rsidRPr="0077250D" w:rsidRDefault="006F2554" w:rsidP="00FC14D6">
      <w:pPr>
        <w:jc w:val="center"/>
        <w:rPr>
          <w:b/>
        </w:rPr>
      </w:pPr>
    </w:p>
    <w:p w:rsidR="006F2554" w:rsidRPr="0077250D" w:rsidRDefault="00E35895" w:rsidP="00FC14D6">
      <w:pPr>
        <w:jc w:val="center"/>
        <w:rPr>
          <w:b/>
        </w:rPr>
      </w:pPr>
      <w:r w:rsidRPr="0077250D">
        <w:rPr>
          <w:noProof/>
          <w:lang w:val="en-US"/>
        </w:rPr>
        <w:drawing>
          <wp:inline distT="0" distB="0" distL="0" distR="0" wp14:anchorId="5D83D771" wp14:editId="25ECFA5F">
            <wp:extent cx="5947410" cy="33356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7410" cy="3335655"/>
                    </a:xfrm>
                    <a:prstGeom prst="rect">
                      <a:avLst/>
                    </a:prstGeom>
                    <a:noFill/>
                    <a:ln>
                      <a:noFill/>
                    </a:ln>
                  </pic:spPr>
                </pic:pic>
              </a:graphicData>
            </a:graphic>
          </wp:inline>
        </w:drawing>
      </w:r>
    </w:p>
    <w:p w:rsidR="006F2554" w:rsidRPr="0077250D" w:rsidRDefault="006F2554" w:rsidP="00FC14D6">
      <w:pPr>
        <w:jc w:val="center"/>
        <w:rPr>
          <w:b/>
        </w:rPr>
      </w:pPr>
    </w:p>
    <w:p w:rsidR="006F2554" w:rsidRPr="00FE6D2F" w:rsidRDefault="002F09F3" w:rsidP="00FE6D2F">
      <w:pPr>
        <w:pStyle w:val="Heading3"/>
      </w:pPr>
      <w:r w:rsidRPr="0077250D">
        <w:br w:type="page"/>
      </w:r>
      <w:bookmarkStart w:id="24" w:name="_Toc460231966"/>
      <w:r w:rsidR="00FE6D2F" w:rsidRPr="00FE6D2F">
        <w:t>État </w:t>
      </w:r>
      <w:r w:rsidR="004A6255" w:rsidRPr="00FE6D2F">
        <w:t>III</w:t>
      </w:r>
      <w:r w:rsidR="00C43F20">
        <w:t> </w:t>
      </w:r>
      <w:r w:rsidR="00FE6D2F">
        <w:br/>
      </w:r>
      <w:r w:rsidR="00FE6D2F">
        <w:br/>
      </w:r>
      <w:r w:rsidR="00FE6D2F" w:rsidRPr="00FE6D2F">
        <w:t>État des variations des actifs nets</w:t>
      </w:r>
      <w:bookmarkEnd w:id="24"/>
    </w:p>
    <w:p w:rsidR="00303B5D" w:rsidRPr="0077250D" w:rsidRDefault="00303B5D" w:rsidP="00FC14D6">
      <w:pPr>
        <w:jc w:val="center"/>
        <w:rPr>
          <w:rFonts w:cs="Arial"/>
          <w:b/>
          <w:lang w:eastAsia="en-GB"/>
        </w:rPr>
      </w:pPr>
    </w:p>
    <w:p w:rsidR="005E7BB7" w:rsidRPr="0077250D" w:rsidRDefault="004A6255" w:rsidP="00FC14D6">
      <w:pPr>
        <w:jc w:val="center"/>
        <w:rPr>
          <w:rFonts w:cs="Arial"/>
          <w:b/>
          <w:lang w:eastAsia="en-GB"/>
        </w:rPr>
      </w:pPr>
      <w:r w:rsidRPr="0077250D">
        <w:rPr>
          <w:rFonts w:cs="Arial"/>
          <w:b/>
          <w:lang w:eastAsia="en-GB"/>
        </w:rPr>
        <w:t>pour l</w:t>
      </w:r>
      <w:r w:rsidR="00BE613C" w:rsidRPr="0077250D">
        <w:rPr>
          <w:rFonts w:cs="Arial"/>
          <w:b/>
          <w:lang w:eastAsia="en-GB"/>
        </w:rPr>
        <w:t>’</w:t>
      </w:r>
      <w:r w:rsidRPr="0077250D">
        <w:rPr>
          <w:rFonts w:cs="Arial"/>
          <w:b/>
          <w:lang w:eastAsia="en-GB"/>
        </w:rPr>
        <w:t>exercice biennal clos le 31 décembre 2015</w:t>
      </w:r>
    </w:p>
    <w:p w:rsidR="005E7BB7" w:rsidRPr="0077250D" w:rsidRDefault="002F09F3" w:rsidP="00FC14D6">
      <w:pPr>
        <w:spacing w:after="200"/>
        <w:jc w:val="center"/>
        <w:rPr>
          <w:i/>
        </w:rPr>
      </w:pPr>
      <w:r w:rsidRPr="0077250D">
        <w:rPr>
          <w:i/>
        </w:rPr>
        <w:t>(</w:t>
      </w:r>
      <w:r w:rsidR="004A6255" w:rsidRPr="0077250D">
        <w:rPr>
          <w:i/>
        </w:rPr>
        <w:t>en francs suisses</w:t>
      </w:r>
      <w:r w:rsidRPr="0077250D">
        <w:rPr>
          <w:i/>
        </w:rPr>
        <w:t>)</w:t>
      </w:r>
    </w:p>
    <w:p w:rsidR="006F2554" w:rsidRPr="0077250D" w:rsidRDefault="006F2554" w:rsidP="00FC14D6">
      <w:pPr>
        <w:jc w:val="center"/>
        <w:rPr>
          <w:b/>
        </w:rPr>
      </w:pPr>
    </w:p>
    <w:p w:rsidR="006F2554" w:rsidRPr="0077250D" w:rsidRDefault="00E35895" w:rsidP="00FC14D6">
      <w:pPr>
        <w:jc w:val="center"/>
        <w:rPr>
          <w:b/>
        </w:rPr>
      </w:pPr>
      <w:r w:rsidRPr="0077250D">
        <w:rPr>
          <w:noProof/>
          <w:lang w:val="en-US"/>
        </w:rPr>
        <w:drawing>
          <wp:inline distT="0" distB="0" distL="0" distR="0" wp14:anchorId="0F4DCCB5" wp14:editId="36B2E617">
            <wp:extent cx="6120765" cy="2608666"/>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608666"/>
                    </a:xfrm>
                    <a:prstGeom prst="rect">
                      <a:avLst/>
                    </a:prstGeom>
                    <a:noFill/>
                    <a:ln>
                      <a:noFill/>
                    </a:ln>
                  </pic:spPr>
                </pic:pic>
              </a:graphicData>
            </a:graphic>
          </wp:inline>
        </w:drawing>
      </w:r>
    </w:p>
    <w:p w:rsidR="006F2554" w:rsidRPr="0077250D" w:rsidRDefault="006F2554" w:rsidP="00FC14D6">
      <w:pPr>
        <w:jc w:val="center"/>
        <w:rPr>
          <w:b/>
        </w:rPr>
      </w:pPr>
    </w:p>
    <w:p w:rsidR="006F2554" w:rsidRPr="0077250D" w:rsidRDefault="006F2554" w:rsidP="00FC14D6">
      <w:pPr>
        <w:jc w:val="center"/>
      </w:pPr>
    </w:p>
    <w:p w:rsidR="006F2554" w:rsidRPr="00FE6D2F" w:rsidRDefault="002F09F3" w:rsidP="00FE6D2F">
      <w:pPr>
        <w:pStyle w:val="Heading3"/>
      </w:pPr>
      <w:r w:rsidRPr="0077250D">
        <w:br w:type="page"/>
      </w:r>
      <w:bookmarkStart w:id="25" w:name="_Toc460231967"/>
      <w:r w:rsidR="00FE6D2F" w:rsidRPr="00FE6D2F">
        <w:t>État </w:t>
      </w:r>
      <w:r w:rsidR="00DF2111" w:rsidRPr="00FE6D2F">
        <w:t>IV</w:t>
      </w:r>
      <w:r w:rsidR="00C43F20">
        <w:t> </w:t>
      </w:r>
      <w:r w:rsidR="00FE6D2F">
        <w:br/>
      </w:r>
      <w:r w:rsidR="00FE6D2F">
        <w:br/>
      </w:r>
      <w:r w:rsidR="00FE6D2F" w:rsidRPr="00FE6D2F">
        <w:t>État des flux de trésorerie</w:t>
      </w:r>
      <w:bookmarkEnd w:id="25"/>
    </w:p>
    <w:p w:rsidR="00303B5D" w:rsidRPr="0077250D" w:rsidRDefault="00303B5D" w:rsidP="00FC14D6">
      <w:pPr>
        <w:jc w:val="center"/>
        <w:rPr>
          <w:rFonts w:cs="Arial"/>
          <w:b/>
          <w:lang w:eastAsia="en-GB"/>
        </w:rPr>
      </w:pPr>
    </w:p>
    <w:p w:rsidR="005E7BB7" w:rsidRPr="0077250D" w:rsidRDefault="00DF2111" w:rsidP="00FC14D6">
      <w:pPr>
        <w:jc w:val="center"/>
        <w:rPr>
          <w:rFonts w:cs="Arial"/>
          <w:b/>
          <w:lang w:eastAsia="en-GB"/>
        </w:rPr>
      </w:pPr>
      <w:r w:rsidRPr="0077250D">
        <w:rPr>
          <w:rFonts w:cs="Arial"/>
          <w:b/>
          <w:lang w:eastAsia="en-GB"/>
        </w:rPr>
        <w:t>pour l</w:t>
      </w:r>
      <w:r w:rsidR="00BE613C" w:rsidRPr="0077250D">
        <w:rPr>
          <w:rFonts w:cs="Arial"/>
          <w:b/>
          <w:lang w:eastAsia="en-GB"/>
        </w:rPr>
        <w:t>’</w:t>
      </w:r>
      <w:r w:rsidRPr="0077250D">
        <w:rPr>
          <w:rFonts w:cs="Arial"/>
          <w:b/>
          <w:lang w:eastAsia="en-GB"/>
        </w:rPr>
        <w:t>exercice biennal clos le 31 décembre 2015</w:t>
      </w:r>
    </w:p>
    <w:p w:rsidR="005E7BB7" w:rsidRPr="0077250D" w:rsidRDefault="002F09F3" w:rsidP="00FC14D6">
      <w:pPr>
        <w:spacing w:after="200"/>
        <w:jc w:val="center"/>
        <w:rPr>
          <w:i/>
        </w:rPr>
      </w:pPr>
      <w:r w:rsidRPr="0077250D">
        <w:rPr>
          <w:i/>
        </w:rPr>
        <w:t>(</w:t>
      </w:r>
      <w:r w:rsidR="00DF2111" w:rsidRPr="0077250D">
        <w:rPr>
          <w:i/>
        </w:rPr>
        <w:t>en francs suisses</w:t>
      </w:r>
      <w:r w:rsidRPr="0077250D">
        <w:rPr>
          <w:i/>
        </w:rPr>
        <w:t>)</w:t>
      </w:r>
    </w:p>
    <w:p w:rsidR="006F2554" w:rsidRPr="0077250D" w:rsidRDefault="006F2554" w:rsidP="00FC14D6">
      <w:pPr>
        <w:jc w:val="center"/>
        <w:rPr>
          <w:b/>
        </w:rPr>
      </w:pPr>
    </w:p>
    <w:p w:rsidR="006F2554" w:rsidRPr="0077250D" w:rsidRDefault="00E35895" w:rsidP="00FC14D6">
      <w:pPr>
        <w:jc w:val="center"/>
        <w:rPr>
          <w:b/>
        </w:rPr>
      </w:pPr>
      <w:r w:rsidRPr="0077250D">
        <w:rPr>
          <w:noProof/>
          <w:lang w:val="en-US"/>
        </w:rPr>
        <w:drawing>
          <wp:inline distT="0" distB="0" distL="0" distR="0" wp14:anchorId="0831CBE3" wp14:editId="79677A89">
            <wp:extent cx="6120765" cy="3384648"/>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384648"/>
                    </a:xfrm>
                    <a:prstGeom prst="rect">
                      <a:avLst/>
                    </a:prstGeom>
                    <a:noFill/>
                    <a:ln>
                      <a:noFill/>
                    </a:ln>
                  </pic:spPr>
                </pic:pic>
              </a:graphicData>
            </a:graphic>
          </wp:inline>
        </w:drawing>
      </w:r>
    </w:p>
    <w:p w:rsidR="006F2554" w:rsidRPr="0077250D" w:rsidRDefault="006F2554" w:rsidP="00FC14D6">
      <w:pPr>
        <w:jc w:val="center"/>
      </w:pPr>
    </w:p>
    <w:p w:rsidR="006F2554" w:rsidRPr="0077250D" w:rsidRDefault="006F2554" w:rsidP="00FC14D6">
      <w:pPr>
        <w:jc w:val="center"/>
      </w:pPr>
    </w:p>
    <w:p w:rsidR="006F2554" w:rsidRPr="00FE6D2F" w:rsidRDefault="002F09F3" w:rsidP="00FE6D2F">
      <w:pPr>
        <w:pStyle w:val="Heading3"/>
      </w:pPr>
      <w:r w:rsidRPr="0077250D">
        <w:br w:type="page"/>
      </w:r>
      <w:bookmarkStart w:id="26" w:name="_Toc460231968"/>
      <w:r w:rsidR="00FE6D2F" w:rsidRPr="00FE6D2F">
        <w:t>État </w:t>
      </w:r>
      <w:r w:rsidR="00DF2111" w:rsidRPr="00FE6D2F">
        <w:t>V</w:t>
      </w:r>
      <w:r w:rsidR="00C43F20">
        <w:t>  </w:t>
      </w:r>
      <w:r w:rsidR="00FE6D2F">
        <w:br/>
      </w:r>
      <w:r w:rsidR="00FE6D2F">
        <w:br/>
      </w:r>
      <w:r w:rsidR="00FE6D2F" w:rsidRPr="00FE6D2F">
        <w:t>État de comparaison des montants budgétaires et des montants réels</w:t>
      </w:r>
      <w:bookmarkEnd w:id="26"/>
    </w:p>
    <w:p w:rsidR="00303B5D" w:rsidRPr="0077250D" w:rsidRDefault="00303B5D" w:rsidP="00FC14D6">
      <w:pPr>
        <w:jc w:val="center"/>
        <w:rPr>
          <w:rFonts w:cs="Arial"/>
          <w:b/>
          <w:lang w:eastAsia="en-GB"/>
        </w:rPr>
      </w:pPr>
    </w:p>
    <w:p w:rsidR="005E7BB7" w:rsidRPr="0077250D" w:rsidRDefault="00DF2111" w:rsidP="00FC14D6">
      <w:pPr>
        <w:jc w:val="center"/>
        <w:rPr>
          <w:rFonts w:cs="Arial"/>
          <w:b/>
          <w:lang w:eastAsia="en-GB"/>
        </w:rPr>
      </w:pPr>
      <w:r w:rsidRPr="0077250D">
        <w:rPr>
          <w:rFonts w:cs="Arial"/>
          <w:b/>
          <w:lang w:eastAsia="en-GB"/>
        </w:rPr>
        <w:t>pour l</w:t>
      </w:r>
      <w:r w:rsidR="00BE613C" w:rsidRPr="0077250D">
        <w:rPr>
          <w:rFonts w:cs="Arial"/>
          <w:b/>
          <w:lang w:eastAsia="en-GB"/>
        </w:rPr>
        <w:t>’</w:t>
      </w:r>
      <w:r w:rsidRPr="0077250D">
        <w:rPr>
          <w:rFonts w:cs="Arial"/>
          <w:b/>
          <w:lang w:eastAsia="en-GB"/>
        </w:rPr>
        <w:t>exercice biennal clos le 31 décembre 2015</w:t>
      </w:r>
    </w:p>
    <w:p w:rsidR="006F2554" w:rsidRPr="0077250D" w:rsidRDefault="002F09F3" w:rsidP="00FC14D6">
      <w:pPr>
        <w:spacing w:after="200"/>
        <w:jc w:val="center"/>
        <w:rPr>
          <w:i/>
        </w:rPr>
      </w:pPr>
      <w:r w:rsidRPr="0077250D">
        <w:rPr>
          <w:i/>
        </w:rPr>
        <w:t>(</w:t>
      </w:r>
      <w:r w:rsidR="00DF2111" w:rsidRPr="0077250D">
        <w:rPr>
          <w:i/>
        </w:rPr>
        <w:t>en milliers de francs suisses</w:t>
      </w:r>
      <w:r w:rsidRPr="0077250D">
        <w:rPr>
          <w:i/>
        </w:rPr>
        <w:t>)</w:t>
      </w:r>
    </w:p>
    <w:p w:rsidR="006F2554" w:rsidRPr="0077250D" w:rsidRDefault="006F2554" w:rsidP="00FC14D6">
      <w:pPr>
        <w:jc w:val="center"/>
      </w:pPr>
    </w:p>
    <w:p w:rsidR="006F2554" w:rsidRPr="0077250D" w:rsidRDefault="00E35895" w:rsidP="00FC14D6">
      <w:pPr>
        <w:jc w:val="center"/>
      </w:pPr>
      <w:r w:rsidRPr="0077250D">
        <w:rPr>
          <w:noProof/>
          <w:lang w:val="en-US"/>
        </w:rPr>
        <w:drawing>
          <wp:inline distT="0" distB="0" distL="0" distR="0" wp14:anchorId="11D4C705" wp14:editId="2AE3B7DA">
            <wp:extent cx="5588635" cy="4754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8635" cy="4754880"/>
                    </a:xfrm>
                    <a:prstGeom prst="rect">
                      <a:avLst/>
                    </a:prstGeom>
                    <a:noFill/>
                    <a:ln>
                      <a:noFill/>
                    </a:ln>
                  </pic:spPr>
                </pic:pic>
              </a:graphicData>
            </a:graphic>
          </wp:inline>
        </w:drawing>
      </w:r>
    </w:p>
    <w:p w:rsidR="006F2554" w:rsidRPr="0077250D" w:rsidRDefault="006F2554" w:rsidP="00FC14D6"/>
    <w:p w:rsidR="006F2554" w:rsidRPr="0077250D" w:rsidRDefault="0021487C" w:rsidP="00FC14D6">
      <w:pPr>
        <w:numPr>
          <w:ilvl w:val="0"/>
          <w:numId w:val="23"/>
        </w:numPr>
        <w:rPr>
          <w:sz w:val="18"/>
          <w:szCs w:val="18"/>
        </w:rPr>
      </w:pPr>
      <w:r w:rsidRPr="0077250D">
        <w:rPr>
          <w:sz w:val="18"/>
          <w:szCs w:val="18"/>
        </w:rPr>
        <w:t>représente le budget approuvé pour l</w:t>
      </w:r>
      <w:r w:rsidR="00BE613C" w:rsidRPr="0077250D">
        <w:rPr>
          <w:sz w:val="18"/>
          <w:szCs w:val="18"/>
        </w:rPr>
        <w:t>’</w:t>
      </w:r>
      <w:r w:rsidRPr="0077250D">
        <w:rPr>
          <w:sz w:val="18"/>
          <w:szCs w:val="18"/>
        </w:rPr>
        <w:t>exercice biennal 2014</w:t>
      </w:r>
      <w:r w:rsidR="00F32060" w:rsidRPr="0077250D">
        <w:rPr>
          <w:sz w:val="18"/>
          <w:szCs w:val="18"/>
        </w:rPr>
        <w:noBreakHyphen/>
      </w:r>
      <w:r w:rsidRPr="0077250D">
        <w:rPr>
          <w:sz w:val="18"/>
          <w:szCs w:val="18"/>
        </w:rPr>
        <w:t>2015;</w:t>
      </w:r>
    </w:p>
    <w:p w:rsidR="006F2554" w:rsidRPr="0077250D" w:rsidRDefault="0021487C" w:rsidP="00FC14D6">
      <w:pPr>
        <w:numPr>
          <w:ilvl w:val="0"/>
          <w:numId w:val="23"/>
        </w:numPr>
        <w:rPr>
          <w:sz w:val="18"/>
          <w:szCs w:val="18"/>
        </w:rPr>
      </w:pPr>
      <w:r w:rsidRPr="0077250D">
        <w:rPr>
          <w:sz w:val="18"/>
          <w:szCs w:val="18"/>
        </w:rPr>
        <w:t>représente l</w:t>
      </w:r>
      <w:r w:rsidR="00BE613C" w:rsidRPr="0077250D">
        <w:rPr>
          <w:sz w:val="18"/>
          <w:szCs w:val="18"/>
        </w:rPr>
        <w:t>’</w:t>
      </w:r>
      <w:r w:rsidRPr="0077250D">
        <w:rPr>
          <w:sz w:val="18"/>
          <w:szCs w:val="18"/>
        </w:rPr>
        <w:t>écart entre le budget final (révisé) et les dépenses effectives sur une base comparable (avant ajustements IPSAS);</w:t>
      </w:r>
    </w:p>
    <w:p w:rsidR="006F2554" w:rsidRPr="0077250D" w:rsidRDefault="00405BBE" w:rsidP="00FC14D6">
      <w:pPr>
        <w:numPr>
          <w:ilvl w:val="0"/>
          <w:numId w:val="23"/>
        </w:numPr>
        <w:rPr>
          <w:sz w:val="18"/>
          <w:szCs w:val="18"/>
        </w:rPr>
      </w:pPr>
      <w:r w:rsidRPr="0077250D">
        <w:rPr>
          <w:sz w:val="18"/>
          <w:szCs w:val="18"/>
        </w:rPr>
        <w:t>on notera que dans la présentation des états financiers, les coûts liés au</w:t>
      </w:r>
      <w:r w:rsidR="00BD534D" w:rsidRPr="0077250D">
        <w:rPr>
          <w:sz w:val="18"/>
          <w:szCs w:val="18"/>
        </w:rPr>
        <w:t xml:space="preserve"> recrutement des</w:t>
      </w:r>
      <w:r w:rsidRPr="0077250D">
        <w:rPr>
          <w:sz w:val="18"/>
          <w:szCs w:val="18"/>
        </w:rPr>
        <w:t xml:space="preserve"> stagiaires sont </w:t>
      </w:r>
      <w:r w:rsidR="00BD534D" w:rsidRPr="0077250D">
        <w:rPr>
          <w:sz w:val="18"/>
          <w:szCs w:val="18"/>
        </w:rPr>
        <w:t>comptabilisés au titre d</w:t>
      </w:r>
      <w:r w:rsidRPr="0077250D">
        <w:rPr>
          <w:sz w:val="18"/>
          <w:szCs w:val="18"/>
        </w:rPr>
        <w:t>es services contractuels.</w:t>
      </w:r>
    </w:p>
    <w:p w:rsidR="006F2554" w:rsidRPr="0077250D" w:rsidRDefault="002F09F3" w:rsidP="00FE6D2F">
      <w:pPr>
        <w:pStyle w:val="Heading3"/>
        <w:jc w:val="left"/>
      </w:pPr>
      <w:r w:rsidRPr="0077250D">
        <w:rPr>
          <w:szCs w:val="18"/>
          <w:lang w:val="fr-FR"/>
        </w:rPr>
        <w:br w:type="page"/>
      </w:r>
      <w:bookmarkStart w:id="27" w:name="_Toc460231969"/>
      <w:r w:rsidR="00303B5D" w:rsidRPr="0077250D">
        <w:t>Analyse de l’état de la situation financière</w:t>
      </w:r>
      <w:bookmarkEnd w:id="27"/>
    </w:p>
    <w:p w:rsidR="006F2554" w:rsidRPr="0077250D" w:rsidRDefault="006F2554" w:rsidP="00FC14D6">
      <w:pPr>
        <w:autoSpaceDE w:val="0"/>
        <w:autoSpaceDN w:val="0"/>
        <w:adjustRightInd w:val="0"/>
      </w:pPr>
    </w:p>
    <w:p w:rsidR="006F2554" w:rsidRPr="0077250D" w:rsidRDefault="009D30B6" w:rsidP="00FC14D6">
      <w:pPr>
        <w:autoSpaceDE w:val="0"/>
        <w:autoSpaceDN w:val="0"/>
        <w:adjustRightInd w:val="0"/>
        <w:rPr>
          <w:rFonts w:cs="Arial"/>
          <w:lang w:eastAsia="en-GB"/>
        </w:rPr>
      </w:pPr>
      <w:r w:rsidRPr="0077250D">
        <w:rPr>
          <w:rFonts w:cs="Arial"/>
          <w:b/>
          <w:bCs/>
          <w:lang w:eastAsia="en-GB"/>
        </w:rPr>
        <w:t>Évolution des actifs nets</w:t>
      </w:r>
      <w:r w:rsidRPr="0077250D">
        <w:rPr>
          <w:rFonts w:cs="Arial"/>
          <w:lang w:eastAsia="en-GB"/>
        </w:rPr>
        <w:t xml:space="preserve"> </w:t>
      </w:r>
      <w:r w:rsidR="004B2B03" w:rsidRPr="0077250D">
        <w:rPr>
          <w:rFonts w:cs="Arial"/>
          <w:b/>
          <w:bCs/>
          <w:lang w:eastAsia="en-GB"/>
        </w:rPr>
        <w:t>(</w:t>
      </w:r>
      <w:r w:rsidR="00673B36" w:rsidRPr="0077250D">
        <w:rPr>
          <w:rFonts w:cs="Arial"/>
          <w:b/>
          <w:bCs/>
          <w:lang w:eastAsia="en-GB"/>
        </w:rPr>
        <w:t>fonds de réserve et de roulement</w:t>
      </w:r>
      <w:r w:rsidR="004B2B03" w:rsidRPr="0077250D">
        <w:rPr>
          <w:rFonts w:cs="Arial"/>
          <w:b/>
          <w:bCs/>
          <w:lang w:eastAsia="en-GB"/>
        </w:rPr>
        <w:t>)</w:t>
      </w:r>
    </w:p>
    <w:p w:rsidR="006F2554" w:rsidRPr="0077250D" w:rsidRDefault="006F2554" w:rsidP="00FC14D6">
      <w:pPr>
        <w:rPr>
          <w:rFonts w:cs="Arial"/>
          <w:lang w:eastAsia="en-GB"/>
        </w:rPr>
      </w:pPr>
    </w:p>
    <w:p w:rsidR="006F2554" w:rsidRPr="0077250D" w:rsidRDefault="00673B36" w:rsidP="00FC14D6">
      <w:pPr>
        <w:rPr>
          <w:rFonts w:cs="Arial"/>
          <w:lang w:eastAsia="en-GB"/>
        </w:rPr>
      </w:pPr>
      <w:r w:rsidRPr="0077250D">
        <w:rPr>
          <w:rFonts w:cs="Arial"/>
          <w:lang w:eastAsia="en-GB"/>
        </w:rPr>
        <w:t>Au 3</w:t>
      </w:r>
      <w:r w:rsidR="00BE613C" w:rsidRPr="0077250D">
        <w:rPr>
          <w:rFonts w:cs="Arial"/>
          <w:lang w:eastAsia="en-GB"/>
        </w:rPr>
        <w:t>1 décembre 20</w:t>
      </w:r>
      <w:r w:rsidRPr="0077250D">
        <w:rPr>
          <w:rFonts w:cs="Arial"/>
          <w:lang w:eastAsia="en-GB"/>
        </w:rPr>
        <w:t xml:space="preserve">15, </w:t>
      </w:r>
      <w:r w:rsidR="00DE20F9" w:rsidRPr="0077250D">
        <w:rPr>
          <w:rFonts w:cs="Arial"/>
          <w:lang w:eastAsia="en-GB"/>
        </w:rPr>
        <w:t>l</w:t>
      </w:r>
      <w:r w:rsidR="00BE613C" w:rsidRPr="0077250D">
        <w:rPr>
          <w:rFonts w:cs="Arial"/>
          <w:lang w:eastAsia="en-GB"/>
        </w:rPr>
        <w:t>’</w:t>
      </w:r>
      <w:r w:rsidR="00DE20F9" w:rsidRPr="0077250D">
        <w:rPr>
          <w:rFonts w:cs="Arial"/>
          <w:lang w:eastAsia="en-GB"/>
        </w:rPr>
        <w:t>UPOV détenait selon les normes</w:t>
      </w:r>
      <w:r w:rsidR="00FB471C" w:rsidRPr="0077250D">
        <w:rPr>
          <w:rFonts w:cs="Arial"/>
          <w:lang w:eastAsia="en-GB"/>
        </w:rPr>
        <w:t> </w:t>
      </w:r>
      <w:r w:rsidR="00DE20F9" w:rsidRPr="0077250D">
        <w:rPr>
          <w:rFonts w:cs="Arial"/>
          <w:lang w:eastAsia="en-GB"/>
        </w:rPr>
        <w:t>IPSAS d</w:t>
      </w:r>
      <w:r w:rsidRPr="0077250D">
        <w:rPr>
          <w:rFonts w:cs="Arial"/>
          <w:lang w:eastAsia="en-GB"/>
        </w:rPr>
        <w:t xml:space="preserve">es actifs nets </w:t>
      </w:r>
      <w:r w:rsidR="001604A3" w:rsidRPr="0077250D">
        <w:rPr>
          <w:rFonts w:cs="Arial"/>
          <w:lang w:eastAsia="en-GB"/>
        </w:rPr>
        <w:t>s</w:t>
      </w:r>
      <w:r w:rsidR="00BE613C" w:rsidRPr="0077250D">
        <w:rPr>
          <w:rFonts w:cs="Arial"/>
          <w:lang w:eastAsia="en-GB"/>
        </w:rPr>
        <w:t>’</w:t>
      </w:r>
      <w:r w:rsidR="001604A3" w:rsidRPr="0077250D">
        <w:rPr>
          <w:rFonts w:cs="Arial"/>
          <w:lang w:eastAsia="en-GB"/>
        </w:rPr>
        <w:t>élevant à</w:t>
      </w:r>
      <w:r w:rsidRPr="0077250D">
        <w:rPr>
          <w:rFonts w:cs="Arial"/>
          <w:lang w:eastAsia="en-GB"/>
        </w:rPr>
        <w:t xml:space="preserve"> 1 663 834</w:t>
      </w:r>
      <w:r w:rsidR="00FB471C" w:rsidRPr="0077250D">
        <w:rPr>
          <w:rFonts w:cs="Arial"/>
          <w:lang w:eastAsia="en-GB"/>
        </w:rPr>
        <w:t> </w:t>
      </w:r>
      <w:r w:rsidRPr="0077250D">
        <w:rPr>
          <w:rFonts w:cs="Arial"/>
          <w:lang w:eastAsia="en-GB"/>
        </w:rPr>
        <w:t>francs suiss</w:t>
      </w:r>
      <w:r w:rsidR="00F32060" w:rsidRPr="0077250D">
        <w:rPr>
          <w:rFonts w:cs="Arial"/>
          <w:lang w:eastAsia="en-GB"/>
        </w:rPr>
        <w:t>es.  Au</w:t>
      </w:r>
      <w:r w:rsidR="00DE20F9" w:rsidRPr="0077250D">
        <w:rPr>
          <w:rFonts w:cs="Arial"/>
          <w:lang w:eastAsia="en-GB"/>
        </w:rPr>
        <w:t xml:space="preserve"> cours de l</w:t>
      </w:r>
      <w:r w:rsidR="00BE613C" w:rsidRPr="0077250D">
        <w:rPr>
          <w:rFonts w:cs="Arial"/>
          <w:lang w:eastAsia="en-GB"/>
        </w:rPr>
        <w:t>’</w:t>
      </w:r>
      <w:r w:rsidR="00DE20F9" w:rsidRPr="0077250D">
        <w:rPr>
          <w:rFonts w:cs="Arial"/>
          <w:lang w:eastAsia="en-GB"/>
        </w:rPr>
        <w:t>exercice biennal</w:t>
      </w:r>
      <w:r w:rsidR="00FB471C" w:rsidRPr="0077250D">
        <w:rPr>
          <w:rFonts w:cs="Arial"/>
          <w:lang w:eastAsia="en-GB"/>
        </w:rPr>
        <w:t> </w:t>
      </w:r>
      <w:r w:rsidR="00DE20F9" w:rsidRPr="0077250D">
        <w:rPr>
          <w:rFonts w:cs="Arial"/>
          <w:lang w:eastAsia="en-GB"/>
        </w:rPr>
        <w:t>2014</w:t>
      </w:r>
      <w:r w:rsidR="00F32060" w:rsidRPr="0077250D">
        <w:rPr>
          <w:rFonts w:cs="Arial"/>
          <w:lang w:eastAsia="en-GB"/>
        </w:rPr>
        <w:noBreakHyphen/>
      </w:r>
      <w:r w:rsidR="00DE20F9" w:rsidRPr="0077250D">
        <w:rPr>
          <w:rFonts w:cs="Arial"/>
          <w:lang w:eastAsia="en-GB"/>
        </w:rPr>
        <w:t>2015, u</w:t>
      </w:r>
      <w:r w:rsidRPr="0077250D">
        <w:rPr>
          <w:rFonts w:cs="Arial"/>
          <w:lang w:eastAsia="en-GB"/>
        </w:rPr>
        <w:t>n déficit net de 83 794</w:t>
      </w:r>
      <w:r w:rsidR="00FB471C" w:rsidRPr="0077250D">
        <w:rPr>
          <w:rFonts w:cs="Arial"/>
          <w:lang w:eastAsia="en-GB"/>
        </w:rPr>
        <w:t> </w:t>
      </w:r>
      <w:r w:rsidRPr="0077250D">
        <w:rPr>
          <w:rFonts w:cs="Arial"/>
          <w:lang w:eastAsia="en-GB"/>
        </w:rPr>
        <w:t xml:space="preserve">francs suisses </w:t>
      </w:r>
      <w:r w:rsidR="001604A3" w:rsidRPr="0077250D">
        <w:rPr>
          <w:rFonts w:cs="Arial"/>
          <w:lang w:eastAsia="en-GB"/>
        </w:rPr>
        <w:t>conjugué à</w:t>
      </w:r>
      <w:r w:rsidRPr="0077250D">
        <w:rPr>
          <w:rFonts w:cs="Arial"/>
          <w:lang w:eastAsia="en-GB"/>
        </w:rPr>
        <w:t xml:space="preserve"> des contributions </w:t>
      </w:r>
      <w:r w:rsidR="00DE20F9" w:rsidRPr="0077250D">
        <w:rPr>
          <w:rFonts w:cs="Arial"/>
          <w:lang w:eastAsia="en-GB"/>
        </w:rPr>
        <w:t xml:space="preserve">au fonds de roulement </w:t>
      </w:r>
      <w:r w:rsidR="00875F08" w:rsidRPr="0077250D">
        <w:rPr>
          <w:rFonts w:cs="Arial"/>
          <w:lang w:eastAsia="en-GB"/>
        </w:rPr>
        <w:t>d</w:t>
      </w:r>
      <w:r w:rsidR="00BE613C" w:rsidRPr="0077250D">
        <w:rPr>
          <w:rFonts w:cs="Arial"/>
          <w:lang w:eastAsia="en-GB"/>
        </w:rPr>
        <w:t>’</w:t>
      </w:r>
      <w:r w:rsidR="00875F08" w:rsidRPr="0077250D">
        <w:rPr>
          <w:rFonts w:cs="Arial"/>
          <w:lang w:eastAsia="en-GB"/>
        </w:rPr>
        <w:t>un montant</w:t>
      </w:r>
      <w:r w:rsidRPr="0077250D">
        <w:rPr>
          <w:rFonts w:cs="Arial"/>
          <w:lang w:eastAsia="en-GB"/>
        </w:rPr>
        <w:t xml:space="preserve"> de </w:t>
      </w:r>
      <w:r w:rsidR="00FB471C" w:rsidRPr="0077250D">
        <w:rPr>
          <w:rFonts w:cs="Arial"/>
          <w:lang w:eastAsia="en-GB"/>
        </w:rPr>
        <w:t>3334 </w:t>
      </w:r>
      <w:r w:rsidRPr="0077250D">
        <w:rPr>
          <w:rFonts w:cs="Arial"/>
          <w:lang w:eastAsia="en-GB"/>
        </w:rPr>
        <w:t xml:space="preserve">francs suisses </w:t>
      </w:r>
      <w:r w:rsidR="001604A3" w:rsidRPr="0077250D">
        <w:rPr>
          <w:rFonts w:cs="Arial"/>
          <w:lang w:eastAsia="en-GB"/>
        </w:rPr>
        <w:t>a entraîné</w:t>
      </w:r>
      <w:r w:rsidRPr="0077250D">
        <w:rPr>
          <w:rFonts w:cs="Arial"/>
          <w:lang w:eastAsia="en-GB"/>
        </w:rPr>
        <w:t xml:space="preserve"> une diminution </w:t>
      </w:r>
      <w:r w:rsidR="001604A3" w:rsidRPr="0077250D">
        <w:rPr>
          <w:rFonts w:cs="Arial"/>
          <w:lang w:eastAsia="en-GB"/>
        </w:rPr>
        <w:t xml:space="preserve">globale </w:t>
      </w:r>
      <w:r w:rsidR="009936DC" w:rsidRPr="0077250D">
        <w:rPr>
          <w:rFonts w:cs="Arial"/>
          <w:lang w:eastAsia="en-GB"/>
        </w:rPr>
        <w:t xml:space="preserve">des actifs nets </w:t>
      </w:r>
      <w:r w:rsidRPr="0077250D">
        <w:rPr>
          <w:rFonts w:cs="Arial"/>
          <w:lang w:eastAsia="en-GB"/>
        </w:rPr>
        <w:t>de 80 460</w:t>
      </w:r>
      <w:r w:rsidR="00FB471C" w:rsidRPr="0077250D">
        <w:rPr>
          <w:rFonts w:cs="Arial"/>
          <w:lang w:eastAsia="en-GB"/>
        </w:rPr>
        <w:t> </w:t>
      </w:r>
      <w:r w:rsidRPr="0077250D">
        <w:rPr>
          <w:rFonts w:cs="Arial"/>
          <w:lang w:eastAsia="en-GB"/>
        </w:rPr>
        <w:t>francs suisses par rapport au solde de 1 744 294</w:t>
      </w:r>
      <w:r w:rsidR="00FB471C" w:rsidRPr="0077250D">
        <w:rPr>
          <w:rFonts w:cs="Arial"/>
          <w:lang w:eastAsia="en-GB"/>
        </w:rPr>
        <w:t> </w:t>
      </w:r>
      <w:r w:rsidRPr="0077250D">
        <w:rPr>
          <w:rFonts w:cs="Arial"/>
          <w:lang w:eastAsia="en-GB"/>
        </w:rPr>
        <w:t>francs suisses enregistré à la fin de</w:t>
      </w:r>
      <w:r w:rsidR="00FB471C" w:rsidRPr="0077250D">
        <w:rPr>
          <w:rFonts w:cs="Arial"/>
          <w:lang w:eastAsia="en-GB"/>
        </w:rPr>
        <w:t> </w:t>
      </w:r>
      <w:r w:rsidRPr="0077250D">
        <w:rPr>
          <w:rFonts w:cs="Arial"/>
          <w:lang w:eastAsia="en-GB"/>
        </w:rPr>
        <w:t>2013.</w:t>
      </w:r>
      <w:r w:rsidR="004B2B03" w:rsidRPr="0077250D">
        <w:rPr>
          <w:rFonts w:cs="Arial"/>
          <w:lang w:eastAsia="en-GB"/>
        </w:rPr>
        <w:t xml:space="preserve"> </w:t>
      </w:r>
      <w:r w:rsidR="00604278" w:rsidRPr="0077250D">
        <w:rPr>
          <w:rFonts w:cs="Arial"/>
          <w:lang w:eastAsia="en-GB"/>
        </w:rPr>
        <w:t xml:space="preserve"> </w:t>
      </w:r>
      <w:r w:rsidR="00DE20F9" w:rsidRPr="0077250D">
        <w:rPr>
          <w:rFonts w:cs="Arial"/>
          <w:lang w:eastAsia="en-GB"/>
        </w:rPr>
        <w:t>Le tableau ci</w:t>
      </w:r>
      <w:r w:rsidR="00F32060" w:rsidRPr="0077250D">
        <w:rPr>
          <w:rFonts w:cs="Arial"/>
          <w:lang w:eastAsia="en-GB"/>
        </w:rPr>
        <w:noBreakHyphen/>
      </w:r>
      <w:r w:rsidR="00DE20F9" w:rsidRPr="0077250D">
        <w:rPr>
          <w:rFonts w:cs="Arial"/>
          <w:lang w:eastAsia="en-GB"/>
        </w:rPr>
        <w:t>dessous</w:t>
      </w:r>
      <w:r w:rsidRPr="0077250D">
        <w:rPr>
          <w:rFonts w:cs="Arial"/>
          <w:lang w:eastAsia="en-GB"/>
        </w:rPr>
        <w:t xml:space="preserve"> </w:t>
      </w:r>
      <w:r w:rsidR="00DE20F9" w:rsidRPr="0077250D">
        <w:rPr>
          <w:rFonts w:cs="Arial"/>
          <w:lang w:eastAsia="en-GB"/>
        </w:rPr>
        <w:t>présente d</w:t>
      </w:r>
      <w:r w:rsidR="00BE613C" w:rsidRPr="0077250D">
        <w:rPr>
          <w:rFonts w:cs="Arial"/>
          <w:lang w:eastAsia="en-GB"/>
        </w:rPr>
        <w:t>’</w:t>
      </w:r>
      <w:r w:rsidR="00875F08" w:rsidRPr="0077250D">
        <w:rPr>
          <w:rFonts w:cs="Arial"/>
          <w:lang w:eastAsia="en-GB"/>
        </w:rPr>
        <w:t>un</w:t>
      </w:r>
      <w:r w:rsidR="00DE20F9" w:rsidRPr="0077250D">
        <w:rPr>
          <w:rFonts w:cs="Arial"/>
          <w:lang w:eastAsia="en-GB"/>
        </w:rPr>
        <w:t xml:space="preserve">e manière synthétique la </w:t>
      </w:r>
      <w:r w:rsidRPr="0077250D">
        <w:rPr>
          <w:rFonts w:cs="Arial"/>
          <w:lang w:eastAsia="en-GB"/>
        </w:rPr>
        <w:t>diminution des actifs nets durant l</w:t>
      </w:r>
      <w:r w:rsidR="00BE613C" w:rsidRPr="0077250D">
        <w:rPr>
          <w:rFonts w:cs="Arial"/>
          <w:lang w:eastAsia="en-GB"/>
        </w:rPr>
        <w:t>’</w:t>
      </w:r>
      <w:r w:rsidRPr="0077250D">
        <w:rPr>
          <w:rFonts w:cs="Arial"/>
          <w:lang w:eastAsia="en-GB"/>
        </w:rPr>
        <w:t>exercice biennal</w:t>
      </w:r>
      <w:r w:rsidR="00FB471C" w:rsidRPr="0077250D">
        <w:rPr>
          <w:rFonts w:cs="Arial"/>
          <w:lang w:eastAsia="en-GB"/>
        </w:rPr>
        <w:t> </w:t>
      </w:r>
      <w:r w:rsidRPr="0077250D">
        <w:rPr>
          <w:rFonts w:cs="Arial"/>
          <w:lang w:eastAsia="en-GB"/>
        </w:rPr>
        <w:t>2014</w:t>
      </w:r>
      <w:r w:rsidR="00F32060" w:rsidRPr="0077250D">
        <w:rPr>
          <w:rFonts w:cs="Arial"/>
          <w:lang w:eastAsia="en-GB"/>
        </w:rPr>
        <w:noBreakHyphen/>
      </w:r>
      <w:r w:rsidRPr="0077250D">
        <w:rPr>
          <w:rFonts w:cs="Arial"/>
          <w:lang w:eastAsia="en-GB"/>
        </w:rPr>
        <w:t>2015</w:t>
      </w:r>
      <w:r w:rsidR="00604278" w:rsidRPr="0077250D">
        <w:rPr>
          <w:rFonts w:cs="Arial"/>
          <w:lang w:eastAsia="en-GB"/>
        </w:rPr>
        <w:t> </w:t>
      </w:r>
      <w:r w:rsidRPr="0077250D">
        <w:rPr>
          <w:rFonts w:cs="Arial"/>
          <w:lang w:eastAsia="en-GB"/>
        </w:rPr>
        <w:t>:</w:t>
      </w:r>
    </w:p>
    <w:p w:rsidR="006F2554" w:rsidRPr="0077250D" w:rsidRDefault="006F2554" w:rsidP="00FC14D6">
      <w:pPr>
        <w:rPr>
          <w:rFonts w:cs="Arial"/>
          <w:lang w:eastAsia="en-GB"/>
        </w:rPr>
      </w:pPr>
    </w:p>
    <w:p w:rsidR="00E35895" w:rsidRDefault="009936DC" w:rsidP="00FC14D6">
      <w:pPr>
        <w:jc w:val="center"/>
        <w:rPr>
          <w:rFonts w:cs="Arial"/>
          <w:lang w:eastAsia="en-GB"/>
        </w:rPr>
      </w:pPr>
      <w:r w:rsidRPr="0077250D">
        <w:rPr>
          <w:rFonts w:cs="Arial"/>
          <w:lang w:eastAsia="en-GB"/>
        </w:rPr>
        <w:t>Évolution des actifs nets (Fonds de réserve et de roulement) pour</w:t>
      </w:r>
      <w:r w:rsidR="00FB471C" w:rsidRPr="0077250D">
        <w:rPr>
          <w:rFonts w:cs="Arial"/>
          <w:lang w:eastAsia="en-GB"/>
        </w:rPr>
        <w:t> </w:t>
      </w:r>
      <w:r w:rsidRPr="0077250D">
        <w:rPr>
          <w:rFonts w:cs="Arial"/>
          <w:lang w:eastAsia="en-GB"/>
        </w:rPr>
        <w:t>2014</w:t>
      </w:r>
      <w:r w:rsidR="00F32060" w:rsidRPr="0077250D">
        <w:rPr>
          <w:rFonts w:cs="Arial"/>
          <w:lang w:eastAsia="en-GB"/>
        </w:rPr>
        <w:noBreakHyphen/>
      </w:r>
      <w:r w:rsidRPr="0077250D">
        <w:rPr>
          <w:rFonts w:cs="Arial"/>
          <w:lang w:eastAsia="en-GB"/>
        </w:rPr>
        <w:t>2015</w:t>
      </w:r>
    </w:p>
    <w:p w:rsidR="006F2554" w:rsidRPr="0077250D" w:rsidRDefault="00816FB4" w:rsidP="00FC14D6">
      <w:pPr>
        <w:jc w:val="center"/>
      </w:pPr>
      <w:r w:rsidRPr="00816FB4">
        <w:rPr>
          <w:noProof/>
          <w:lang w:val="en-US"/>
        </w:rPr>
        <w:drawing>
          <wp:inline distT="0" distB="0" distL="0" distR="0" wp14:anchorId="7D10E009" wp14:editId="0B6FC22B">
            <wp:extent cx="5054142" cy="266441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57707" cy="2666292"/>
                    </a:xfrm>
                    <a:prstGeom prst="rect">
                      <a:avLst/>
                    </a:prstGeom>
                    <a:noFill/>
                    <a:ln>
                      <a:noFill/>
                    </a:ln>
                  </pic:spPr>
                </pic:pic>
              </a:graphicData>
            </a:graphic>
          </wp:inline>
        </w:drawing>
      </w:r>
    </w:p>
    <w:p w:rsidR="00E35895" w:rsidRPr="0077250D" w:rsidRDefault="00E35895" w:rsidP="00FC14D6"/>
    <w:p w:rsidR="006F2554" w:rsidRPr="0077250D" w:rsidRDefault="009936DC" w:rsidP="00FC14D6">
      <w:r w:rsidRPr="0077250D">
        <w:t>En</w:t>
      </w:r>
      <w:r w:rsidR="00FB471C" w:rsidRPr="0077250D">
        <w:t> </w:t>
      </w:r>
      <w:r w:rsidRPr="0077250D">
        <w:t>2015, un montant de 183</w:t>
      </w:r>
      <w:r w:rsidR="00FB471C" w:rsidRPr="0077250D">
        <w:t> </w:t>
      </w:r>
      <w:r w:rsidRPr="0077250D">
        <w:t>824</w:t>
      </w:r>
      <w:r w:rsidR="00FB471C" w:rsidRPr="0077250D">
        <w:t> </w:t>
      </w:r>
      <w:r w:rsidRPr="0077250D">
        <w:t>francs suisses représentant le montant du fonds de réserve dépassant 15% des recettes totales pour l</w:t>
      </w:r>
      <w:r w:rsidR="00BE613C" w:rsidRPr="0077250D">
        <w:t>’</w:t>
      </w:r>
      <w:r w:rsidRPr="0077250D">
        <w:t>exercice biennal</w:t>
      </w:r>
      <w:r w:rsidR="00FB471C" w:rsidRPr="0077250D">
        <w:t> </w:t>
      </w:r>
      <w:r w:rsidRPr="0077250D">
        <w:t>2012</w:t>
      </w:r>
      <w:r w:rsidR="00F32060" w:rsidRPr="0077250D">
        <w:noBreakHyphen/>
      </w:r>
      <w:r w:rsidRPr="0077250D">
        <w:t xml:space="preserve">2013 a été transféré </w:t>
      </w:r>
      <w:r w:rsidR="001604A3" w:rsidRPr="0077250D">
        <w:t>vers</w:t>
      </w:r>
      <w:r w:rsidRPr="0077250D">
        <w:t xml:space="preserve"> un Fonds spécial pour des projets</w:t>
      </w:r>
      <w:r w:rsidR="001604A3" w:rsidRPr="0077250D">
        <w:t>,</w:t>
      </w:r>
      <w:r w:rsidRPr="0077250D">
        <w:t xml:space="preserve"> afin de mener à bien certains projets particulie</w:t>
      </w:r>
      <w:r w:rsidR="00F32060" w:rsidRPr="0077250D">
        <w:t>rs.  Su</w:t>
      </w:r>
      <w:r w:rsidRPr="0077250D">
        <w:t>r ces 183 824</w:t>
      </w:r>
      <w:r w:rsidR="00FB471C" w:rsidRPr="0077250D">
        <w:t> </w:t>
      </w:r>
      <w:r w:rsidRPr="0077250D">
        <w:t>francs suisses, 114 151</w:t>
      </w:r>
      <w:r w:rsidR="00FB471C" w:rsidRPr="0077250D">
        <w:t> </w:t>
      </w:r>
      <w:r w:rsidRPr="0077250D">
        <w:t>francs suisses ont été dépensés en</w:t>
      </w:r>
      <w:r w:rsidR="00FB471C" w:rsidRPr="0077250D">
        <w:t> </w:t>
      </w:r>
      <w:r w:rsidRPr="0077250D">
        <w:t>2015.</w:t>
      </w:r>
      <w:r w:rsidR="001604A3" w:rsidRPr="0077250D">
        <w:t xml:space="preserve"> </w:t>
      </w:r>
      <w:r w:rsidRPr="0077250D">
        <w:t xml:space="preserve"> </w:t>
      </w:r>
      <w:r w:rsidR="001604A3" w:rsidRPr="0077250D">
        <w:t>L</w:t>
      </w:r>
      <w:r w:rsidRPr="0077250D">
        <w:t>e solde du Fonds spécial pour des projets, qui s</w:t>
      </w:r>
      <w:r w:rsidR="00BE613C" w:rsidRPr="0077250D">
        <w:t>’</w:t>
      </w:r>
      <w:r w:rsidR="001604A3" w:rsidRPr="0077250D">
        <w:t>élevait</w:t>
      </w:r>
      <w:r w:rsidRPr="0077250D">
        <w:t xml:space="preserve"> à 69</w:t>
      </w:r>
      <w:r w:rsidR="00FB471C" w:rsidRPr="0077250D">
        <w:t> </w:t>
      </w:r>
      <w:r w:rsidRPr="0077250D">
        <w:t>673</w:t>
      </w:r>
      <w:r w:rsidR="00FB471C" w:rsidRPr="0077250D">
        <w:t> </w:t>
      </w:r>
      <w:r w:rsidRPr="0077250D">
        <w:t>francs suisses</w:t>
      </w:r>
      <w:r w:rsidR="001604A3" w:rsidRPr="0077250D">
        <w:t xml:space="preserve"> au 3</w:t>
      </w:r>
      <w:r w:rsidR="00BE613C" w:rsidRPr="0077250D">
        <w:t>1 décembre 20</w:t>
      </w:r>
      <w:r w:rsidR="001604A3" w:rsidRPr="0077250D">
        <w:t>15</w:t>
      </w:r>
      <w:r w:rsidRPr="0077250D">
        <w:t>, fait partie des actifs nets de l</w:t>
      </w:r>
      <w:r w:rsidR="00BE613C" w:rsidRPr="0077250D">
        <w:t>’</w:t>
      </w:r>
      <w:r w:rsidRPr="0077250D">
        <w:t>UPOV.</w:t>
      </w:r>
    </w:p>
    <w:p w:rsidR="006F2554" w:rsidRPr="0077250D" w:rsidRDefault="006F2554" w:rsidP="00FC14D6">
      <w:pPr>
        <w:rPr>
          <w:sz w:val="18"/>
          <w:szCs w:val="18"/>
        </w:rPr>
      </w:pPr>
    </w:p>
    <w:p w:rsidR="006F2554" w:rsidRPr="0077250D" w:rsidRDefault="009D30B6" w:rsidP="00FC14D6">
      <w:pPr>
        <w:rPr>
          <w:b/>
        </w:rPr>
      </w:pPr>
      <w:r w:rsidRPr="0077250D">
        <w:rPr>
          <w:b/>
        </w:rPr>
        <w:t>Résumé des actifs et des passifs</w:t>
      </w:r>
    </w:p>
    <w:p w:rsidR="006F2554" w:rsidRPr="0077250D" w:rsidRDefault="006F2554" w:rsidP="00FC14D6">
      <w:pPr>
        <w:rPr>
          <w:b/>
          <w:sz w:val="18"/>
          <w:szCs w:val="18"/>
        </w:rPr>
      </w:pPr>
    </w:p>
    <w:p w:rsidR="006F2554" w:rsidRPr="0077250D" w:rsidRDefault="009D30B6" w:rsidP="00522E5D">
      <w:pPr>
        <w:spacing w:after="120"/>
      </w:pPr>
      <w:r w:rsidRPr="0077250D">
        <w:t>Le graphique ci</w:t>
      </w:r>
      <w:r w:rsidR="00F32060" w:rsidRPr="0077250D">
        <w:noBreakHyphen/>
      </w:r>
      <w:r w:rsidRPr="0077250D">
        <w:t>dessous fournit un résumé de l</w:t>
      </w:r>
      <w:r w:rsidR="00BE613C" w:rsidRPr="0077250D">
        <w:t>’</w:t>
      </w:r>
      <w:r w:rsidRPr="0077250D">
        <w:t>état de la situation financière de l</w:t>
      </w:r>
      <w:r w:rsidR="00BE613C" w:rsidRPr="0077250D">
        <w:t>’</w:t>
      </w:r>
      <w:r w:rsidRPr="0077250D">
        <w:t>UPOV au 31 décembre 2015 :</w:t>
      </w:r>
    </w:p>
    <w:p w:rsidR="006F2554" w:rsidRPr="0077250D" w:rsidRDefault="009D30B6" w:rsidP="00FC14D6">
      <w:pPr>
        <w:keepNext/>
        <w:jc w:val="center"/>
      </w:pPr>
      <w:r w:rsidRPr="0077250D">
        <w:t>Résumé des actifs et des passifs au 31 décembre 2015</w:t>
      </w:r>
    </w:p>
    <w:p w:rsidR="006F2554" w:rsidRPr="0077250D" w:rsidRDefault="00E35895" w:rsidP="00FC14D6">
      <w:pPr>
        <w:jc w:val="center"/>
      </w:pPr>
      <w:r w:rsidRPr="0077250D">
        <w:rPr>
          <w:noProof/>
          <w:lang w:val="en-US"/>
        </w:rPr>
        <w:drawing>
          <wp:inline distT="0" distB="0" distL="0" distR="0" wp14:anchorId="597899B3" wp14:editId="02AD5D12">
            <wp:extent cx="5697141" cy="3143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9">
                      <a:extLst>
                        <a:ext uri="{28A0092B-C50C-407E-A947-70E740481C1C}">
                          <a14:useLocalDpi xmlns:a14="http://schemas.microsoft.com/office/drawing/2010/main" val="0"/>
                        </a:ext>
                      </a:extLst>
                    </a:blip>
                    <a:srcRect b="1873"/>
                    <a:stretch/>
                  </pic:blipFill>
                  <pic:spPr bwMode="auto">
                    <a:xfrm>
                      <a:off x="0" y="0"/>
                      <a:ext cx="5718144" cy="3154838"/>
                    </a:xfrm>
                    <a:prstGeom prst="rect">
                      <a:avLst/>
                    </a:prstGeom>
                    <a:noFill/>
                    <a:ln>
                      <a:noFill/>
                    </a:ln>
                    <a:extLst>
                      <a:ext uri="{53640926-AAD7-44D8-BBD7-CCE9431645EC}">
                        <a14:shadowObscured xmlns:a14="http://schemas.microsoft.com/office/drawing/2010/main"/>
                      </a:ext>
                    </a:extLst>
                  </pic:spPr>
                </pic:pic>
              </a:graphicData>
            </a:graphic>
          </wp:inline>
        </w:drawing>
      </w:r>
    </w:p>
    <w:p w:rsidR="006F2554" w:rsidRPr="0077250D" w:rsidRDefault="0007239D" w:rsidP="00FC14D6">
      <w:r w:rsidRPr="0077250D">
        <w:t>L</w:t>
      </w:r>
      <w:r w:rsidR="00BE613C" w:rsidRPr="0077250D">
        <w:t>’</w:t>
      </w:r>
      <w:r w:rsidRPr="0077250D">
        <w:t>UPOV a un solde de trésorerie de 4 503 112 francs suisses, soit 95,8% du total des actifs encore qu</w:t>
      </w:r>
      <w:r w:rsidR="00BE613C" w:rsidRPr="0077250D">
        <w:t>’</w:t>
      </w:r>
      <w:r w:rsidRPr="0077250D">
        <w:t>il comprend des montants considérés comme réservés selon les normes IP</w:t>
      </w:r>
      <w:r w:rsidR="00F32060" w:rsidRPr="0077250D">
        <w:t>SAS.  Au</w:t>
      </w:r>
      <w:r w:rsidRPr="0077250D">
        <w:t xml:space="preserve"> nombre des autres actifs figurent les comptes débiteurs d</w:t>
      </w:r>
      <w:r w:rsidR="00BE613C" w:rsidRPr="0077250D">
        <w:t>’</w:t>
      </w:r>
      <w:r w:rsidRPr="0077250D">
        <w:t>un montant total de 195 399 francs suisses.</w:t>
      </w:r>
    </w:p>
    <w:p w:rsidR="006F2554" w:rsidRPr="0077250D" w:rsidRDefault="006F2554" w:rsidP="00FC14D6"/>
    <w:p w:rsidR="006F2554" w:rsidRPr="0077250D" w:rsidRDefault="0007239D" w:rsidP="00FC14D6">
      <w:r w:rsidRPr="0077250D">
        <w:t>Les principales obligations de l</w:t>
      </w:r>
      <w:r w:rsidR="00BE613C" w:rsidRPr="0077250D">
        <w:t>’</w:t>
      </w:r>
      <w:r w:rsidRPr="0077250D">
        <w:t>UPOV sont celles relatives aux prestations dues au personn</w:t>
      </w:r>
      <w:r w:rsidR="00F32060" w:rsidRPr="0077250D">
        <w:t>el.  El</w:t>
      </w:r>
      <w:r w:rsidRPr="0077250D">
        <w:t>les s</w:t>
      </w:r>
      <w:r w:rsidR="00BE613C" w:rsidRPr="0077250D">
        <w:t>’</w:t>
      </w:r>
      <w:r w:rsidRPr="0077250D">
        <w:t>élèvent à 1 358 508 francs suisses et comprennent essentiellement les obligations relatives aux prestations médicales après la cessation de service (AMCS), à hauteur de 1 070 019 francs suiss</w:t>
      </w:r>
      <w:r w:rsidR="00F32060" w:rsidRPr="0077250D">
        <w:t>es.  Le</w:t>
      </w:r>
      <w:r w:rsidRPr="0077250D">
        <w:t>s encaissements par anticipation de 462 744 francs suisses incluent les contributions payées à l</w:t>
      </w:r>
      <w:r w:rsidR="00BE613C" w:rsidRPr="0077250D">
        <w:t>’</w:t>
      </w:r>
      <w:r w:rsidRPr="0077250D">
        <w:t>avance (244 834 francs suisses) et les recettes différées en provenance de ressources extrabudgétaires (217 910 francs suiss</w:t>
      </w:r>
      <w:r w:rsidR="00F32060" w:rsidRPr="0077250D">
        <w:t>es).  Le</w:t>
      </w:r>
      <w:r w:rsidRPr="0077250D">
        <w:t>s autres obligations (1 213 425 francs suisses) représentent le montant dû à l</w:t>
      </w:r>
      <w:r w:rsidR="00BE613C" w:rsidRPr="0077250D">
        <w:t>’</w:t>
      </w:r>
      <w:r w:rsidRPr="0077250D">
        <w:t>Organisation Mondiale de la Propriété Intellectuelle (OMPI) au 31 décembre 2015.</w:t>
      </w:r>
    </w:p>
    <w:p w:rsidR="00F21872" w:rsidRPr="0077250D" w:rsidRDefault="00F21872" w:rsidP="00FC14D6"/>
    <w:p w:rsidR="006F2554" w:rsidRPr="0077250D" w:rsidRDefault="0007239D" w:rsidP="00FC14D6">
      <w:pPr>
        <w:rPr>
          <w:b/>
        </w:rPr>
      </w:pPr>
      <w:r w:rsidRPr="0077250D">
        <w:rPr>
          <w:b/>
        </w:rPr>
        <w:t>Trésorerie et équivalents de trésorerie</w:t>
      </w:r>
    </w:p>
    <w:p w:rsidR="006F2554" w:rsidRPr="0077250D" w:rsidRDefault="006F2554" w:rsidP="00FC14D6">
      <w:pPr>
        <w:rPr>
          <w:b/>
        </w:rPr>
      </w:pPr>
    </w:p>
    <w:p w:rsidR="006F2554" w:rsidRPr="0077250D" w:rsidRDefault="00E35895" w:rsidP="00FC14D6">
      <w:pPr>
        <w:jc w:val="center"/>
        <w:rPr>
          <w:b/>
        </w:rPr>
      </w:pPr>
      <w:r w:rsidRPr="0077250D">
        <w:rPr>
          <w:noProof/>
          <w:lang w:val="en-US"/>
        </w:rPr>
        <w:drawing>
          <wp:inline distT="0" distB="0" distL="0" distR="0" wp14:anchorId="4FD82460" wp14:editId="31F8507E">
            <wp:extent cx="6120765" cy="1309261"/>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309261"/>
                    </a:xfrm>
                    <a:prstGeom prst="rect">
                      <a:avLst/>
                    </a:prstGeom>
                    <a:noFill/>
                    <a:ln>
                      <a:noFill/>
                    </a:ln>
                  </pic:spPr>
                </pic:pic>
              </a:graphicData>
            </a:graphic>
          </wp:inline>
        </w:drawing>
      </w:r>
    </w:p>
    <w:p w:rsidR="00E35895" w:rsidRPr="0077250D" w:rsidRDefault="00E35895" w:rsidP="00FC14D6"/>
    <w:p w:rsidR="006F2554" w:rsidRPr="0077250D" w:rsidRDefault="00035D92" w:rsidP="00FC14D6">
      <w:pPr>
        <w:rPr>
          <w:b/>
        </w:rPr>
      </w:pPr>
      <w:r w:rsidRPr="0077250D">
        <w:t>Le montant total des soldes de trésorerie et équivalents de trésorerie a augmenté de 20,8% durant l</w:t>
      </w:r>
      <w:r w:rsidR="00BE613C" w:rsidRPr="0077250D">
        <w:t>’</w:t>
      </w:r>
      <w:r w:rsidRPr="0077250D">
        <w:t>exercice biennal allant du 31 décembre 2013 au 31 décembre 2015.  Aux fins de la présentation IPSAS, les soldes de trésorerie sont scindés en soldes non soumis à restrictions et soldes soumis à restrictio</w:t>
      </w:r>
      <w:r w:rsidR="00F32060" w:rsidRPr="0077250D">
        <w:t>ns.  Le</w:t>
      </w:r>
      <w:r w:rsidRPr="0077250D">
        <w:t>s soldes de trésorerie relatifs au fonds de roulement ou aux fonds extrabudgétaires (fonds fiduciaires) sont considérés comme étant soumis à restrictions.</w:t>
      </w:r>
    </w:p>
    <w:p w:rsidR="006F2554" w:rsidRPr="0077250D" w:rsidRDefault="006F2554" w:rsidP="00FC14D6">
      <w:pPr>
        <w:rPr>
          <w:b/>
        </w:rPr>
      </w:pPr>
    </w:p>
    <w:p w:rsidR="006F2554" w:rsidRPr="0077250D" w:rsidRDefault="001604A3" w:rsidP="00FC14D6">
      <w:pPr>
        <w:rPr>
          <w:b/>
        </w:rPr>
      </w:pPr>
      <w:r w:rsidRPr="0077250D">
        <w:rPr>
          <w:b/>
        </w:rPr>
        <w:t>Comptes de débiteurs</w:t>
      </w:r>
    </w:p>
    <w:p w:rsidR="006F2554" w:rsidRPr="0077250D" w:rsidRDefault="006F2554" w:rsidP="00FC14D6">
      <w:pPr>
        <w:rPr>
          <w:b/>
        </w:rPr>
      </w:pPr>
    </w:p>
    <w:p w:rsidR="006F2554" w:rsidRPr="0077250D" w:rsidRDefault="00E35895" w:rsidP="00FC14D6">
      <w:pPr>
        <w:rPr>
          <w:b/>
        </w:rPr>
      </w:pPr>
      <w:r w:rsidRPr="0077250D">
        <w:rPr>
          <w:noProof/>
          <w:lang w:val="en-US"/>
        </w:rPr>
        <w:drawing>
          <wp:inline distT="0" distB="0" distL="0" distR="0" wp14:anchorId="1E34C58C" wp14:editId="698B422E">
            <wp:extent cx="6120765" cy="171846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718462"/>
                    </a:xfrm>
                    <a:prstGeom prst="rect">
                      <a:avLst/>
                    </a:prstGeom>
                    <a:noFill/>
                    <a:ln>
                      <a:noFill/>
                    </a:ln>
                  </pic:spPr>
                </pic:pic>
              </a:graphicData>
            </a:graphic>
          </wp:inline>
        </w:drawing>
      </w:r>
    </w:p>
    <w:p w:rsidR="00E35895" w:rsidRPr="0077250D" w:rsidRDefault="00E35895" w:rsidP="00FC14D6">
      <w:pPr>
        <w:rPr>
          <w:b/>
        </w:rPr>
      </w:pPr>
    </w:p>
    <w:p w:rsidR="006F2554" w:rsidRPr="0077250D" w:rsidRDefault="009936DC" w:rsidP="00FC14D6">
      <w:pPr>
        <w:rPr>
          <w:b/>
        </w:rPr>
      </w:pPr>
      <w:r w:rsidRPr="0077250D">
        <w:rPr>
          <w:szCs w:val="22"/>
        </w:rPr>
        <w:t xml:space="preserve">Le montant total des </w:t>
      </w:r>
      <w:r w:rsidR="001604A3" w:rsidRPr="0077250D">
        <w:rPr>
          <w:szCs w:val="22"/>
        </w:rPr>
        <w:t>comptes de débiteurs</w:t>
      </w:r>
      <w:r w:rsidRPr="0077250D">
        <w:rPr>
          <w:szCs w:val="22"/>
        </w:rPr>
        <w:t xml:space="preserve"> au 3</w:t>
      </w:r>
      <w:r w:rsidR="00BE613C" w:rsidRPr="0077250D">
        <w:rPr>
          <w:szCs w:val="22"/>
        </w:rPr>
        <w:t>1 décembre 20</w:t>
      </w:r>
      <w:r w:rsidRPr="0077250D">
        <w:rPr>
          <w:szCs w:val="22"/>
        </w:rPr>
        <w:t>15 s</w:t>
      </w:r>
      <w:r w:rsidR="00BE613C" w:rsidRPr="0077250D">
        <w:rPr>
          <w:szCs w:val="22"/>
        </w:rPr>
        <w:t>’</w:t>
      </w:r>
      <w:r w:rsidRPr="0077250D">
        <w:rPr>
          <w:szCs w:val="22"/>
        </w:rPr>
        <w:t>élevait à 195</w:t>
      </w:r>
      <w:r w:rsidR="00FB471C" w:rsidRPr="0077250D">
        <w:rPr>
          <w:szCs w:val="22"/>
        </w:rPr>
        <w:t> </w:t>
      </w:r>
      <w:r w:rsidRPr="0077250D">
        <w:rPr>
          <w:szCs w:val="22"/>
        </w:rPr>
        <w:t>399</w:t>
      </w:r>
      <w:r w:rsidR="00FB471C" w:rsidRPr="0077250D">
        <w:rPr>
          <w:szCs w:val="22"/>
        </w:rPr>
        <w:t> </w:t>
      </w:r>
      <w:r w:rsidRPr="0077250D">
        <w:rPr>
          <w:szCs w:val="22"/>
        </w:rPr>
        <w:t xml:space="preserve">francs suisses, contre </w:t>
      </w:r>
      <w:r w:rsidR="001604A3" w:rsidRPr="0077250D">
        <w:rPr>
          <w:szCs w:val="22"/>
        </w:rPr>
        <w:t>167 373</w:t>
      </w:r>
      <w:r w:rsidR="00FB471C" w:rsidRPr="0077250D">
        <w:rPr>
          <w:szCs w:val="22"/>
        </w:rPr>
        <w:t> </w:t>
      </w:r>
      <w:r w:rsidR="001604A3" w:rsidRPr="0077250D">
        <w:rPr>
          <w:szCs w:val="22"/>
        </w:rPr>
        <w:t xml:space="preserve">francs suisses </w:t>
      </w:r>
      <w:r w:rsidRPr="0077250D">
        <w:rPr>
          <w:szCs w:val="22"/>
        </w:rPr>
        <w:t>au 3</w:t>
      </w:r>
      <w:r w:rsidR="00BE613C" w:rsidRPr="0077250D">
        <w:rPr>
          <w:szCs w:val="22"/>
        </w:rPr>
        <w:t>1 décembre 20</w:t>
      </w:r>
      <w:r w:rsidRPr="0077250D">
        <w:rPr>
          <w:szCs w:val="22"/>
        </w:rPr>
        <w:t>13.</w:t>
      </w:r>
      <w:r w:rsidR="00C76EE9" w:rsidRPr="0077250D">
        <w:t xml:space="preserve">  </w:t>
      </w:r>
      <w:r w:rsidR="00816CC7" w:rsidRPr="0077250D">
        <w:rPr>
          <w:szCs w:val="22"/>
        </w:rPr>
        <w:t>Cette évolution est due à une augmentation du solde des cont</w:t>
      </w:r>
      <w:r w:rsidR="00577DE6" w:rsidRPr="0077250D">
        <w:rPr>
          <w:szCs w:val="22"/>
        </w:rPr>
        <w:t>ributions dues à la fin de</w:t>
      </w:r>
      <w:r w:rsidR="00FB471C" w:rsidRPr="0077250D">
        <w:rPr>
          <w:szCs w:val="22"/>
        </w:rPr>
        <w:t> </w:t>
      </w:r>
      <w:r w:rsidR="00577DE6" w:rsidRPr="0077250D">
        <w:rPr>
          <w:szCs w:val="22"/>
        </w:rPr>
        <w:t>2015,</w:t>
      </w:r>
      <w:r w:rsidR="002F09F3" w:rsidRPr="0077250D">
        <w:rPr>
          <w:szCs w:val="22"/>
        </w:rPr>
        <w:t xml:space="preserve"> </w:t>
      </w:r>
      <w:r w:rsidR="00577DE6" w:rsidRPr="0077250D">
        <w:rPr>
          <w:szCs w:val="22"/>
        </w:rPr>
        <w:t>qui</w:t>
      </w:r>
      <w:r w:rsidR="005C4777" w:rsidRPr="0077250D">
        <w:rPr>
          <w:szCs w:val="22"/>
        </w:rPr>
        <w:t xml:space="preserve"> a été en partie compensée par une légère diminution des débiteurs provenant des ressources extrabudgétaires (fonds fiduciaires).</w:t>
      </w:r>
    </w:p>
    <w:p w:rsidR="006F2554" w:rsidRPr="0077250D" w:rsidRDefault="006F2554" w:rsidP="00FC14D6">
      <w:pPr>
        <w:rPr>
          <w:b/>
        </w:rPr>
      </w:pPr>
    </w:p>
    <w:p w:rsidR="006F2554" w:rsidRPr="0077250D" w:rsidRDefault="006F2554" w:rsidP="00FC14D6">
      <w:pPr>
        <w:rPr>
          <w:b/>
        </w:rPr>
      </w:pPr>
    </w:p>
    <w:p w:rsidR="000B1374" w:rsidRDefault="000B1374">
      <w:pPr>
        <w:jc w:val="left"/>
        <w:rPr>
          <w:b/>
        </w:rPr>
      </w:pPr>
      <w:r>
        <w:rPr>
          <w:b/>
        </w:rPr>
        <w:br w:type="page"/>
      </w:r>
    </w:p>
    <w:p w:rsidR="006F2554" w:rsidRPr="0077250D" w:rsidRDefault="00035D92" w:rsidP="00FC14D6">
      <w:pPr>
        <w:rPr>
          <w:b/>
        </w:rPr>
      </w:pPr>
      <w:r w:rsidRPr="0077250D">
        <w:rPr>
          <w:b/>
        </w:rPr>
        <w:t>Prestations au personnel</w:t>
      </w:r>
    </w:p>
    <w:p w:rsidR="006F2554" w:rsidRPr="0077250D" w:rsidRDefault="006F2554" w:rsidP="00FC14D6">
      <w:pPr>
        <w:rPr>
          <w:b/>
        </w:rPr>
      </w:pPr>
    </w:p>
    <w:p w:rsidR="006F2554" w:rsidRPr="0077250D" w:rsidRDefault="00E35895" w:rsidP="00FC14D6">
      <w:pPr>
        <w:rPr>
          <w:b/>
        </w:rPr>
      </w:pPr>
      <w:r w:rsidRPr="0077250D">
        <w:rPr>
          <w:noProof/>
          <w:lang w:val="en-US"/>
        </w:rPr>
        <w:drawing>
          <wp:inline distT="0" distB="0" distL="0" distR="0" wp14:anchorId="1E76D301" wp14:editId="4F897D3E">
            <wp:extent cx="6120765" cy="156662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566624"/>
                    </a:xfrm>
                    <a:prstGeom prst="rect">
                      <a:avLst/>
                    </a:prstGeom>
                    <a:noFill/>
                    <a:ln>
                      <a:noFill/>
                    </a:ln>
                  </pic:spPr>
                </pic:pic>
              </a:graphicData>
            </a:graphic>
          </wp:inline>
        </w:drawing>
      </w:r>
    </w:p>
    <w:p w:rsidR="00E35895" w:rsidRPr="0077250D" w:rsidRDefault="00E35895" w:rsidP="00FC14D6">
      <w:pPr>
        <w:rPr>
          <w:b/>
        </w:rPr>
      </w:pPr>
    </w:p>
    <w:p w:rsidR="006F2554" w:rsidRPr="0077250D" w:rsidRDefault="00035D92" w:rsidP="00FC14D6">
      <w:r w:rsidRPr="0077250D">
        <w:t>Comme le montre le tableau ci</w:t>
      </w:r>
      <w:r w:rsidR="00F32060" w:rsidRPr="0077250D">
        <w:noBreakHyphen/>
      </w:r>
      <w:r w:rsidRPr="0077250D">
        <w:t>dessus, l</w:t>
      </w:r>
      <w:r w:rsidR="00BE613C" w:rsidRPr="0077250D">
        <w:t>’</w:t>
      </w:r>
      <w:r w:rsidRPr="0077250D">
        <w:t>obligation de loin la plus importante de l</w:t>
      </w:r>
      <w:r w:rsidR="00BE613C" w:rsidRPr="0077250D">
        <w:t>’</w:t>
      </w:r>
      <w:r w:rsidRPr="0077250D">
        <w:t>UPOV en ce qui concerne les prestations au personnel est celle relative à l</w:t>
      </w:r>
      <w:r w:rsidR="00BE613C" w:rsidRPr="0077250D">
        <w:t>’</w:t>
      </w:r>
      <w:r w:rsidRPr="0077250D">
        <w:t>AMCS, qui représente 78,7% de l</w:t>
      </w:r>
      <w:r w:rsidR="00BE613C" w:rsidRPr="0077250D">
        <w:t>’</w:t>
      </w:r>
      <w:r w:rsidRPr="0077250D">
        <w:t>obligation totale des prestations au personnel au 31 décembre 2015.  Cette obligation a augmenté de 102 204 francs suisses pendant l</w:t>
      </w:r>
      <w:r w:rsidR="00BE613C" w:rsidRPr="0077250D">
        <w:t>’</w:t>
      </w:r>
      <w:r w:rsidRPr="0077250D">
        <w:t>exercice biennal 2014</w:t>
      </w:r>
      <w:r w:rsidR="00F32060" w:rsidRPr="0077250D">
        <w:noBreakHyphen/>
      </w:r>
      <w:r w:rsidRPr="0077250D">
        <w:t>2015, situation décrite en détail dans le tableau ci</w:t>
      </w:r>
      <w:r w:rsidR="00F32060" w:rsidRPr="0077250D">
        <w:noBreakHyphen/>
      </w:r>
      <w:r w:rsidRPr="0077250D">
        <w:t>dessous :</w:t>
      </w:r>
    </w:p>
    <w:p w:rsidR="00F21872" w:rsidRPr="0077250D" w:rsidRDefault="00F21872" w:rsidP="00FC14D6"/>
    <w:p w:rsidR="006F2554" w:rsidRPr="0077250D" w:rsidRDefault="00E35895" w:rsidP="00FC14D6">
      <w:pPr>
        <w:jc w:val="center"/>
      </w:pPr>
      <w:r w:rsidRPr="0077250D">
        <w:rPr>
          <w:noProof/>
          <w:lang w:val="en-US"/>
        </w:rPr>
        <w:drawing>
          <wp:inline distT="0" distB="0" distL="0" distR="0" wp14:anchorId="68968FFC" wp14:editId="731E95EE">
            <wp:extent cx="6120765" cy="1352269"/>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352269"/>
                    </a:xfrm>
                    <a:prstGeom prst="rect">
                      <a:avLst/>
                    </a:prstGeom>
                    <a:noFill/>
                    <a:ln>
                      <a:noFill/>
                    </a:ln>
                  </pic:spPr>
                </pic:pic>
              </a:graphicData>
            </a:graphic>
          </wp:inline>
        </w:drawing>
      </w:r>
    </w:p>
    <w:p w:rsidR="00E35895" w:rsidRPr="000B1374" w:rsidRDefault="00E35895" w:rsidP="000B1374"/>
    <w:p w:rsidR="005E7BB7" w:rsidRPr="0077250D" w:rsidRDefault="005C4777" w:rsidP="00FC14D6">
      <w:pPr>
        <w:rPr>
          <w:szCs w:val="22"/>
        </w:rPr>
      </w:pPr>
      <w:r w:rsidRPr="0077250D">
        <w:rPr>
          <w:rFonts w:eastAsia="SimSun" w:cs="Arial"/>
          <w:lang w:eastAsia="zh-CN"/>
        </w:rPr>
        <w:t>L</w:t>
      </w:r>
      <w:r w:rsidR="00BE613C" w:rsidRPr="0077250D">
        <w:rPr>
          <w:rFonts w:eastAsia="SimSun" w:cs="Arial"/>
          <w:lang w:eastAsia="zh-CN"/>
        </w:rPr>
        <w:t>’</w:t>
      </w:r>
      <w:r w:rsidRPr="0077250D">
        <w:rPr>
          <w:rFonts w:eastAsia="SimSun" w:cs="Arial"/>
          <w:lang w:eastAsia="zh-CN"/>
        </w:rPr>
        <w:t>obligation, qui est calculée par un actuaire indépendant, traduit le futur coût total de la part des primes d</w:t>
      </w:r>
      <w:r w:rsidR="00BE613C" w:rsidRPr="0077250D">
        <w:rPr>
          <w:rFonts w:eastAsia="SimSun" w:cs="Arial"/>
          <w:lang w:eastAsia="zh-CN"/>
        </w:rPr>
        <w:t>’</w:t>
      </w:r>
      <w:r w:rsidRPr="0077250D">
        <w:rPr>
          <w:rFonts w:eastAsia="SimSun" w:cs="Arial"/>
          <w:lang w:eastAsia="zh-CN"/>
        </w:rPr>
        <w:t>assurance maladie collectives de l</w:t>
      </w:r>
      <w:r w:rsidR="00BE613C" w:rsidRPr="0077250D">
        <w:rPr>
          <w:rFonts w:eastAsia="SimSun" w:cs="Arial"/>
          <w:lang w:eastAsia="zh-CN"/>
        </w:rPr>
        <w:t>’</w:t>
      </w:r>
      <w:r w:rsidRPr="0077250D">
        <w:rPr>
          <w:rFonts w:eastAsia="SimSun" w:cs="Arial"/>
          <w:lang w:eastAsia="zh-CN"/>
        </w:rPr>
        <w:t>UPOV aussi bien pour les retraités de l</w:t>
      </w:r>
      <w:r w:rsidR="00BE613C" w:rsidRPr="0077250D">
        <w:rPr>
          <w:rFonts w:eastAsia="SimSun" w:cs="Arial"/>
          <w:lang w:eastAsia="zh-CN"/>
        </w:rPr>
        <w:t>’</w:t>
      </w:r>
      <w:r w:rsidRPr="0077250D">
        <w:rPr>
          <w:rFonts w:eastAsia="SimSun" w:cs="Arial"/>
          <w:lang w:eastAsia="zh-CN"/>
        </w:rPr>
        <w:t>UPOV que pour le nombre projeté de fonctionnaires en poste de l</w:t>
      </w:r>
      <w:r w:rsidR="00BE613C" w:rsidRPr="0077250D">
        <w:rPr>
          <w:rFonts w:eastAsia="SimSun" w:cs="Arial"/>
          <w:lang w:eastAsia="zh-CN"/>
        </w:rPr>
        <w:t>’</w:t>
      </w:r>
      <w:r w:rsidRPr="0077250D">
        <w:rPr>
          <w:rFonts w:eastAsia="SimSun" w:cs="Arial"/>
          <w:lang w:eastAsia="zh-CN"/>
        </w:rPr>
        <w:t>UPOV qui prendront leur retraite dans l</w:t>
      </w:r>
      <w:r w:rsidR="00BE613C" w:rsidRPr="0077250D">
        <w:rPr>
          <w:rFonts w:eastAsia="SimSun" w:cs="Arial"/>
          <w:lang w:eastAsia="zh-CN"/>
        </w:rPr>
        <w:t>’</w:t>
      </w:r>
      <w:r w:rsidRPr="0077250D">
        <w:rPr>
          <w:rFonts w:eastAsia="SimSun" w:cs="Arial"/>
          <w:lang w:eastAsia="zh-CN"/>
        </w:rPr>
        <w:t>aven</w:t>
      </w:r>
      <w:r w:rsidR="00F32060" w:rsidRPr="0077250D">
        <w:rPr>
          <w:rFonts w:eastAsia="SimSun" w:cs="Arial"/>
          <w:lang w:eastAsia="zh-CN"/>
        </w:rPr>
        <w:t>ir.  Le</w:t>
      </w:r>
      <w:r w:rsidRPr="0077250D">
        <w:rPr>
          <w:rFonts w:eastAsia="SimSun" w:cs="Arial"/>
          <w:lang w:eastAsia="zh-CN"/>
        </w:rPr>
        <w:t xml:space="preserve"> coût </w:t>
      </w:r>
      <w:r w:rsidR="00577DE6" w:rsidRPr="0077250D">
        <w:rPr>
          <w:rFonts w:eastAsia="SimSun" w:cs="Arial"/>
          <w:lang w:eastAsia="zh-CN"/>
        </w:rPr>
        <w:t>courant des prestations</w:t>
      </w:r>
      <w:r w:rsidRPr="0077250D">
        <w:rPr>
          <w:rFonts w:eastAsia="SimSun" w:cs="Arial"/>
          <w:lang w:eastAsia="zh-CN"/>
        </w:rPr>
        <w:t xml:space="preserve"> figurant dans le tableau ci</w:t>
      </w:r>
      <w:r w:rsidR="00F32060" w:rsidRPr="0077250D">
        <w:rPr>
          <w:rFonts w:eastAsia="SimSun" w:cs="Arial"/>
          <w:lang w:eastAsia="zh-CN"/>
        </w:rPr>
        <w:noBreakHyphen/>
      </w:r>
      <w:r w:rsidRPr="0077250D">
        <w:rPr>
          <w:rFonts w:eastAsia="SimSun" w:cs="Arial"/>
          <w:lang w:eastAsia="zh-CN"/>
        </w:rPr>
        <w:t xml:space="preserve">dessus </w:t>
      </w:r>
      <w:r w:rsidR="00577DE6" w:rsidRPr="0077250D">
        <w:rPr>
          <w:rFonts w:eastAsia="SimSun" w:cs="Arial"/>
          <w:lang w:eastAsia="zh-CN"/>
        </w:rPr>
        <w:t>correspond à l</w:t>
      </w:r>
      <w:r w:rsidR="00BE613C" w:rsidRPr="0077250D">
        <w:rPr>
          <w:rFonts w:eastAsia="SimSun" w:cs="Arial"/>
          <w:lang w:eastAsia="zh-CN"/>
        </w:rPr>
        <w:t>’</w:t>
      </w:r>
      <w:r w:rsidR="00577DE6" w:rsidRPr="0077250D">
        <w:rPr>
          <w:rFonts w:eastAsia="SimSun" w:cs="Arial"/>
          <w:lang w:eastAsia="zh-CN"/>
        </w:rPr>
        <w:t>incidence nette des prestations au personnel</w:t>
      </w:r>
      <w:r w:rsidRPr="0077250D">
        <w:rPr>
          <w:rFonts w:eastAsia="SimSun" w:cs="Arial"/>
          <w:lang w:eastAsia="zh-CN"/>
        </w:rPr>
        <w:t xml:space="preserve"> au cours de l</w:t>
      </w:r>
      <w:r w:rsidR="00BE613C" w:rsidRPr="0077250D">
        <w:rPr>
          <w:rFonts w:eastAsia="SimSun" w:cs="Arial"/>
          <w:lang w:eastAsia="zh-CN"/>
        </w:rPr>
        <w:t>’</w:t>
      </w:r>
      <w:r w:rsidRPr="0077250D">
        <w:rPr>
          <w:rFonts w:eastAsia="SimSun" w:cs="Arial"/>
          <w:lang w:eastAsia="zh-CN"/>
        </w:rPr>
        <w:t>exercice biennal</w:t>
      </w:r>
      <w:r w:rsidR="00FB471C" w:rsidRPr="0077250D">
        <w:rPr>
          <w:rFonts w:eastAsia="SimSun" w:cs="Arial"/>
          <w:lang w:eastAsia="zh-CN"/>
        </w:rPr>
        <w:t> </w:t>
      </w:r>
      <w:r w:rsidRPr="0077250D">
        <w:rPr>
          <w:rFonts w:eastAsia="SimSun" w:cs="Arial"/>
          <w:lang w:eastAsia="zh-CN"/>
        </w:rPr>
        <w:t>2014</w:t>
      </w:r>
      <w:r w:rsidR="00F32060" w:rsidRPr="0077250D">
        <w:rPr>
          <w:rFonts w:eastAsia="SimSun" w:cs="Arial"/>
          <w:lang w:eastAsia="zh-CN"/>
        </w:rPr>
        <w:noBreakHyphen/>
      </w:r>
      <w:r w:rsidRPr="0077250D">
        <w:rPr>
          <w:rFonts w:eastAsia="SimSun" w:cs="Arial"/>
          <w:lang w:eastAsia="zh-CN"/>
        </w:rPr>
        <w:t>2015.</w:t>
      </w:r>
      <w:r w:rsidR="00604278" w:rsidRPr="0077250D">
        <w:rPr>
          <w:rFonts w:eastAsia="SimSun" w:cs="Arial"/>
          <w:lang w:eastAsia="zh-CN"/>
        </w:rPr>
        <w:t xml:space="preserve"> </w:t>
      </w:r>
      <w:r w:rsidR="00895722" w:rsidRPr="0077250D">
        <w:t xml:space="preserve"> </w:t>
      </w:r>
      <w:r w:rsidRPr="0077250D">
        <w:rPr>
          <w:szCs w:val="22"/>
        </w:rPr>
        <w:t>Le coût des intérêts est la conséquence du fait que chaque fonctionnaire en activité se rapproche de l</w:t>
      </w:r>
      <w:r w:rsidR="00BE613C" w:rsidRPr="0077250D">
        <w:rPr>
          <w:szCs w:val="22"/>
        </w:rPr>
        <w:t>’</w:t>
      </w:r>
      <w:r w:rsidRPr="0077250D">
        <w:rPr>
          <w:szCs w:val="22"/>
        </w:rPr>
        <w:t>âge auquel il peut prétendre aux prestations au titre de l</w:t>
      </w:r>
      <w:r w:rsidR="00BE613C" w:rsidRPr="0077250D">
        <w:rPr>
          <w:szCs w:val="22"/>
        </w:rPr>
        <w:t>’</w:t>
      </w:r>
      <w:r w:rsidRPr="0077250D">
        <w:rPr>
          <w:szCs w:val="22"/>
        </w:rPr>
        <w:t>assurance maladie après la cessation de servi</w:t>
      </w:r>
      <w:r w:rsidR="00F32060" w:rsidRPr="0077250D">
        <w:rPr>
          <w:szCs w:val="22"/>
        </w:rPr>
        <w:t>ce.  Le</w:t>
      </w:r>
      <w:r w:rsidRPr="0077250D">
        <w:rPr>
          <w:szCs w:val="22"/>
        </w:rPr>
        <w:t xml:space="preserve">s prestations versées </w:t>
      </w:r>
      <w:r w:rsidR="00577DE6" w:rsidRPr="0077250D">
        <w:rPr>
          <w:szCs w:val="22"/>
        </w:rPr>
        <w:t>par l</w:t>
      </w:r>
      <w:r w:rsidR="00BE613C" w:rsidRPr="0077250D">
        <w:rPr>
          <w:szCs w:val="22"/>
        </w:rPr>
        <w:t>’</w:t>
      </w:r>
      <w:r w:rsidR="00577DE6" w:rsidRPr="0077250D">
        <w:rPr>
          <w:szCs w:val="22"/>
        </w:rPr>
        <w:t xml:space="preserve">UPOV </w:t>
      </w:r>
      <w:r w:rsidRPr="0077250D">
        <w:rPr>
          <w:szCs w:val="22"/>
        </w:rPr>
        <w:t>durant l</w:t>
      </w:r>
      <w:r w:rsidR="00BE613C" w:rsidRPr="0077250D">
        <w:rPr>
          <w:szCs w:val="22"/>
        </w:rPr>
        <w:t>’</w:t>
      </w:r>
      <w:r w:rsidRPr="0077250D">
        <w:rPr>
          <w:szCs w:val="22"/>
        </w:rPr>
        <w:t>exercice biennal sont les cotisations mensuelles (actuellement 65% des primes) que l</w:t>
      </w:r>
      <w:r w:rsidR="00BE613C" w:rsidRPr="0077250D">
        <w:rPr>
          <w:szCs w:val="22"/>
        </w:rPr>
        <w:t>’</w:t>
      </w:r>
      <w:r w:rsidRPr="0077250D">
        <w:rPr>
          <w:szCs w:val="22"/>
        </w:rPr>
        <w:t>UPOV verse aux retraités participant à l</w:t>
      </w:r>
      <w:r w:rsidR="00BE613C" w:rsidRPr="0077250D">
        <w:rPr>
          <w:szCs w:val="22"/>
        </w:rPr>
        <w:t>’</w:t>
      </w:r>
      <w:r w:rsidRPr="0077250D">
        <w:rPr>
          <w:szCs w:val="22"/>
        </w:rPr>
        <w:t>assurance maladie après la cessation de service.</w:t>
      </w:r>
    </w:p>
    <w:p w:rsidR="006F2554" w:rsidRPr="0077250D" w:rsidRDefault="006F2554" w:rsidP="00FC14D6">
      <w:pPr>
        <w:rPr>
          <w:b/>
        </w:rPr>
      </w:pPr>
    </w:p>
    <w:p w:rsidR="006F2554" w:rsidRPr="0077250D" w:rsidRDefault="005C4777" w:rsidP="00FC14D6">
      <w:pPr>
        <w:keepNext/>
        <w:rPr>
          <w:b/>
        </w:rPr>
      </w:pPr>
      <w:r w:rsidRPr="0077250D">
        <w:rPr>
          <w:b/>
        </w:rPr>
        <w:t>Encaissements par anticipation</w:t>
      </w:r>
    </w:p>
    <w:p w:rsidR="006F2554" w:rsidRPr="0077250D" w:rsidRDefault="006F2554" w:rsidP="00FC14D6">
      <w:pPr>
        <w:keepNext/>
        <w:rPr>
          <w:b/>
        </w:rPr>
      </w:pPr>
    </w:p>
    <w:p w:rsidR="006F2554" w:rsidRPr="0077250D" w:rsidRDefault="00E35895" w:rsidP="00FC14D6">
      <w:pPr>
        <w:rPr>
          <w:b/>
        </w:rPr>
      </w:pPr>
      <w:r w:rsidRPr="0077250D">
        <w:rPr>
          <w:noProof/>
          <w:lang w:val="en-US"/>
        </w:rPr>
        <w:drawing>
          <wp:inline distT="0" distB="0" distL="0" distR="0" wp14:anchorId="776AAE10" wp14:editId="52A49D83">
            <wp:extent cx="6120765" cy="11649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164920"/>
                    </a:xfrm>
                    <a:prstGeom prst="rect">
                      <a:avLst/>
                    </a:prstGeom>
                    <a:noFill/>
                    <a:ln>
                      <a:noFill/>
                    </a:ln>
                  </pic:spPr>
                </pic:pic>
              </a:graphicData>
            </a:graphic>
          </wp:inline>
        </w:drawing>
      </w:r>
    </w:p>
    <w:p w:rsidR="00A83F3A" w:rsidRPr="0077250D" w:rsidRDefault="00A83F3A" w:rsidP="00FC14D6">
      <w:pPr>
        <w:rPr>
          <w:b/>
        </w:rPr>
      </w:pPr>
    </w:p>
    <w:p w:rsidR="006F2554" w:rsidRPr="0077250D" w:rsidRDefault="00CD3AC0" w:rsidP="00FC14D6">
      <w:pPr>
        <w:pStyle w:val="Style3"/>
        <w:spacing w:after="0"/>
      </w:pPr>
      <w:r w:rsidRPr="0077250D">
        <w:rPr>
          <w:sz w:val="20"/>
        </w:rPr>
        <w:t>Les contributions reçues d</w:t>
      </w:r>
      <w:r w:rsidR="00BE613C" w:rsidRPr="0077250D">
        <w:rPr>
          <w:sz w:val="20"/>
        </w:rPr>
        <w:t>’</w:t>
      </w:r>
      <w:r w:rsidRPr="0077250D">
        <w:rPr>
          <w:sz w:val="20"/>
        </w:rPr>
        <w:t>avance sont comptabilisées comme passif d</w:t>
      </w:r>
      <w:r w:rsidR="00BE613C" w:rsidRPr="0077250D">
        <w:rPr>
          <w:sz w:val="20"/>
        </w:rPr>
        <w:t>’</w:t>
      </w:r>
      <w:r w:rsidRPr="0077250D">
        <w:rPr>
          <w:sz w:val="20"/>
        </w:rPr>
        <w:t>encaissement par anticipation et comme produits au cours de l</w:t>
      </w:r>
      <w:r w:rsidR="00BE613C" w:rsidRPr="0077250D">
        <w:rPr>
          <w:sz w:val="20"/>
        </w:rPr>
        <w:t>’</w:t>
      </w:r>
      <w:r w:rsidRPr="0077250D">
        <w:rPr>
          <w:sz w:val="20"/>
        </w:rPr>
        <w:t>année à laquelle elles se rapporte</w:t>
      </w:r>
      <w:r w:rsidR="00F32060" w:rsidRPr="0077250D">
        <w:rPr>
          <w:sz w:val="20"/>
        </w:rPr>
        <w:t>nt.  Le</w:t>
      </w:r>
      <w:r w:rsidRPr="0077250D">
        <w:rPr>
          <w:sz w:val="20"/>
        </w:rPr>
        <w:t xml:space="preserve">s ressources extrabudgétaires versées par les donateurs aux fonds fiduciaires assortis de conditions </w:t>
      </w:r>
      <w:r w:rsidR="00577DE6" w:rsidRPr="0077250D">
        <w:rPr>
          <w:sz w:val="20"/>
        </w:rPr>
        <w:t>relatives au</w:t>
      </w:r>
      <w:r w:rsidR="002A2DAF" w:rsidRPr="0077250D">
        <w:rPr>
          <w:sz w:val="20"/>
        </w:rPr>
        <w:t xml:space="preserve"> rendement</w:t>
      </w:r>
      <w:r w:rsidRPr="0077250D">
        <w:rPr>
          <w:sz w:val="20"/>
        </w:rPr>
        <w:t xml:space="preserve"> sont comptabilisées en tant que recettes différées jusqu</w:t>
      </w:r>
      <w:r w:rsidR="00BE613C" w:rsidRPr="0077250D">
        <w:rPr>
          <w:sz w:val="20"/>
        </w:rPr>
        <w:t>’</w:t>
      </w:r>
      <w:r w:rsidRPr="0077250D">
        <w:rPr>
          <w:sz w:val="20"/>
        </w:rPr>
        <w:t>à ce que les conditions soient remplies, après quoi les recettes sont comptabilisées.</w:t>
      </w:r>
    </w:p>
    <w:p w:rsidR="006F2554" w:rsidRDefault="006F2554" w:rsidP="00FC14D6">
      <w:pPr>
        <w:rPr>
          <w:b/>
        </w:rPr>
      </w:pPr>
    </w:p>
    <w:p w:rsidR="00816FB4" w:rsidRPr="0077250D" w:rsidRDefault="00816FB4" w:rsidP="00FC14D6">
      <w:pPr>
        <w:rPr>
          <w:b/>
        </w:rPr>
      </w:pPr>
    </w:p>
    <w:p w:rsidR="000B1374" w:rsidRDefault="000B1374">
      <w:pPr>
        <w:jc w:val="left"/>
        <w:rPr>
          <w:b/>
        </w:rPr>
      </w:pPr>
      <w:r>
        <w:rPr>
          <w:b/>
        </w:rPr>
        <w:br w:type="page"/>
      </w:r>
    </w:p>
    <w:p w:rsidR="006F2554" w:rsidRPr="0077250D" w:rsidRDefault="00CD3AC0" w:rsidP="00FC14D6">
      <w:pPr>
        <w:rPr>
          <w:b/>
        </w:rPr>
      </w:pPr>
      <w:r w:rsidRPr="0077250D">
        <w:rPr>
          <w:b/>
        </w:rPr>
        <w:t>Autres passifs</w:t>
      </w:r>
    </w:p>
    <w:p w:rsidR="006F2554" w:rsidRPr="0077250D" w:rsidRDefault="006F2554" w:rsidP="00FC14D6">
      <w:pPr>
        <w:rPr>
          <w:b/>
        </w:rPr>
      </w:pPr>
    </w:p>
    <w:p w:rsidR="006F2554" w:rsidRPr="0077250D" w:rsidRDefault="00A83F3A" w:rsidP="00FC14D6">
      <w:pPr>
        <w:rPr>
          <w:b/>
        </w:rPr>
      </w:pPr>
      <w:r w:rsidRPr="0077250D">
        <w:rPr>
          <w:noProof/>
          <w:lang w:val="en-US"/>
        </w:rPr>
        <w:drawing>
          <wp:inline distT="0" distB="0" distL="0" distR="0" wp14:anchorId="103B949E" wp14:editId="58C125B2">
            <wp:extent cx="6120765" cy="101294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012948"/>
                    </a:xfrm>
                    <a:prstGeom prst="rect">
                      <a:avLst/>
                    </a:prstGeom>
                    <a:noFill/>
                    <a:ln>
                      <a:noFill/>
                    </a:ln>
                  </pic:spPr>
                </pic:pic>
              </a:graphicData>
            </a:graphic>
          </wp:inline>
        </w:drawing>
      </w:r>
    </w:p>
    <w:p w:rsidR="00A83F3A" w:rsidRPr="0077250D" w:rsidRDefault="00A83F3A" w:rsidP="00FC14D6">
      <w:pPr>
        <w:rPr>
          <w:b/>
        </w:rPr>
      </w:pPr>
    </w:p>
    <w:p w:rsidR="005E7BB7" w:rsidRPr="0077250D" w:rsidRDefault="000B3F49" w:rsidP="00FC14D6">
      <w:r w:rsidRPr="0077250D">
        <w:t>Les autres passifs sont les montants dus à l</w:t>
      </w:r>
      <w:r w:rsidR="00BE613C" w:rsidRPr="0077250D">
        <w:t>’</w:t>
      </w:r>
      <w:r w:rsidRPr="0077250D">
        <w:t>OMPI, qui s</w:t>
      </w:r>
      <w:r w:rsidR="00BE613C" w:rsidRPr="0077250D">
        <w:t>’</w:t>
      </w:r>
      <w:r w:rsidRPr="0077250D">
        <w:t>élevaient au total à 1 213 425</w:t>
      </w:r>
      <w:r w:rsidR="00FB471C" w:rsidRPr="0077250D">
        <w:t> </w:t>
      </w:r>
      <w:r w:rsidRPr="0077250D">
        <w:t>francs suisses au 3</w:t>
      </w:r>
      <w:r w:rsidR="00BE613C" w:rsidRPr="0077250D">
        <w:t>1 décembre 20</w:t>
      </w:r>
      <w:r w:rsidRPr="0077250D">
        <w:t>15.</w:t>
      </w:r>
    </w:p>
    <w:p w:rsidR="006F2554" w:rsidRPr="0077250D" w:rsidRDefault="006F2554" w:rsidP="00FC14D6">
      <w:pPr>
        <w:rPr>
          <w:b/>
        </w:rPr>
      </w:pPr>
    </w:p>
    <w:p w:rsidR="006F2554" w:rsidRPr="0077250D" w:rsidRDefault="00213782" w:rsidP="00FC14D6">
      <w:pPr>
        <w:keepNext/>
        <w:rPr>
          <w:b/>
        </w:rPr>
      </w:pPr>
      <w:r w:rsidRPr="0077250D">
        <w:rPr>
          <w:b/>
        </w:rPr>
        <w:t>Situation financière par secteur</w:t>
      </w:r>
    </w:p>
    <w:p w:rsidR="006F2554" w:rsidRPr="0077250D" w:rsidRDefault="006F2554" w:rsidP="00FC14D6">
      <w:pPr>
        <w:keepNext/>
        <w:rPr>
          <w:b/>
        </w:rPr>
      </w:pPr>
    </w:p>
    <w:p w:rsidR="006F2554" w:rsidRPr="0077250D" w:rsidRDefault="00A83F3A" w:rsidP="00FC14D6">
      <w:r w:rsidRPr="0077250D">
        <w:rPr>
          <w:noProof/>
          <w:lang w:val="en-US"/>
        </w:rPr>
        <w:drawing>
          <wp:inline distT="0" distB="0" distL="0" distR="0" wp14:anchorId="04D015A1" wp14:editId="3DDA6D8C">
            <wp:extent cx="6120765" cy="4875424"/>
            <wp:effectExtent l="0" t="0" r="0" b="190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4875424"/>
                    </a:xfrm>
                    <a:prstGeom prst="rect">
                      <a:avLst/>
                    </a:prstGeom>
                    <a:noFill/>
                    <a:ln>
                      <a:noFill/>
                    </a:ln>
                  </pic:spPr>
                </pic:pic>
              </a:graphicData>
            </a:graphic>
          </wp:inline>
        </w:drawing>
      </w:r>
    </w:p>
    <w:p w:rsidR="006F2554" w:rsidRPr="0077250D" w:rsidRDefault="006F2554" w:rsidP="00FC14D6"/>
    <w:p w:rsidR="006F2554" w:rsidRPr="0077250D" w:rsidRDefault="00213782" w:rsidP="00FC14D6">
      <w:pPr>
        <w:pStyle w:val="Styletexte"/>
        <w:spacing w:after="0"/>
        <w:rPr>
          <w:rFonts w:cs="Arial"/>
          <w:sz w:val="20"/>
        </w:rPr>
      </w:pPr>
      <w:r w:rsidRPr="0077250D">
        <w:rPr>
          <w:rFonts w:cs="Arial"/>
          <w:sz w:val="20"/>
        </w:rPr>
        <w:t>Conformément aux normes IPSAS, l</w:t>
      </w:r>
      <w:r w:rsidR="00BE613C" w:rsidRPr="0077250D">
        <w:rPr>
          <w:rFonts w:cs="Arial"/>
          <w:sz w:val="20"/>
        </w:rPr>
        <w:t>’</w:t>
      </w:r>
      <w:r w:rsidRPr="0077250D">
        <w:rPr>
          <w:rFonts w:cs="Arial"/>
          <w:sz w:val="20"/>
        </w:rPr>
        <w:t>UPOV est tenue de divulguer ses actifs et passifs pour chacun des secteurs dont elle se compo</w:t>
      </w:r>
      <w:r w:rsidR="00F32060" w:rsidRPr="0077250D">
        <w:rPr>
          <w:rFonts w:cs="Arial"/>
          <w:sz w:val="20"/>
        </w:rPr>
        <w:t>se.  L’i</w:t>
      </w:r>
      <w:r w:rsidRPr="0077250D">
        <w:rPr>
          <w:rFonts w:cs="Arial"/>
          <w:sz w:val="20"/>
        </w:rPr>
        <w:t>nformation sectorielle est fondée sur les principales activités et sources de financement de l</w:t>
      </w:r>
      <w:r w:rsidR="00BE613C" w:rsidRPr="0077250D">
        <w:rPr>
          <w:rFonts w:cs="Arial"/>
          <w:sz w:val="20"/>
        </w:rPr>
        <w:t>’</w:t>
      </w:r>
      <w:r w:rsidRPr="0077250D">
        <w:rPr>
          <w:rFonts w:cs="Arial"/>
          <w:sz w:val="20"/>
        </w:rPr>
        <w:t>U</w:t>
      </w:r>
      <w:r w:rsidR="00F32060" w:rsidRPr="0077250D">
        <w:rPr>
          <w:rFonts w:cs="Arial"/>
          <w:sz w:val="20"/>
        </w:rPr>
        <w:t>POV.  De</w:t>
      </w:r>
      <w:r w:rsidRPr="0077250D">
        <w:rPr>
          <w:rFonts w:cs="Arial"/>
          <w:sz w:val="20"/>
        </w:rPr>
        <w:t xml:space="preserve"> ce fait, l</w:t>
      </w:r>
      <w:r w:rsidR="00BE613C" w:rsidRPr="0077250D">
        <w:rPr>
          <w:rFonts w:cs="Arial"/>
          <w:sz w:val="20"/>
        </w:rPr>
        <w:t>’</w:t>
      </w:r>
      <w:r w:rsidRPr="0077250D">
        <w:rPr>
          <w:rFonts w:cs="Arial"/>
          <w:sz w:val="20"/>
        </w:rPr>
        <w:t>UPOV publie des informations financières distinctes pour trois secteurs : 1) le programme et budget ordinaire;  2) les fonds fiduciaires (ressources extrabudgétaires);  et 3) le Fonds spécial pour des proje</w:t>
      </w:r>
      <w:r w:rsidR="00F32060" w:rsidRPr="0077250D">
        <w:rPr>
          <w:rFonts w:cs="Arial"/>
          <w:sz w:val="20"/>
        </w:rPr>
        <w:t>ts.  Le</w:t>
      </w:r>
      <w:r w:rsidR="002A2DAF" w:rsidRPr="0077250D">
        <w:rPr>
          <w:rFonts w:cs="Arial"/>
          <w:sz w:val="20"/>
        </w:rPr>
        <w:t>s fonds fiduciaires représentent les montants administrés par l</w:t>
      </w:r>
      <w:r w:rsidR="00BE613C" w:rsidRPr="0077250D">
        <w:rPr>
          <w:rFonts w:cs="Arial"/>
          <w:sz w:val="20"/>
        </w:rPr>
        <w:t>’</w:t>
      </w:r>
      <w:r w:rsidR="002A2DAF" w:rsidRPr="0077250D">
        <w:rPr>
          <w:rFonts w:cs="Arial"/>
          <w:sz w:val="20"/>
        </w:rPr>
        <w:t>UPOV pour le compte de donateurs individuels pour mettre en œuvre des programmes conformes aux principes, aux buts et aux activités de l</w:t>
      </w:r>
      <w:r w:rsidR="00BE613C" w:rsidRPr="0077250D">
        <w:rPr>
          <w:rFonts w:cs="Arial"/>
          <w:sz w:val="20"/>
        </w:rPr>
        <w:t>’</w:t>
      </w:r>
      <w:r w:rsidR="002A2DAF" w:rsidRPr="0077250D">
        <w:rPr>
          <w:rFonts w:cs="Arial"/>
          <w:sz w:val="20"/>
        </w:rPr>
        <w:t>U</w:t>
      </w:r>
      <w:r w:rsidR="00F32060" w:rsidRPr="0077250D">
        <w:rPr>
          <w:rFonts w:cs="Arial"/>
          <w:sz w:val="20"/>
        </w:rPr>
        <w:t>POV.  Le</w:t>
      </w:r>
      <w:r w:rsidR="002A2DAF" w:rsidRPr="0077250D">
        <w:rPr>
          <w:rFonts w:cs="Arial"/>
          <w:sz w:val="20"/>
        </w:rPr>
        <w:t xml:space="preserve"> Fonds spécial pour des projets représente le montant du fonds de réserve dépassant 15% des recettes totales pour l</w:t>
      </w:r>
      <w:r w:rsidR="00BE613C" w:rsidRPr="0077250D">
        <w:rPr>
          <w:rFonts w:cs="Arial"/>
          <w:sz w:val="20"/>
        </w:rPr>
        <w:t>’</w:t>
      </w:r>
      <w:r w:rsidR="002A2DAF" w:rsidRPr="0077250D">
        <w:rPr>
          <w:rFonts w:cs="Arial"/>
          <w:sz w:val="20"/>
        </w:rPr>
        <w:t>exercice biennal</w:t>
      </w:r>
      <w:r w:rsidR="00FB471C" w:rsidRPr="0077250D">
        <w:rPr>
          <w:rFonts w:cs="Arial"/>
          <w:sz w:val="20"/>
        </w:rPr>
        <w:t> </w:t>
      </w:r>
      <w:r w:rsidR="002A2DAF" w:rsidRPr="0077250D">
        <w:rPr>
          <w:rFonts w:cs="Arial"/>
          <w:sz w:val="20"/>
        </w:rPr>
        <w:t>2012</w:t>
      </w:r>
      <w:r w:rsidR="00F32060" w:rsidRPr="0077250D">
        <w:rPr>
          <w:rFonts w:cs="Arial"/>
          <w:sz w:val="20"/>
        </w:rPr>
        <w:noBreakHyphen/>
      </w:r>
      <w:r w:rsidR="002A2DAF" w:rsidRPr="0077250D">
        <w:rPr>
          <w:rFonts w:cs="Arial"/>
          <w:sz w:val="20"/>
        </w:rPr>
        <w:t>2013, qui est utilisé pour financer des projets extrabudgétaires approuvés par le Conse</w:t>
      </w:r>
      <w:r w:rsidR="00F32060" w:rsidRPr="0077250D">
        <w:rPr>
          <w:rFonts w:cs="Arial"/>
          <w:sz w:val="20"/>
        </w:rPr>
        <w:t>il.  Le</w:t>
      </w:r>
      <w:r w:rsidR="002A2DAF" w:rsidRPr="0077250D">
        <w:rPr>
          <w:rFonts w:cs="Arial"/>
          <w:sz w:val="20"/>
        </w:rPr>
        <w:t xml:space="preserve"> programme et budget ordinaire, les fonds fiduciaires et le Fonds spécial pour des projets sont comptabilisés séparément dans le système de comptabilité financière.</w:t>
      </w:r>
    </w:p>
    <w:p w:rsidR="006F2554" w:rsidRPr="0077250D" w:rsidRDefault="006F2554" w:rsidP="00FC14D6">
      <w:pPr>
        <w:pStyle w:val="Styletexte"/>
        <w:spacing w:after="0"/>
        <w:rPr>
          <w:rFonts w:cs="Arial"/>
          <w:sz w:val="20"/>
        </w:rPr>
      </w:pPr>
    </w:p>
    <w:p w:rsidR="006F2554" w:rsidRPr="0077250D" w:rsidRDefault="00303B5D" w:rsidP="00FE6D2F">
      <w:pPr>
        <w:pStyle w:val="Heading3"/>
        <w:jc w:val="left"/>
      </w:pPr>
      <w:bookmarkStart w:id="28" w:name="_Toc460231970"/>
      <w:r w:rsidRPr="0077250D">
        <w:t>Analyse de l’état de la performance financière</w:t>
      </w:r>
      <w:bookmarkEnd w:id="28"/>
    </w:p>
    <w:p w:rsidR="006F2554" w:rsidRPr="0077250D" w:rsidRDefault="006F2554" w:rsidP="00FC14D6">
      <w:pPr>
        <w:keepNext/>
        <w:rPr>
          <w:b/>
        </w:rPr>
      </w:pPr>
    </w:p>
    <w:p w:rsidR="006F2554" w:rsidRPr="0077250D" w:rsidRDefault="002A2DAF" w:rsidP="00FC14D6">
      <w:pPr>
        <w:keepNext/>
        <w:rPr>
          <w:b/>
        </w:rPr>
      </w:pPr>
      <w:r w:rsidRPr="0077250D">
        <w:rPr>
          <w:b/>
        </w:rPr>
        <w:t>Recettes</w:t>
      </w:r>
    </w:p>
    <w:p w:rsidR="006F2554" w:rsidRPr="0077250D" w:rsidRDefault="006F2554" w:rsidP="00FC14D6">
      <w:pPr>
        <w:keepNext/>
        <w:rPr>
          <w:b/>
        </w:rPr>
      </w:pPr>
    </w:p>
    <w:p w:rsidR="006F2554" w:rsidRPr="0077250D" w:rsidRDefault="00A83F3A" w:rsidP="00FC14D6">
      <w:pPr>
        <w:jc w:val="center"/>
        <w:rPr>
          <w:b/>
        </w:rPr>
      </w:pPr>
      <w:r w:rsidRPr="0077250D">
        <w:rPr>
          <w:noProof/>
          <w:lang w:val="en-US"/>
        </w:rPr>
        <w:drawing>
          <wp:inline distT="0" distB="0" distL="0" distR="0" wp14:anchorId="7FA96634" wp14:editId="20C2CAA2">
            <wp:extent cx="6120765" cy="2038078"/>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038078"/>
                    </a:xfrm>
                    <a:prstGeom prst="rect">
                      <a:avLst/>
                    </a:prstGeom>
                    <a:noFill/>
                    <a:ln>
                      <a:noFill/>
                    </a:ln>
                  </pic:spPr>
                </pic:pic>
              </a:graphicData>
            </a:graphic>
          </wp:inline>
        </w:drawing>
      </w:r>
    </w:p>
    <w:p w:rsidR="00A83F3A" w:rsidRPr="0077250D" w:rsidRDefault="00A83F3A" w:rsidP="00FC14D6"/>
    <w:p w:rsidR="005E7BB7" w:rsidRPr="0077250D" w:rsidRDefault="00226B28" w:rsidP="00FC14D6">
      <w:r w:rsidRPr="0077250D">
        <w:rPr>
          <w:rFonts w:cs="Arial"/>
          <w:szCs w:val="22"/>
        </w:rPr>
        <w:t>Les contributions versées au titre du programme et budget ordinaire correspondent aux montants payables au début de chacune des années de l</w:t>
      </w:r>
      <w:r w:rsidR="00BE613C" w:rsidRPr="0077250D">
        <w:rPr>
          <w:rFonts w:cs="Arial"/>
          <w:szCs w:val="22"/>
        </w:rPr>
        <w:t>’</w:t>
      </w:r>
      <w:r w:rsidRPr="0077250D">
        <w:rPr>
          <w:rFonts w:cs="Arial"/>
          <w:szCs w:val="22"/>
        </w:rPr>
        <w:t>exercice bienn</w:t>
      </w:r>
      <w:r w:rsidR="00F32060" w:rsidRPr="0077250D">
        <w:rPr>
          <w:rFonts w:cs="Arial"/>
          <w:szCs w:val="22"/>
        </w:rPr>
        <w:t>al.  Le</w:t>
      </w:r>
      <w:r w:rsidRPr="0077250D">
        <w:rPr>
          <w:rFonts w:cs="Arial"/>
          <w:szCs w:val="22"/>
        </w:rPr>
        <w:t>s ressources extrabudgétaires et les fonds fiduciaires représentent les recettes perçues relatives aux contributions versées par les donateurs pour des projets individuels qui ne figurent pas dans le programme et budget ordinai</w:t>
      </w:r>
      <w:r w:rsidR="00F32060" w:rsidRPr="0077250D">
        <w:rPr>
          <w:rFonts w:cs="Arial"/>
          <w:szCs w:val="22"/>
        </w:rPr>
        <w:t>re.  Le</w:t>
      </w:r>
      <w:r w:rsidR="002A2DAF" w:rsidRPr="0077250D">
        <w:rPr>
          <w:rFonts w:cs="Arial"/>
          <w:szCs w:val="22"/>
        </w:rPr>
        <w:t>s recettes provenant de ressources extrabudgétaires (fonds fiduciaires) sont reportées jusqu</w:t>
      </w:r>
      <w:r w:rsidR="00BE613C" w:rsidRPr="0077250D">
        <w:rPr>
          <w:rFonts w:cs="Arial"/>
          <w:szCs w:val="22"/>
        </w:rPr>
        <w:t>’</w:t>
      </w:r>
      <w:r w:rsidR="002A2DAF" w:rsidRPr="0077250D">
        <w:rPr>
          <w:rFonts w:cs="Arial"/>
          <w:szCs w:val="22"/>
        </w:rPr>
        <w:t xml:space="preserve">à ce </w:t>
      </w:r>
      <w:r w:rsidR="00FC14D6" w:rsidRPr="0077250D">
        <w:rPr>
          <w:rFonts w:cs="Arial"/>
          <w:szCs w:val="22"/>
        </w:rPr>
        <w:t>qu’elles</w:t>
      </w:r>
      <w:r w:rsidR="002A2DAF" w:rsidRPr="0077250D">
        <w:rPr>
          <w:rFonts w:cs="Arial"/>
          <w:szCs w:val="22"/>
        </w:rPr>
        <w:t xml:space="preserve"> </w:t>
      </w:r>
      <w:r w:rsidR="00577DE6" w:rsidRPr="0077250D">
        <w:rPr>
          <w:rFonts w:cs="Arial"/>
          <w:szCs w:val="22"/>
        </w:rPr>
        <w:t xml:space="preserve">soient </w:t>
      </w:r>
      <w:r w:rsidR="00FC14D6" w:rsidRPr="0077250D">
        <w:rPr>
          <w:rFonts w:cs="Arial"/>
          <w:szCs w:val="22"/>
        </w:rPr>
        <w:t xml:space="preserve">acquises grâce à la réalisation des </w:t>
      </w:r>
      <w:r w:rsidR="002A2DAF" w:rsidRPr="0077250D">
        <w:rPr>
          <w:rFonts w:cs="Arial"/>
          <w:szCs w:val="22"/>
        </w:rPr>
        <w:t>conditions de rendement prévues par l</w:t>
      </w:r>
      <w:r w:rsidR="00BE613C" w:rsidRPr="0077250D">
        <w:rPr>
          <w:rFonts w:cs="Arial"/>
          <w:szCs w:val="22"/>
        </w:rPr>
        <w:t>’</w:t>
      </w:r>
      <w:r w:rsidR="002A2DAF" w:rsidRPr="0077250D">
        <w:rPr>
          <w:rFonts w:cs="Arial"/>
          <w:szCs w:val="22"/>
        </w:rPr>
        <w:t>accord conclu avec le donateur.</w:t>
      </w:r>
    </w:p>
    <w:p w:rsidR="006F2554" w:rsidRPr="0077250D" w:rsidRDefault="006F2554" w:rsidP="00FC14D6">
      <w:pPr>
        <w:rPr>
          <w:b/>
        </w:rPr>
      </w:pPr>
    </w:p>
    <w:p w:rsidR="006F2554" w:rsidRPr="0077250D" w:rsidRDefault="00226B28" w:rsidP="00FC14D6">
      <w:pPr>
        <w:rPr>
          <w:b/>
        </w:rPr>
      </w:pPr>
      <w:r w:rsidRPr="0077250D">
        <w:rPr>
          <w:b/>
        </w:rPr>
        <w:t>Dépenses</w:t>
      </w:r>
    </w:p>
    <w:p w:rsidR="006F2554" w:rsidRPr="0077250D" w:rsidRDefault="006F2554" w:rsidP="00FC14D6">
      <w:pPr>
        <w:rPr>
          <w:b/>
        </w:rPr>
      </w:pPr>
    </w:p>
    <w:p w:rsidR="006F2554" w:rsidRPr="0077250D" w:rsidRDefault="00A83F3A" w:rsidP="00FC14D6">
      <w:r w:rsidRPr="0077250D">
        <w:rPr>
          <w:noProof/>
          <w:lang w:val="en-US"/>
        </w:rPr>
        <w:drawing>
          <wp:inline distT="0" distB="0" distL="0" distR="0" wp14:anchorId="6BE47859" wp14:editId="36E9E3D2">
            <wp:extent cx="6120765" cy="2068084"/>
            <wp:effectExtent l="0" t="0" r="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068084"/>
                    </a:xfrm>
                    <a:prstGeom prst="rect">
                      <a:avLst/>
                    </a:prstGeom>
                    <a:noFill/>
                    <a:ln>
                      <a:noFill/>
                    </a:ln>
                  </pic:spPr>
                </pic:pic>
              </a:graphicData>
            </a:graphic>
          </wp:inline>
        </w:drawing>
      </w:r>
      <w:r w:rsidR="00EF6554" w:rsidRPr="0077250D">
        <w:rPr>
          <w:sz w:val="18"/>
          <w:szCs w:val="18"/>
        </w:rPr>
        <w:t>*</w:t>
      </w:r>
      <w:r w:rsidR="00BD534D" w:rsidRPr="0077250D">
        <w:rPr>
          <w:sz w:val="18"/>
          <w:szCs w:val="18"/>
        </w:rPr>
        <w:t>* On notera que dans la présentation des états financiers, les coûts de recrutement des stagiaires sont comptabilisés au titre des services contractuels.</w:t>
      </w:r>
    </w:p>
    <w:p w:rsidR="006F2554" w:rsidRPr="0077250D" w:rsidRDefault="006F2554" w:rsidP="00FC14D6">
      <w:pPr>
        <w:jc w:val="center"/>
      </w:pPr>
    </w:p>
    <w:p w:rsidR="006F2554" w:rsidRPr="0077250D" w:rsidRDefault="00226B28" w:rsidP="00FC14D6">
      <w:pPr>
        <w:pStyle w:val="Styletexte"/>
        <w:spacing w:after="0"/>
        <w:rPr>
          <w:sz w:val="20"/>
        </w:rPr>
      </w:pPr>
      <w:r w:rsidRPr="0077250D">
        <w:rPr>
          <w:rFonts w:cs="Arial"/>
          <w:sz w:val="20"/>
        </w:rPr>
        <w:t>Les dépenses de personnel incluent les prestations telles que le traitement de base, l</w:t>
      </w:r>
      <w:r w:rsidR="00BE613C" w:rsidRPr="0077250D">
        <w:rPr>
          <w:rFonts w:cs="Arial"/>
          <w:sz w:val="20"/>
        </w:rPr>
        <w:t>’</w:t>
      </w:r>
      <w:r w:rsidRPr="0077250D">
        <w:rPr>
          <w:rFonts w:cs="Arial"/>
          <w:sz w:val="20"/>
        </w:rPr>
        <w:t>indemnité de poste, les allocations familiales, les cotisations de retraite, les participations à la caisse d</w:t>
      </w:r>
      <w:r w:rsidR="00BE613C" w:rsidRPr="0077250D">
        <w:rPr>
          <w:rFonts w:cs="Arial"/>
          <w:sz w:val="20"/>
        </w:rPr>
        <w:t>’</w:t>
      </w:r>
      <w:r w:rsidRPr="0077250D">
        <w:rPr>
          <w:rFonts w:cs="Arial"/>
          <w:sz w:val="20"/>
        </w:rPr>
        <w:t>assurance</w:t>
      </w:r>
      <w:r w:rsidR="00F32060" w:rsidRPr="0077250D">
        <w:rPr>
          <w:rFonts w:cs="Arial"/>
          <w:sz w:val="20"/>
        </w:rPr>
        <w:t xml:space="preserve"> </w:t>
      </w:r>
      <w:r w:rsidRPr="0077250D">
        <w:rPr>
          <w:rFonts w:cs="Arial"/>
          <w:sz w:val="20"/>
        </w:rPr>
        <w:t>maladie et autres cotisations sociales, les congés dans les foyers et d</w:t>
      </w:r>
      <w:r w:rsidR="00BE613C" w:rsidRPr="0077250D">
        <w:rPr>
          <w:rFonts w:cs="Arial"/>
          <w:sz w:val="20"/>
        </w:rPr>
        <w:t>’</w:t>
      </w:r>
      <w:r w:rsidRPr="0077250D">
        <w:rPr>
          <w:rFonts w:cs="Arial"/>
          <w:sz w:val="20"/>
        </w:rPr>
        <w:t>autres prestatio</w:t>
      </w:r>
      <w:r w:rsidR="00F32060" w:rsidRPr="0077250D">
        <w:rPr>
          <w:rFonts w:cs="Arial"/>
          <w:sz w:val="20"/>
        </w:rPr>
        <w:t xml:space="preserve">ns.  </w:t>
      </w:r>
      <w:r w:rsidR="00F32060" w:rsidRPr="0077250D">
        <w:rPr>
          <w:sz w:val="20"/>
        </w:rPr>
        <w:t>De</w:t>
      </w:r>
      <w:r w:rsidRPr="0077250D">
        <w:rPr>
          <w:sz w:val="20"/>
        </w:rPr>
        <w:t>puis la mise en œuvre des normes IPSAS, les dépenses de personnel incluent les changements dans les obligations relatives aux prestations dues au personnel.</w:t>
      </w:r>
    </w:p>
    <w:p w:rsidR="006F2554" w:rsidRPr="0077250D" w:rsidRDefault="006F2554" w:rsidP="00FC14D6">
      <w:pPr>
        <w:pStyle w:val="Styletexte"/>
        <w:spacing w:after="0"/>
        <w:rPr>
          <w:sz w:val="20"/>
        </w:rPr>
      </w:pPr>
    </w:p>
    <w:p w:rsidR="006F2554" w:rsidRPr="0077250D" w:rsidRDefault="00226B28" w:rsidP="00FC14D6">
      <w:r w:rsidRPr="0077250D">
        <w:t>Les voyages et bourses comprennent les frais de voyage en avion, les indemnités journalières de subsistance, les faux frais au départ et à l</w:t>
      </w:r>
      <w:r w:rsidR="00BE613C" w:rsidRPr="0077250D">
        <w:t>’</w:t>
      </w:r>
      <w:r w:rsidRPr="0077250D">
        <w:t>arrivée et d</w:t>
      </w:r>
      <w:r w:rsidR="00BE613C" w:rsidRPr="0077250D">
        <w:t>’</w:t>
      </w:r>
      <w:r w:rsidRPr="0077250D">
        <w:t>autres coûts de voyage pour les fonctionnaires en mission, et les déplacements pour les participants, les conférenciers et les stagiaires dans le cadre d</w:t>
      </w:r>
      <w:r w:rsidR="00BE613C" w:rsidRPr="0077250D">
        <w:t>’</w:t>
      </w:r>
      <w:r w:rsidRPr="0077250D">
        <w:t>activités de formati</w:t>
      </w:r>
      <w:r w:rsidR="00F32060" w:rsidRPr="0077250D">
        <w:t>on.  Le</w:t>
      </w:r>
      <w:r w:rsidR="00B02382" w:rsidRPr="0077250D">
        <w:t>s dépenses relatives aux voyages et aux bourses engagées au titre du Fonds spécial pour des projets ont été réparties entre cinq</w:t>
      </w:r>
      <w:r w:rsidR="00604278" w:rsidRPr="0077250D">
        <w:t> </w:t>
      </w:r>
      <w:r w:rsidR="00B02382" w:rsidRPr="0077250D">
        <w:t>formations et ateliers organisés pendant l</w:t>
      </w:r>
      <w:r w:rsidR="00BE613C" w:rsidRPr="0077250D">
        <w:t>’</w:t>
      </w:r>
      <w:r w:rsidR="00B02382" w:rsidRPr="0077250D">
        <w:t>année.</w:t>
      </w:r>
    </w:p>
    <w:p w:rsidR="006F2554" w:rsidRPr="0077250D" w:rsidRDefault="006F2554" w:rsidP="00FC14D6"/>
    <w:p w:rsidR="006F2554" w:rsidRPr="0077250D" w:rsidRDefault="00B02382" w:rsidP="00FC14D6">
      <w:r w:rsidRPr="0077250D">
        <w:t>Les services contractuels comprennent les contrats de louage de services de traducteurs, d</w:t>
      </w:r>
      <w:r w:rsidR="00BE613C" w:rsidRPr="0077250D">
        <w:t>’</w:t>
      </w:r>
      <w:r w:rsidRPr="0077250D">
        <w:t>interprètes et d</w:t>
      </w:r>
      <w:r w:rsidR="00BE613C" w:rsidRPr="0077250D">
        <w:t>’</w:t>
      </w:r>
      <w:r w:rsidRPr="0077250D">
        <w:t>autres personnes qui ne sont pas membres du personn</w:t>
      </w:r>
      <w:r w:rsidR="00F32060" w:rsidRPr="0077250D">
        <w:t>el.  Da</w:t>
      </w:r>
      <w:r w:rsidRPr="0077250D">
        <w:t xml:space="preserve">ns les états financiers, ils comprennent également le coût des </w:t>
      </w:r>
      <w:r w:rsidR="00577DE6" w:rsidRPr="0077250D">
        <w:t>stagiair</w:t>
      </w:r>
      <w:r w:rsidR="00F32060" w:rsidRPr="0077250D">
        <w:t>es.  Le</w:t>
      </w:r>
      <w:r w:rsidRPr="0077250D">
        <w:t>s dépenses de fonctionnement comprennent des éléments tels que la location et l</w:t>
      </w:r>
      <w:r w:rsidR="00BE613C" w:rsidRPr="0077250D">
        <w:t>’</w:t>
      </w:r>
      <w:r w:rsidRPr="0077250D">
        <w:t>entretien des locaux et les frais bancaires.</w:t>
      </w:r>
    </w:p>
    <w:p w:rsidR="00A83F3A" w:rsidRPr="0077250D" w:rsidRDefault="00A83F3A" w:rsidP="00FC14D6"/>
    <w:p w:rsidR="006F2554" w:rsidRPr="0077250D" w:rsidRDefault="00226B28" w:rsidP="00816FB4">
      <w:pPr>
        <w:pStyle w:val="Heading1"/>
        <w:rPr>
          <w:lang w:val="fr-FR"/>
        </w:rPr>
      </w:pPr>
      <w:bookmarkStart w:id="29" w:name="_Toc393377926"/>
      <w:bookmarkStart w:id="30" w:name="_Toc395251231"/>
      <w:bookmarkStart w:id="31" w:name="_Toc460231971"/>
      <w:r w:rsidRPr="0077250D">
        <w:rPr>
          <w:lang w:val="fr-FR"/>
        </w:rPr>
        <w:t>FONDS DE ROULEMENT ET CONTRIBUTIONS</w:t>
      </w:r>
      <w:bookmarkEnd w:id="29"/>
      <w:bookmarkEnd w:id="30"/>
      <w:bookmarkEnd w:id="31"/>
    </w:p>
    <w:p w:rsidR="006F2554" w:rsidRPr="0077250D" w:rsidRDefault="006F2554" w:rsidP="00816FB4">
      <w:pPr>
        <w:keepNext/>
      </w:pPr>
    </w:p>
    <w:p w:rsidR="006F2554" w:rsidRPr="0077250D" w:rsidRDefault="00B02382" w:rsidP="00C43F20">
      <w:pPr>
        <w:pStyle w:val="Heading2"/>
        <w:rPr>
          <w:caps/>
        </w:rPr>
      </w:pPr>
      <w:bookmarkStart w:id="32" w:name="_Toc460231972"/>
      <w:r w:rsidRPr="0077250D">
        <w:t>Fonds de roulement au 3</w:t>
      </w:r>
      <w:r w:rsidR="00BE613C" w:rsidRPr="0077250D">
        <w:t>1 décembre 20</w:t>
      </w:r>
      <w:r w:rsidRPr="0077250D">
        <w:t>15</w:t>
      </w:r>
      <w:bookmarkEnd w:id="32"/>
    </w:p>
    <w:p w:rsidR="006F2554" w:rsidRPr="0077250D" w:rsidRDefault="006F2554" w:rsidP="00FC14D6">
      <w:pPr>
        <w:pStyle w:val="Heading2"/>
        <w:rPr>
          <w:snapToGrid w:val="0"/>
          <w:lang w:val="fr-FR"/>
        </w:rPr>
      </w:pPr>
    </w:p>
    <w:p w:rsidR="006F2554" w:rsidRPr="0077250D" w:rsidRDefault="00226B28" w:rsidP="00FC14D6">
      <w:pPr>
        <w:rPr>
          <w:snapToGrid w:val="0"/>
        </w:rPr>
      </w:pPr>
      <w:r w:rsidRPr="0077250D">
        <w:rPr>
          <w:snapToGrid w:val="0"/>
        </w:rPr>
        <w:t>En vertu de l</w:t>
      </w:r>
      <w:r w:rsidR="00BE613C" w:rsidRPr="0077250D">
        <w:rPr>
          <w:snapToGrid w:val="0"/>
        </w:rPr>
        <w:t>’</w:t>
      </w:r>
      <w:r w:rsidRPr="0077250D">
        <w:rPr>
          <w:snapToGrid w:val="0"/>
        </w:rPr>
        <w:t>article 4.2 de son Règlement financier, l</w:t>
      </w:r>
      <w:r w:rsidR="00BE613C" w:rsidRPr="0077250D">
        <w:rPr>
          <w:snapToGrid w:val="0"/>
        </w:rPr>
        <w:t>’</w:t>
      </w:r>
      <w:r w:rsidRPr="0077250D">
        <w:rPr>
          <w:snapToGrid w:val="0"/>
        </w:rPr>
        <w:t>UPOV dispose d</w:t>
      </w:r>
      <w:r w:rsidR="00BE613C" w:rsidRPr="0077250D">
        <w:rPr>
          <w:snapToGrid w:val="0"/>
        </w:rPr>
        <w:t>’</w:t>
      </w:r>
      <w:r w:rsidRPr="0077250D">
        <w:rPr>
          <w:snapToGrid w:val="0"/>
        </w:rPr>
        <w:t>un fonds de roulement (voir le document UPOV/INF/4/4).  Conformément à l</w:t>
      </w:r>
      <w:r w:rsidR="00BE613C" w:rsidRPr="0077250D">
        <w:rPr>
          <w:snapToGrid w:val="0"/>
        </w:rPr>
        <w:t>’</w:t>
      </w:r>
      <w:r w:rsidRPr="0077250D">
        <w:rPr>
          <w:snapToGrid w:val="0"/>
        </w:rPr>
        <w:t>état de la situation financière au 31 décembre 2013, ce fonds de roulement s</w:t>
      </w:r>
      <w:r w:rsidR="00BE613C" w:rsidRPr="0077250D">
        <w:rPr>
          <w:snapToGrid w:val="0"/>
        </w:rPr>
        <w:t>’</w:t>
      </w:r>
      <w:r w:rsidRPr="0077250D">
        <w:rPr>
          <w:snapToGrid w:val="0"/>
        </w:rPr>
        <w:t>élève à 543 345 francs suiss</w:t>
      </w:r>
      <w:r w:rsidR="00F32060" w:rsidRPr="0077250D">
        <w:rPr>
          <w:snapToGrid w:val="0"/>
        </w:rPr>
        <w:t>es.  La</w:t>
      </w:r>
      <w:r w:rsidRPr="0077250D">
        <w:rPr>
          <w:snapToGrid w:val="0"/>
        </w:rPr>
        <w:t xml:space="preserve"> participation de chacun des membres de l</w:t>
      </w:r>
      <w:r w:rsidR="00BE613C" w:rsidRPr="0077250D">
        <w:rPr>
          <w:snapToGrid w:val="0"/>
        </w:rPr>
        <w:t>’</w:t>
      </w:r>
      <w:r w:rsidRPr="0077250D">
        <w:rPr>
          <w:snapToGrid w:val="0"/>
        </w:rPr>
        <w:t>Union, calculée conformément aux décisions du Conseil prises lors des sessions de novembre 1972 (paragraphe 57 du document UPOV/C/VI/12), octobre 1992 (paragraphe 14 du document C/26/15) et avril 2006 (paragraphe 10 du document C(</w:t>
      </w:r>
      <w:proofErr w:type="spellStart"/>
      <w:r w:rsidRPr="0077250D">
        <w:rPr>
          <w:snapToGrid w:val="0"/>
        </w:rPr>
        <w:t>Extr</w:t>
      </w:r>
      <w:proofErr w:type="spellEnd"/>
      <w:r w:rsidRPr="0077250D">
        <w:rPr>
          <w:snapToGrid w:val="0"/>
        </w:rPr>
        <w:t>.)/23/4 et annexe du document UPOV/INF/13/1) est la suivante :</w:t>
      </w:r>
    </w:p>
    <w:p w:rsidR="006F2554" w:rsidRPr="0077250D" w:rsidRDefault="006F2554" w:rsidP="00FC14D6">
      <w:pPr>
        <w:rPr>
          <w:snapToGrid w:val="0"/>
        </w:rPr>
      </w:pPr>
    </w:p>
    <w:p w:rsidR="006F2554" w:rsidRPr="0077250D" w:rsidRDefault="00A83F3A" w:rsidP="00FC14D6">
      <w:pPr>
        <w:jc w:val="center"/>
      </w:pPr>
      <w:r w:rsidRPr="0077250D">
        <w:rPr>
          <w:noProof/>
          <w:lang w:val="en-US"/>
        </w:rPr>
        <w:drawing>
          <wp:inline distT="0" distB="0" distL="0" distR="0" wp14:anchorId="45D5C1EF" wp14:editId="347DD514">
            <wp:extent cx="6120765" cy="550718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5507183"/>
                    </a:xfrm>
                    <a:prstGeom prst="rect">
                      <a:avLst/>
                    </a:prstGeom>
                    <a:noFill/>
                    <a:ln>
                      <a:noFill/>
                    </a:ln>
                  </pic:spPr>
                </pic:pic>
              </a:graphicData>
            </a:graphic>
          </wp:inline>
        </w:drawing>
      </w:r>
    </w:p>
    <w:p w:rsidR="006F2554" w:rsidRPr="0077250D" w:rsidRDefault="006F2554" w:rsidP="00FC14D6">
      <w:pPr>
        <w:rPr>
          <w:sz w:val="18"/>
        </w:rPr>
      </w:pPr>
    </w:p>
    <w:p w:rsidR="005E7BB7" w:rsidRPr="0077250D" w:rsidRDefault="00B02382" w:rsidP="00C43F20">
      <w:pPr>
        <w:pStyle w:val="Heading2"/>
        <w:rPr>
          <w:caps/>
        </w:rPr>
      </w:pPr>
      <w:bookmarkStart w:id="33" w:name="_Toc460231973"/>
      <w:r w:rsidRPr="0077250D">
        <w:t>Contributions des membres de l</w:t>
      </w:r>
      <w:r w:rsidR="00BE613C" w:rsidRPr="0077250D">
        <w:t>’</w:t>
      </w:r>
      <w:r w:rsidRPr="0077250D">
        <w:t>Union</w:t>
      </w:r>
      <w:bookmarkEnd w:id="33"/>
    </w:p>
    <w:p w:rsidR="006F2554" w:rsidRPr="0077250D" w:rsidRDefault="00B02382" w:rsidP="00FC14D6">
      <w:pPr>
        <w:keepNext/>
        <w:jc w:val="center"/>
      </w:pPr>
      <w:r w:rsidRPr="0077250D">
        <w:t>(en francs suisses)</w:t>
      </w:r>
    </w:p>
    <w:p w:rsidR="006F2554" w:rsidRPr="0077250D" w:rsidRDefault="006F2554" w:rsidP="00FC14D6">
      <w:pPr>
        <w:keepNext/>
        <w:jc w:val="center"/>
      </w:pPr>
    </w:p>
    <w:p w:rsidR="006F2554" w:rsidRPr="0077250D" w:rsidRDefault="006F2554" w:rsidP="00FC14D6">
      <w:pPr>
        <w:keepNext/>
        <w:jc w:val="center"/>
      </w:pPr>
    </w:p>
    <w:p w:rsidR="006F2554" w:rsidRPr="0077250D" w:rsidRDefault="00A83F3A" w:rsidP="00FC14D6">
      <w:pPr>
        <w:jc w:val="center"/>
      </w:pPr>
      <w:r w:rsidRPr="0077250D">
        <w:rPr>
          <w:noProof/>
          <w:lang w:val="en-US"/>
        </w:rPr>
        <w:drawing>
          <wp:inline distT="0" distB="0" distL="0" distR="0" wp14:anchorId="5A641F47" wp14:editId="4E10DDC7">
            <wp:extent cx="5478780" cy="7797800"/>
            <wp:effectExtent l="0" t="0" r="762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78780" cy="7797800"/>
                    </a:xfrm>
                    <a:prstGeom prst="rect">
                      <a:avLst/>
                    </a:prstGeom>
                    <a:noFill/>
                    <a:ln>
                      <a:noFill/>
                    </a:ln>
                  </pic:spPr>
                </pic:pic>
              </a:graphicData>
            </a:graphic>
          </wp:inline>
        </w:drawing>
      </w:r>
    </w:p>
    <w:p w:rsidR="006F2554" w:rsidRPr="0077250D" w:rsidRDefault="006345A5" w:rsidP="00FC14D6">
      <w:r w:rsidRPr="0077250D">
        <w:br w:type="page"/>
      </w:r>
    </w:p>
    <w:p w:rsidR="006F2554" w:rsidRPr="0077250D" w:rsidRDefault="006F2554" w:rsidP="00FC14D6"/>
    <w:p w:rsidR="006F2554" w:rsidRPr="0077250D" w:rsidRDefault="006F2554" w:rsidP="00FC14D6"/>
    <w:p w:rsidR="006F2554" w:rsidRPr="0077250D" w:rsidRDefault="00A83F3A" w:rsidP="00FC14D6">
      <w:pPr>
        <w:jc w:val="center"/>
      </w:pPr>
      <w:r w:rsidRPr="0077250D">
        <w:rPr>
          <w:noProof/>
          <w:lang w:val="en-US"/>
        </w:rPr>
        <w:drawing>
          <wp:inline distT="0" distB="0" distL="0" distR="0" wp14:anchorId="78190636" wp14:editId="73104D89">
            <wp:extent cx="5478780" cy="5391150"/>
            <wp:effectExtent l="0" t="0" r="762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78780" cy="5391150"/>
                    </a:xfrm>
                    <a:prstGeom prst="rect">
                      <a:avLst/>
                    </a:prstGeom>
                    <a:noFill/>
                    <a:ln>
                      <a:noFill/>
                    </a:ln>
                  </pic:spPr>
                </pic:pic>
              </a:graphicData>
            </a:graphic>
          </wp:inline>
        </w:drawing>
      </w:r>
    </w:p>
    <w:p w:rsidR="006F2554" w:rsidRPr="0077250D" w:rsidRDefault="002F09F3" w:rsidP="00C43F20">
      <w:pPr>
        <w:pStyle w:val="Heading2"/>
        <w:rPr>
          <w:caps/>
        </w:rPr>
      </w:pPr>
      <w:r w:rsidRPr="0077250D">
        <w:br w:type="page"/>
      </w:r>
      <w:bookmarkStart w:id="34" w:name="_Toc460231974"/>
      <w:r w:rsidR="00B02382" w:rsidRPr="0077250D">
        <w:t>Paiements des contributions reçus d</w:t>
      </w:r>
      <w:r w:rsidR="00BE613C" w:rsidRPr="0077250D">
        <w:t>’</w:t>
      </w:r>
      <w:r w:rsidR="00B02382" w:rsidRPr="0077250D">
        <w:t>avance</w:t>
      </w:r>
      <w:bookmarkEnd w:id="34"/>
    </w:p>
    <w:p w:rsidR="006F2554" w:rsidRPr="0077250D" w:rsidRDefault="006F2554" w:rsidP="00FC14D6">
      <w:pPr>
        <w:jc w:val="center"/>
      </w:pPr>
    </w:p>
    <w:p w:rsidR="006F2554" w:rsidRPr="0077250D" w:rsidRDefault="006F2554" w:rsidP="00FC14D6"/>
    <w:p w:rsidR="006F2554" w:rsidRPr="0077250D" w:rsidRDefault="001C75A9" w:rsidP="00FC14D6">
      <w:pPr>
        <w:jc w:val="center"/>
        <w:rPr>
          <w:u w:val="single"/>
        </w:rPr>
      </w:pPr>
      <w:r w:rsidRPr="0077250D">
        <w:rPr>
          <w:noProof/>
          <w:lang w:val="en-US"/>
        </w:rPr>
        <w:drawing>
          <wp:inline distT="0" distB="0" distL="0" distR="0" wp14:anchorId="537B6DA4" wp14:editId="412A0392">
            <wp:extent cx="4257675" cy="5706110"/>
            <wp:effectExtent l="0" t="0" r="9525"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57675" cy="5706110"/>
                    </a:xfrm>
                    <a:prstGeom prst="rect">
                      <a:avLst/>
                    </a:prstGeom>
                    <a:noFill/>
                    <a:ln>
                      <a:noFill/>
                    </a:ln>
                  </pic:spPr>
                </pic:pic>
              </a:graphicData>
            </a:graphic>
          </wp:inline>
        </w:drawing>
      </w:r>
    </w:p>
    <w:p w:rsidR="006F2554" w:rsidRPr="0077250D" w:rsidRDefault="006F2554" w:rsidP="00FC14D6">
      <w:pPr>
        <w:jc w:val="center"/>
        <w:rPr>
          <w:u w:val="single"/>
        </w:rPr>
      </w:pPr>
    </w:p>
    <w:p w:rsidR="006F2554" w:rsidRPr="0077250D" w:rsidRDefault="006F2554" w:rsidP="00FC14D6">
      <w:pPr>
        <w:jc w:val="center"/>
        <w:rPr>
          <w:u w:val="single"/>
        </w:rPr>
      </w:pPr>
    </w:p>
    <w:p w:rsidR="006F2554" w:rsidRPr="0077250D" w:rsidRDefault="00B17732" w:rsidP="00FC14D6">
      <w:pPr>
        <w:rPr>
          <w:u w:val="single"/>
        </w:rPr>
      </w:pPr>
      <w:r w:rsidRPr="0077250D">
        <w:br w:type="page"/>
      </w:r>
    </w:p>
    <w:p w:rsidR="005E7BB7" w:rsidRPr="0077250D" w:rsidRDefault="009E65F0" w:rsidP="00C43F20">
      <w:pPr>
        <w:pStyle w:val="Heading2"/>
        <w:rPr>
          <w:caps/>
        </w:rPr>
      </w:pPr>
      <w:bookmarkStart w:id="35" w:name="_Toc460231975"/>
      <w:r w:rsidRPr="0077250D">
        <w:t xml:space="preserve">Montants </w:t>
      </w:r>
      <w:r w:rsidR="00577DE6" w:rsidRPr="0077250D">
        <w:t>non payés</w:t>
      </w:r>
      <w:r w:rsidR="00A13BE6" w:rsidRPr="0077250D">
        <w:t xml:space="preserve"> au titre </w:t>
      </w:r>
      <w:r w:rsidRPr="0077250D">
        <w:t>des c</w:t>
      </w:r>
      <w:r w:rsidR="00544142" w:rsidRPr="0077250D">
        <w:t xml:space="preserve">ontributions et </w:t>
      </w:r>
      <w:r w:rsidRPr="0077250D">
        <w:t xml:space="preserve">du </w:t>
      </w:r>
      <w:r w:rsidR="00544142" w:rsidRPr="0077250D">
        <w:t>fonds de roulement au</w:t>
      </w:r>
      <w:r w:rsidR="00303B5D" w:rsidRPr="0077250D">
        <w:t> </w:t>
      </w:r>
      <w:r w:rsidR="00544142" w:rsidRPr="0077250D">
        <w:t>3</w:t>
      </w:r>
      <w:r w:rsidR="00BE613C" w:rsidRPr="0077250D">
        <w:t>1 décembre 20</w:t>
      </w:r>
      <w:r w:rsidR="00544142" w:rsidRPr="0077250D">
        <w:t>15</w:t>
      </w:r>
      <w:bookmarkEnd w:id="35"/>
    </w:p>
    <w:p w:rsidR="006F2554" w:rsidRPr="0077250D" w:rsidRDefault="006F2554" w:rsidP="00FC14D6">
      <w:pPr>
        <w:jc w:val="center"/>
      </w:pPr>
    </w:p>
    <w:p w:rsidR="006F2554" w:rsidRPr="0077250D" w:rsidRDefault="006F2554" w:rsidP="00FC14D6">
      <w:pPr>
        <w:jc w:val="center"/>
      </w:pPr>
    </w:p>
    <w:p w:rsidR="006F2554" w:rsidRPr="0077250D" w:rsidRDefault="006F2554" w:rsidP="00FC14D6">
      <w:pPr>
        <w:pStyle w:val="Heading2"/>
        <w:rPr>
          <w:lang w:val="fr-FR"/>
        </w:rPr>
      </w:pPr>
    </w:p>
    <w:p w:rsidR="001C75A9" w:rsidRPr="0077250D" w:rsidRDefault="001C75A9" w:rsidP="00FC14D6">
      <w:pPr>
        <w:jc w:val="center"/>
      </w:pPr>
      <w:r w:rsidRPr="0077250D">
        <w:rPr>
          <w:noProof/>
          <w:lang w:val="en-US"/>
        </w:rPr>
        <w:drawing>
          <wp:inline distT="0" distB="0" distL="0" distR="0" wp14:anchorId="03D7CD76" wp14:editId="08F1DE0B">
            <wp:extent cx="5874385" cy="765175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74385" cy="7651750"/>
                    </a:xfrm>
                    <a:prstGeom prst="rect">
                      <a:avLst/>
                    </a:prstGeom>
                    <a:noFill/>
                    <a:ln>
                      <a:noFill/>
                    </a:ln>
                  </pic:spPr>
                </pic:pic>
              </a:graphicData>
            </a:graphic>
          </wp:inline>
        </w:drawing>
      </w:r>
    </w:p>
    <w:p w:rsidR="006F2554" w:rsidRPr="0077250D" w:rsidRDefault="00643221" w:rsidP="00FC14D6">
      <w:pPr>
        <w:jc w:val="center"/>
        <w:rPr>
          <w:rFonts w:ascii="Arial Bold" w:hAnsi="Arial Bold"/>
          <w:b/>
          <w:caps/>
          <w:u w:val="single"/>
        </w:rPr>
      </w:pPr>
      <w:r w:rsidRPr="0077250D">
        <w:br w:type="page"/>
      </w:r>
    </w:p>
    <w:p w:rsidR="006F2554" w:rsidRPr="0077250D" w:rsidRDefault="006F2554" w:rsidP="00FC14D6"/>
    <w:p w:rsidR="006F2554" w:rsidRPr="0077250D" w:rsidRDefault="006F2554" w:rsidP="00FC14D6"/>
    <w:p w:rsidR="006F2554" w:rsidRPr="0077250D" w:rsidRDefault="006F2554" w:rsidP="00FC14D6"/>
    <w:p w:rsidR="006F2554" w:rsidRPr="0077250D" w:rsidRDefault="001C75A9" w:rsidP="00FC14D6">
      <w:pPr>
        <w:jc w:val="center"/>
      </w:pPr>
      <w:r w:rsidRPr="0077250D">
        <w:rPr>
          <w:noProof/>
          <w:lang w:val="en-US"/>
        </w:rPr>
        <w:drawing>
          <wp:inline distT="0" distB="0" distL="0" distR="0" wp14:anchorId="41E00BFC" wp14:editId="4B38A108">
            <wp:extent cx="5874385" cy="5764530"/>
            <wp:effectExtent l="0" t="0" r="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74385" cy="5764530"/>
                    </a:xfrm>
                    <a:prstGeom prst="rect">
                      <a:avLst/>
                    </a:prstGeom>
                    <a:noFill/>
                    <a:ln>
                      <a:noFill/>
                    </a:ln>
                  </pic:spPr>
                </pic:pic>
              </a:graphicData>
            </a:graphic>
          </wp:inline>
        </w:drawing>
      </w:r>
    </w:p>
    <w:p w:rsidR="006F2554" w:rsidRPr="0077250D" w:rsidRDefault="002F09F3" w:rsidP="00FC14D6">
      <w:pPr>
        <w:rPr>
          <w:b/>
          <w:u w:val="single"/>
        </w:rPr>
      </w:pPr>
      <w:r w:rsidRPr="0077250D">
        <w:rPr>
          <w:b/>
        </w:rPr>
        <w:br w:type="page"/>
      </w:r>
    </w:p>
    <w:p w:rsidR="006F2554" w:rsidRPr="0077250D" w:rsidRDefault="00226B28" w:rsidP="00FC14D6">
      <w:pPr>
        <w:pStyle w:val="Heading1"/>
        <w:rPr>
          <w:lang w:val="fr-FR"/>
        </w:rPr>
      </w:pPr>
      <w:bookmarkStart w:id="36" w:name="_Toc393377931"/>
      <w:bookmarkStart w:id="37" w:name="_Toc395251236"/>
      <w:bookmarkStart w:id="38" w:name="_Toc460231976"/>
      <w:r w:rsidRPr="0077250D">
        <w:rPr>
          <w:lang w:val="fr-FR"/>
        </w:rPr>
        <w:t>Ressources extrabudgétaires (fonds fiduciaires</w:t>
      </w:r>
      <w:bookmarkEnd w:id="36"/>
      <w:bookmarkEnd w:id="37"/>
      <w:r w:rsidR="00544142" w:rsidRPr="0077250D">
        <w:rPr>
          <w:lang w:val="fr-FR"/>
        </w:rPr>
        <w:t>)</w:t>
      </w:r>
      <w:bookmarkEnd w:id="38"/>
    </w:p>
    <w:p w:rsidR="006F2554" w:rsidRPr="0077250D" w:rsidRDefault="006F2554" w:rsidP="00FC14D6">
      <w:pPr>
        <w:keepNext/>
      </w:pPr>
    </w:p>
    <w:p w:rsidR="006F2554" w:rsidRPr="0077250D" w:rsidRDefault="001C75A9" w:rsidP="00FC14D6">
      <w:r w:rsidRPr="0077250D">
        <w:rPr>
          <w:noProof/>
          <w:lang w:val="en-US"/>
        </w:rPr>
        <w:drawing>
          <wp:inline distT="0" distB="0" distL="0" distR="0" wp14:anchorId="4D6E7154" wp14:editId="20FE89A5">
            <wp:extent cx="6120765" cy="95277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952775"/>
                    </a:xfrm>
                    <a:prstGeom prst="rect">
                      <a:avLst/>
                    </a:prstGeom>
                    <a:noFill/>
                    <a:ln>
                      <a:noFill/>
                    </a:ln>
                  </pic:spPr>
                </pic:pic>
              </a:graphicData>
            </a:graphic>
          </wp:inline>
        </w:drawing>
      </w:r>
    </w:p>
    <w:p w:rsidR="006F2554" w:rsidRPr="0077250D" w:rsidRDefault="006F2554" w:rsidP="00FC14D6"/>
    <w:p w:rsidR="001C75A9" w:rsidRPr="0077250D" w:rsidRDefault="001C75A9" w:rsidP="00FC14D6"/>
    <w:p w:rsidR="006F2554" w:rsidRPr="0077250D" w:rsidRDefault="00B857E0" w:rsidP="00FC14D6">
      <w:pPr>
        <w:rPr>
          <w:b/>
        </w:rPr>
      </w:pPr>
      <w:r w:rsidRPr="0077250D">
        <w:rPr>
          <w:b/>
        </w:rPr>
        <w:t>Recettes et dépenses pour l</w:t>
      </w:r>
      <w:r w:rsidR="00BE613C" w:rsidRPr="0077250D">
        <w:rPr>
          <w:b/>
        </w:rPr>
        <w:t>’</w:t>
      </w:r>
      <w:r w:rsidRPr="0077250D">
        <w:rPr>
          <w:b/>
        </w:rPr>
        <w:t>exercice biennal</w:t>
      </w:r>
      <w:r w:rsidR="00FB471C" w:rsidRPr="0077250D">
        <w:rPr>
          <w:b/>
        </w:rPr>
        <w:t> </w:t>
      </w:r>
      <w:r w:rsidRPr="0077250D">
        <w:rPr>
          <w:b/>
        </w:rPr>
        <w:t>2014</w:t>
      </w:r>
      <w:r w:rsidR="00F32060" w:rsidRPr="0077250D">
        <w:rPr>
          <w:b/>
        </w:rPr>
        <w:noBreakHyphen/>
      </w:r>
      <w:r w:rsidRPr="0077250D">
        <w:rPr>
          <w:b/>
        </w:rPr>
        <w:t>2015</w:t>
      </w:r>
    </w:p>
    <w:p w:rsidR="006F2554" w:rsidRPr="0077250D" w:rsidRDefault="006F2554" w:rsidP="00FC14D6">
      <w:pPr>
        <w:rPr>
          <w:b/>
        </w:rPr>
      </w:pPr>
    </w:p>
    <w:p w:rsidR="006F2554" w:rsidRPr="0077250D" w:rsidRDefault="001C75A9" w:rsidP="00FC14D6">
      <w:pPr>
        <w:jc w:val="center"/>
        <w:rPr>
          <w:b/>
        </w:rPr>
      </w:pPr>
      <w:r w:rsidRPr="0077250D">
        <w:rPr>
          <w:noProof/>
          <w:lang w:val="en-US"/>
        </w:rPr>
        <w:drawing>
          <wp:inline distT="0" distB="0" distL="0" distR="0" wp14:anchorId="5FF34885" wp14:editId="1331FE65">
            <wp:extent cx="5808345" cy="2113915"/>
            <wp:effectExtent l="0" t="0" r="1905" b="63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08345" cy="2113915"/>
                    </a:xfrm>
                    <a:prstGeom prst="rect">
                      <a:avLst/>
                    </a:prstGeom>
                    <a:noFill/>
                    <a:ln>
                      <a:noFill/>
                    </a:ln>
                  </pic:spPr>
                </pic:pic>
              </a:graphicData>
            </a:graphic>
          </wp:inline>
        </w:drawing>
      </w:r>
    </w:p>
    <w:p w:rsidR="001C75A9" w:rsidRPr="0077250D" w:rsidRDefault="001C75A9" w:rsidP="00FC14D6">
      <w:pPr>
        <w:jc w:val="center"/>
        <w:rPr>
          <w:b/>
        </w:rPr>
      </w:pPr>
    </w:p>
    <w:p w:rsidR="006F2554" w:rsidRPr="0077250D" w:rsidRDefault="00B857E0" w:rsidP="004C2F67">
      <w:pPr>
        <w:ind w:left="851" w:hanging="567"/>
        <w:rPr>
          <w:sz w:val="18"/>
          <w:szCs w:val="18"/>
        </w:rPr>
      </w:pPr>
      <w:r w:rsidRPr="0077250D">
        <w:rPr>
          <w:i/>
          <w:sz w:val="18"/>
          <w:szCs w:val="18"/>
        </w:rPr>
        <w:t>Note</w:t>
      </w:r>
      <w:r w:rsidR="00604278" w:rsidRPr="0077250D">
        <w:rPr>
          <w:i/>
          <w:sz w:val="18"/>
          <w:szCs w:val="18"/>
        </w:rPr>
        <w:t xml:space="preserve"> : </w:t>
      </w:r>
      <w:r w:rsidR="006F2554" w:rsidRPr="0077250D">
        <w:rPr>
          <w:i/>
          <w:sz w:val="18"/>
          <w:szCs w:val="18"/>
        </w:rPr>
        <w:tab/>
      </w:r>
      <w:r w:rsidRPr="0077250D">
        <w:rPr>
          <w:sz w:val="18"/>
          <w:szCs w:val="18"/>
        </w:rPr>
        <w:t xml:space="preserve">Fonds fiduciaire constitué de ressources extrabudgétaires </w:t>
      </w:r>
      <w:r w:rsidR="006F2554" w:rsidRPr="0077250D">
        <w:rPr>
          <w:sz w:val="18"/>
          <w:szCs w:val="18"/>
        </w:rPr>
        <w:t>provenant du</w:t>
      </w:r>
      <w:r w:rsidRPr="0077250D">
        <w:rPr>
          <w:sz w:val="18"/>
          <w:szCs w:val="18"/>
        </w:rPr>
        <w:t xml:space="preserve"> Gouvernement japonais et destiné à financer des séminaires et ateliers </w:t>
      </w:r>
      <w:r w:rsidR="00FC14D6" w:rsidRPr="0077250D">
        <w:rPr>
          <w:sz w:val="18"/>
          <w:szCs w:val="18"/>
        </w:rPr>
        <w:t xml:space="preserve">régionaux </w:t>
      </w:r>
      <w:r w:rsidRPr="0077250D">
        <w:rPr>
          <w:sz w:val="18"/>
          <w:szCs w:val="18"/>
        </w:rPr>
        <w:t>sur la protection des obtentions végétales en Asie.</w:t>
      </w:r>
    </w:p>
    <w:p w:rsidR="006F2554" w:rsidRPr="0077250D" w:rsidRDefault="006F2554" w:rsidP="00FC14D6">
      <w:pPr>
        <w:ind w:left="567" w:hanging="567"/>
        <w:rPr>
          <w:sz w:val="18"/>
          <w:szCs w:val="18"/>
        </w:rPr>
      </w:pPr>
    </w:p>
    <w:p w:rsidR="006F2554" w:rsidRPr="0077250D" w:rsidRDefault="006F2554" w:rsidP="00FC14D6">
      <w:pPr>
        <w:ind w:left="567" w:hanging="567"/>
        <w:rPr>
          <w:sz w:val="18"/>
          <w:szCs w:val="18"/>
        </w:rPr>
      </w:pPr>
    </w:p>
    <w:p w:rsidR="006F2554" w:rsidRPr="0077250D" w:rsidRDefault="001C75A9" w:rsidP="00FC14D6">
      <w:pPr>
        <w:ind w:left="567" w:hanging="567"/>
        <w:jc w:val="center"/>
        <w:rPr>
          <w:sz w:val="18"/>
          <w:szCs w:val="18"/>
        </w:rPr>
      </w:pPr>
      <w:r w:rsidRPr="0077250D">
        <w:rPr>
          <w:noProof/>
          <w:lang w:val="en-US"/>
        </w:rPr>
        <w:drawing>
          <wp:inline distT="0" distB="0" distL="0" distR="0" wp14:anchorId="7FF927A1" wp14:editId="14723B82">
            <wp:extent cx="5808345" cy="2113915"/>
            <wp:effectExtent l="0" t="0" r="1905"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08345" cy="2113915"/>
                    </a:xfrm>
                    <a:prstGeom prst="rect">
                      <a:avLst/>
                    </a:prstGeom>
                    <a:noFill/>
                    <a:ln>
                      <a:noFill/>
                    </a:ln>
                  </pic:spPr>
                </pic:pic>
              </a:graphicData>
            </a:graphic>
          </wp:inline>
        </w:drawing>
      </w:r>
    </w:p>
    <w:p w:rsidR="001C75A9" w:rsidRPr="0077250D" w:rsidRDefault="001C75A9" w:rsidP="00FC14D6">
      <w:pPr>
        <w:ind w:left="567" w:hanging="567"/>
        <w:jc w:val="center"/>
        <w:rPr>
          <w:sz w:val="18"/>
          <w:szCs w:val="18"/>
        </w:rPr>
      </w:pPr>
    </w:p>
    <w:p w:rsidR="006F2554" w:rsidRPr="0077250D" w:rsidRDefault="00813B45" w:rsidP="004C2F67">
      <w:pPr>
        <w:ind w:left="851" w:hanging="567"/>
        <w:rPr>
          <w:sz w:val="18"/>
          <w:szCs w:val="18"/>
        </w:rPr>
      </w:pPr>
      <w:r w:rsidRPr="0077250D">
        <w:rPr>
          <w:i/>
          <w:sz w:val="18"/>
          <w:szCs w:val="18"/>
        </w:rPr>
        <w:t>Note</w:t>
      </w:r>
      <w:r w:rsidR="00604278" w:rsidRPr="0077250D">
        <w:rPr>
          <w:sz w:val="18"/>
          <w:szCs w:val="18"/>
        </w:rPr>
        <w:t xml:space="preserve"> : </w:t>
      </w:r>
      <w:r w:rsidR="006F2554" w:rsidRPr="0077250D">
        <w:rPr>
          <w:sz w:val="18"/>
          <w:szCs w:val="18"/>
        </w:rPr>
        <w:tab/>
        <w:t>Ressources extrabudgétaires provenant du Gouvernement des États</w:t>
      </w:r>
      <w:r w:rsidR="00F32060" w:rsidRPr="0077250D">
        <w:rPr>
          <w:sz w:val="18"/>
          <w:szCs w:val="18"/>
        </w:rPr>
        <w:noBreakHyphen/>
      </w:r>
      <w:r w:rsidR="006F2554" w:rsidRPr="0077250D">
        <w:rPr>
          <w:sz w:val="18"/>
          <w:szCs w:val="18"/>
        </w:rPr>
        <w:t>Unis d</w:t>
      </w:r>
      <w:r w:rsidR="00BE613C" w:rsidRPr="0077250D">
        <w:rPr>
          <w:sz w:val="18"/>
          <w:szCs w:val="18"/>
        </w:rPr>
        <w:t>’</w:t>
      </w:r>
      <w:r w:rsidR="006F2554" w:rsidRPr="0077250D">
        <w:rPr>
          <w:sz w:val="18"/>
          <w:szCs w:val="18"/>
        </w:rPr>
        <w:t xml:space="preserve">Amérique destinées à financer des activités </w:t>
      </w:r>
      <w:r w:rsidR="00FC14D6" w:rsidRPr="0077250D">
        <w:rPr>
          <w:sz w:val="18"/>
          <w:szCs w:val="18"/>
        </w:rPr>
        <w:t>éducatives</w:t>
      </w:r>
      <w:r w:rsidR="006F2554" w:rsidRPr="0077250D">
        <w:rPr>
          <w:sz w:val="18"/>
          <w:szCs w:val="18"/>
        </w:rPr>
        <w:t xml:space="preserve"> sur la protection de la propriété intellectuelle dans le domaine de la protection des obtentions végétal</w:t>
      </w:r>
      <w:r w:rsidR="00F32060" w:rsidRPr="0077250D">
        <w:rPr>
          <w:sz w:val="18"/>
          <w:szCs w:val="18"/>
        </w:rPr>
        <w:t>es.  Le</w:t>
      </w:r>
      <w:r w:rsidR="006F2554" w:rsidRPr="0077250D">
        <w:rPr>
          <w:sz w:val="18"/>
          <w:szCs w:val="18"/>
        </w:rPr>
        <w:t>s comptes et les rapports financiers de ce fonds fiduciaire sont tenus en dollars</w:t>
      </w:r>
      <w:r w:rsidR="00604278" w:rsidRPr="0077250D">
        <w:rPr>
          <w:sz w:val="18"/>
          <w:szCs w:val="18"/>
        </w:rPr>
        <w:t> </w:t>
      </w:r>
      <w:r w:rsidR="006F2554" w:rsidRPr="0077250D">
        <w:rPr>
          <w:sz w:val="18"/>
          <w:szCs w:val="18"/>
        </w:rPr>
        <w:t>É.</w:t>
      </w:r>
      <w:r w:rsidR="00F32060" w:rsidRPr="0077250D">
        <w:rPr>
          <w:sz w:val="18"/>
          <w:szCs w:val="18"/>
        </w:rPr>
        <w:noBreakHyphen/>
      </w:r>
      <w:r w:rsidR="006F2554" w:rsidRPr="0077250D">
        <w:rPr>
          <w:sz w:val="18"/>
          <w:szCs w:val="18"/>
        </w:rPr>
        <w:t>U.</w:t>
      </w:r>
    </w:p>
    <w:p w:rsidR="006F2554" w:rsidRPr="0077250D" w:rsidRDefault="006F2554" w:rsidP="00FC14D6">
      <w:pPr>
        <w:rPr>
          <w:sz w:val="18"/>
          <w:szCs w:val="18"/>
        </w:rPr>
      </w:pPr>
    </w:p>
    <w:p w:rsidR="006F2554" w:rsidRPr="0077250D" w:rsidRDefault="00813B45" w:rsidP="00FC14D6">
      <w:pPr>
        <w:rPr>
          <w:sz w:val="18"/>
          <w:szCs w:val="18"/>
        </w:rPr>
      </w:pPr>
      <w:r w:rsidRPr="0077250D">
        <w:rPr>
          <w:sz w:val="18"/>
          <w:szCs w:val="18"/>
        </w:rPr>
        <w:br w:type="page"/>
      </w:r>
    </w:p>
    <w:p w:rsidR="006F2554" w:rsidRPr="0077250D" w:rsidRDefault="001C75A9" w:rsidP="00FC14D6">
      <w:pPr>
        <w:ind w:left="567" w:hanging="567"/>
        <w:jc w:val="center"/>
        <w:rPr>
          <w:sz w:val="18"/>
          <w:szCs w:val="18"/>
        </w:rPr>
      </w:pPr>
      <w:r w:rsidRPr="0077250D">
        <w:rPr>
          <w:noProof/>
          <w:lang w:val="en-US"/>
        </w:rPr>
        <w:drawing>
          <wp:inline distT="0" distB="0" distL="0" distR="0" wp14:anchorId="7D61B2FA" wp14:editId="281C2F56">
            <wp:extent cx="5808345" cy="1791970"/>
            <wp:effectExtent l="0" t="0" r="190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08345" cy="1791970"/>
                    </a:xfrm>
                    <a:prstGeom prst="rect">
                      <a:avLst/>
                    </a:prstGeom>
                    <a:noFill/>
                    <a:ln>
                      <a:noFill/>
                    </a:ln>
                  </pic:spPr>
                </pic:pic>
              </a:graphicData>
            </a:graphic>
          </wp:inline>
        </w:drawing>
      </w:r>
    </w:p>
    <w:p w:rsidR="001C75A9" w:rsidRPr="0077250D" w:rsidRDefault="001C75A9" w:rsidP="00FC14D6">
      <w:pPr>
        <w:ind w:left="567" w:hanging="567"/>
        <w:jc w:val="center"/>
        <w:rPr>
          <w:sz w:val="18"/>
          <w:szCs w:val="18"/>
        </w:rPr>
      </w:pPr>
    </w:p>
    <w:p w:rsidR="005E7BB7" w:rsidRPr="0077250D" w:rsidRDefault="00813B45" w:rsidP="004C2F67">
      <w:pPr>
        <w:ind w:left="851" w:hanging="567"/>
        <w:rPr>
          <w:sz w:val="18"/>
          <w:szCs w:val="18"/>
        </w:rPr>
      </w:pPr>
      <w:r w:rsidRPr="0077250D">
        <w:rPr>
          <w:i/>
          <w:sz w:val="18"/>
          <w:szCs w:val="18"/>
        </w:rPr>
        <w:t>Note</w:t>
      </w:r>
      <w:r w:rsidR="00604278" w:rsidRPr="0077250D">
        <w:rPr>
          <w:sz w:val="18"/>
          <w:szCs w:val="18"/>
        </w:rPr>
        <w:t xml:space="preserve"> : </w:t>
      </w:r>
      <w:r w:rsidR="00EA5967" w:rsidRPr="0077250D">
        <w:rPr>
          <w:sz w:val="18"/>
          <w:szCs w:val="18"/>
        </w:rPr>
        <w:tab/>
      </w:r>
      <w:r w:rsidR="006F2554" w:rsidRPr="0077250D">
        <w:rPr>
          <w:sz w:val="18"/>
          <w:szCs w:val="18"/>
        </w:rPr>
        <w:t>Ressources extrabudgétaires provenant des Pays</w:t>
      </w:r>
      <w:r w:rsidR="00F32060" w:rsidRPr="0077250D">
        <w:rPr>
          <w:sz w:val="18"/>
          <w:szCs w:val="18"/>
        </w:rPr>
        <w:noBreakHyphen/>
      </w:r>
      <w:r w:rsidR="006F2554" w:rsidRPr="0077250D">
        <w:rPr>
          <w:sz w:val="18"/>
          <w:szCs w:val="18"/>
        </w:rPr>
        <w:t xml:space="preserve">Bas </w:t>
      </w:r>
      <w:r w:rsidR="00577DE6" w:rsidRPr="0077250D">
        <w:rPr>
          <w:sz w:val="18"/>
          <w:szCs w:val="18"/>
        </w:rPr>
        <w:t xml:space="preserve">destinées à mettre en place et à promouvoir </w:t>
      </w:r>
      <w:r w:rsidR="006F2554" w:rsidRPr="0077250D">
        <w:rPr>
          <w:sz w:val="18"/>
          <w:szCs w:val="18"/>
        </w:rPr>
        <w:t>le système de protection des obtentions végétales de l</w:t>
      </w:r>
      <w:r w:rsidR="00BE613C" w:rsidRPr="0077250D">
        <w:rPr>
          <w:sz w:val="18"/>
          <w:szCs w:val="18"/>
        </w:rPr>
        <w:t>’</w:t>
      </w:r>
      <w:r w:rsidR="006F2554" w:rsidRPr="0077250D">
        <w:rPr>
          <w:sz w:val="18"/>
          <w:szCs w:val="18"/>
        </w:rPr>
        <w:t>UPOV.</w:t>
      </w:r>
    </w:p>
    <w:p w:rsidR="006F2554" w:rsidRPr="0077250D" w:rsidRDefault="006F2554" w:rsidP="00FC14D6"/>
    <w:p w:rsidR="006F2554" w:rsidRPr="0077250D" w:rsidRDefault="006F2554" w:rsidP="00FC14D6"/>
    <w:p w:rsidR="006F2554" w:rsidRPr="0077250D" w:rsidRDefault="006F2554" w:rsidP="00FC14D6"/>
    <w:p w:rsidR="006F2554" w:rsidRPr="0077250D" w:rsidRDefault="00226B28" w:rsidP="00FC14D6">
      <w:pPr>
        <w:jc w:val="right"/>
      </w:pPr>
      <w:r w:rsidRPr="0077250D">
        <w:t>[Fin de l</w:t>
      </w:r>
      <w:r w:rsidR="00BE613C" w:rsidRPr="0077250D">
        <w:t>’</w:t>
      </w:r>
      <w:r w:rsidRPr="0077250D">
        <w:t>annexe et du document]</w:t>
      </w:r>
    </w:p>
    <w:sectPr w:rsidR="006F2554" w:rsidRPr="0077250D" w:rsidSect="00816FB4">
      <w:headerReference w:type="first" r:id="rId49"/>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95" w:rsidRDefault="00E35895" w:rsidP="006655D3">
      <w:r>
        <w:separator/>
      </w:r>
    </w:p>
    <w:p w:rsidR="00E35895" w:rsidRDefault="00E35895" w:rsidP="006655D3"/>
    <w:p w:rsidR="00E35895" w:rsidRDefault="00E35895" w:rsidP="006655D3"/>
  </w:endnote>
  <w:endnote w:type="continuationSeparator" w:id="0">
    <w:p w:rsidR="00E35895" w:rsidRDefault="00E35895" w:rsidP="006655D3">
      <w:r>
        <w:separator/>
      </w:r>
    </w:p>
    <w:p w:rsidR="00E35895" w:rsidRPr="00560A6D" w:rsidRDefault="00E35895">
      <w:pPr>
        <w:pStyle w:val="Footer"/>
        <w:spacing w:after="60"/>
        <w:rPr>
          <w:sz w:val="18"/>
          <w:lang w:val="fr-FR"/>
        </w:rPr>
      </w:pPr>
      <w:r w:rsidRPr="00560A6D">
        <w:rPr>
          <w:sz w:val="18"/>
          <w:lang w:val="fr-FR"/>
        </w:rPr>
        <w:t>[Suite de la note de la page précédente]</w:t>
      </w:r>
    </w:p>
    <w:p w:rsidR="00E35895" w:rsidRPr="00560A6D" w:rsidRDefault="00E35895" w:rsidP="006655D3"/>
    <w:p w:rsidR="00E35895" w:rsidRPr="00560A6D" w:rsidRDefault="00E35895" w:rsidP="006655D3"/>
  </w:endnote>
  <w:endnote w:type="continuationNotice" w:id="1">
    <w:p w:rsidR="00E35895" w:rsidRPr="00560A6D" w:rsidRDefault="00E35895" w:rsidP="006655D3">
      <w:r w:rsidRPr="00560A6D">
        <w:t>[Suite de la note page suivante]</w:t>
      </w:r>
    </w:p>
    <w:p w:rsidR="00E35895" w:rsidRPr="00560A6D" w:rsidRDefault="00E35895" w:rsidP="006655D3"/>
    <w:p w:rsidR="00E35895" w:rsidRPr="00560A6D" w:rsidRDefault="00E3589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5" w:rsidRDefault="00E35895">
    <w:pPr>
      <w:pStyle w:val="Footer"/>
      <w:jc w:val="right"/>
    </w:pPr>
  </w:p>
  <w:p w:rsidR="00E35895" w:rsidRDefault="00E35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5" w:rsidRDefault="00E35895" w:rsidP="001921EF">
    <w:pPr>
      <w:pStyle w:val="Footer"/>
      <w:jc w:val="center"/>
    </w:pPr>
  </w:p>
  <w:p w:rsidR="00E35895" w:rsidRDefault="00E35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95" w:rsidRDefault="00E35895" w:rsidP="00C95616">
      <w:pPr>
        <w:spacing w:before="120"/>
      </w:pPr>
      <w:r>
        <w:separator/>
      </w:r>
    </w:p>
  </w:footnote>
  <w:footnote w:type="continuationSeparator" w:id="0">
    <w:p w:rsidR="00E35895" w:rsidRDefault="00E35895" w:rsidP="006655D3">
      <w:r>
        <w:separator/>
      </w:r>
    </w:p>
  </w:footnote>
  <w:footnote w:type="continuationNotice" w:id="1">
    <w:p w:rsidR="00E35895" w:rsidRPr="00A56FAA" w:rsidRDefault="00E35895"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5" w:rsidRPr="00C5280D" w:rsidRDefault="00E35895" w:rsidP="002F09F3">
    <w:pPr>
      <w:pStyle w:val="Header"/>
      <w:rPr>
        <w:rStyle w:val="PageNumber"/>
        <w:lang w:val="en-US"/>
      </w:rPr>
    </w:pPr>
    <w:r>
      <w:rPr>
        <w:rStyle w:val="PageNumber"/>
        <w:lang w:val="en-US"/>
      </w:rPr>
      <w:t>C/48/4</w:t>
    </w:r>
  </w:p>
  <w:p w:rsidR="00E35895" w:rsidRPr="00C5280D" w:rsidRDefault="00E35895" w:rsidP="002F09F3">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7DAA">
      <w:rPr>
        <w:rStyle w:val="PageNumber"/>
        <w:noProof/>
        <w:lang w:val="en-US"/>
      </w:rPr>
      <w:t>26</w:t>
    </w:r>
    <w:r w:rsidRPr="00C5280D">
      <w:rPr>
        <w:rStyle w:val="PageNumber"/>
        <w:lang w:val="en-US"/>
      </w:rPr>
      <w:fldChar w:fldCharType="end"/>
    </w:r>
  </w:p>
  <w:p w:rsidR="00E35895" w:rsidRPr="00C5280D" w:rsidRDefault="00E3589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5" w:rsidRPr="002F09F3" w:rsidRDefault="00E35895" w:rsidP="005C7018">
    <w:pPr>
      <w:pStyle w:val="Header"/>
      <w:rPr>
        <w:lang w:val="en-US"/>
      </w:rPr>
    </w:pPr>
    <w:r>
      <w:rPr>
        <w:lang w:val="en-US"/>
      </w:rPr>
      <w:t>C/50/4</w:t>
    </w:r>
  </w:p>
  <w:p w:rsidR="00E35895" w:rsidRPr="002F09F3" w:rsidRDefault="00E35895" w:rsidP="005C7018">
    <w:pPr>
      <w:pStyle w:val="Header"/>
      <w:rPr>
        <w:noProof/>
        <w:lang w:val="en-US"/>
      </w:rPr>
    </w:pPr>
    <w:r w:rsidRPr="0088043B">
      <w:t>Annexe</w:t>
    </w:r>
    <w:r>
      <w:rPr>
        <w:lang w:val="en-US"/>
      </w:rPr>
      <w:t>,</w:t>
    </w:r>
    <w:r w:rsidRPr="002F09F3">
      <w:rPr>
        <w:lang w:val="en-US"/>
      </w:rPr>
      <w:t xml:space="preserve"> page </w:t>
    </w:r>
    <w:r w:rsidRPr="002F09F3">
      <w:rPr>
        <w:lang w:val="en-US"/>
      </w:rPr>
      <w:fldChar w:fldCharType="begin"/>
    </w:r>
    <w:r w:rsidRPr="002F09F3">
      <w:rPr>
        <w:lang w:val="en-US"/>
      </w:rPr>
      <w:instrText xml:space="preserve"> PAGE   \* MERGEFORMAT </w:instrText>
    </w:r>
    <w:r w:rsidRPr="002F09F3">
      <w:rPr>
        <w:lang w:val="en-US"/>
      </w:rPr>
      <w:fldChar w:fldCharType="separate"/>
    </w:r>
    <w:r w:rsidR="00627DAA">
      <w:rPr>
        <w:noProof/>
        <w:lang w:val="en-US"/>
      </w:rPr>
      <w:t>27</w:t>
    </w:r>
    <w:r w:rsidRPr="002F09F3">
      <w:rPr>
        <w:noProof/>
        <w:lang w:val="en-US"/>
      </w:rPr>
      <w:fldChar w:fldCharType="end"/>
    </w:r>
  </w:p>
  <w:p w:rsidR="00E35895" w:rsidRPr="002F09F3" w:rsidRDefault="00E35895" w:rsidP="00C76EE9">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95" w:rsidRDefault="00E35895" w:rsidP="005C7018">
    <w:pPr>
      <w:pStyle w:val="Header"/>
      <w:rPr>
        <w:lang w:val="en-US"/>
      </w:rPr>
    </w:pPr>
    <w:r>
      <w:rPr>
        <w:lang w:val="en-US"/>
      </w:rPr>
      <w:t>C/50/4</w:t>
    </w:r>
  </w:p>
  <w:p w:rsidR="00E35895" w:rsidRDefault="00E35895" w:rsidP="005C7018">
    <w:pPr>
      <w:pStyle w:val="Header"/>
      <w:rPr>
        <w:lang w:val="en-US"/>
      </w:rPr>
    </w:pPr>
  </w:p>
  <w:p w:rsidR="00E35895" w:rsidRDefault="00E35895" w:rsidP="005C7018">
    <w:pPr>
      <w:pStyle w:val="Header"/>
      <w:rPr>
        <w:lang w:val="en-US"/>
      </w:rPr>
    </w:pPr>
    <w:r>
      <w:rPr>
        <w:lang w:val="en-US"/>
      </w:rPr>
      <w:t>ANNEXE</w:t>
    </w:r>
  </w:p>
  <w:p w:rsidR="00E35895" w:rsidRDefault="00E35895" w:rsidP="005C7018">
    <w:pPr>
      <w:pStyle w:val="Header"/>
      <w:rPr>
        <w:lang w:val="en-US"/>
      </w:rPr>
    </w:pPr>
  </w:p>
  <w:p w:rsidR="00E35895" w:rsidRDefault="00E35895"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E35895" w:rsidRPr="002F09F3" w:rsidRDefault="00E35895" w:rsidP="005C7018">
        <w:pPr>
          <w:pStyle w:val="Header"/>
          <w:rPr>
            <w:lang w:val="en-US"/>
          </w:rPr>
        </w:pPr>
        <w:r>
          <w:rPr>
            <w:lang w:val="en-US"/>
          </w:rPr>
          <w:t>C/50/4</w:t>
        </w:r>
      </w:p>
      <w:p w:rsidR="00E35895" w:rsidRDefault="00E35895" w:rsidP="005C7018">
        <w:pPr>
          <w:pStyle w:val="Header"/>
        </w:pPr>
        <w:proofErr w:type="spellStart"/>
        <w:r>
          <w:rPr>
            <w:lang w:val="en-US"/>
          </w:rPr>
          <w:t>Annexe</w:t>
        </w:r>
        <w:proofErr w:type="spellEnd"/>
        <w:r>
          <w:rPr>
            <w:lang w:val="en-US"/>
          </w:rPr>
          <w:t>,</w:t>
        </w:r>
        <w:r w:rsidRPr="002F09F3">
          <w:rPr>
            <w:lang w:val="en-US"/>
          </w:rPr>
          <w:t xml:space="preserve"> page</w:t>
        </w:r>
        <w:r>
          <w:t xml:space="preserve"> </w:t>
        </w:r>
        <w:r>
          <w:fldChar w:fldCharType="begin"/>
        </w:r>
        <w:r>
          <w:instrText xml:space="preserve"> PAGE   \* MERGEFORMAT </w:instrText>
        </w:r>
        <w:r>
          <w:fldChar w:fldCharType="separate"/>
        </w:r>
        <w:r w:rsidR="00627DAA">
          <w:rPr>
            <w:noProof/>
          </w:rPr>
          <w:t>2</w:t>
        </w:r>
        <w:r>
          <w:rPr>
            <w:noProof/>
          </w:rPr>
          <w:fldChar w:fldCharType="end"/>
        </w:r>
      </w:p>
    </w:sdtContent>
  </w:sdt>
  <w:p w:rsidR="00E35895" w:rsidRDefault="00E35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7B488B"/>
    <w:multiLevelType w:val="hybridMultilevel"/>
    <w:tmpl w:val="1DCC90EC"/>
    <w:lvl w:ilvl="0" w:tplc="040C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
    <w:docVar w:name="TextBaseURL" w:val="empty"/>
    <w:docVar w:name="UILng" w:val="en"/>
  </w:docVars>
  <w:rsids>
    <w:rsidRoot w:val="00C431BE"/>
    <w:rsid w:val="00010CF3"/>
    <w:rsid w:val="00011E27"/>
    <w:rsid w:val="000148BC"/>
    <w:rsid w:val="0002086B"/>
    <w:rsid w:val="00024AB8"/>
    <w:rsid w:val="00030854"/>
    <w:rsid w:val="00035D92"/>
    <w:rsid w:val="00035FF3"/>
    <w:rsid w:val="00036028"/>
    <w:rsid w:val="00040F79"/>
    <w:rsid w:val="00044642"/>
    <w:rsid w:val="000446B9"/>
    <w:rsid w:val="000451E7"/>
    <w:rsid w:val="000478F6"/>
    <w:rsid w:val="00047E21"/>
    <w:rsid w:val="00052BEA"/>
    <w:rsid w:val="00061658"/>
    <w:rsid w:val="00072089"/>
    <w:rsid w:val="0007239D"/>
    <w:rsid w:val="00073668"/>
    <w:rsid w:val="00085505"/>
    <w:rsid w:val="00092EDA"/>
    <w:rsid w:val="000962D0"/>
    <w:rsid w:val="000A68B4"/>
    <w:rsid w:val="000B1374"/>
    <w:rsid w:val="000B34D5"/>
    <w:rsid w:val="000B3F49"/>
    <w:rsid w:val="000C7021"/>
    <w:rsid w:val="000D6BBC"/>
    <w:rsid w:val="000D7780"/>
    <w:rsid w:val="000E15D4"/>
    <w:rsid w:val="000E7048"/>
    <w:rsid w:val="000F209C"/>
    <w:rsid w:val="000F305E"/>
    <w:rsid w:val="001026B5"/>
    <w:rsid w:val="00105929"/>
    <w:rsid w:val="00106C61"/>
    <w:rsid w:val="001076E1"/>
    <w:rsid w:val="001131D5"/>
    <w:rsid w:val="00113D73"/>
    <w:rsid w:val="001214E9"/>
    <w:rsid w:val="001273F6"/>
    <w:rsid w:val="001377BE"/>
    <w:rsid w:val="00140793"/>
    <w:rsid w:val="00141316"/>
    <w:rsid w:val="00141DB8"/>
    <w:rsid w:val="00150B2B"/>
    <w:rsid w:val="001604A3"/>
    <w:rsid w:val="0016415C"/>
    <w:rsid w:val="0017474A"/>
    <w:rsid w:val="001758C6"/>
    <w:rsid w:val="00180DE0"/>
    <w:rsid w:val="0018246F"/>
    <w:rsid w:val="00182B99"/>
    <w:rsid w:val="0018373F"/>
    <w:rsid w:val="00191B7D"/>
    <w:rsid w:val="001921EF"/>
    <w:rsid w:val="00196516"/>
    <w:rsid w:val="001A0080"/>
    <w:rsid w:val="001A792E"/>
    <w:rsid w:val="001B7F36"/>
    <w:rsid w:val="001C75A9"/>
    <w:rsid w:val="001D15BF"/>
    <w:rsid w:val="001D6CED"/>
    <w:rsid w:val="001E0CF9"/>
    <w:rsid w:val="001E0EF9"/>
    <w:rsid w:val="001F7FD1"/>
    <w:rsid w:val="0021173E"/>
    <w:rsid w:val="0021332C"/>
    <w:rsid w:val="00213782"/>
    <w:rsid w:val="00213982"/>
    <w:rsid w:val="0021487C"/>
    <w:rsid w:val="0022098E"/>
    <w:rsid w:val="00226B28"/>
    <w:rsid w:val="00233293"/>
    <w:rsid w:val="00235388"/>
    <w:rsid w:val="00242E11"/>
    <w:rsid w:val="0024416D"/>
    <w:rsid w:val="002456C8"/>
    <w:rsid w:val="00254605"/>
    <w:rsid w:val="002800A0"/>
    <w:rsid w:val="002801B3"/>
    <w:rsid w:val="0028098F"/>
    <w:rsid w:val="00281060"/>
    <w:rsid w:val="00290CD1"/>
    <w:rsid w:val="002940E8"/>
    <w:rsid w:val="002A2DAF"/>
    <w:rsid w:val="002A6E50"/>
    <w:rsid w:val="002B0D19"/>
    <w:rsid w:val="002B1132"/>
    <w:rsid w:val="002C256A"/>
    <w:rsid w:val="002C2BB0"/>
    <w:rsid w:val="002C53A4"/>
    <w:rsid w:val="002D7C86"/>
    <w:rsid w:val="002D7DB5"/>
    <w:rsid w:val="002F09F3"/>
    <w:rsid w:val="002F4B84"/>
    <w:rsid w:val="00303B5D"/>
    <w:rsid w:val="00305A7F"/>
    <w:rsid w:val="00315280"/>
    <w:rsid w:val="003152FE"/>
    <w:rsid w:val="00323F3D"/>
    <w:rsid w:val="003240C6"/>
    <w:rsid w:val="00327436"/>
    <w:rsid w:val="0033507D"/>
    <w:rsid w:val="00344BD6"/>
    <w:rsid w:val="00347590"/>
    <w:rsid w:val="0035528D"/>
    <w:rsid w:val="0035627A"/>
    <w:rsid w:val="00361821"/>
    <w:rsid w:val="00371404"/>
    <w:rsid w:val="00374E52"/>
    <w:rsid w:val="003938D1"/>
    <w:rsid w:val="003C3E3A"/>
    <w:rsid w:val="003D227C"/>
    <w:rsid w:val="003D2B4D"/>
    <w:rsid w:val="003D5268"/>
    <w:rsid w:val="003E322A"/>
    <w:rsid w:val="003E4EAC"/>
    <w:rsid w:val="003F0534"/>
    <w:rsid w:val="00400991"/>
    <w:rsid w:val="00405BBE"/>
    <w:rsid w:val="00423475"/>
    <w:rsid w:val="00444A88"/>
    <w:rsid w:val="0045380F"/>
    <w:rsid w:val="00456F2A"/>
    <w:rsid w:val="004622E4"/>
    <w:rsid w:val="00474DA4"/>
    <w:rsid w:val="00476B4D"/>
    <w:rsid w:val="004805FA"/>
    <w:rsid w:val="00485BCC"/>
    <w:rsid w:val="0049138D"/>
    <w:rsid w:val="004A4D0E"/>
    <w:rsid w:val="004A6255"/>
    <w:rsid w:val="004B0C0F"/>
    <w:rsid w:val="004B2B03"/>
    <w:rsid w:val="004C0D70"/>
    <w:rsid w:val="004C25C1"/>
    <w:rsid w:val="004C2612"/>
    <w:rsid w:val="004C2F67"/>
    <w:rsid w:val="004C4BAF"/>
    <w:rsid w:val="004D047D"/>
    <w:rsid w:val="004D202D"/>
    <w:rsid w:val="004F305A"/>
    <w:rsid w:val="004F56F6"/>
    <w:rsid w:val="00503B4C"/>
    <w:rsid w:val="00504419"/>
    <w:rsid w:val="0051068B"/>
    <w:rsid w:val="00512164"/>
    <w:rsid w:val="00520297"/>
    <w:rsid w:val="00522E5D"/>
    <w:rsid w:val="00532F43"/>
    <w:rsid w:val="005338F9"/>
    <w:rsid w:val="005353CC"/>
    <w:rsid w:val="0054281C"/>
    <w:rsid w:val="00544142"/>
    <w:rsid w:val="00544B41"/>
    <w:rsid w:val="0055268D"/>
    <w:rsid w:val="00560A6D"/>
    <w:rsid w:val="00561097"/>
    <w:rsid w:val="00571F42"/>
    <w:rsid w:val="00576BE4"/>
    <w:rsid w:val="00577DE6"/>
    <w:rsid w:val="00590B54"/>
    <w:rsid w:val="005A400A"/>
    <w:rsid w:val="005C4777"/>
    <w:rsid w:val="005C7018"/>
    <w:rsid w:val="005E25AA"/>
    <w:rsid w:val="005E69CA"/>
    <w:rsid w:val="005E7BB7"/>
    <w:rsid w:val="005F05B6"/>
    <w:rsid w:val="00604278"/>
    <w:rsid w:val="00612379"/>
    <w:rsid w:val="006128CD"/>
    <w:rsid w:val="00612E92"/>
    <w:rsid w:val="0061555F"/>
    <w:rsid w:val="00627DAA"/>
    <w:rsid w:val="006345A5"/>
    <w:rsid w:val="006360C1"/>
    <w:rsid w:val="00641200"/>
    <w:rsid w:val="006428D5"/>
    <w:rsid w:val="00643221"/>
    <w:rsid w:val="006603C1"/>
    <w:rsid w:val="00663239"/>
    <w:rsid w:val="006655D3"/>
    <w:rsid w:val="0067078A"/>
    <w:rsid w:val="006727B5"/>
    <w:rsid w:val="00673B36"/>
    <w:rsid w:val="00687EB4"/>
    <w:rsid w:val="006975A9"/>
    <w:rsid w:val="006A090C"/>
    <w:rsid w:val="006A10B0"/>
    <w:rsid w:val="006B17D2"/>
    <w:rsid w:val="006B4C1F"/>
    <w:rsid w:val="006B6A21"/>
    <w:rsid w:val="006C224E"/>
    <w:rsid w:val="006C4E45"/>
    <w:rsid w:val="006C571D"/>
    <w:rsid w:val="006D4D7B"/>
    <w:rsid w:val="006D780A"/>
    <w:rsid w:val="006E4721"/>
    <w:rsid w:val="006E514C"/>
    <w:rsid w:val="006F2554"/>
    <w:rsid w:val="007137EB"/>
    <w:rsid w:val="00732DEC"/>
    <w:rsid w:val="00735BD5"/>
    <w:rsid w:val="007371C8"/>
    <w:rsid w:val="00742545"/>
    <w:rsid w:val="00743C2D"/>
    <w:rsid w:val="00743DC1"/>
    <w:rsid w:val="00744BB5"/>
    <w:rsid w:val="007556F6"/>
    <w:rsid w:val="00760DB2"/>
    <w:rsid w:val="00760EEF"/>
    <w:rsid w:val="00766B27"/>
    <w:rsid w:val="007676EC"/>
    <w:rsid w:val="0077250D"/>
    <w:rsid w:val="007725C5"/>
    <w:rsid w:val="00776633"/>
    <w:rsid w:val="00777EE5"/>
    <w:rsid w:val="00780E2C"/>
    <w:rsid w:val="00784836"/>
    <w:rsid w:val="0079023E"/>
    <w:rsid w:val="007940CC"/>
    <w:rsid w:val="007A2854"/>
    <w:rsid w:val="007A4CA1"/>
    <w:rsid w:val="007A4E51"/>
    <w:rsid w:val="007A5121"/>
    <w:rsid w:val="007A5B7C"/>
    <w:rsid w:val="007A6392"/>
    <w:rsid w:val="007B5A4C"/>
    <w:rsid w:val="007B66B8"/>
    <w:rsid w:val="007D0B9D"/>
    <w:rsid w:val="007D19B0"/>
    <w:rsid w:val="007D59A9"/>
    <w:rsid w:val="007F1F20"/>
    <w:rsid w:val="007F498F"/>
    <w:rsid w:val="007F6E11"/>
    <w:rsid w:val="0080679D"/>
    <w:rsid w:val="008108B0"/>
    <w:rsid w:val="00811B20"/>
    <w:rsid w:val="00812680"/>
    <w:rsid w:val="00813B45"/>
    <w:rsid w:val="00816CC7"/>
    <w:rsid w:val="00816FB4"/>
    <w:rsid w:val="0082296E"/>
    <w:rsid w:val="00824099"/>
    <w:rsid w:val="00825887"/>
    <w:rsid w:val="00833A89"/>
    <w:rsid w:val="008359FE"/>
    <w:rsid w:val="008402C8"/>
    <w:rsid w:val="008518D2"/>
    <w:rsid w:val="00867AC1"/>
    <w:rsid w:val="00875F08"/>
    <w:rsid w:val="0088043B"/>
    <w:rsid w:val="00886A8B"/>
    <w:rsid w:val="00895722"/>
    <w:rsid w:val="008A3C6D"/>
    <w:rsid w:val="008A743F"/>
    <w:rsid w:val="008B05B2"/>
    <w:rsid w:val="008B6109"/>
    <w:rsid w:val="008C0970"/>
    <w:rsid w:val="008D2CF7"/>
    <w:rsid w:val="008D34BA"/>
    <w:rsid w:val="008D5077"/>
    <w:rsid w:val="008D6641"/>
    <w:rsid w:val="008E31F3"/>
    <w:rsid w:val="008E4604"/>
    <w:rsid w:val="00900C26"/>
    <w:rsid w:val="0090197F"/>
    <w:rsid w:val="00901A3F"/>
    <w:rsid w:val="00906DDC"/>
    <w:rsid w:val="00917841"/>
    <w:rsid w:val="009316C4"/>
    <w:rsid w:val="00934E09"/>
    <w:rsid w:val="00936253"/>
    <w:rsid w:val="00944332"/>
    <w:rsid w:val="00945987"/>
    <w:rsid w:val="00947760"/>
    <w:rsid w:val="00952DD4"/>
    <w:rsid w:val="00965A10"/>
    <w:rsid w:val="00970EB5"/>
    <w:rsid w:val="00970FED"/>
    <w:rsid w:val="0097434A"/>
    <w:rsid w:val="00975A7C"/>
    <w:rsid w:val="00990657"/>
    <w:rsid w:val="0099091B"/>
    <w:rsid w:val="009936DC"/>
    <w:rsid w:val="00997029"/>
    <w:rsid w:val="009A0C8C"/>
    <w:rsid w:val="009A3538"/>
    <w:rsid w:val="009D30B6"/>
    <w:rsid w:val="009D690D"/>
    <w:rsid w:val="009E57AB"/>
    <w:rsid w:val="009E65B6"/>
    <w:rsid w:val="009E65F0"/>
    <w:rsid w:val="009F5071"/>
    <w:rsid w:val="009F7D0F"/>
    <w:rsid w:val="00A13BE6"/>
    <w:rsid w:val="00A22D2C"/>
    <w:rsid w:val="00A265E3"/>
    <w:rsid w:val="00A32192"/>
    <w:rsid w:val="00A36ABA"/>
    <w:rsid w:val="00A42AC3"/>
    <w:rsid w:val="00A430CF"/>
    <w:rsid w:val="00A4653A"/>
    <w:rsid w:val="00A46DE9"/>
    <w:rsid w:val="00A54309"/>
    <w:rsid w:val="00A56FAA"/>
    <w:rsid w:val="00A83F3A"/>
    <w:rsid w:val="00AB2B93"/>
    <w:rsid w:val="00AB5C70"/>
    <w:rsid w:val="00AB7E5B"/>
    <w:rsid w:val="00AC0177"/>
    <w:rsid w:val="00AC58A4"/>
    <w:rsid w:val="00AD26EC"/>
    <w:rsid w:val="00AE0EF1"/>
    <w:rsid w:val="00AE2937"/>
    <w:rsid w:val="00AE793E"/>
    <w:rsid w:val="00AF112F"/>
    <w:rsid w:val="00AF2134"/>
    <w:rsid w:val="00B02382"/>
    <w:rsid w:val="00B07301"/>
    <w:rsid w:val="00B14A1B"/>
    <w:rsid w:val="00B17732"/>
    <w:rsid w:val="00B224DE"/>
    <w:rsid w:val="00B46575"/>
    <w:rsid w:val="00B571DC"/>
    <w:rsid w:val="00B60441"/>
    <w:rsid w:val="00B706B3"/>
    <w:rsid w:val="00B715CC"/>
    <w:rsid w:val="00B84BBD"/>
    <w:rsid w:val="00B857E0"/>
    <w:rsid w:val="00B93720"/>
    <w:rsid w:val="00BA32FC"/>
    <w:rsid w:val="00BA43FB"/>
    <w:rsid w:val="00BA6252"/>
    <w:rsid w:val="00BA7766"/>
    <w:rsid w:val="00BB23C2"/>
    <w:rsid w:val="00BB2BD6"/>
    <w:rsid w:val="00BB5A73"/>
    <w:rsid w:val="00BB72AB"/>
    <w:rsid w:val="00BC127D"/>
    <w:rsid w:val="00BC1FE6"/>
    <w:rsid w:val="00BD534D"/>
    <w:rsid w:val="00BD5E7F"/>
    <w:rsid w:val="00BD6AA7"/>
    <w:rsid w:val="00BE02C7"/>
    <w:rsid w:val="00BE613C"/>
    <w:rsid w:val="00BF190C"/>
    <w:rsid w:val="00BF69E8"/>
    <w:rsid w:val="00BF7AE6"/>
    <w:rsid w:val="00C02456"/>
    <w:rsid w:val="00C061B6"/>
    <w:rsid w:val="00C125F5"/>
    <w:rsid w:val="00C2446C"/>
    <w:rsid w:val="00C36AE5"/>
    <w:rsid w:val="00C40EA5"/>
    <w:rsid w:val="00C41F17"/>
    <w:rsid w:val="00C431BE"/>
    <w:rsid w:val="00C43F20"/>
    <w:rsid w:val="00C51D44"/>
    <w:rsid w:val="00C5280D"/>
    <w:rsid w:val="00C5791C"/>
    <w:rsid w:val="00C651CE"/>
    <w:rsid w:val="00C66290"/>
    <w:rsid w:val="00C67BFC"/>
    <w:rsid w:val="00C72B7A"/>
    <w:rsid w:val="00C76EE9"/>
    <w:rsid w:val="00C804D4"/>
    <w:rsid w:val="00C90ECE"/>
    <w:rsid w:val="00C95616"/>
    <w:rsid w:val="00C973F2"/>
    <w:rsid w:val="00C97767"/>
    <w:rsid w:val="00CA304C"/>
    <w:rsid w:val="00CA774A"/>
    <w:rsid w:val="00CB14FD"/>
    <w:rsid w:val="00CC0CD3"/>
    <w:rsid w:val="00CC11B0"/>
    <w:rsid w:val="00CC722B"/>
    <w:rsid w:val="00CD0F0A"/>
    <w:rsid w:val="00CD178F"/>
    <w:rsid w:val="00CD3AC0"/>
    <w:rsid w:val="00CE47DD"/>
    <w:rsid w:val="00CF71CB"/>
    <w:rsid w:val="00CF798B"/>
    <w:rsid w:val="00CF7E36"/>
    <w:rsid w:val="00D00D30"/>
    <w:rsid w:val="00D0774B"/>
    <w:rsid w:val="00D12AAF"/>
    <w:rsid w:val="00D24319"/>
    <w:rsid w:val="00D260A0"/>
    <w:rsid w:val="00D32DEA"/>
    <w:rsid w:val="00D36F87"/>
    <w:rsid w:val="00D3708D"/>
    <w:rsid w:val="00D40426"/>
    <w:rsid w:val="00D4237F"/>
    <w:rsid w:val="00D51DE3"/>
    <w:rsid w:val="00D57C96"/>
    <w:rsid w:val="00D630E8"/>
    <w:rsid w:val="00D74017"/>
    <w:rsid w:val="00D75014"/>
    <w:rsid w:val="00D81BFB"/>
    <w:rsid w:val="00D91203"/>
    <w:rsid w:val="00D95174"/>
    <w:rsid w:val="00DA1A1B"/>
    <w:rsid w:val="00DA6F36"/>
    <w:rsid w:val="00DA7E69"/>
    <w:rsid w:val="00DB3D83"/>
    <w:rsid w:val="00DB596E"/>
    <w:rsid w:val="00DC00EA"/>
    <w:rsid w:val="00DC0CD8"/>
    <w:rsid w:val="00DC1903"/>
    <w:rsid w:val="00DC4BF8"/>
    <w:rsid w:val="00DE20F9"/>
    <w:rsid w:val="00DF2111"/>
    <w:rsid w:val="00E32F7E"/>
    <w:rsid w:val="00E35895"/>
    <w:rsid w:val="00E37BC2"/>
    <w:rsid w:val="00E44689"/>
    <w:rsid w:val="00E53D70"/>
    <w:rsid w:val="00E54141"/>
    <w:rsid w:val="00E607B4"/>
    <w:rsid w:val="00E72D49"/>
    <w:rsid w:val="00E737E0"/>
    <w:rsid w:val="00E7593C"/>
    <w:rsid w:val="00E7678A"/>
    <w:rsid w:val="00E84C93"/>
    <w:rsid w:val="00E8719E"/>
    <w:rsid w:val="00E935F1"/>
    <w:rsid w:val="00E93B7E"/>
    <w:rsid w:val="00E94A81"/>
    <w:rsid w:val="00EA1047"/>
    <w:rsid w:val="00EA1FFB"/>
    <w:rsid w:val="00EA5967"/>
    <w:rsid w:val="00EB048E"/>
    <w:rsid w:val="00EB0D97"/>
    <w:rsid w:val="00EB63E7"/>
    <w:rsid w:val="00ED20BB"/>
    <w:rsid w:val="00EE34DF"/>
    <w:rsid w:val="00EE7438"/>
    <w:rsid w:val="00EF2F89"/>
    <w:rsid w:val="00EF5AF4"/>
    <w:rsid w:val="00EF6554"/>
    <w:rsid w:val="00F04020"/>
    <w:rsid w:val="00F1237A"/>
    <w:rsid w:val="00F21872"/>
    <w:rsid w:val="00F22CBD"/>
    <w:rsid w:val="00F32060"/>
    <w:rsid w:val="00F406FC"/>
    <w:rsid w:val="00F42FFE"/>
    <w:rsid w:val="00F45372"/>
    <w:rsid w:val="00F560F7"/>
    <w:rsid w:val="00F56C99"/>
    <w:rsid w:val="00F62C90"/>
    <w:rsid w:val="00F6334D"/>
    <w:rsid w:val="00F769B8"/>
    <w:rsid w:val="00F80602"/>
    <w:rsid w:val="00F83AB5"/>
    <w:rsid w:val="00F9168F"/>
    <w:rsid w:val="00F92D69"/>
    <w:rsid w:val="00FA49AB"/>
    <w:rsid w:val="00FA4A51"/>
    <w:rsid w:val="00FB471C"/>
    <w:rsid w:val="00FC14D6"/>
    <w:rsid w:val="00FC393E"/>
    <w:rsid w:val="00FD7918"/>
    <w:rsid w:val="00FE39C7"/>
    <w:rsid w:val="00FE6D2F"/>
    <w:rsid w:val="00FF45AD"/>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50D"/>
    <w:pPr>
      <w:jc w:val="both"/>
    </w:pPr>
    <w:rPr>
      <w:rFonts w:ascii="Arial" w:hAnsi="Arial"/>
      <w:lang w:val="fr-FR"/>
    </w:rPr>
  </w:style>
  <w:style w:type="paragraph" w:styleId="Heading1">
    <w:name w:val="heading 1"/>
    <w:next w:val="Normal"/>
    <w:link w:val="Heading1Char"/>
    <w:autoRedefine/>
    <w:qFormat/>
    <w:rsid w:val="00FE6D2F"/>
    <w:pPr>
      <w:keepNext/>
      <w:outlineLvl w:val="0"/>
    </w:pPr>
    <w:rPr>
      <w:rFonts w:ascii="Arial" w:hAnsi="Arial"/>
      <w:b/>
      <w:caps/>
    </w:rPr>
  </w:style>
  <w:style w:type="paragraph" w:styleId="Heading2">
    <w:name w:val="heading 2"/>
    <w:next w:val="Normal"/>
    <w:link w:val="Heading2Char"/>
    <w:autoRedefine/>
    <w:qFormat/>
    <w:rsid w:val="00FE6D2F"/>
    <w:pPr>
      <w:keepNext/>
      <w:jc w:val="center"/>
      <w:outlineLvl w:val="1"/>
    </w:pPr>
    <w:rPr>
      <w:rFonts w:ascii="Arial Bold" w:hAnsi="Arial Bold" w:cs="Arial"/>
      <w:b/>
      <w:u w:val="single"/>
    </w:rPr>
  </w:style>
  <w:style w:type="paragraph" w:styleId="Heading3">
    <w:name w:val="heading 3"/>
    <w:next w:val="Normal"/>
    <w:link w:val="Heading3Char"/>
    <w:qFormat/>
    <w:rsid w:val="00FE6D2F"/>
    <w:pPr>
      <w:keepNext/>
      <w:jc w:val="center"/>
      <w:outlineLvl w:val="2"/>
    </w:pPr>
    <w:rPr>
      <w:rFonts w:ascii="Arial" w:eastAsiaTheme="minorHAnsi" w:hAnsi="Arial"/>
      <w:b/>
      <w:caps/>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4C2F67"/>
    <w:pPr>
      <w:keepNext/>
      <w:jc w:val="center"/>
      <w:outlineLvl w:val="4"/>
    </w:pPr>
    <w:rPr>
      <w:rFonts w:ascii="Arial" w:hAnsi="Arial"/>
      <w:b/>
      <w:u w:val="single"/>
      <w:lang w:val="fr-FR"/>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C43F20"/>
    <w:pPr>
      <w:tabs>
        <w:tab w:val="right" w:leader="dot" w:pos="9639"/>
      </w:tabs>
      <w:spacing w:before="120" w:after="120"/>
      <w:ind w:left="284"/>
    </w:pPr>
    <w:rPr>
      <w:rFonts w:ascii="Arial" w:hAnsi="Arial"/>
      <w:noProof/>
    </w:rPr>
  </w:style>
  <w:style w:type="paragraph" w:styleId="TOC3">
    <w:name w:val="toc 3"/>
    <w:next w:val="Normal"/>
    <w:autoRedefine/>
    <w:uiPriority w:val="39"/>
    <w:rsid w:val="00FE6D2F"/>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43F20"/>
    <w:pPr>
      <w:tabs>
        <w:tab w:val="right" w:leader="dot" w:pos="9639"/>
      </w:tabs>
      <w:spacing w:before="240" w:after="240"/>
      <w:ind w:left="284" w:right="284" w:hanging="284"/>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FE6D2F"/>
    <w:rPr>
      <w:rFonts w:ascii="Arial Bold" w:hAnsi="Arial Bold" w:cs="Arial"/>
      <w:b/>
      <w:u w:val="single"/>
    </w:rPr>
  </w:style>
  <w:style w:type="character" w:customStyle="1" w:styleId="Heading1Char">
    <w:name w:val="Heading 1 Char"/>
    <w:link w:val="Heading1"/>
    <w:rsid w:val="00FE6D2F"/>
    <w:rPr>
      <w:rFonts w:ascii="Arial" w:hAnsi="Arial"/>
      <w:b/>
      <w:caps/>
    </w:rPr>
  </w:style>
  <w:style w:type="character" w:customStyle="1" w:styleId="Heading3Char">
    <w:name w:val="Heading 3 Char"/>
    <w:link w:val="Heading3"/>
    <w:rsid w:val="00FE6D2F"/>
    <w:rPr>
      <w:rFonts w:ascii="Arial" w:eastAsiaTheme="minorHAnsi" w:hAnsi="Arial"/>
      <w:b/>
      <w:caps/>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4C2F67"/>
    <w:rPr>
      <w:rFonts w:ascii="Arial" w:hAnsi="Arial"/>
      <w:b/>
      <w:u w:val="single"/>
      <w:lang w:val="fr-FR"/>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pPr>
    <w:rPr>
      <w:rFonts w:ascii="Times New Roman" w:hAnsi="Times New Roman"/>
      <w:sz w:val="24"/>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50D"/>
    <w:pPr>
      <w:jc w:val="both"/>
    </w:pPr>
    <w:rPr>
      <w:rFonts w:ascii="Arial" w:hAnsi="Arial"/>
      <w:lang w:val="fr-FR"/>
    </w:rPr>
  </w:style>
  <w:style w:type="paragraph" w:styleId="Heading1">
    <w:name w:val="heading 1"/>
    <w:next w:val="Normal"/>
    <w:link w:val="Heading1Char"/>
    <w:autoRedefine/>
    <w:qFormat/>
    <w:rsid w:val="00FE6D2F"/>
    <w:pPr>
      <w:keepNext/>
      <w:outlineLvl w:val="0"/>
    </w:pPr>
    <w:rPr>
      <w:rFonts w:ascii="Arial" w:hAnsi="Arial"/>
      <w:b/>
      <w:caps/>
    </w:rPr>
  </w:style>
  <w:style w:type="paragraph" w:styleId="Heading2">
    <w:name w:val="heading 2"/>
    <w:next w:val="Normal"/>
    <w:link w:val="Heading2Char"/>
    <w:autoRedefine/>
    <w:qFormat/>
    <w:rsid w:val="00FE6D2F"/>
    <w:pPr>
      <w:keepNext/>
      <w:jc w:val="center"/>
      <w:outlineLvl w:val="1"/>
    </w:pPr>
    <w:rPr>
      <w:rFonts w:ascii="Arial Bold" w:hAnsi="Arial Bold" w:cs="Arial"/>
      <w:b/>
      <w:u w:val="single"/>
    </w:rPr>
  </w:style>
  <w:style w:type="paragraph" w:styleId="Heading3">
    <w:name w:val="heading 3"/>
    <w:next w:val="Normal"/>
    <w:link w:val="Heading3Char"/>
    <w:qFormat/>
    <w:rsid w:val="00FE6D2F"/>
    <w:pPr>
      <w:keepNext/>
      <w:jc w:val="center"/>
      <w:outlineLvl w:val="2"/>
    </w:pPr>
    <w:rPr>
      <w:rFonts w:ascii="Arial" w:eastAsiaTheme="minorHAnsi" w:hAnsi="Arial"/>
      <w:b/>
      <w:caps/>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4C2F67"/>
    <w:pPr>
      <w:keepNext/>
      <w:jc w:val="center"/>
      <w:outlineLvl w:val="4"/>
    </w:pPr>
    <w:rPr>
      <w:rFonts w:ascii="Arial" w:hAnsi="Arial"/>
      <w:b/>
      <w:u w:val="single"/>
      <w:lang w:val="fr-FR"/>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C43F20"/>
    <w:pPr>
      <w:tabs>
        <w:tab w:val="right" w:leader="dot" w:pos="9639"/>
      </w:tabs>
      <w:spacing w:before="120" w:after="120"/>
      <w:ind w:left="284"/>
    </w:pPr>
    <w:rPr>
      <w:rFonts w:ascii="Arial" w:hAnsi="Arial"/>
      <w:noProof/>
    </w:rPr>
  </w:style>
  <w:style w:type="paragraph" w:styleId="TOC3">
    <w:name w:val="toc 3"/>
    <w:next w:val="Normal"/>
    <w:autoRedefine/>
    <w:uiPriority w:val="39"/>
    <w:rsid w:val="00FE6D2F"/>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43F20"/>
    <w:pPr>
      <w:tabs>
        <w:tab w:val="right" w:leader="dot" w:pos="9639"/>
      </w:tabs>
      <w:spacing w:before="240" w:after="240"/>
      <w:ind w:left="284" w:right="284" w:hanging="284"/>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FE6D2F"/>
    <w:rPr>
      <w:rFonts w:ascii="Arial Bold" w:hAnsi="Arial Bold" w:cs="Arial"/>
      <w:b/>
      <w:u w:val="single"/>
    </w:rPr>
  </w:style>
  <w:style w:type="character" w:customStyle="1" w:styleId="Heading1Char">
    <w:name w:val="Heading 1 Char"/>
    <w:link w:val="Heading1"/>
    <w:rsid w:val="00FE6D2F"/>
    <w:rPr>
      <w:rFonts w:ascii="Arial" w:hAnsi="Arial"/>
      <w:b/>
      <w:caps/>
    </w:rPr>
  </w:style>
  <w:style w:type="character" w:customStyle="1" w:styleId="Heading3Char">
    <w:name w:val="Heading 3 Char"/>
    <w:link w:val="Heading3"/>
    <w:rsid w:val="00FE6D2F"/>
    <w:rPr>
      <w:rFonts w:ascii="Arial" w:eastAsiaTheme="minorHAnsi" w:hAnsi="Arial"/>
      <w:b/>
      <w:caps/>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4C2F67"/>
    <w:rPr>
      <w:rFonts w:ascii="Arial" w:hAnsi="Arial"/>
      <w:b/>
      <w:u w:val="single"/>
      <w:lang w:val="fr-FR"/>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pPr>
    <w:rPr>
      <w:rFonts w:ascii="Times New Roman" w:hAnsi="Times New Roman"/>
      <w:sz w:val="24"/>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450A-557C-43CF-B1AC-A38ADB68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28</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24</cp:revision>
  <cp:lastPrinted>2016-08-29T12:40:00Z</cp:lastPrinted>
  <dcterms:created xsi:type="dcterms:W3CDTF">2016-08-23T10:07:00Z</dcterms:created>
  <dcterms:modified xsi:type="dcterms:W3CDTF">2016-08-29T12:40:00Z</dcterms:modified>
</cp:coreProperties>
</file>