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9505F" w:rsidRPr="00F91BC8" w:rsidTr="00F9505F">
        <w:trPr>
          <w:trHeight w:val="1760"/>
        </w:trPr>
        <w:tc>
          <w:tcPr>
            <w:tcW w:w="4243" w:type="dxa"/>
          </w:tcPr>
          <w:p w:rsidR="00F9505F" w:rsidRPr="00F91BC8" w:rsidRDefault="00F9505F" w:rsidP="00F9505F"/>
        </w:tc>
        <w:tc>
          <w:tcPr>
            <w:tcW w:w="1646" w:type="dxa"/>
            <w:vAlign w:val="center"/>
          </w:tcPr>
          <w:p w:rsidR="00F9505F" w:rsidRPr="00971A29" w:rsidRDefault="008F403F" w:rsidP="00F9505F">
            <w:pPr>
              <w:pStyle w:val="LogoUPOV"/>
            </w:pPr>
            <w:r w:rsidRPr="00971A29">
              <w:rPr>
                <w:noProof/>
                <w:lang w:val="en-US"/>
              </w:rPr>
              <w:drawing>
                <wp:inline distT="0" distB="0" distL="0" distR="0" wp14:anchorId="49E2E2E0" wp14:editId="20267DA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9505F" w:rsidRPr="00971A29" w:rsidRDefault="00F9505F" w:rsidP="00F9505F">
            <w:pPr>
              <w:pStyle w:val="Lettrine"/>
            </w:pPr>
            <w:r w:rsidRPr="00971A29">
              <w:t>F</w:t>
            </w:r>
          </w:p>
          <w:p w:rsidR="00F9505F" w:rsidRPr="00971A29" w:rsidRDefault="003A243F" w:rsidP="008117A9">
            <w:pPr>
              <w:pStyle w:val="Docoriginal"/>
              <w:ind w:left="596"/>
            </w:pPr>
            <w:r w:rsidRPr="00971A29">
              <w:t>C/50/</w:t>
            </w:r>
            <w:bookmarkStart w:id="0" w:name="Code"/>
            <w:bookmarkEnd w:id="0"/>
            <w:r w:rsidR="00F91BC8" w:rsidRPr="00971A29">
              <w:t>16</w:t>
            </w:r>
          </w:p>
          <w:p w:rsidR="00F9505F" w:rsidRPr="00971A29" w:rsidRDefault="00F9505F" w:rsidP="008117A9">
            <w:pPr>
              <w:pStyle w:val="Docoriginal"/>
              <w:ind w:left="596"/>
              <w:jc w:val="left"/>
              <w:rPr>
                <w:b w:val="0"/>
                <w:spacing w:val="0"/>
              </w:rPr>
            </w:pPr>
            <w:r w:rsidRPr="00971A29">
              <w:rPr>
                <w:rStyle w:val="StyleDoclangBold"/>
                <w:b/>
                <w:bCs/>
                <w:spacing w:val="0"/>
                <w:lang w:val="fr-FR"/>
              </w:rPr>
              <w:t>ORIGINAL :</w:t>
            </w:r>
            <w:r w:rsidRPr="00971A29">
              <w:rPr>
                <w:rStyle w:val="StyleDocoriginalNotBold1"/>
                <w:spacing w:val="0"/>
                <w:lang w:val="fr-FR"/>
              </w:rPr>
              <w:t xml:space="preserve"> </w:t>
            </w:r>
            <w:bookmarkStart w:id="1" w:name="Original"/>
            <w:bookmarkEnd w:id="1"/>
            <w:r w:rsidRPr="00971A29">
              <w:rPr>
                <w:b w:val="0"/>
                <w:spacing w:val="0"/>
              </w:rPr>
              <w:t>anglais</w:t>
            </w:r>
            <w:r w:rsidR="00F91BC8" w:rsidRPr="00971A29">
              <w:rPr>
                <w:b w:val="0"/>
                <w:spacing w:val="0"/>
              </w:rPr>
              <w:t>/</w:t>
            </w:r>
            <w:r w:rsidR="008117A9">
              <w:rPr>
                <w:b w:val="0"/>
                <w:spacing w:val="0"/>
              </w:rPr>
              <w:t>espagnol/français</w:t>
            </w:r>
          </w:p>
          <w:p w:rsidR="00F9505F" w:rsidRPr="00F91BC8" w:rsidRDefault="00F9505F" w:rsidP="00E01F0E">
            <w:pPr>
              <w:pStyle w:val="Docoriginal"/>
              <w:ind w:left="596"/>
            </w:pPr>
            <w:r w:rsidRPr="00971A29">
              <w:rPr>
                <w:spacing w:val="0"/>
              </w:rPr>
              <w:t>DATE :</w:t>
            </w:r>
            <w:r w:rsidRPr="00971A29">
              <w:rPr>
                <w:rStyle w:val="StyleDocoriginalNotBold1"/>
                <w:spacing w:val="0"/>
                <w:lang w:val="fr-FR"/>
              </w:rPr>
              <w:t xml:space="preserve"> </w:t>
            </w:r>
            <w:bookmarkStart w:id="2" w:name="Date"/>
            <w:bookmarkEnd w:id="2"/>
            <w:r w:rsidR="00B91394">
              <w:rPr>
                <w:rStyle w:val="StyleDocoriginalNotBold1"/>
                <w:spacing w:val="0"/>
                <w:lang w:val="fr-FR"/>
              </w:rPr>
              <w:t>1</w:t>
            </w:r>
            <w:r w:rsidR="00E01F0E">
              <w:rPr>
                <w:rStyle w:val="StyleDocoriginalNotBold1"/>
                <w:spacing w:val="0"/>
                <w:lang w:val="fr-FR"/>
              </w:rPr>
              <w:t>8</w:t>
            </w:r>
            <w:r w:rsidR="008117A9">
              <w:rPr>
                <w:b w:val="0"/>
                <w:spacing w:val="0"/>
              </w:rPr>
              <w:t xml:space="preserve"> </w:t>
            </w:r>
            <w:r w:rsidR="00B91394">
              <w:rPr>
                <w:b w:val="0"/>
                <w:spacing w:val="0"/>
              </w:rPr>
              <w:t xml:space="preserve">septembre </w:t>
            </w:r>
            <w:r w:rsidR="008117A9">
              <w:rPr>
                <w:b w:val="0"/>
                <w:spacing w:val="0"/>
              </w:rPr>
              <w:t>2017</w:t>
            </w:r>
          </w:p>
        </w:tc>
      </w:tr>
      <w:tr w:rsidR="00F9505F" w:rsidRPr="00F91BC8" w:rsidTr="00F9505F">
        <w:tc>
          <w:tcPr>
            <w:tcW w:w="10131" w:type="dxa"/>
            <w:gridSpan w:val="3"/>
          </w:tcPr>
          <w:p w:rsidR="00F9505F" w:rsidRPr="00F91BC8" w:rsidRDefault="00F9505F" w:rsidP="00F9505F">
            <w:pPr>
              <w:pStyle w:val="upove"/>
              <w:rPr>
                <w:sz w:val="28"/>
              </w:rPr>
            </w:pPr>
            <w:r w:rsidRPr="00F91BC8">
              <w:rPr>
                <w:spacing w:val="6"/>
              </w:rPr>
              <w:t>UNION INTERNATIONALE POUR LA PROTECTION DES OBTENTIONS VÉGÉTALES</w:t>
            </w:r>
          </w:p>
        </w:tc>
      </w:tr>
      <w:tr w:rsidR="00F9505F" w:rsidRPr="00F91BC8" w:rsidTr="00F9505F">
        <w:tc>
          <w:tcPr>
            <w:tcW w:w="10131" w:type="dxa"/>
            <w:gridSpan w:val="3"/>
          </w:tcPr>
          <w:p w:rsidR="00F9505F" w:rsidRPr="00F91BC8" w:rsidRDefault="00F9505F" w:rsidP="00F9505F">
            <w:pPr>
              <w:pStyle w:val="Country"/>
            </w:pPr>
            <w:r w:rsidRPr="00F91BC8">
              <w:t>Genève</w:t>
            </w:r>
          </w:p>
        </w:tc>
      </w:tr>
    </w:tbl>
    <w:p w:rsidR="00F9505F" w:rsidRPr="00F91BC8" w:rsidRDefault="00F9505F" w:rsidP="00F9505F">
      <w:pPr>
        <w:pStyle w:val="Sessiontc"/>
      </w:pPr>
      <w:r w:rsidRPr="00F91BC8">
        <w:t>CONSEIL</w:t>
      </w:r>
    </w:p>
    <w:p w:rsidR="009D655A" w:rsidRPr="00F91BC8" w:rsidRDefault="003A243F" w:rsidP="009D655A">
      <w:pPr>
        <w:pStyle w:val="Sessiontcplacedate"/>
      </w:pPr>
      <w:bookmarkStart w:id="3" w:name="TitleOfDoc"/>
      <w:bookmarkEnd w:id="3"/>
      <w:r w:rsidRPr="00F91BC8">
        <w:t>Cinquantième</w:t>
      </w:r>
      <w:r w:rsidR="009D655A" w:rsidRPr="00F91BC8">
        <w:t xml:space="preserve"> session ordinaire</w:t>
      </w:r>
      <w:r w:rsidR="009D655A" w:rsidRPr="00F91BC8">
        <w:br/>
        <w:t>Genève, 2</w:t>
      </w:r>
      <w:r w:rsidRPr="00F91BC8">
        <w:t>8</w:t>
      </w:r>
      <w:r w:rsidR="009D655A" w:rsidRPr="00F91BC8">
        <w:t xml:space="preserve"> octobre 201</w:t>
      </w:r>
      <w:r w:rsidRPr="00F91BC8">
        <w:t>6</w:t>
      </w:r>
    </w:p>
    <w:p w:rsidR="00F91BC8" w:rsidRPr="00F91BC8" w:rsidRDefault="008117A9" w:rsidP="00F91BC8">
      <w:pPr>
        <w:pStyle w:val="Titleofdoc0"/>
      </w:pPr>
      <w:r>
        <w:t>Additif au document c/50/16</w:t>
      </w:r>
      <w:r>
        <w:br/>
      </w:r>
      <w:r>
        <w:br/>
      </w:r>
      <w:r w:rsidR="00F91BC8" w:rsidRPr="00F91BC8">
        <w:t>RAPPORTS DES REPRÉSENTANTS DES MEMBRES ET DES OBSERVATEURS SUR LA SITUATION DANS LES DOMAINES LÉGISLATIF, ADMINISTRATIF ET TECHNIQUE</w:t>
      </w:r>
    </w:p>
    <w:p w:rsidR="00F91BC8" w:rsidRPr="00F91BC8" w:rsidRDefault="00F91BC8" w:rsidP="00F91BC8">
      <w:pPr>
        <w:pStyle w:val="preparedby1"/>
        <w:rPr>
          <w:color w:val="A6A6A6" w:themeColor="background1" w:themeShade="A6"/>
        </w:rPr>
      </w:pPr>
      <w:bookmarkStart w:id="4" w:name="Prepared"/>
      <w:bookmarkEnd w:id="4"/>
      <w:r w:rsidRPr="00F91BC8">
        <w:t>Document établi par le Bureau de l’Union</w:t>
      </w:r>
      <w:r w:rsidRPr="00F91BC8">
        <w:br/>
      </w:r>
      <w:r w:rsidRPr="00F91BC8">
        <w:br/>
      </w:r>
      <w:r w:rsidRPr="00F91BC8">
        <w:rPr>
          <w:color w:val="A6A6A6" w:themeColor="background1" w:themeShade="A6"/>
        </w:rPr>
        <w:t>Avertissement : le présent document ne représente pas les principes ou les orientations de l’UPOV</w:t>
      </w:r>
    </w:p>
    <w:p w:rsidR="008117A9" w:rsidRPr="00FA0A3D" w:rsidRDefault="008117A9" w:rsidP="008117A9">
      <w:pPr>
        <w:rPr>
          <w:snapToGrid w:val="0"/>
        </w:rPr>
      </w:pPr>
      <w:r w:rsidRPr="00CD4782">
        <w:rPr>
          <w:snapToGrid w:val="0"/>
        </w:rPr>
        <w:t xml:space="preserve">Les rapports ci-dessous ont été reçus après la date limite du </w:t>
      </w:r>
      <w:r>
        <w:rPr>
          <w:snapToGrid w:val="0"/>
        </w:rPr>
        <w:t>2</w:t>
      </w:r>
      <w:r w:rsidRPr="00CD4782">
        <w:rPr>
          <w:snapToGrid w:val="0"/>
        </w:rPr>
        <w:t xml:space="preserve"> septembre 201</w:t>
      </w:r>
      <w:r>
        <w:rPr>
          <w:snapToGrid w:val="0"/>
        </w:rPr>
        <w:t>6</w:t>
      </w:r>
      <w:r w:rsidRPr="00CD4782">
        <w:rPr>
          <w:snapToGrid w:val="0"/>
        </w:rPr>
        <w:t xml:space="preserve"> (dans l’ordre alphabétique</w:t>
      </w:r>
      <w:r>
        <w:rPr>
          <w:snapToGrid w:val="0"/>
        </w:rPr>
        <w:t xml:space="preserve"> </w:t>
      </w:r>
      <w:r w:rsidRPr="00CD4782">
        <w:rPr>
          <w:snapToGrid w:val="0"/>
        </w:rPr>
        <w:t>des noms en français) :</w:t>
      </w:r>
    </w:p>
    <w:p w:rsidR="00F91BC8" w:rsidRPr="00F91BC8" w:rsidRDefault="00F91BC8" w:rsidP="00F91BC8">
      <w:pPr>
        <w:rPr>
          <w:snapToGrid w:val="0"/>
        </w:rPr>
      </w:pPr>
    </w:p>
    <w:p w:rsidR="00F91BC8" w:rsidRDefault="00F91BC8" w:rsidP="00F91BC8">
      <w:pPr>
        <w:ind w:left="567"/>
      </w:pPr>
      <w:r w:rsidRPr="00F91BC8">
        <w:rPr>
          <w:snapToGrid w:val="0"/>
          <w:u w:val="single"/>
        </w:rPr>
        <w:t>Membres</w:t>
      </w:r>
      <w:r w:rsidRPr="00F91BC8">
        <w:rPr>
          <w:snapToGrid w:val="0"/>
        </w:rPr>
        <w:t xml:space="preserve"> : annexes I à </w:t>
      </w:r>
      <w:r w:rsidR="008117A9">
        <w:rPr>
          <w:snapToGrid w:val="0"/>
        </w:rPr>
        <w:t>III</w:t>
      </w:r>
      <w:r w:rsidRPr="00F91BC8">
        <w:rPr>
          <w:snapToGrid w:val="0"/>
        </w:rPr>
        <w:t xml:space="preserve"> : </w:t>
      </w:r>
      <w:r w:rsidR="008117A9">
        <w:t>Colombie, Tunisie et Ukraine</w:t>
      </w:r>
    </w:p>
    <w:p w:rsidR="008117A9" w:rsidRDefault="008117A9" w:rsidP="00F91BC8">
      <w:pPr>
        <w:ind w:left="567"/>
      </w:pPr>
    </w:p>
    <w:p w:rsidR="00F91BC8" w:rsidRDefault="008117A9" w:rsidP="00F91BC8">
      <w:pPr>
        <w:ind w:left="567"/>
        <w:rPr>
          <w:szCs w:val="24"/>
        </w:rPr>
      </w:pPr>
      <w:r>
        <w:rPr>
          <w:u w:val="single"/>
        </w:rPr>
        <w:t>Observateur</w:t>
      </w:r>
      <w:r w:rsidRPr="008117A9">
        <w:t> </w:t>
      </w:r>
      <w:r>
        <w:t>: annexe IV </w:t>
      </w:r>
      <w:proofErr w:type="gramStart"/>
      <w:r>
        <w:t xml:space="preserve">:  </w:t>
      </w:r>
      <w:r w:rsidRPr="008117A9">
        <w:rPr>
          <w:szCs w:val="24"/>
        </w:rPr>
        <w:t>Organisation</w:t>
      </w:r>
      <w:proofErr w:type="gramEnd"/>
      <w:r w:rsidRPr="008117A9">
        <w:rPr>
          <w:szCs w:val="24"/>
        </w:rPr>
        <w:t xml:space="preserve"> régionale africaine de la propriété intellectuelle (ARIPO)</w:t>
      </w:r>
    </w:p>
    <w:p w:rsidR="008117A9" w:rsidRDefault="008117A9" w:rsidP="00F91BC8">
      <w:pPr>
        <w:ind w:left="567"/>
        <w:rPr>
          <w:szCs w:val="24"/>
        </w:rPr>
      </w:pPr>
    </w:p>
    <w:p w:rsidR="0023155E" w:rsidRPr="004F3AB8" w:rsidRDefault="0023155E" w:rsidP="0023155E">
      <w:pPr>
        <w:pStyle w:val="endofdoc"/>
        <w:rPr>
          <w:snapToGrid w:val="0"/>
          <w:lang w:val="fr-FR"/>
        </w:rPr>
      </w:pPr>
      <w:r w:rsidRPr="004F3AB8">
        <w:rPr>
          <w:snapToGrid w:val="0"/>
          <w:lang w:val="fr-FR"/>
        </w:rPr>
        <w:t>[Les annexes suivent]</w:t>
      </w:r>
    </w:p>
    <w:p w:rsidR="00900C26" w:rsidRDefault="00900C26" w:rsidP="0023155E"/>
    <w:p w:rsidR="0068479C" w:rsidRDefault="0068479C" w:rsidP="0023155E">
      <w:pPr>
        <w:sectPr w:rsidR="0068479C" w:rsidSect="00906DDC">
          <w:headerReference w:type="default" r:id="rId10"/>
          <w:pgSz w:w="11907" w:h="16840" w:code="9"/>
          <w:pgMar w:top="510" w:right="1134" w:bottom="1134" w:left="1134" w:header="510" w:footer="680" w:gutter="0"/>
          <w:cols w:space="720"/>
          <w:titlePg/>
        </w:sectPr>
      </w:pPr>
    </w:p>
    <w:p w:rsidR="0068479C" w:rsidRPr="004F3AB8" w:rsidRDefault="0068479C" w:rsidP="0068479C">
      <w:pPr>
        <w:jc w:val="center"/>
      </w:pPr>
      <w:r>
        <w:lastRenderedPageBreak/>
        <w:t>C/50/16</w:t>
      </w:r>
      <w:r w:rsidR="003274A7">
        <w:t xml:space="preserve"> </w:t>
      </w:r>
      <w:proofErr w:type="spellStart"/>
      <w:r w:rsidR="003274A7">
        <w:t>Add</w:t>
      </w:r>
      <w:proofErr w:type="spellEnd"/>
      <w:r w:rsidR="003274A7">
        <w:t>.</w:t>
      </w:r>
    </w:p>
    <w:p w:rsidR="0068479C" w:rsidRPr="004F3AB8" w:rsidRDefault="0068479C" w:rsidP="0068479C">
      <w:pPr>
        <w:jc w:val="center"/>
      </w:pPr>
    </w:p>
    <w:p w:rsidR="0068479C" w:rsidRPr="004F3AB8" w:rsidRDefault="0068479C" w:rsidP="0068479C">
      <w:pPr>
        <w:jc w:val="center"/>
      </w:pPr>
      <w:r w:rsidRPr="004F3AB8">
        <w:t>ANNEXE I</w:t>
      </w:r>
    </w:p>
    <w:p w:rsidR="0068479C" w:rsidRPr="004F3AB8" w:rsidRDefault="0068479C" w:rsidP="0068479C">
      <w:pPr>
        <w:jc w:val="center"/>
      </w:pPr>
    </w:p>
    <w:p w:rsidR="0068479C" w:rsidRPr="004F3AB8" w:rsidRDefault="0068479C" w:rsidP="0068479C">
      <w:pPr>
        <w:jc w:val="center"/>
      </w:pPr>
    </w:p>
    <w:p w:rsidR="0068479C" w:rsidRPr="004F3AB8" w:rsidRDefault="003274A7" w:rsidP="0068479C">
      <w:pPr>
        <w:jc w:val="center"/>
      </w:pPr>
      <w:r>
        <w:t>COLOMBIE</w:t>
      </w:r>
    </w:p>
    <w:p w:rsidR="0068479C" w:rsidRPr="004F3AB8" w:rsidRDefault="0068479C" w:rsidP="0068479C">
      <w:pPr>
        <w:jc w:val="left"/>
      </w:pPr>
    </w:p>
    <w:p w:rsidR="00C85DD2" w:rsidRPr="009365DD" w:rsidRDefault="00C85DD2" w:rsidP="00C85DD2">
      <w:pPr>
        <w:jc w:val="center"/>
      </w:pPr>
      <w:r w:rsidRPr="009365DD">
        <w:rPr>
          <w:color w:val="000000"/>
        </w:rPr>
        <w:t>(Période : octobre 2015 – septembre 2016)</w:t>
      </w:r>
    </w:p>
    <w:p w:rsidR="00C85DD2" w:rsidRDefault="00C85DD2" w:rsidP="00C85DD2"/>
    <w:p w:rsidR="00C85DD2" w:rsidRPr="0004548F" w:rsidRDefault="00C85DD2" w:rsidP="00C85DD2"/>
    <w:p w:rsidR="00C85DD2" w:rsidRPr="0004548F" w:rsidRDefault="00C85DD2" w:rsidP="00C85DD2">
      <w:r w:rsidRPr="0004548F">
        <w:t>PROTECTION DES OBTENTIONS VÉGÉTALES</w:t>
      </w:r>
    </w:p>
    <w:p w:rsidR="00C85DD2" w:rsidRPr="0004548F" w:rsidRDefault="00C85DD2" w:rsidP="00C85DD2">
      <w:pPr>
        <w:rPr>
          <w:rFonts w:cs="Arial"/>
        </w:rPr>
      </w:pPr>
    </w:p>
    <w:p w:rsidR="00C85DD2" w:rsidRPr="0004548F" w:rsidRDefault="00C85DD2" w:rsidP="00C85DD2">
      <w:pPr>
        <w:rPr>
          <w:rFonts w:cs="Arial"/>
          <w:u w:val="single"/>
        </w:rPr>
      </w:pPr>
      <w:r w:rsidRPr="0004548F">
        <w:rPr>
          <w:rFonts w:cs="Arial"/>
          <w:u w:val="single"/>
        </w:rPr>
        <w:t>Législation</w:t>
      </w:r>
    </w:p>
    <w:p w:rsidR="00C85DD2" w:rsidRPr="009365DD" w:rsidRDefault="00C85DD2" w:rsidP="00C85DD2">
      <w:pPr>
        <w:rPr>
          <w:rFonts w:cs="Arial"/>
          <w:u w:val="single"/>
        </w:rPr>
      </w:pPr>
    </w:p>
    <w:p w:rsidR="00C85DD2" w:rsidRPr="009365DD" w:rsidRDefault="00C85DD2" w:rsidP="00C85D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rPr>
      </w:pPr>
      <w:r w:rsidRPr="009365DD">
        <w:rPr>
          <w:rFonts w:cs="Arial"/>
          <w:color w:val="000000"/>
        </w:rPr>
        <w:t xml:space="preserve">Au cours de la période considérée, l’Institut colombien de l’agriculture et de l’élevage (ICA) a rendu les décisions 03328 et 3594 de 2015, assumant ainsi les fonctions accordées par la loi n° 1564 de 2012 en ce qui concerne les procédures </w:t>
      </w:r>
      <w:r>
        <w:rPr>
          <w:rFonts w:cs="Arial"/>
          <w:color w:val="000000"/>
        </w:rPr>
        <w:t xml:space="preserve">judiciaires pour </w:t>
      </w:r>
      <w:r w:rsidRPr="009365DD">
        <w:rPr>
          <w:rFonts w:cs="Arial"/>
          <w:color w:val="000000"/>
        </w:rPr>
        <w:t>atteinte</w:t>
      </w:r>
      <w:r>
        <w:rPr>
          <w:rFonts w:cs="Arial"/>
          <w:color w:val="000000"/>
        </w:rPr>
        <w:t>s</w:t>
      </w:r>
      <w:r w:rsidRPr="009365DD">
        <w:rPr>
          <w:rFonts w:cs="Arial"/>
          <w:color w:val="000000"/>
        </w:rPr>
        <w:t xml:space="preserve"> aux droits d’obtenteurs.</w:t>
      </w:r>
    </w:p>
    <w:p w:rsidR="00C85DD2" w:rsidRPr="009365DD" w:rsidRDefault="00C85DD2" w:rsidP="00C85DD2">
      <w:pPr>
        <w:suppressAutoHyphens/>
        <w:rPr>
          <w:rFonts w:cs="Arial"/>
        </w:rPr>
      </w:pPr>
    </w:p>
    <w:p w:rsidR="00C85DD2" w:rsidRPr="009365DD" w:rsidRDefault="00C85DD2" w:rsidP="00C85DD2">
      <w:pPr>
        <w:suppressAutoHyphens/>
        <w:rPr>
          <w:rFonts w:cs="Arial"/>
        </w:rPr>
      </w:pPr>
    </w:p>
    <w:p w:rsidR="00C85DD2" w:rsidRPr="009365DD" w:rsidRDefault="00C85DD2" w:rsidP="00C85DD2">
      <w:pPr>
        <w:rPr>
          <w:rFonts w:cs="Arial"/>
          <w:u w:val="single"/>
        </w:rPr>
      </w:pPr>
      <w:r w:rsidRPr="009365DD">
        <w:rPr>
          <w:rFonts w:cs="Arial"/>
          <w:color w:val="000000"/>
          <w:u w:val="single"/>
        </w:rPr>
        <w:t>Faits nouveaux dans les domaines administratif et technique</w:t>
      </w:r>
    </w:p>
    <w:p w:rsidR="00C85DD2" w:rsidRPr="009365DD" w:rsidRDefault="00C85DD2" w:rsidP="00C85DD2">
      <w:pPr>
        <w:autoSpaceDE w:val="0"/>
        <w:autoSpaceDN w:val="0"/>
        <w:adjustRightInd w:val="0"/>
        <w:rPr>
          <w:rFonts w:cs="Arial"/>
        </w:rPr>
      </w:pPr>
    </w:p>
    <w:p w:rsidR="00C85DD2" w:rsidRPr="009365DD" w:rsidRDefault="00C85DD2" w:rsidP="00C85DD2">
      <w:pPr>
        <w:autoSpaceDE w:val="0"/>
        <w:autoSpaceDN w:val="0"/>
        <w:adjustRightInd w:val="0"/>
        <w:rPr>
          <w:rFonts w:cs="Arial"/>
        </w:rPr>
      </w:pPr>
      <w:r w:rsidRPr="009365DD">
        <w:rPr>
          <w:rFonts w:cs="Arial"/>
          <w:color w:val="000000"/>
        </w:rPr>
        <w:t>Comme le montre la figure n° 1, entre octobre 2015 et septembre 2016, 119</w:t>
      </w:r>
      <w:r>
        <w:rPr>
          <w:rFonts w:cs="Arial"/>
          <w:color w:val="000000"/>
        </w:rPr>
        <w:t> </w:t>
      </w:r>
      <w:r w:rsidRPr="009365DD">
        <w:rPr>
          <w:rFonts w:cs="Arial"/>
          <w:color w:val="000000"/>
        </w:rPr>
        <w:t>demandes de différents pays ont été reçues, examinées et traitées.  Les variétés qui ont fait l’objet d’une demande sont le rosier, le chrysanthème, l’airelle, l’œillet, l’</w:t>
      </w:r>
      <w:proofErr w:type="spellStart"/>
      <w:r w:rsidRPr="009365DD">
        <w:rPr>
          <w:rFonts w:cs="Arial"/>
          <w:color w:val="000000"/>
        </w:rPr>
        <w:t>alstrœmère</w:t>
      </w:r>
      <w:proofErr w:type="spellEnd"/>
      <w:r w:rsidRPr="009365DD">
        <w:rPr>
          <w:rFonts w:cs="Arial"/>
          <w:color w:val="000000"/>
        </w:rPr>
        <w:t xml:space="preserve">, le riz et la coriandre.  Sept examens de </w:t>
      </w:r>
      <w:r>
        <w:rPr>
          <w:rFonts w:cs="Arial"/>
          <w:color w:val="000000"/>
        </w:rPr>
        <w:t xml:space="preserve">la </w:t>
      </w:r>
      <w:r w:rsidRPr="009365DD">
        <w:rPr>
          <w:rFonts w:cs="Arial"/>
          <w:color w:val="000000"/>
        </w:rPr>
        <w:t>distinction, d</w:t>
      </w:r>
      <w:r>
        <w:rPr>
          <w:rFonts w:cs="Arial"/>
          <w:color w:val="000000"/>
        </w:rPr>
        <w:t>e l</w:t>
      </w:r>
      <w:r w:rsidRPr="009365DD">
        <w:rPr>
          <w:rFonts w:cs="Arial"/>
          <w:color w:val="000000"/>
        </w:rPr>
        <w:t xml:space="preserve">’homogénéité et de </w:t>
      </w:r>
      <w:r>
        <w:rPr>
          <w:rFonts w:cs="Arial"/>
          <w:color w:val="000000"/>
        </w:rPr>
        <w:t xml:space="preserve">la </w:t>
      </w:r>
      <w:r w:rsidRPr="009365DD">
        <w:rPr>
          <w:rFonts w:cs="Arial"/>
          <w:color w:val="000000"/>
        </w:rPr>
        <w:t>stabilité (DHS) ont été effectués sur des nouvelles variétés de riz et de coton</w:t>
      </w:r>
      <w:r>
        <w:rPr>
          <w:rFonts w:cs="Arial"/>
          <w:color w:val="000000"/>
        </w:rPr>
        <w:t>nier</w:t>
      </w:r>
      <w:r w:rsidRPr="009365DD">
        <w:rPr>
          <w:rFonts w:cs="Arial"/>
          <w:color w:val="000000"/>
        </w:rPr>
        <w:t xml:space="preserve"> et des variétés candidates de café</w:t>
      </w:r>
      <w:r>
        <w:rPr>
          <w:rFonts w:cs="Arial"/>
          <w:color w:val="000000"/>
        </w:rPr>
        <w:t>ier</w:t>
      </w:r>
      <w:r w:rsidRPr="009365DD">
        <w:rPr>
          <w:rFonts w:cs="Arial"/>
          <w:color w:val="000000"/>
        </w:rPr>
        <w:t xml:space="preserve"> ont été évaluées.  Cinquante-quatre certificats d’obtenteur ont été délivrés pour différents pays comme le montre la figure n° 2.</w:t>
      </w:r>
    </w:p>
    <w:p w:rsidR="00C85DD2" w:rsidRPr="009365DD" w:rsidRDefault="00C85DD2" w:rsidP="00C85DD2">
      <w:pPr>
        <w:rPr>
          <w:rFonts w:cs="Arial"/>
        </w:rPr>
      </w:pPr>
    </w:p>
    <w:p w:rsidR="00C85DD2" w:rsidRPr="009365DD" w:rsidRDefault="00C85DD2" w:rsidP="00C85DD2">
      <w:pPr>
        <w:rPr>
          <w:rFonts w:cs="Arial"/>
        </w:rPr>
      </w:pPr>
      <w:r w:rsidRPr="009365DD">
        <w:rPr>
          <w:rFonts w:cs="Arial"/>
          <w:color w:val="000000"/>
        </w:rPr>
        <w:t xml:space="preserve">L’Institut colombien de l’agriculture et de l’élevage a agi en tant qu’autorité nationale compétente en matière de droits d’obtenteurs et en qualité d’expert technique désigné pour l’identification de variétés végétales protégées lors de diverses procédures judiciaires </w:t>
      </w:r>
      <w:r>
        <w:rPr>
          <w:rFonts w:cs="Arial"/>
          <w:color w:val="000000"/>
        </w:rPr>
        <w:t xml:space="preserve">pour </w:t>
      </w:r>
      <w:r w:rsidRPr="009365DD">
        <w:rPr>
          <w:rFonts w:cs="Arial"/>
          <w:color w:val="000000"/>
        </w:rPr>
        <w:t>atteinte</w:t>
      </w:r>
      <w:r>
        <w:rPr>
          <w:rFonts w:cs="Arial"/>
          <w:color w:val="000000"/>
        </w:rPr>
        <w:t>s</w:t>
      </w:r>
      <w:r w:rsidRPr="009365DD">
        <w:rPr>
          <w:rFonts w:cs="Arial"/>
          <w:color w:val="000000"/>
        </w:rPr>
        <w:t xml:space="preserve"> aux droits d’obtenteurs.  Le rôle de l’institut en tant qu’expert technique et expert en procédures judiciaires s’est ainsi développé.  En cette dernière qualité, l’institut a permis d’éclaircir divers concepts et a pu apporter son expertise en matière d’atteinte aux droits d’obtenteurs.  Le </w:t>
      </w:r>
      <w:r>
        <w:rPr>
          <w:rFonts w:cs="Arial"/>
          <w:color w:val="000000"/>
        </w:rPr>
        <w:t xml:space="preserve">volume </w:t>
      </w:r>
      <w:r w:rsidRPr="009365DD">
        <w:rPr>
          <w:rFonts w:cs="Arial"/>
          <w:color w:val="000000"/>
        </w:rPr>
        <w:t>n° 18 du Bulletin des variétés végétales protégées a été élaboré et publié.</w:t>
      </w:r>
    </w:p>
    <w:p w:rsidR="00C85DD2" w:rsidRPr="009365DD" w:rsidRDefault="00C85DD2" w:rsidP="00C85DD2"/>
    <w:p w:rsidR="00C85DD2" w:rsidRPr="009365DD" w:rsidRDefault="00C85DD2" w:rsidP="00C85DD2"/>
    <w:p w:rsidR="00C85DD2" w:rsidRPr="009365DD" w:rsidRDefault="00C85DD2" w:rsidP="00C85DD2">
      <w:pPr>
        <w:jc w:val="center"/>
        <w:rPr>
          <w:rFonts w:cs="Arial"/>
          <w:b/>
        </w:rPr>
      </w:pPr>
      <w:r w:rsidRPr="009365DD">
        <w:rPr>
          <w:rFonts w:cs="Arial"/>
          <w:b/>
          <w:color w:val="000000"/>
        </w:rPr>
        <w:t>Figure 1</w:t>
      </w:r>
      <w:r>
        <w:rPr>
          <w:rFonts w:cs="Arial"/>
          <w:b/>
          <w:color w:val="000000"/>
        </w:rPr>
        <w:t xml:space="preserve">. </w:t>
      </w:r>
      <w:r w:rsidRPr="009365DD">
        <w:rPr>
          <w:rFonts w:cs="Arial"/>
          <w:b/>
          <w:color w:val="000000"/>
        </w:rPr>
        <w:t xml:space="preserve"> Demandes reçues par espèces</w:t>
      </w:r>
    </w:p>
    <w:p w:rsidR="00C85DD2" w:rsidRPr="009365DD" w:rsidRDefault="00C85DD2" w:rsidP="00C85DD2">
      <w:pPr>
        <w:jc w:val="center"/>
        <w:rPr>
          <w:rFonts w:cs="Arial"/>
          <w:b/>
        </w:rPr>
      </w:pPr>
      <w:r w:rsidRPr="009365DD">
        <w:rPr>
          <w:rFonts w:cs="Arial"/>
          <w:b/>
          <w:color w:val="000000"/>
        </w:rPr>
        <w:t>octobre 2015 – septembre 2016 (inclus)</w:t>
      </w:r>
    </w:p>
    <w:p w:rsidR="00C85DD2" w:rsidRPr="009365DD" w:rsidRDefault="00C85DD2" w:rsidP="00C85DD2">
      <w:pPr>
        <w:jc w:val="center"/>
        <w:rPr>
          <w:rFonts w:cs="Arial"/>
        </w:rPr>
      </w:pPr>
    </w:p>
    <w:p w:rsidR="00C85DD2" w:rsidRPr="009365DD" w:rsidRDefault="00C85DD2" w:rsidP="00C85DD2">
      <w:pPr>
        <w:jc w:val="center"/>
      </w:pPr>
      <w:r>
        <w:rPr>
          <w:noProof/>
          <w:lang w:val="en-US"/>
        </w:rPr>
        <w:drawing>
          <wp:inline distT="0" distB="0" distL="0" distR="0" wp14:anchorId="42AE1D01" wp14:editId="2C9B81A3">
            <wp:extent cx="5438775" cy="3452813"/>
            <wp:effectExtent l="0" t="0" r="952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5DD2" w:rsidRPr="009365DD" w:rsidRDefault="00C85DD2" w:rsidP="00C85DD2"/>
    <w:p w:rsidR="00C85DD2" w:rsidRDefault="00C85DD2" w:rsidP="00C85DD2">
      <w:pPr>
        <w:keepNext/>
        <w:jc w:val="center"/>
        <w:rPr>
          <w:rFonts w:cs="Arial"/>
          <w:b/>
          <w:bCs/>
          <w:color w:val="000000"/>
        </w:rPr>
      </w:pPr>
    </w:p>
    <w:p w:rsidR="00C85DD2" w:rsidRPr="009365DD" w:rsidRDefault="00C85DD2" w:rsidP="00C85DD2">
      <w:pPr>
        <w:keepNext/>
        <w:jc w:val="center"/>
        <w:rPr>
          <w:rFonts w:cs="Arial"/>
          <w:b/>
          <w:bCs/>
        </w:rPr>
      </w:pPr>
      <w:r w:rsidRPr="009365DD">
        <w:rPr>
          <w:rFonts w:cs="Arial"/>
          <w:b/>
          <w:bCs/>
          <w:color w:val="000000"/>
        </w:rPr>
        <w:t>Figure 2</w:t>
      </w:r>
      <w:r>
        <w:rPr>
          <w:rFonts w:cs="Arial"/>
          <w:b/>
          <w:bCs/>
          <w:color w:val="000000"/>
        </w:rPr>
        <w:t xml:space="preserve">.  </w:t>
      </w:r>
      <w:r w:rsidRPr="009365DD">
        <w:rPr>
          <w:rFonts w:cs="Arial"/>
          <w:b/>
          <w:bCs/>
          <w:color w:val="000000"/>
        </w:rPr>
        <w:t>Certificats délivrés entre octobre 2015 et septembre 2016</w:t>
      </w:r>
    </w:p>
    <w:p w:rsidR="00C85DD2" w:rsidRPr="009365DD" w:rsidRDefault="00C85DD2" w:rsidP="00C85DD2">
      <w:pPr>
        <w:keepNext/>
        <w:jc w:val="center"/>
        <w:rPr>
          <w:rFonts w:cs="Arial"/>
          <w:b/>
          <w:bCs/>
        </w:rPr>
      </w:pPr>
    </w:p>
    <w:p w:rsidR="00C85DD2" w:rsidRPr="009365DD" w:rsidRDefault="00C85DD2" w:rsidP="00C85DD2">
      <w:pPr>
        <w:jc w:val="center"/>
      </w:pPr>
      <w:r>
        <w:rPr>
          <w:noProof/>
          <w:lang w:val="en-US"/>
        </w:rPr>
        <w:drawing>
          <wp:inline distT="0" distB="0" distL="0" distR="0" wp14:anchorId="64C90E9F" wp14:editId="1042E3C0">
            <wp:extent cx="5943600" cy="3382645"/>
            <wp:effectExtent l="0" t="0" r="19050" b="273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5DD2" w:rsidRPr="009365DD" w:rsidRDefault="00C85DD2" w:rsidP="00C85DD2"/>
    <w:p w:rsidR="0068479C" w:rsidRPr="004F3AB8" w:rsidRDefault="0068479C" w:rsidP="0068479C">
      <w:pPr>
        <w:jc w:val="left"/>
      </w:pPr>
    </w:p>
    <w:p w:rsidR="0068479C" w:rsidRPr="004F3AB8" w:rsidRDefault="0068479C" w:rsidP="0068479C"/>
    <w:p w:rsidR="0068479C" w:rsidRPr="004F3AB8" w:rsidRDefault="0068479C" w:rsidP="0068479C">
      <w:pPr>
        <w:jc w:val="right"/>
      </w:pPr>
      <w:r w:rsidRPr="004F3AB8">
        <w:t>[L’annexe II suit]</w:t>
      </w:r>
    </w:p>
    <w:p w:rsidR="0068479C" w:rsidRPr="004F3AB8" w:rsidRDefault="0068479C" w:rsidP="0068479C">
      <w:pPr>
        <w:jc w:val="left"/>
      </w:pPr>
    </w:p>
    <w:p w:rsidR="0068479C" w:rsidRPr="004F3AB8" w:rsidRDefault="0068479C" w:rsidP="0068479C">
      <w:pPr>
        <w:jc w:val="left"/>
        <w:sectPr w:rsidR="0068479C" w:rsidRPr="004F3AB8" w:rsidSect="004F3AB8">
          <w:headerReference w:type="default" r:id="rId13"/>
          <w:pgSz w:w="11907" w:h="16840" w:code="9"/>
          <w:pgMar w:top="510" w:right="1134" w:bottom="1134" w:left="1134" w:header="510" w:footer="680" w:gutter="0"/>
          <w:pgNumType w:start="1"/>
          <w:cols w:space="720"/>
          <w:titlePg/>
        </w:sectPr>
      </w:pPr>
    </w:p>
    <w:p w:rsidR="0068479C" w:rsidRPr="004F3AB8" w:rsidRDefault="0068479C" w:rsidP="0068479C">
      <w:pPr>
        <w:jc w:val="center"/>
      </w:pPr>
      <w:r>
        <w:t>C/50/16</w:t>
      </w:r>
      <w:r w:rsidR="003274A7">
        <w:t xml:space="preserve"> </w:t>
      </w:r>
      <w:proofErr w:type="spellStart"/>
      <w:r w:rsidR="003274A7">
        <w:t>Add</w:t>
      </w:r>
      <w:proofErr w:type="spellEnd"/>
      <w:r w:rsidR="003274A7">
        <w:t>.</w:t>
      </w:r>
    </w:p>
    <w:p w:rsidR="0068479C" w:rsidRPr="004F3AB8" w:rsidRDefault="0068479C" w:rsidP="0068479C">
      <w:pPr>
        <w:jc w:val="center"/>
      </w:pPr>
    </w:p>
    <w:p w:rsidR="0068479C" w:rsidRPr="004F3AB8" w:rsidRDefault="0068479C" w:rsidP="0068479C">
      <w:pPr>
        <w:jc w:val="center"/>
      </w:pPr>
      <w:r w:rsidRPr="004F3AB8">
        <w:t>ANNEXE II</w:t>
      </w:r>
    </w:p>
    <w:p w:rsidR="0068479C" w:rsidRPr="004F3AB8" w:rsidRDefault="0068479C" w:rsidP="0068479C">
      <w:pPr>
        <w:jc w:val="center"/>
      </w:pPr>
    </w:p>
    <w:p w:rsidR="0068479C" w:rsidRPr="004F3AB8" w:rsidRDefault="0068479C" w:rsidP="0068479C">
      <w:pPr>
        <w:jc w:val="center"/>
      </w:pPr>
    </w:p>
    <w:p w:rsidR="0068479C" w:rsidRPr="004F3AB8" w:rsidRDefault="003274A7" w:rsidP="0068479C">
      <w:pPr>
        <w:jc w:val="center"/>
      </w:pPr>
      <w:r>
        <w:t>TUNISIE</w:t>
      </w:r>
    </w:p>
    <w:p w:rsidR="0068479C" w:rsidRPr="004F3AB8" w:rsidRDefault="0068479C" w:rsidP="0068479C">
      <w:pPr>
        <w:jc w:val="left"/>
      </w:pPr>
    </w:p>
    <w:p w:rsidR="0068479C" w:rsidRPr="004F3AB8" w:rsidRDefault="0068479C" w:rsidP="0068479C">
      <w:pPr>
        <w:jc w:val="left"/>
      </w:pPr>
    </w:p>
    <w:p w:rsidR="004E522C" w:rsidRPr="00320D2F" w:rsidRDefault="004E522C" w:rsidP="004E522C">
      <w:pPr>
        <w:rPr>
          <w:rFonts w:cs="Arial"/>
        </w:rPr>
      </w:pPr>
      <w:r w:rsidRPr="00320D2F">
        <w:rPr>
          <w:rFonts w:cs="Arial"/>
        </w:rPr>
        <w:t>I.</w:t>
      </w:r>
      <w:r w:rsidRPr="00320D2F">
        <w:rPr>
          <w:rFonts w:cs="Arial"/>
        </w:rPr>
        <w:tab/>
        <w:t>PROTECTION DES OBTENTIONS VÉGÉTALES</w:t>
      </w:r>
    </w:p>
    <w:p w:rsidR="004E522C" w:rsidRPr="00320D2F" w:rsidRDefault="004E522C" w:rsidP="004E522C">
      <w:pPr>
        <w:rPr>
          <w:rFonts w:cs="Arial"/>
        </w:rPr>
      </w:pPr>
    </w:p>
    <w:p w:rsidR="004E522C" w:rsidRPr="00320D2F" w:rsidRDefault="004E522C" w:rsidP="004E522C">
      <w:pPr>
        <w:rPr>
          <w:rFonts w:cs="Arial"/>
        </w:rPr>
      </w:pPr>
      <w:r w:rsidRPr="00320D2F">
        <w:rPr>
          <w:rFonts w:cs="Arial"/>
        </w:rPr>
        <w:t>1.</w:t>
      </w:r>
      <w:r w:rsidRPr="00320D2F">
        <w:rPr>
          <w:rFonts w:cs="Arial"/>
        </w:rPr>
        <w:tab/>
        <w:t>Situation dans le domaine législatif</w:t>
      </w:r>
    </w:p>
    <w:p w:rsidR="004E522C" w:rsidRPr="00320D2F" w:rsidRDefault="004E522C" w:rsidP="004E522C">
      <w:pPr>
        <w:rPr>
          <w:rFonts w:cs="Arial"/>
        </w:rPr>
      </w:pPr>
    </w:p>
    <w:p w:rsidR="004E522C" w:rsidRPr="00320D2F" w:rsidRDefault="004E522C" w:rsidP="004E522C">
      <w:pPr>
        <w:rPr>
          <w:rFonts w:cs="Arial"/>
        </w:rPr>
      </w:pPr>
      <w:r w:rsidRPr="00320D2F">
        <w:rPr>
          <w:rFonts w:cs="Arial"/>
        </w:rPr>
        <w:t>1.1</w:t>
      </w:r>
      <w:r w:rsidRPr="00320D2F">
        <w:rPr>
          <w:rFonts w:cs="Arial"/>
        </w:rPr>
        <w:tab/>
        <w:t>Modifications de la loi et des textes d’application</w:t>
      </w:r>
    </w:p>
    <w:p w:rsidR="004E522C" w:rsidRPr="00320D2F" w:rsidRDefault="004E522C" w:rsidP="004E522C">
      <w:pPr>
        <w:rPr>
          <w:rFonts w:cs="Arial"/>
        </w:rPr>
      </w:pPr>
    </w:p>
    <w:p w:rsidR="004E522C" w:rsidRPr="00320D2F" w:rsidRDefault="004E522C" w:rsidP="004E522C">
      <w:pPr>
        <w:rPr>
          <w:rFonts w:cs="Arial"/>
        </w:rPr>
      </w:pPr>
      <w:r w:rsidRPr="00320D2F">
        <w:rPr>
          <w:rFonts w:cs="Arial"/>
        </w:rPr>
        <w:t>Rien à signaler</w:t>
      </w:r>
      <w:r>
        <w:rPr>
          <w:rFonts w:cs="Arial"/>
        </w:rPr>
        <w:t>.</w:t>
      </w:r>
    </w:p>
    <w:p w:rsidR="004E522C" w:rsidRPr="00320D2F" w:rsidRDefault="004E522C" w:rsidP="004E522C">
      <w:pPr>
        <w:rPr>
          <w:rFonts w:cs="Arial"/>
        </w:rPr>
      </w:pPr>
    </w:p>
    <w:p w:rsidR="004E522C" w:rsidRPr="00320D2F" w:rsidRDefault="004E522C" w:rsidP="004E522C">
      <w:pPr>
        <w:rPr>
          <w:rFonts w:cs="Arial"/>
        </w:rPr>
      </w:pPr>
      <w:r w:rsidRPr="00320D2F">
        <w:rPr>
          <w:rFonts w:cs="Arial"/>
        </w:rPr>
        <w:t>1.2</w:t>
      </w:r>
      <w:r w:rsidRPr="00320D2F">
        <w:rPr>
          <w:rFonts w:cs="Arial"/>
        </w:rPr>
        <w:tab/>
        <w:t>Extension de la protection à d’autres genres et espèces (effectuée ou prévue)</w:t>
      </w:r>
    </w:p>
    <w:p w:rsidR="004E522C" w:rsidRPr="00320D2F" w:rsidRDefault="004E522C" w:rsidP="004E522C">
      <w:pPr>
        <w:rPr>
          <w:rFonts w:cs="Arial"/>
        </w:rPr>
      </w:pPr>
    </w:p>
    <w:p w:rsidR="004E522C" w:rsidRPr="00320D2F" w:rsidRDefault="004E522C" w:rsidP="004E522C">
      <w:pPr>
        <w:rPr>
          <w:rFonts w:cs="Arial"/>
        </w:rPr>
      </w:pPr>
      <w:r w:rsidRPr="00320D2F">
        <w:rPr>
          <w:rFonts w:cs="Arial"/>
        </w:rPr>
        <w:t xml:space="preserve">Il est prévu l’ajout de cinq espèces à la liste des espèces susceptibles d'être protégées, à savoir </w:t>
      </w:r>
      <w:proofErr w:type="gramStart"/>
      <w:r w:rsidRPr="00320D2F">
        <w:rPr>
          <w:rFonts w:cs="Arial"/>
        </w:rPr>
        <w:t>le</w:t>
      </w:r>
      <w:proofErr w:type="gramEnd"/>
      <w:r w:rsidRPr="00320D2F">
        <w:rPr>
          <w:rFonts w:cs="Arial"/>
        </w:rPr>
        <w:t xml:space="preserve"> myrtille (Vaccinium </w:t>
      </w:r>
      <w:proofErr w:type="spellStart"/>
      <w:r w:rsidRPr="00320D2F">
        <w:rPr>
          <w:rFonts w:cs="Arial"/>
        </w:rPr>
        <w:t>myrtillus</w:t>
      </w:r>
      <w:proofErr w:type="spellEnd"/>
      <w:r w:rsidRPr="00320D2F">
        <w:rPr>
          <w:rFonts w:cs="Arial"/>
        </w:rPr>
        <w:t xml:space="preserve">) ; le </w:t>
      </w:r>
      <w:proofErr w:type="spellStart"/>
      <w:r w:rsidRPr="00320D2F">
        <w:rPr>
          <w:rFonts w:cs="Arial"/>
        </w:rPr>
        <w:t>carroubier</w:t>
      </w:r>
      <w:proofErr w:type="spellEnd"/>
      <w:r w:rsidRPr="00320D2F">
        <w:rPr>
          <w:rFonts w:cs="Arial"/>
        </w:rPr>
        <w:t xml:space="preserve"> (</w:t>
      </w:r>
      <w:proofErr w:type="spellStart"/>
      <w:r w:rsidRPr="00320D2F">
        <w:rPr>
          <w:rFonts w:cs="Arial"/>
        </w:rPr>
        <w:t>Cératonia</w:t>
      </w:r>
      <w:proofErr w:type="spellEnd"/>
      <w:r w:rsidRPr="00320D2F">
        <w:rPr>
          <w:rFonts w:cs="Arial"/>
        </w:rPr>
        <w:t xml:space="preserve"> </w:t>
      </w:r>
      <w:proofErr w:type="spellStart"/>
      <w:r w:rsidRPr="00320D2F">
        <w:rPr>
          <w:rFonts w:cs="Arial"/>
        </w:rPr>
        <w:t>selica</w:t>
      </w:r>
      <w:proofErr w:type="spellEnd"/>
      <w:r w:rsidRPr="00320D2F">
        <w:rPr>
          <w:rFonts w:cs="Arial"/>
        </w:rPr>
        <w:t>), le cognassier (</w:t>
      </w:r>
      <w:proofErr w:type="spellStart"/>
      <w:r w:rsidRPr="00320D2F">
        <w:rPr>
          <w:rFonts w:cs="Arial"/>
        </w:rPr>
        <w:t>Cydonia</w:t>
      </w:r>
      <w:proofErr w:type="spellEnd"/>
      <w:r w:rsidRPr="00320D2F">
        <w:rPr>
          <w:rFonts w:cs="Arial"/>
        </w:rPr>
        <w:t xml:space="preserve"> Mil sensu </w:t>
      </w:r>
      <w:proofErr w:type="spellStart"/>
      <w:r w:rsidRPr="00320D2F">
        <w:rPr>
          <w:rFonts w:cs="Arial"/>
        </w:rPr>
        <w:t>sricto</w:t>
      </w:r>
      <w:proofErr w:type="spellEnd"/>
      <w:r w:rsidRPr="00320D2F">
        <w:rPr>
          <w:rFonts w:cs="Arial"/>
        </w:rPr>
        <w:t>), le manguier (</w:t>
      </w:r>
      <w:proofErr w:type="spellStart"/>
      <w:r w:rsidRPr="00320D2F">
        <w:rPr>
          <w:rFonts w:cs="Arial"/>
        </w:rPr>
        <w:t>Magnéfira</w:t>
      </w:r>
      <w:proofErr w:type="spellEnd"/>
      <w:r w:rsidRPr="00320D2F">
        <w:rPr>
          <w:rFonts w:cs="Arial"/>
        </w:rPr>
        <w:t xml:space="preserve"> </w:t>
      </w:r>
      <w:proofErr w:type="spellStart"/>
      <w:r w:rsidRPr="00320D2F">
        <w:rPr>
          <w:rFonts w:cs="Arial"/>
        </w:rPr>
        <w:t>indica</w:t>
      </w:r>
      <w:proofErr w:type="spellEnd"/>
      <w:r w:rsidRPr="00320D2F">
        <w:rPr>
          <w:rFonts w:cs="Arial"/>
        </w:rPr>
        <w:t>) et le plaqueminier (</w:t>
      </w:r>
      <w:proofErr w:type="spellStart"/>
      <w:r w:rsidRPr="00320D2F">
        <w:rPr>
          <w:rFonts w:cs="Arial"/>
        </w:rPr>
        <w:t>Diospyros</w:t>
      </w:r>
      <w:proofErr w:type="spellEnd"/>
      <w:r w:rsidRPr="00320D2F">
        <w:rPr>
          <w:rFonts w:cs="Arial"/>
        </w:rPr>
        <w:t xml:space="preserve"> Kaki)</w:t>
      </w:r>
    </w:p>
    <w:p w:rsidR="004E522C" w:rsidRPr="00320D2F" w:rsidRDefault="004E522C" w:rsidP="004E522C">
      <w:pPr>
        <w:rPr>
          <w:rFonts w:cs="Arial"/>
        </w:rPr>
      </w:pPr>
    </w:p>
    <w:p w:rsidR="004E522C" w:rsidRPr="00320D2F" w:rsidRDefault="004E522C" w:rsidP="004E522C">
      <w:pPr>
        <w:rPr>
          <w:rFonts w:cs="Arial"/>
        </w:rPr>
      </w:pPr>
      <w:r w:rsidRPr="00320D2F">
        <w:rPr>
          <w:rFonts w:cs="Arial"/>
        </w:rPr>
        <w:t>1.3</w:t>
      </w:r>
      <w:r w:rsidRPr="00320D2F">
        <w:rPr>
          <w:rFonts w:cs="Arial"/>
        </w:rPr>
        <w:tab/>
        <w:t>Jurisprudence</w:t>
      </w:r>
    </w:p>
    <w:p w:rsidR="004E522C" w:rsidRPr="00320D2F" w:rsidRDefault="004E522C" w:rsidP="004E522C">
      <w:pPr>
        <w:rPr>
          <w:rFonts w:cs="Arial"/>
        </w:rPr>
      </w:pPr>
    </w:p>
    <w:p w:rsidR="004E522C" w:rsidRPr="00320D2F" w:rsidRDefault="004E522C" w:rsidP="004E522C">
      <w:pPr>
        <w:rPr>
          <w:rFonts w:cs="Arial"/>
        </w:rPr>
      </w:pPr>
      <w:r w:rsidRPr="00320D2F">
        <w:rPr>
          <w:rFonts w:cs="Arial"/>
        </w:rPr>
        <w:t>Rien à signaler</w:t>
      </w:r>
      <w:r>
        <w:rPr>
          <w:rFonts w:cs="Arial"/>
        </w:rPr>
        <w:t>.</w:t>
      </w:r>
    </w:p>
    <w:p w:rsidR="004E522C" w:rsidRDefault="004E522C" w:rsidP="004E522C">
      <w:pPr>
        <w:rPr>
          <w:rFonts w:cs="Arial"/>
        </w:rPr>
      </w:pPr>
    </w:p>
    <w:p w:rsidR="004E522C" w:rsidRPr="00320D2F" w:rsidRDefault="004E522C" w:rsidP="004E522C">
      <w:pPr>
        <w:rPr>
          <w:rFonts w:cs="Arial"/>
        </w:rPr>
      </w:pPr>
    </w:p>
    <w:p w:rsidR="004E522C" w:rsidRPr="00320D2F" w:rsidRDefault="004E522C" w:rsidP="004E522C">
      <w:pPr>
        <w:rPr>
          <w:rFonts w:cs="Arial"/>
        </w:rPr>
      </w:pPr>
      <w:r w:rsidRPr="00320D2F">
        <w:rPr>
          <w:rFonts w:cs="Arial"/>
        </w:rPr>
        <w:t>2.</w:t>
      </w:r>
      <w:r w:rsidRPr="00320D2F">
        <w:rPr>
          <w:rFonts w:cs="Arial"/>
        </w:rPr>
        <w:tab/>
        <w:t>Coopération en matière d’examen</w:t>
      </w:r>
    </w:p>
    <w:p w:rsidR="004E522C" w:rsidRPr="00320D2F" w:rsidRDefault="004E522C" w:rsidP="004E522C">
      <w:pPr>
        <w:rPr>
          <w:rFonts w:cs="Arial"/>
        </w:rPr>
      </w:pPr>
    </w:p>
    <w:p w:rsidR="004E522C" w:rsidRPr="00320D2F" w:rsidRDefault="004E522C" w:rsidP="004E522C">
      <w:pPr>
        <w:rPr>
          <w:rFonts w:cs="Arial"/>
        </w:rPr>
      </w:pPr>
      <w:r w:rsidRPr="00320D2F">
        <w:rPr>
          <w:rFonts w:cs="Arial"/>
        </w:rPr>
        <w:t>Rien</w:t>
      </w:r>
      <w:r>
        <w:rPr>
          <w:rFonts w:cs="Arial"/>
        </w:rPr>
        <w:t xml:space="preserve"> à signaler.</w:t>
      </w:r>
    </w:p>
    <w:p w:rsidR="004E522C" w:rsidRPr="00320D2F" w:rsidRDefault="004E522C" w:rsidP="004E522C">
      <w:pPr>
        <w:rPr>
          <w:rFonts w:cs="Arial"/>
        </w:rPr>
      </w:pPr>
    </w:p>
    <w:p w:rsidR="004E522C" w:rsidRPr="00320D2F" w:rsidRDefault="004E522C" w:rsidP="004E522C">
      <w:pPr>
        <w:rPr>
          <w:rFonts w:cs="Arial"/>
        </w:rPr>
      </w:pPr>
    </w:p>
    <w:p w:rsidR="004E522C" w:rsidRPr="00320D2F" w:rsidRDefault="004E522C" w:rsidP="004E522C">
      <w:pPr>
        <w:rPr>
          <w:rFonts w:cs="Arial"/>
        </w:rPr>
      </w:pPr>
      <w:r w:rsidRPr="00320D2F">
        <w:rPr>
          <w:rFonts w:cs="Arial"/>
        </w:rPr>
        <w:t>3.</w:t>
      </w:r>
      <w:r w:rsidRPr="00320D2F">
        <w:rPr>
          <w:rFonts w:cs="Arial"/>
        </w:rPr>
        <w:tab/>
        <w:t>Situation dans le domaine administratif</w:t>
      </w:r>
    </w:p>
    <w:p w:rsidR="004E522C" w:rsidRPr="00320D2F" w:rsidRDefault="004E522C" w:rsidP="004E522C">
      <w:pPr>
        <w:rPr>
          <w:rFonts w:cs="Arial"/>
        </w:rPr>
      </w:pPr>
    </w:p>
    <w:p w:rsidR="004E522C" w:rsidRPr="00320D2F" w:rsidRDefault="004E522C" w:rsidP="004E522C">
      <w:pPr>
        <w:rPr>
          <w:rFonts w:cs="Arial"/>
        </w:rPr>
      </w:pPr>
      <w:r w:rsidRPr="00320D2F">
        <w:rPr>
          <w:rFonts w:cs="Arial"/>
        </w:rPr>
        <w:t>Actuellement il n’y</w:t>
      </w:r>
      <w:r>
        <w:rPr>
          <w:rFonts w:cs="Arial"/>
        </w:rPr>
        <w:t xml:space="preserve"> </w:t>
      </w:r>
      <w:r w:rsidRPr="00320D2F">
        <w:rPr>
          <w:rFonts w:cs="Arial"/>
        </w:rPr>
        <w:t>a pas des changements au niveau de la structure administrative et aussi bien pour les pr</w:t>
      </w:r>
      <w:r>
        <w:rPr>
          <w:rFonts w:cs="Arial"/>
        </w:rPr>
        <w:t>océdures ainsi que des systèmes.</w:t>
      </w:r>
    </w:p>
    <w:p w:rsidR="004E522C" w:rsidRPr="00320D2F" w:rsidRDefault="004E522C" w:rsidP="004E522C">
      <w:pPr>
        <w:rPr>
          <w:rFonts w:cs="Arial"/>
        </w:rPr>
      </w:pPr>
    </w:p>
    <w:p w:rsidR="004E522C" w:rsidRDefault="004E522C" w:rsidP="004E522C">
      <w:pPr>
        <w:rPr>
          <w:rFonts w:cs="Arial"/>
        </w:rPr>
      </w:pPr>
    </w:p>
    <w:p w:rsidR="004E522C" w:rsidRPr="00320D2F" w:rsidRDefault="004E522C" w:rsidP="004E522C">
      <w:pPr>
        <w:rPr>
          <w:rFonts w:cs="Arial"/>
        </w:rPr>
      </w:pPr>
      <w:r w:rsidRPr="00320D2F">
        <w:rPr>
          <w:rFonts w:cs="Arial"/>
        </w:rPr>
        <w:t>4.</w:t>
      </w:r>
      <w:r w:rsidRPr="00320D2F">
        <w:rPr>
          <w:rFonts w:cs="Arial"/>
        </w:rPr>
        <w:tab/>
        <w:t>Situation dans le domaine technique</w:t>
      </w:r>
    </w:p>
    <w:p w:rsidR="004E522C" w:rsidRDefault="004E522C" w:rsidP="004E522C">
      <w:pPr>
        <w:rPr>
          <w:rFonts w:cs="Arial"/>
        </w:rPr>
      </w:pPr>
    </w:p>
    <w:p w:rsidR="004E522C" w:rsidRPr="0087603D" w:rsidRDefault="004E522C" w:rsidP="004E522C">
      <w:pPr>
        <w:rPr>
          <w:rFonts w:cs="Arial"/>
        </w:rPr>
      </w:pPr>
      <w:r w:rsidRPr="00320D2F">
        <w:rPr>
          <w:rFonts w:cs="Arial"/>
        </w:rPr>
        <w:t>Rien à signaler</w:t>
      </w:r>
      <w:r>
        <w:rPr>
          <w:rFonts w:cs="Arial"/>
        </w:rPr>
        <w:t>.</w:t>
      </w:r>
    </w:p>
    <w:p w:rsidR="0068479C" w:rsidRDefault="0068479C" w:rsidP="0068479C"/>
    <w:p w:rsidR="004E522C" w:rsidRPr="004F3AB8" w:rsidRDefault="004E522C" w:rsidP="0068479C"/>
    <w:p w:rsidR="0068479C" w:rsidRPr="004F3AB8" w:rsidRDefault="0068479C" w:rsidP="0068479C"/>
    <w:p w:rsidR="0068479C" w:rsidRPr="004F3AB8" w:rsidRDefault="0068479C" w:rsidP="0068479C">
      <w:pPr>
        <w:jc w:val="right"/>
      </w:pPr>
      <w:r w:rsidRPr="004F3AB8">
        <w:t>[L’annexe III suit]</w:t>
      </w:r>
    </w:p>
    <w:p w:rsidR="0068479C" w:rsidRPr="004F3AB8" w:rsidRDefault="0068479C" w:rsidP="0068479C">
      <w:pPr>
        <w:jc w:val="left"/>
      </w:pPr>
    </w:p>
    <w:p w:rsidR="0068479C" w:rsidRPr="004F3AB8" w:rsidRDefault="0068479C" w:rsidP="0068479C">
      <w:pPr>
        <w:jc w:val="left"/>
        <w:sectPr w:rsidR="0068479C" w:rsidRPr="004F3AB8" w:rsidSect="004F3AB8">
          <w:headerReference w:type="default" r:id="rId14"/>
          <w:pgSz w:w="11907" w:h="16840" w:code="9"/>
          <w:pgMar w:top="510" w:right="1134" w:bottom="1134" w:left="1134" w:header="510" w:footer="680" w:gutter="0"/>
          <w:pgNumType w:start="1"/>
          <w:cols w:space="720"/>
          <w:titlePg/>
        </w:sectPr>
      </w:pPr>
    </w:p>
    <w:p w:rsidR="0068479C" w:rsidRPr="004F3AB8" w:rsidRDefault="0068479C" w:rsidP="0068479C">
      <w:pPr>
        <w:jc w:val="center"/>
      </w:pPr>
      <w:r>
        <w:t>C/50/16</w:t>
      </w:r>
      <w:r w:rsidR="003274A7">
        <w:t xml:space="preserve"> </w:t>
      </w:r>
      <w:proofErr w:type="spellStart"/>
      <w:r w:rsidR="003274A7">
        <w:t>Add</w:t>
      </w:r>
      <w:proofErr w:type="spellEnd"/>
      <w:r w:rsidR="003274A7">
        <w:t>.</w:t>
      </w:r>
    </w:p>
    <w:p w:rsidR="0068479C" w:rsidRPr="004F3AB8" w:rsidRDefault="0068479C" w:rsidP="0068479C">
      <w:pPr>
        <w:jc w:val="center"/>
      </w:pPr>
    </w:p>
    <w:p w:rsidR="0068479C" w:rsidRPr="004F3AB8" w:rsidRDefault="0068479C" w:rsidP="0068479C">
      <w:pPr>
        <w:jc w:val="center"/>
      </w:pPr>
      <w:r w:rsidRPr="004F3AB8">
        <w:t>ANNEXE III</w:t>
      </w:r>
    </w:p>
    <w:p w:rsidR="0068479C" w:rsidRPr="004F3AB8" w:rsidRDefault="0068479C" w:rsidP="0068479C">
      <w:pPr>
        <w:jc w:val="center"/>
      </w:pPr>
    </w:p>
    <w:p w:rsidR="0068479C" w:rsidRPr="004F3AB8" w:rsidRDefault="0068479C" w:rsidP="0068479C">
      <w:pPr>
        <w:jc w:val="center"/>
      </w:pPr>
    </w:p>
    <w:p w:rsidR="0068479C" w:rsidRPr="004F3AB8" w:rsidRDefault="003274A7" w:rsidP="0068479C">
      <w:pPr>
        <w:jc w:val="center"/>
      </w:pPr>
      <w:r>
        <w:t>UKRAINE</w:t>
      </w:r>
    </w:p>
    <w:p w:rsidR="0068479C" w:rsidRPr="004F3AB8" w:rsidRDefault="0068479C" w:rsidP="0068479C"/>
    <w:p w:rsidR="0068479C" w:rsidRPr="004F3AB8" w:rsidRDefault="0068479C" w:rsidP="0068479C"/>
    <w:p w:rsidR="004E522C" w:rsidRPr="00690A5A" w:rsidRDefault="004E522C" w:rsidP="004E522C">
      <w:pPr>
        <w:rPr>
          <w:lang w:val="fr-CH"/>
        </w:rPr>
      </w:pPr>
      <w:r w:rsidRPr="00690A5A">
        <w:rPr>
          <w:lang w:val="fr-CH"/>
        </w:rPr>
        <w:t>I.</w:t>
      </w:r>
      <w:r w:rsidRPr="00690A5A">
        <w:rPr>
          <w:lang w:val="fr-CH"/>
        </w:rPr>
        <w:tab/>
        <w:t>PROTECTION DES OBTENTIONS VÉGÉTALES</w:t>
      </w:r>
    </w:p>
    <w:p w:rsidR="004E522C" w:rsidRPr="00690A5A" w:rsidRDefault="004E522C" w:rsidP="004E522C">
      <w:pPr>
        <w:rPr>
          <w:lang w:val="fr-CH"/>
        </w:rPr>
      </w:pPr>
    </w:p>
    <w:p w:rsidR="004E522C" w:rsidRPr="00690A5A" w:rsidRDefault="004E522C" w:rsidP="004E522C">
      <w:pPr>
        <w:rPr>
          <w:lang w:val="fr-CH"/>
        </w:rPr>
      </w:pPr>
      <w:r w:rsidRPr="00690A5A">
        <w:rPr>
          <w:lang w:val="fr-CH"/>
        </w:rPr>
        <w:t>1.</w:t>
      </w:r>
      <w:r w:rsidRPr="00690A5A">
        <w:rPr>
          <w:lang w:val="fr-CH"/>
        </w:rPr>
        <w:tab/>
        <w:t>Situation dans le domaine législatif</w:t>
      </w:r>
    </w:p>
    <w:p w:rsidR="004E522C" w:rsidRPr="00690A5A" w:rsidRDefault="004E522C" w:rsidP="004E522C">
      <w:pPr>
        <w:rPr>
          <w:lang w:val="fr-CH"/>
        </w:rPr>
      </w:pPr>
    </w:p>
    <w:p w:rsidR="004E522C" w:rsidRPr="00690A5A" w:rsidRDefault="004E522C" w:rsidP="004E522C">
      <w:pPr>
        <w:rPr>
          <w:lang w:val="fr-CH"/>
        </w:rPr>
      </w:pPr>
      <w:r w:rsidRPr="00690A5A">
        <w:rPr>
          <w:lang w:val="fr-CH"/>
        </w:rPr>
        <w:t>Afin de mettre la législation ukrainienne en matière de semences et de plants en conformité avec la réglementation et les normes européennes et internationales, le Conseil suprême de l’Ukraine a adopté la loi n° 864-19 portant modification de certaines lois ukrainiennes relatives à la mise en conformité de la réglementation ukrainienne en matière de semences et de plants avec la réglementation et les normes européennes et internationales, ce qui a donné lieu, le 30 juin 2016, à l’introduction de modifications majeures à la législation ukrainienne en matière de protection des obtentions végétales.</w:t>
      </w:r>
    </w:p>
    <w:p w:rsidR="004E522C" w:rsidRPr="00690A5A" w:rsidRDefault="004E522C" w:rsidP="004E522C">
      <w:pPr>
        <w:rPr>
          <w:lang w:val="fr-CH"/>
        </w:rPr>
      </w:pPr>
    </w:p>
    <w:p w:rsidR="004E522C" w:rsidRPr="00690A5A" w:rsidRDefault="004E522C" w:rsidP="004E522C">
      <w:pPr>
        <w:rPr>
          <w:lang w:val="fr-CH"/>
        </w:rPr>
      </w:pPr>
      <w:r w:rsidRPr="00690A5A">
        <w:rPr>
          <w:lang w:val="fr-CH"/>
        </w:rPr>
        <w:t>Dans ce cadre, les définitions de certains termes prévus par la loi ont été modifiées, les pouvoirs du Conseil des ministres de l’Ukraine en sa qualité d’administration compétente en matière de protection des obtentions végétales ont été précisés, de nouvelles définitions ont été ajoutées aux dispositions générales établissant les procédures d’octroi des droits d’obtenteur, des droits de créateur de variétés, des droits de l’employeur (client), des droits des ayants cause et des responsabilités des titulaires du brevet et des titulaires du droit de propriété intellectuelle exclusif sur la diffusion de la variété, et la procédure d’examen quant à la forme et quant au fond des variétés aux fins de la diffusion en Ukraine a été modifiée.</w:t>
      </w:r>
    </w:p>
    <w:p w:rsidR="004E522C" w:rsidRPr="00690A5A" w:rsidRDefault="004E522C" w:rsidP="004E522C">
      <w:pPr>
        <w:rPr>
          <w:lang w:val="fr-CH"/>
        </w:rPr>
      </w:pPr>
    </w:p>
    <w:p w:rsidR="004E522C" w:rsidRPr="00690A5A" w:rsidRDefault="004E522C" w:rsidP="004E522C">
      <w:pPr>
        <w:rPr>
          <w:lang w:val="fr-CH"/>
        </w:rPr>
      </w:pPr>
      <w:r w:rsidRPr="00690A5A">
        <w:rPr>
          <w:lang w:val="fr-CH"/>
        </w:rPr>
        <w:t>La rédaction et l’examen des lois et de la réglementation dont l’adoption est prévue conformément à la législation ukrainienne en matière de protection des obtentions végétales sont en cours.</w:t>
      </w:r>
    </w:p>
    <w:p w:rsidR="004E522C" w:rsidRPr="00690A5A" w:rsidRDefault="004E522C" w:rsidP="004E522C">
      <w:pPr>
        <w:rPr>
          <w:lang w:val="fr-CH"/>
        </w:rPr>
      </w:pPr>
    </w:p>
    <w:p w:rsidR="004E522C" w:rsidRPr="00690A5A" w:rsidRDefault="004E522C" w:rsidP="004E522C">
      <w:pPr>
        <w:rPr>
          <w:lang w:val="fr-CH"/>
        </w:rPr>
      </w:pPr>
      <w:r w:rsidRPr="00690A5A">
        <w:rPr>
          <w:lang w:val="fr-CH"/>
        </w:rPr>
        <w:t>Points 1.2, 1.3 – aucune modification apportée.</w:t>
      </w:r>
    </w:p>
    <w:p w:rsidR="004E522C" w:rsidRPr="00690A5A" w:rsidRDefault="004E522C" w:rsidP="004E522C">
      <w:pPr>
        <w:rPr>
          <w:lang w:val="fr-CH"/>
        </w:rPr>
      </w:pPr>
    </w:p>
    <w:p w:rsidR="004E522C" w:rsidRPr="00690A5A" w:rsidRDefault="004E522C" w:rsidP="004E522C">
      <w:pPr>
        <w:rPr>
          <w:lang w:val="fr-CH"/>
        </w:rPr>
      </w:pPr>
      <w:r w:rsidRPr="00690A5A">
        <w:rPr>
          <w:lang w:val="fr-CH"/>
        </w:rPr>
        <w:t>2.</w:t>
      </w:r>
      <w:r w:rsidRPr="00690A5A">
        <w:rPr>
          <w:lang w:val="fr-CH"/>
        </w:rPr>
        <w:tab/>
        <w:t>Coopération en matière d’examen</w:t>
      </w:r>
    </w:p>
    <w:p w:rsidR="004E522C" w:rsidRPr="00690A5A" w:rsidRDefault="004E522C" w:rsidP="004E522C">
      <w:pPr>
        <w:rPr>
          <w:lang w:val="fr-CH"/>
        </w:rPr>
      </w:pPr>
    </w:p>
    <w:p w:rsidR="004E522C" w:rsidRPr="00690A5A" w:rsidRDefault="004E522C" w:rsidP="004E522C">
      <w:pPr>
        <w:rPr>
          <w:lang w:val="fr-CH"/>
        </w:rPr>
      </w:pPr>
      <w:r w:rsidRPr="00690A5A">
        <w:rPr>
          <w:lang w:val="fr-CH"/>
        </w:rPr>
        <w:t>L’Ukraine a une expérience pratique en matière d’examen DHS et procède à ce type d’examen en ce qui concerne 64 espèces (la liste des genres et espèces est identique à celle de l’année précédente)</w:t>
      </w:r>
      <w:r>
        <w:rPr>
          <w:lang w:val="fr-CH"/>
        </w:rPr>
        <w:t>.</w:t>
      </w:r>
      <w:r w:rsidRPr="00690A5A">
        <w:rPr>
          <w:lang w:val="fr-CH"/>
        </w:rPr>
        <w:t xml:space="preserve">  L’Ukraine a utilisé les rapports d’examen DHS établis par la Bulgarie, l’Espagne, la France, la Hongrie, l’Italie, les Pays-Bas, le Portugal, la République tchèque, la Roumanie, la Serbie, la Slovaquie et l’Office communautaire des variétés végétales (OCVV) et a fourni des rapports à la Fédération de Russie et à la Turquie.</w:t>
      </w:r>
    </w:p>
    <w:p w:rsidR="004E522C" w:rsidRPr="00690A5A" w:rsidRDefault="004E522C" w:rsidP="004E522C">
      <w:pPr>
        <w:rPr>
          <w:lang w:val="fr-CH"/>
        </w:rPr>
      </w:pPr>
    </w:p>
    <w:p w:rsidR="004E522C" w:rsidRPr="00690A5A" w:rsidRDefault="004E522C" w:rsidP="004E522C">
      <w:pPr>
        <w:rPr>
          <w:lang w:val="fr-CH"/>
        </w:rPr>
      </w:pPr>
      <w:r w:rsidRPr="00690A5A">
        <w:rPr>
          <w:lang w:val="fr-CH"/>
        </w:rPr>
        <w:t>3.</w:t>
      </w:r>
      <w:r w:rsidRPr="00690A5A">
        <w:rPr>
          <w:lang w:val="fr-CH"/>
        </w:rPr>
        <w:tab/>
        <w:t>Situation dans le domaine administratif</w:t>
      </w:r>
    </w:p>
    <w:p w:rsidR="004E522C" w:rsidRPr="00690A5A" w:rsidRDefault="004E522C" w:rsidP="004E522C">
      <w:pPr>
        <w:rPr>
          <w:lang w:val="fr-CH"/>
        </w:rPr>
      </w:pPr>
    </w:p>
    <w:p w:rsidR="004E522C" w:rsidRPr="00690A5A" w:rsidRDefault="004E522C" w:rsidP="004E522C">
      <w:pPr>
        <w:rPr>
          <w:lang w:val="fr-CH"/>
        </w:rPr>
      </w:pPr>
      <w:r w:rsidRPr="00690A5A">
        <w:rPr>
          <w:lang w:val="fr-CH"/>
        </w:rPr>
        <w:t>Autorité nationale : Ministère ukrainien de la politique agricole et de l’alimentation.</w:t>
      </w:r>
    </w:p>
    <w:p w:rsidR="004E522C" w:rsidRPr="00690A5A" w:rsidRDefault="004E522C" w:rsidP="004E522C">
      <w:pPr>
        <w:rPr>
          <w:lang w:val="fr-CH"/>
        </w:rPr>
      </w:pPr>
    </w:p>
    <w:p w:rsidR="004E522C" w:rsidRPr="00690A5A" w:rsidRDefault="004E522C" w:rsidP="004E522C">
      <w:pPr>
        <w:rPr>
          <w:lang w:val="fr-CH"/>
        </w:rPr>
      </w:pPr>
      <w:r w:rsidRPr="00690A5A">
        <w:rPr>
          <w:lang w:val="fr-CH"/>
        </w:rPr>
        <w:t>Autorité compétente pour statuer : Ministère ukrainien de la politique agricole et de l’alimentation.</w:t>
      </w:r>
    </w:p>
    <w:p w:rsidR="004E522C" w:rsidRPr="00690A5A" w:rsidRDefault="004E522C" w:rsidP="004E522C">
      <w:pPr>
        <w:rPr>
          <w:lang w:val="fr-CH"/>
        </w:rPr>
      </w:pPr>
    </w:p>
    <w:p w:rsidR="004E522C" w:rsidRPr="00690A5A" w:rsidRDefault="004E522C" w:rsidP="004E522C">
      <w:pPr>
        <w:rPr>
          <w:lang w:val="fr-CH"/>
        </w:rPr>
      </w:pPr>
      <w:r w:rsidRPr="00690A5A">
        <w:rPr>
          <w:lang w:val="fr-CH"/>
        </w:rPr>
        <w:t>4.</w:t>
      </w:r>
      <w:r w:rsidRPr="00690A5A">
        <w:rPr>
          <w:lang w:val="fr-CH"/>
        </w:rPr>
        <w:tab/>
        <w:t>Situation dans le domaine technique</w:t>
      </w:r>
    </w:p>
    <w:p w:rsidR="004E522C" w:rsidRPr="00690A5A" w:rsidRDefault="004E522C" w:rsidP="004E522C">
      <w:pPr>
        <w:rPr>
          <w:lang w:val="fr-CH"/>
        </w:rPr>
      </w:pPr>
    </w:p>
    <w:p w:rsidR="004E522C" w:rsidRPr="00690A5A" w:rsidRDefault="004E522C" w:rsidP="004E522C">
      <w:pPr>
        <w:rPr>
          <w:lang w:val="fr-CH"/>
        </w:rPr>
      </w:pPr>
      <w:r w:rsidRPr="00690A5A">
        <w:rPr>
          <w:lang w:val="fr-CH"/>
        </w:rPr>
        <w:t xml:space="preserve">En 2015, quatre principes directeurs d’examen ont été établis à l’échelle nationale pour les espèces suivantes : </w:t>
      </w:r>
      <w:proofErr w:type="spellStart"/>
      <w:r w:rsidRPr="00690A5A">
        <w:rPr>
          <w:i/>
          <w:lang w:val="fr-CH"/>
        </w:rPr>
        <w:t>Callistephus</w:t>
      </w:r>
      <w:proofErr w:type="spellEnd"/>
      <w:r w:rsidRPr="00690A5A">
        <w:rPr>
          <w:i/>
          <w:lang w:val="fr-CH"/>
        </w:rPr>
        <w:t xml:space="preserve"> </w:t>
      </w:r>
      <w:proofErr w:type="spellStart"/>
      <w:r w:rsidRPr="00690A5A">
        <w:rPr>
          <w:i/>
          <w:lang w:val="fr-CH"/>
        </w:rPr>
        <w:t>chinensis</w:t>
      </w:r>
      <w:proofErr w:type="spellEnd"/>
      <w:r w:rsidRPr="00690A5A">
        <w:rPr>
          <w:lang w:val="fr-CH"/>
        </w:rPr>
        <w:t xml:space="preserve"> (L.) </w:t>
      </w:r>
      <w:proofErr w:type="spellStart"/>
      <w:r w:rsidRPr="00690A5A">
        <w:rPr>
          <w:lang w:val="fr-CH"/>
        </w:rPr>
        <w:t>Nees</w:t>
      </w:r>
      <w:proofErr w:type="spellEnd"/>
      <w:r w:rsidRPr="00690A5A">
        <w:rPr>
          <w:lang w:val="fr-CH"/>
        </w:rPr>
        <w:t xml:space="preserve">;  </w:t>
      </w:r>
      <w:proofErr w:type="spellStart"/>
      <w:r w:rsidRPr="00690A5A">
        <w:rPr>
          <w:i/>
          <w:lang w:val="fr-CH"/>
        </w:rPr>
        <w:t>Arctium</w:t>
      </w:r>
      <w:proofErr w:type="spellEnd"/>
      <w:r w:rsidRPr="00690A5A">
        <w:rPr>
          <w:i/>
          <w:lang w:val="fr-CH"/>
        </w:rPr>
        <w:t xml:space="preserve"> </w:t>
      </w:r>
      <w:proofErr w:type="spellStart"/>
      <w:r w:rsidRPr="00690A5A">
        <w:rPr>
          <w:i/>
          <w:lang w:val="fr-CH"/>
        </w:rPr>
        <w:t>lappa</w:t>
      </w:r>
      <w:proofErr w:type="spellEnd"/>
      <w:r w:rsidRPr="00690A5A">
        <w:rPr>
          <w:lang w:val="fr-CH"/>
        </w:rPr>
        <w:t xml:space="preserve"> L.;  </w:t>
      </w:r>
      <w:proofErr w:type="spellStart"/>
      <w:r w:rsidRPr="00690A5A">
        <w:rPr>
          <w:i/>
          <w:lang w:val="fr-CH"/>
        </w:rPr>
        <w:t>Salvia</w:t>
      </w:r>
      <w:proofErr w:type="spellEnd"/>
      <w:r w:rsidRPr="00690A5A">
        <w:rPr>
          <w:i/>
          <w:lang w:val="fr-CH"/>
        </w:rPr>
        <w:t xml:space="preserve"> patens</w:t>
      </w:r>
      <w:r w:rsidRPr="00690A5A">
        <w:rPr>
          <w:lang w:val="fr-CH"/>
        </w:rPr>
        <w:t xml:space="preserve"> </w:t>
      </w:r>
      <w:proofErr w:type="spellStart"/>
      <w:r w:rsidRPr="00690A5A">
        <w:rPr>
          <w:lang w:val="fr-CH"/>
        </w:rPr>
        <w:t>Cav</w:t>
      </w:r>
      <w:proofErr w:type="spellEnd"/>
      <w:r w:rsidRPr="00690A5A">
        <w:rPr>
          <w:lang w:val="fr-CH"/>
        </w:rPr>
        <w:t xml:space="preserve">.;  </w:t>
      </w:r>
      <w:proofErr w:type="spellStart"/>
      <w:r w:rsidRPr="00690A5A">
        <w:rPr>
          <w:i/>
          <w:lang w:val="fr-CH"/>
        </w:rPr>
        <w:t>Salvia</w:t>
      </w:r>
      <w:proofErr w:type="spellEnd"/>
      <w:r w:rsidRPr="00690A5A">
        <w:rPr>
          <w:i/>
          <w:lang w:val="fr-CH"/>
        </w:rPr>
        <w:t xml:space="preserve"> </w:t>
      </w:r>
      <w:proofErr w:type="spellStart"/>
      <w:r w:rsidRPr="00690A5A">
        <w:rPr>
          <w:i/>
          <w:lang w:val="fr-CH"/>
        </w:rPr>
        <w:t>verticillata</w:t>
      </w:r>
      <w:proofErr w:type="spellEnd"/>
      <w:r w:rsidRPr="00690A5A">
        <w:rPr>
          <w:lang w:val="fr-CH"/>
        </w:rPr>
        <w:t xml:space="preserve"> L.</w:t>
      </w:r>
    </w:p>
    <w:p w:rsidR="0016107C" w:rsidRPr="006426EF" w:rsidRDefault="0016107C" w:rsidP="0016107C"/>
    <w:p w:rsidR="00840BB9" w:rsidRDefault="00840BB9" w:rsidP="0068479C">
      <w:pPr>
        <w:sectPr w:rsidR="00840BB9" w:rsidSect="004F3AB8">
          <w:headerReference w:type="default" r:id="rId15"/>
          <w:pgSz w:w="11907" w:h="16840" w:code="9"/>
          <w:pgMar w:top="510" w:right="1134" w:bottom="1134" w:left="1134" w:header="510" w:footer="680" w:gutter="0"/>
          <w:pgNumType w:start="1"/>
          <w:cols w:space="720"/>
          <w:titlePg/>
        </w:sectPr>
      </w:pPr>
    </w:p>
    <w:p w:rsidR="00840BB9" w:rsidRPr="00690A5A" w:rsidRDefault="00840BB9" w:rsidP="00840BB9">
      <w:pPr>
        <w:rPr>
          <w:lang w:val="fr-CH"/>
        </w:rPr>
      </w:pPr>
      <w:r w:rsidRPr="00690A5A">
        <w:rPr>
          <w:lang w:val="fr-CH"/>
        </w:rPr>
        <w:t>5.</w:t>
      </w:r>
      <w:r w:rsidRPr="00690A5A">
        <w:rPr>
          <w:lang w:val="fr-CH"/>
        </w:rPr>
        <w:tab/>
        <w:t>Activités de promotion de la protection des obtentions végétales</w:t>
      </w:r>
    </w:p>
    <w:p w:rsidR="00840BB9" w:rsidRPr="00690A5A" w:rsidRDefault="00840BB9" w:rsidP="00840BB9">
      <w:pPr>
        <w:rPr>
          <w:rFonts w:cs="Arial"/>
          <w:sz w:val="18"/>
          <w:szCs w:val="18"/>
          <w:lang w:val="fr-CH"/>
        </w:rPr>
      </w:pPr>
    </w:p>
    <w:tbl>
      <w:tblPr>
        <w:tblW w:w="15168" w:type="dxa"/>
        <w:tblInd w:w="-176" w:type="dxa"/>
        <w:tblLayout w:type="fixed"/>
        <w:tblCellMar>
          <w:left w:w="0" w:type="dxa"/>
          <w:right w:w="0" w:type="dxa"/>
        </w:tblCellMar>
        <w:tblLook w:val="04A0" w:firstRow="1" w:lastRow="0" w:firstColumn="1" w:lastColumn="0" w:noHBand="0" w:noVBand="1"/>
      </w:tblPr>
      <w:tblGrid>
        <w:gridCol w:w="2660"/>
        <w:gridCol w:w="1134"/>
        <w:gridCol w:w="993"/>
        <w:gridCol w:w="1984"/>
        <w:gridCol w:w="2410"/>
        <w:gridCol w:w="3827"/>
        <w:gridCol w:w="2160"/>
      </w:tblGrid>
      <w:tr w:rsidR="00840BB9" w:rsidRPr="00690A5A" w:rsidTr="00840BB9">
        <w:trPr>
          <w:tblHeader/>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40BB9" w:rsidRPr="00690A5A" w:rsidRDefault="00840BB9" w:rsidP="00B11368">
            <w:pPr>
              <w:keepNext/>
              <w:jc w:val="center"/>
              <w:rPr>
                <w:rFonts w:cs="Arial"/>
                <w:b/>
                <w:sz w:val="18"/>
                <w:szCs w:val="18"/>
                <w:lang w:val="en-GB" w:eastAsia="uk-UA"/>
              </w:rPr>
            </w:pPr>
            <w:r w:rsidRPr="00690A5A">
              <w:rPr>
                <w:rFonts w:cs="Arial"/>
                <w:b/>
                <w:sz w:val="18"/>
                <w:szCs w:val="18"/>
                <w:lang w:val="en-GB" w:eastAsia="uk-UA"/>
              </w:rPr>
              <w:t xml:space="preserve">Titre de </w:t>
            </w:r>
            <w:proofErr w:type="spellStart"/>
            <w:r w:rsidRPr="00690A5A">
              <w:rPr>
                <w:rFonts w:cs="Arial"/>
                <w:b/>
                <w:sz w:val="18"/>
                <w:szCs w:val="18"/>
                <w:lang w:val="en-GB" w:eastAsia="uk-UA"/>
              </w:rPr>
              <w:t>l’activité</w:t>
            </w:r>
            <w:proofErr w:type="spellEnd"/>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40BB9" w:rsidRPr="00690A5A" w:rsidRDefault="00840BB9" w:rsidP="00B11368">
            <w:pPr>
              <w:keepNext/>
              <w:jc w:val="center"/>
              <w:rPr>
                <w:rFonts w:cs="Arial"/>
                <w:b/>
                <w:sz w:val="18"/>
                <w:szCs w:val="18"/>
                <w:lang w:val="en-GB" w:eastAsia="uk-UA"/>
              </w:rPr>
            </w:pPr>
            <w:r w:rsidRPr="00690A5A">
              <w:rPr>
                <w:rFonts w:cs="Arial"/>
                <w:b/>
                <w:sz w:val="18"/>
                <w:szCs w:val="18"/>
                <w:lang w:val="en-GB" w:eastAsia="uk-UA"/>
              </w:rPr>
              <w:t>Date</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40BB9" w:rsidRPr="00690A5A" w:rsidRDefault="00840BB9" w:rsidP="00B11368">
            <w:pPr>
              <w:keepNext/>
              <w:jc w:val="center"/>
              <w:rPr>
                <w:rFonts w:cs="Arial"/>
                <w:b/>
                <w:sz w:val="18"/>
                <w:szCs w:val="18"/>
                <w:lang w:val="en-GB" w:eastAsia="uk-UA"/>
              </w:rPr>
            </w:pPr>
            <w:r w:rsidRPr="00690A5A">
              <w:rPr>
                <w:rFonts w:cs="Arial"/>
                <w:b/>
                <w:sz w:val="18"/>
                <w:szCs w:val="18"/>
                <w:lang w:val="en-GB" w:eastAsia="uk-UA"/>
              </w:rPr>
              <w:t>Lieu</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40BB9" w:rsidRPr="00690A5A" w:rsidRDefault="00840BB9" w:rsidP="00B11368">
            <w:pPr>
              <w:keepNext/>
              <w:jc w:val="center"/>
              <w:rPr>
                <w:rFonts w:cs="Arial"/>
                <w:b/>
                <w:sz w:val="18"/>
                <w:szCs w:val="18"/>
                <w:lang w:val="en-GB" w:eastAsia="uk-UA"/>
              </w:rPr>
            </w:pPr>
            <w:proofErr w:type="spellStart"/>
            <w:r w:rsidRPr="00690A5A">
              <w:rPr>
                <w:rFonts w:cs="Arial"/>
                <w:b/>
                <w:sz w:val="18"/>
                <w:szCs w:val="18"/>
                <w:lang w:val="en-GB" w:eastAsia="uk-UA"/>
              </w:rPr>
              <w:t>Organisateur</w:t>
            </w:r>
            <w:proofErr w:type="spellEnd"/>
            <w:r w:rsidRPr="00690A5A">
              <w:rPr>
                <w:rFonts w:cs="Arial"/>
                <w:b/>
                <w:sz w:val="18"/>
                <w:szCs w:val="18"/>
                <w:lang w:val="en-GB" w:eastAsia="uk-UA"/>
              </w:rPr>
              <w:t>(s)</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40BB9" w:rsidRPr="00690A5A" w:rsidRDefault="00840BB9" w:rsidP="00B11368">
            <w:pPr>
              <w:keepNext/>
              <w:jc w:val="center"/>
              <w:rPr>
                <w:rFonts w:cs="Arial"/>
                <w:b/>
                <w:sz w:val="18"/>
                <w:szCs w:val="18"/>
                <w:lang w:val="en-GB" w:eastAsia="uk-UA"/>
              </w:rPr>
            </w:pPr>
            <w:r w:rsidRPr="00690A5A">
              <w:rPr>
                <w:rFonts w:cs="Arial"/>
                <w:b/>
                <w:sz w:val="18"/>
                <w:szCs w:val="18"/>
                <w:lang w:val="en-GB" w:eastAsia="uk-UA"/>
              </w:rPr>
              <w:t xml:space="preserve">But de </w:t>
            </w:r>
            <w:proofErr w:type="spellStart"/>
            <w:r w:rsidRPr="00690A5A">
              <w:rPr>
                <w:rFonts w:cs="Arial"/>
                <w:b/>
                <w:sz w:val="18"/>
                <w:szCs w:val="18"/>
                <w:lang w:val="en-GB" w:eastAsia="uk-UA"/>
              </w:rPr>
              <w:t>l’activité</w:t>
            </w:r>
            <w:proofErr w:type="spellEnd"/>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40BB9" w:rsidRPr="00690A5A" w:rsidRDefault="00840BB9" w:rsidP="00B11368">
            <w:pPr>
              <w:keepNext/>
              <w:jc w:val="center"/>
              <w:rPr>
                <w:rFonts w:cs="Arial"/>
                <w:b/>
                <w:sz w:val="18"/>
                <w:szCs w:val="18"/>
                <w:lang w:val="fr-CH" w:eastAsia="uk-UA"/>
              </w:rPr>
            </w:pPr>
            <w:r w:rsidRPr="00690A5A">
              <w:rPr>
                <w:rFonts w:cs="Arial"/>
                <w:b/>
                <w:sz w:val="18"/>
                <w:szCs w:val="18"/>
                <w:lang w:val="fr-CH" w:eastAsia="uk-UA"/>
              </w:rPr>
              <w:t>Pays/organisations participants (nombre de participants de chacun d’eux)</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40BB9" w:rsidRPr="00690A5A" w:rsidRDefault="00840BB9" w:rsidP="00B11368">
            <w:pPr>
              <w:keepNext/>
              <w:jc w:val="center"/>
              <w:rPr>
                <w:rFonts w:cs="Arial"/>
                <w:b/>
                <w:sz w:val="18"/>
                <w:szCs w:val="18"/>
                <w:lang w:val="en-GB" w:eastAsia="uk-UA"/>
              </w:rPr>
            </w:pPr>
            <w:r w:rsidRPr="00690A5A">
              <w:rPr>
                <w:rFonts w:cs="Arial"/>
                <w:b/>
                <w:sz w:val="18"/>
                <w:szCs w:val="18"/>
                <w:lang w:val="en-GB" w:eastAsia="uk-UA"/>
              </w:rPr>
              <w:t>Observations</w:t>
            </w:r>
          </w:p>
        </w:tc>
      </w:tr>
      <w:tr w:rsidR="00840BB9" w:rsidRPr="00690A5A" w:rsidTr="00840BB9">
        <w:trPr>
          <w:tblHeader/>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40BB9" w:rsidRPr="00690A5A" w:rsidRDefault="00840BB9" w:rsidP="00B11368">
            <w:pPr>
              <w:keepNext/>
              <w:jc w:val="center"/>
              <w:rPr>
                <w:rFonts w:cs="Arial"/>
                <w:b/>
                <w:sz w:val="18"/>
                <w:szCs w:val="18"/>
                <w:lang w:val="en-GB" w:eastAsia="uk-UA"/>
              </w:rPr>
            </w:pPr>
            <w:r w:rsidRPr="00690A5A">
              <w:rPr>
                <w:rFonts w:cs="Arial"/>
                <w:b/>
                <w:sz w:val="18"/>
                <w:szCs w:val="18"/>
                <w:lang w:val="en-GB" w:eastAsia="uk-UA"/>
              </w:rPr>
              <w:t>1</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40BB9" w:rsidRPr="00690A5A" w:rsidRDefault="00840BB9" w:rsidP="00B11368">
            <w:pPr>
              <w:keepNext/>
              <w:jc w:val="center"/>
              <w:rPr>
                <w:rFonts w:cs="Arial"/>
                <w:b/>
                <w:sz w:val="18"/>
                <w:szCs w:val="18"/>
                <w:lang w:val="en-GB" w:eastAsia="uk-UA"/>
              </w:rPr>
            </w:pPr>
            <w:r w:rsidRPr="00690A5A">
              <w:rPr>
                <w:rFonts w:cs="Arial"/>
                <w:b/>
                <w:sz w:val="18"/>
                <w:szCs w:val="18"/>
                <w:lang w:val="en-GB" w:eastAsia="uk-UA"/>
              </w:rPr>
              <w:t>2</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40BB9" w:rsidRPr="00690A5A" w:rsidRDefault="00840BB9" w:rsidP="00B11368">
            <w:pPr>
              <w:keepNext/>
              <w:jc w:val="center"/>
              <w:rPr>
                <w:rFonts w:cs="Arial"/>
                <w:b/>
                <w:sz w:val="18"/>
                <w:szCs w:val="18"/>
                <w:lang w:val="en-GB" w:eastAsia="uk-UA"/>
              </w:rPr>
            </w:pPr>
            <w:r w:rsidRPr="00690A5A">
              <w:rPr>
                <w:rFonts w:cs="Arial"/>
                <w:b/>
                <w:sz w:val="18"/>
                <w:szCs w:val="18"/>
                <w:lang w:val="en-GB" w:eastAsia="uk-UA"/>
              </w:rPr>
              <w:t>3</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40BB9" w:rsidRPr="00690A5A" w:rsidRDefault="00840BB9" w:rsidP="00B11368">
            <w:pPr>
              <w:keepNext/>
              <w:jc w:val="center"/>
              <w:rPr>
                <w:rFonts w:cs="Arial"/>
                <w:b/>
                <w:sz w:val="18"/>
                <w:szCs w:val="18"/>
                <w:lang w:val="en-GB" w:eastAsia="uk-UA"/>
              </w:rPr>
            </w:pPr>
            <w:r w:rsidRPr="00690A5A">
              <w:rPr>
                <w:rFonts w:cs="Arial"/>
                <w:b/>
                <w:sz w:val="18"/>
                <w:szCs w:val="18"/>
                <w:lang w:val="en-GB" w:eastAsia="uk-UA"/>
              </w:rPr>
              <w:t>4</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40BB9" w:rsidRPr="00690A5A" w:rsidRDefault="00840BB9" w:rsidP="00B11368">
            <w:pPr>
              <w:keepNext/>
              <w:jc w:val="center"/>
              <w:rPr>
                <w:rFonts w:cs="Arial"/>
                <w:b/>
                <w:sz w:val="18"/>
                <w:szCs w:val="18"/>
                <w:lang w:val="en-GB" w:eastAsia="uk-UA"/>
              </w:rPr>
            </w:pPr>
            <w:r w:rsidRPr="00690A5A">
              <w:rPr>
                <w:rFonts w:cs="Arial"/>
                <w:b/>
                <w:sz w:val="18"/>
                <w:szCs w:val="18"/>
                <w:lang w:val="en-GB" w:eastAsia="uk-UA"/>
              </w:rPr>
              <w:t>5</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40BB9" w:rsidRPr="00690A5A" w:rsidRDefault="00840BB9" w:rsidP="00B11368">
            <w:pPr>
              <w:keepNext/>
              <w:jc w:val="center"/>
              <w:rPr>
                <w:rFonts w:cs="Arial"/>
                <w:b/>
                <w:sz w:val="18"/>
                <w:szCs w:val="18"/>
                <w:lang w:val="en-GB" w:eastAsia="uk-UA"/>
              </w:rPr>
            </w:pPr>
            <w:r w:rsidRPr="00690A5A">
              <w:rPr>
                <w:rFonts w:cs="Arial"/>
                <w:b/>
                <w:sz w:val="18"/>
                <w:szCs w:val="18"/>
                <w:lang w:val="en-GB" w:eastAsia="uk-UA"/>
              </w:rPr>
              <w:t>6</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40BB9" w:rsidRPr="00690A5A" w:rsidRDefault="00840BB9" w:rsidP="00B11368">
            <w:pPr>
              <w:keepNext/>
              <w:jc w:val="center"/>
              <w:rPr>
                <w:rFonts w:cs="Arial"/>
                <w:b/>
                <w:sz w:val="18"/>
                <w:szCs w:val="18"/>
                <w:lang w:val="en-GB" w:eastAsia="uk-UA"/>
              </w:rPr>
            </w:pPr>
            <w:r w:rsidRPr="00690A5A">
              <w:rPr>
                <w:rFonts w:cs="Arial"/>
                <w:b/>
                <w:sz w:val="18"/>
                <w:szCs w:val="18"/>
                <w:lang w:val="en-GB" w:eastAsia="uk-UA"/>
              </w:rPr>
              <w:t>7</w:t>
            </w:r>
          </w:p>
        </w:tc>
      </w:tr>
      <w:tr w:rsidR="00840BB9" w:rsidRPr="00690A5A" w:rsidTr="00840BB9">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pStyle w:val="ListParagraph"/>
              <w:tabs>
                <w:tab w:val="left" w:pos="176"/>
              </w:tabs>
              <w:ind w:left="0" w:firstLine="0"/>
              <w:contextualSpacing/>
              <w:rPr>
                <w:rFonts w:cs="Arial"/>
                <w:sz w:val="18"/>
                <w:szCs w:val="18"/>
                <w:lang w:val="fr-CH" w:eastAsia="uk-UA"/>
              </w:rPr>
            </w:pPr>
            <w:r w:rsidRPr="00690A5A">
              <w:rPr>
                <w:rFonts w:cs="Arial"/>
                <w:sz w:val="18"/>
                <w:szCs w:val="18"/>
                <w:lang w:val="fr-CH" w:eastAsia="uk-UA"/>
              </w:rPr>
              <w:t>1.  Conférence Web internationale sur la recherche appliquée organisée dans le cadre du vingtième anniversaire de l’adhésion de l’Ukraine à l’Union internationale pour la protection des obtentions végétales (UPOV)</w:t>
            </w:r>
          </w:p>
          <w:p w:rsidR="00840BB9" w:rsidRPr="00690A5A" w:rsidRDefault="0095327A" w:rsidP="00B11368">
            <w:pPr>
              <w:pStyle w:val="ListParagraph"/>
              <w:keepNext/>
              <w:ind w:left="0" w:firstLine="0"/>
              <w:contextualSpacing/>
              <w:rPr>
                <w:rFonts w:cs="Arial"/>
                <w:sz w:val="18"/>
                <w:szCs w:val="18"/>
                <w:lang w:val="uk-UA" w:eastAsia="uk-UA"/>
              </w:rPr>
            </w:pPr>
            <w:hyperlink r:id="rId16" w:history="1">
              <w:r w:rsidR="00840BB9" w:rsidRPr="00690A5A">
                <w:rPr>
                  <w:rStyle w:val="Hyperlink"/>
                  <w:rFonts w:cs="Arial"/>
                  <w:sz w:val="18"/>
                  <w:szCs w:val="20"/>
                  <w:lang w:val="fr-CH"/>
                </w:rPr>
                <w:t>http://conference.sops.gov.ua/index.php/main</w:t>
              </w:r>
            </w:hyperlink>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keepNext/>
              <w:contextualSpacing/>
              <w:jc w:val="left"/>
              <w:rPr>
                <w:rFonts w:cs="Arial"/>
                <w:sz w:val="18"/>
                <w:szCs w:val="18"/>
                <w:lang w:val="en-GB" w:eastAsia="uk-UA"/>
              </w:rPr>
            </w:pPr>
            <w:r w:rsidRPr="00690A5A">
              <w:rPr>
                <w:rFonts w:cs="Arial"/>
                <w:sz w:val="18"/>
                <w:szCs w:val="18"/>
                <w:lang w:val="en-GB" w:eastAsia="uk-UA"/>
              </w:rPr>
              <w:t>03.11.2015</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keepNext/>
              <w:contextualSpacing/>
              <w:jc w:val="left"/>
              <w:rPr>
                <w:rFonts w:cs="Arial"/>
                <w:sz w:val="18"/>
                <w:szCs w:val="18"/>
                <w:lang w:val="en-GB" w:eastAsia="uk-UA"/>
              </w:rPr>
            </w:pPr>
            <w:r w:rsidRPr="00690A5A">
              <w:rPr>
                <w:rFonts w:cs="Arial"/>
                <w:sz w:val="18"/>
                <w:szCs w:val="18"/>
                <w:lang w:val="en-GB" w:eastAsia="uk-UA"/>
              </w:rPr>
              <w:t>Kiev</w:t>
            </w:r>
          </w:p>
          <w:p w:rsidR="00840BB9" w:rsidRPr="00690A5A" w:rsidRDefault="00840BB9" w:rsidP="00B11368">
            <w:pPr>
              <w:keepNext/>
              <w:contextualSpacing/>
              <w:jc w:val="left"/>
              <w:rPr>
                <w:rFonts w:cs="Arial"/>
                <w:sz w:val="18"/>
                <w:szCs w:val="18"/>
                <w:lang w:val="en-GB" w:eastAsia="uk-UA"/>
              </w:rPr>
            </w:pPr>
            <w:r w:rsidRPr="00690A5A">
              <w:rPr>
                <w:rFonts w:cs="Arial"/>
                <w:sz w:val="18"/>
                <w:szCs w:val="18"/>
                <w:lang w:val="en-GB" w:eastAsia="uk-UA"/>
              </w:rPr>
              <w:t>(Ukraine)</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keepNext/>
              <w:contextualSpacing/>
              <w:jc w:val="left"/>
              <w:rPr>
                <w:rFonts w:cs="Arial"/>
                <w:sz w:val="18"/>
                <w:szCs w:val="18"/>
                <w:lang w:val="fr-CH" w:eastAsia="uk-UA"/>
              </w:rPr>
            </w:pPr>
            <w:r w:rsidRPr="00690A5A">
              <w:rPr>
                <w:rFonts w:cs="Arial"/>
                <w:sz w:val="18"/>
                <w:szCs w:val="18"/>
                <w:lang w:val="fr-CH" w:eastAsia="uk-UA"/>
              </w:rPr>
              <w:t>Institut ukrainien chargé de l’examen des obtentions végétales</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keepNext/>
              <w:contextualSpacing/>
              <w:jc w:val="left"/>
              <w:rPr>
                <w:rFonts w:cs="Arial"/>
                <w:sz w:val="18"/>
                <w:szCs w:val="18"/>
                <w:lang w:val="fr-CH" w:eastAsia="uk-UA"/>
              </w:rPr>
            </w:pPr>
            <w:r w:rsidRPr="00690A5A">
              <w:rPr>
                <w:rFonts w:cs="Arial"/>
                <w:sz w:val="18"/>
                <w:szCs w:val="18"/>
                <w:lang w:val="fr-CH" w:eastAsia="uk-UA"/>
              </w:rPr>
              <w:t>Étude de questions théoriques et pratiques en rapport avec les ressources végétales dans le monde.  Analyse des enjeux actuels de la protection des obtentions végétales et des aspects historiques en la matière et analyse de la question des compétences en matière de sélection et de la question de la commercialisation des variétés végétales.</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keepNext/>
              <w:contextualSpacing/>
              <w:jc w:val="left"/>
              <w:rPr>
                <w:rFonts w:cs="Arial"/>
                <w:sz w:val="18"/>
                <w:szCs w:val="18"/>
                <w:lang w:val="fr-CH" w:eastAsia="uk-UA"/>
              </w:rPr>
            </w:pPr>
            <w:r w:rsidRPr="00690A5A">
              <w:rPr>
                <w:rFonts w:cs="Arial"/>
                <w:sz w:val="18"/>
                <w:szCs w:val="18"/>
                <w:lang w:val="fr-CH" w:eastAsia="uk-UA"/>
              </w:rPr>
              <w:t xml:space="preserve">Ukraine, Pays-Bas, Allemagne, Pologne, Hongrie, </w:t>
            </w:r>
            <w:proofErr w:type="spellStart"/>
            <w:r w:rsidRPr="00690A5A">
              <w:rPr>
                <w:rFonts w:cs="Arial"/>
                <w:sz w:val="18"/>
                <w:szCs w:val="18"/>
                <w:lang w:val="fr-CH" w:eastAsia="uk-UA"/>
              </w:rPr>
              <w:t>Bélarus</w:t>
            </w:r>
            <w:proofErr w:type="spellEnd"/>
          </w:p>
          <w:p w:rsidR="00840BB9" w:rsidRPr="00690A5A" w:rsidRDefault="00840BB9" w:rsidP="00B11368">
            <w:pPr>
              <w:keepNext/>
              <w:contextualSpacing/>
              <w:jc w:val="left"/>
              <w:rPr>
                <w:rFonts w:cs="Arial"/>
                <w:sz w:val="18"/>
                <w:szCs w:val="18"/>
                <w:lang w:val="en-GB" w:eastAsia="uk-UA"/>
              </w:rPr>
            </w:pPr>
            <w:r w:rsidRPr="00690A5A">
              <w:rPr>
                <w:rFonts w:cs="Arial"/>
                <w:sz w:val="18"/>
                <w:szCs w:val="18"/>
                <w:lang w:val="en-GB" w:eastAsia="uk-UA"/>
              </w:rPr>
              <w:t>(83 participants à distance)</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pStyle w:val="NoSpacing"/>
              <w:contextualSpacing/>
              <w:rPr>
                <w:rFonts w:ascii="Arial" w:hAnsi="Arial" w:cs="Arial"/>
                <w:sz w:val="18"/>
                <w:szCs w:val="18"/>
                <w:lang w:val="fr-CH" w:eastAsia="uk-UA"/>
              </w:rPr>
            </w:pPr>
            <w:r w:rsidRPr="00690A5A">
              <w:rPr>
                <w:rFonts w:ascii="Arial" w:hAnsi="Arial" w:cs="Arial"/>
                <w:sz w:val="18"/>
                <w:szCs w:val="18"/>
                <w:lang w:val="fr-CH" w:eastAsia="uk-UA"/>
              </w:rPr>
              <w:t>Publication des documents de conférence.  Cet év</w:t>
            </w:r>
            <w:r>
              <w:rPr>
                <w:rFonts w:ascii="Arial" w:hAnsi="Arial" w:cs="Arial"/>
                <w:sz w:val="18"/>
                <w:szCs w:val="18"/>
                <w:lang w:val="fr-CH" w:eastAsia="uk-UA"/>
              </w:rPr>
              <w:t>é</w:t>
            </w:r>
            <w:r w:rsidRPr="00690A5A">
              <w:rPr>
                <w:rFonts w:ascii="Arial" w:hAnsi="Arial" w:cs="Arial"/>
                <w:sz w:val="18"/>
                <w:szCs w:val="18"/>
                <w:lang w:val="fr-CH" w:eastAsia="uk-UA"/>
              </w:rPr>
              <w:t>nement s’adresse aux chercheurs, assistants, étudiants des cycles supérieurs et étudiants des universités agricoles, aux experts agricoles et, en particulier, aux spécialistes de la protection des obtentions végétales et des droits d’obtenteur</w:t>
            </w:r>
          </w:p>
        </w:tc>
      </w:tr>
      <w:tr w:rsidR="00840BB9" w:rsidRPr="00690A5A" w:rsidTr="00840BB9">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contextualSpacing/>
              <w:jc w:val="left"/>
              <w:rPr>
                <w:rFonts w:cs="Arial"/>
                <w:sz w:val="18"/>
                <w:szCs w:val="18"/>
                <w:lang w:val="fr-CH" w:eastAsia="uk-UA"/>
              </w:rPr>
            </w:pPr>
            <w:r w:rsidRPr="00690A5A">
              <w:rPr>
                <w:rFonts w:cs="Arial"/>
                <w:sz w:val="18"/>
                <w:szCs w:val="18"/>
                <w:lang w:val="fr-CH" w:eastAsia="uk-UA"/>
              </w:rPr>
              <w:t>2.  Table ronde : état d’avancement de la coopération bilatérale entre l’Ukraine et la Pologne en matière d’examen et de protection des obtentions végétales</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keepNext/>
              <w:contextualSpacing/>
              <w:jc w:val="left"/>
              <w:rPr>
                <w:rFonts w:cs="Arial"/>
                <w:sz w:val="18"/>
                <w:szCs w:val="18"/>
                <w:lang w:val="en-GB" w:eastAsia="uk-UA"/>
              </w:rPr>
            </w:pPr>
            <w:r w:rsidRPr="00690A5A">
              <w:rPr>
                <w:rFonts w:cs="Arial"/>
                <w:sz w:val="18"/>
                <w:szCs w:val="18"/>
                <w:lang w:val="en-GB" w:eastAsia="uk-UA"/>
              </w:rPr>
              <w:t>08.11.2015</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keepNext/>
              <w:contextualSpacing/>
              <w:jc w:val="left"/>
              <w:rPr>
                <w:rFonts w:cs="Arial"/>
                <w:sz w:val="18"/>
                <w:szCs w:val="18"/>
                <w:lang w:val="en-GB" w:eastAsia="uk-UA"/>
              </w:rPr>
            </w:pPr>
            <w:proofErr w:type="spellStart"/>
            <w:r w:rsidRPr="00690A5A">
              <w:rPr>
                <w:rFonts w:cs="Arial"/>
                <w:sz w:val="18"/>
                <w:szCs w:val="18"/>
                <w:lang w:val="en-GB" w:eastAsia="uk-UA"/>
              </w:rPr>
              <w:t>Lviv</w:t>
            </w:r>
            <w:proofErr w:type="spellEnd"/>
          </w:p>
          <w:p w:rsidR="00840BB9" w:rsidRPr="00690A5A" w:rsidRDefault="00840BB9" w:rsidP="00B11368">
            <w:pPr>
              <w:keepNext/>
              <w:contextualSpacing/>
              <w:jc w:val="left"/>
              <w:rPr>
                <w:rFonts w:cs="Arial"/>
                <w:sz w:val="18"/>
                <w:szCs w:val="18"/>
                <w:lang w:val="en-GB" w:eastAsia="uk-UA"/>
              </w:rPr>
            </w:pPr>
            <w:r w:rsidRPr="00690A5A">
              <w:rPr>
                <w:rFonts w:cs="Arial"/>
                <w:sz w:val="18"/>
                <w:szCs w:val="18"/>
                <w:lang w:val="en-GB" w:eastAsia="uk-UA"/>
              </w:rPr>
              <w:t>(Ukraine)</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keepNext/>
              <w:contextualSpacing/>
              <w:jc w:val="left"/>
              <w:rPr>
                <w:rFonts w:cs="Arial"/>
                <w:sz w:val="18"/>
                <w:szCs w:val="18"/>
                <w:lang w:val="fr-CH" w:eastAsia="uk-UA"/>
              </w:rPr>
            </w:pPr>
            <w:r w:rsidRPr="00690A5A">
              <w:rPr>
                <w:rFonts w:cs="Arial"/>
                <w:sz w:val="18"/>
                <w:szCs w:val="18"/>
                <w:lang w:val="fr-CH" w:eastAsia="uk-UA"/>
              </w:rPr>
              <w:t>Institut ukrainien chargé de l’examen des obtentions végétales</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keepNext/>
              <w:contextualSpacing/>
              <w:jc w:val="left"/>
              <w:rPr>
                <w:rFonts w:cs="Arial"/>
                <w:sz w:val="18"/>
                <w:szCs w:val="18"/>
                <w:highlight w:val="yellow"/>
                <w:lang w:val="fr-CH" w:eastAsia="uk-UA"/>
              </w:rPr>
            </w:pPr>
            <w:r w:rsidRPr="00690A5A">
              <w:rPr>
                <w:rFonts w:cs="Arial"/>
                <w:sz w:val="18"/>
                <w:szCs w:val="18"/>
                <w:lang w:val="fr-CH" w:eastAsia="uk-UA"/>
              </w:rPr>
              <w:t>Échange d’informations et de données d’expérience en matière d’examen et de protection des obtentions végétales avec la participation des services compétents et des représentants des stations ukrainienne et polonaise.</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pStyle w:val="ListParagraph"/>
              <w:ind w:left="0" w:firstLine="0"/>
              <w:contextualSpacing/>
              <w:rPr>
                <w:rFonts w:cs="Arial"/>
                <w:sz w:val="18"/>
                <w:szCs w:val="18"/>
                <w:lang w:val="fr-CH" w:eastAsia="uk-UA"/>
              </w:rPr>
            </w:pPr>
            <w:r w:rsidRPr="00690A5A">
              <w:rPr>
                <w:rFonts w:cs="Arial"/>
                <w:sz w:val="18"/>
                <w:szCs w:val="18"/>
                <w:lang w:val="fr-CH" w:eastAsia="uk-UA"/>
              </w:rPr>
              <w:t>Institut ukrainien chargé de l’examen des obtentions végétales, Centre de recherche pour l’examen des cultivars (COBORU) de Pologne</w:t>
            </w:r>
          </w:p>
          <w:p w:rsidR="00840BB9" w:rsidRPr="00690A5A" w:rsidRDefault="00840BB9" w:rsidP="00B11368">
            <w:pPr>
              <w:keepNext/>
              <w:contextualSpacing/>
              <w:jc w:val="left"/>
              <w:rPr>
                <w:rFonts w:cs="Arial"/>
                <w:sz w:val="18"/>
                <w:szCs w:val="18"/>
                <w:lang w:val="en-GB" w:eastAsia="uk-UA"/>
              </w:rPr>
            </w:pPr>
            <w:r w:rsidRPr="00690A5A">
              <w:rPr>
                <w:rFonts w:cs="Arial"/>
                <w:sz w:val="18"/>
                <w:szCs w:val="18"/>
                <w:lang w:val="en-GB" w:eastAsia="uk-UA"/>
              </w:rPr>
              <w:t>(25 participants)</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pStyle w:val="ListParagraph"/>
              <w:ind w:left="0" w:firstLine="0"/>
              <w:contextualSpacing/>
              <w:rPr>
                <w:rFonts w:cs="Arial"/>
                <w:sz w:val="18"/>
                <w:szCs w:val="18"/>
                <w:lang w:val="fr-CH" w:eastAsia="uk-UA"/>
              </w:rPr>
            </w:pPr>
            <w:r w:rsidRPr="00690A5A">
              <w:rPr>
                <w:rFonts w:cs="Arial"/>
                <w:sz w:val="18"/>
                <w:szCs w:val="18"/>
                <w:lang w:val="fr-CH" w:eastAsia="uk-UA"/>
              </w:rPr>
              <w:t xml:space="preserve">Plan d’action signé entre l’Institut ukrainien chargé de l’examen des obtentions végétales et le Centre de recherche pour l’examen des cultivars (COBORU) de Pologne </w:t>
            </w:r>
          </w:p>
        </w:tc>
      </w:tr>
      <w:tr w:rsidR="00840BB9" w:rsidRPr="00690A5A" w:rsidTr="00840BB9">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jc w:val="left"/>
              <w:rPr>
                <w:lang w:val="fr-CH"/>
              </w:rPr>
            </w:pPr>
            <w:r w:rsidRPr="00690A5A">
              <w:rPr>
                <w:lang w:val="fr-CH"/>
              </w:rPr>
              <w:t>3.  Table ronde : l’Ukraine opère des changements positifs en matière de protection des obtentions végétales</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keepNext/>
              <w:contextualSpacing/>
              <w:jc w:val="left"/>
              <w:rPr>
                <w:rFonts w:cs="Arial"/>
                <w:sz w:val="18"/>
                <w:szCs w:val="18"/>
                <w:lang w:val="en-GB" w:eastAsia="uk-UA"/>
              </w:rPr>
            </w:pPr>
            <w:r w:rsidRPr="00690A5A">
              <w:rPr>
                <w:rFonts w:cs="Arial"/>
                <w:sz w:val="18"/>
                <w:szCs w:val="18"/>
                <w:lang w:val="en-GB" w:eastAsia="uk-UA"/>
              </w:rPr>
              <w:t>17.12.2015</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keepNext/>
              <w:contextualSpacing/>
              <w:jc w:val="left"/>
              <w:rPr>
                <w:rFonts w:cs="Arial"/>
                <w:sz w:val="18"/>
                <w:szCs w:val="18"/>
                <w:lang w:val="en-GB" w:eastAsia="uk-UA"/>
              </w:rPr>
            </w:pPr>
            <w:r w:rsidRPr="00690A5A">
              <w:rPr>
                <w:rFonts w:cs="Arial"/>
                <w:sz w:val="18"/>
                <w:szCs w:val="18"/>
                <w:lang w:val="en-GB" w:eastAsia="uk-UA"/>
              </w:rPr>
              <w:t>Kiev</w:t>
            </w:r>
          </w:p>
          <w:p w:rsidR="00840BB9" w:rsidRPr="00690A5A" w:rsidRDefault="00840BB9" w:rsidP="00B11368">
            <w:pPr>
              <w:keepNext/>
              <w:contextualSpacing/>
              <w:jc w:val="left"/>
              <w:rPr>
                <w:rFonts w:cs="Arial"/>
                <w:sz w:val="18"/>
                <w:szCs w:val="18"/>
                <w:lang w:val="en-GB" w:eastAsia="uk-UA"/>
              </w:rPr>
            </w:pPr>
            <w:r w:rsidRPr="00690A5A">
              <w:rPr>
                <w:rFonts w:cs="Arial"/>
                <w:sz w:val="18"/>
                <w:szCs w:val="18"/>
                <w:lang w:val="en-GB" w:eastAsia="uk-UA"/>
              </w:rPr>
              <w:t>(Ukraine)</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keepNext/>
              <w:contextualSpacing/>
              <w:jc w:val="left"/>
              <w:rPr>
                <w:rFonts w:cs="Arial"/>
                <w:sz w:val="18"/>
                <w:szCs w:val="18"/>
                <w:lang w:val="fr-CH" w:eastAsia="uk-UA"/>
              </w:rPr>
            </w:pPr>
            <w:r w:rsidRPr="00690A5A">
              <w:rPr>
                <w:rFonts w:cs="Arial"/>
                <w:sz w:val="18"/>
                <w:szCs w:val="18"/>
                <w:lang w:val="fr-CH" w:eastAsia="uk-UA"/>
              </w:rPr>
              <w:t>Chambre de commerce américaine en Ukraine, ambassade des Pays-Bas à Kiev, Institut ukrainien chargé de l’examen des obtentions végétales</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keepNext/>
              <w:contextualSpacing/>
              <w:jc w:val="left"/>
              <w:rPr>
                <w:rFonts w:cs="Arial"/>
                <w:sz w:val="18"/>
                <w:szCs w:val="18"/>
                <w:lang w:val="fr-CH" w:eastAsia="uk-UA"/>
              </w:rPr>
            </w:pPr>
            <w:r w:rsidRPr="00690A5A">
              <w:rPr>
                <w:rFonts w:cs="Arial"/>
                <w:sz w:val="18"/>
                <w:szCs w:val="18"/>
                <w:lang w:val="fr-CH" w:eastAsia="uk-UA"/>
              </w:rPr>
              <w:t>Échange d’informations et de données d’expérience en matière de protection des obtentions végétales en Ukraine et aux Pays-Bas</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pStyle w:val="ListParagraph"/>
              <w:ind w:left="0" w:firstLine="0"/>
              <w:contextualSpacing/>
              <w:rPr>
                <w:rFonts w:cs="Arial"/>
                <w:sz w:val="18"/>
                <w:szCs w:val="18"/>
                <w:lang w:val="fr-CH" w:eastAsia="uk-UA"/>
              </w:rPr>
            </w:pPr>
            <w:r w:rsidRPr="00690A5A">
              <w:rPr>
                <w:rFonts w:cs="Arial"/>
                <w:sz w:val="18"/>
                <w:szCs w:val="18"/>
                <w:lang w:val="fr-CH" w:eastAsia="uk-UA"/>
              </w:rPr>
              <w:t>Conseil néerlandais des variétés végétales, Bureau chargé de la lutte contre les atteintes aux droits de propriété intellectuelle sur le matériel végétal, ambassade des Pays-Bas à Kiev, Chambre de commerce américaine en Ukraine, Ministère ukrainien de la politique agricole, Service d’État ukrainien de la sécurité alimentaire et de la protection des consommateurs, Ministère ukrainien du développement économique et du commerce, Institut ukrainien chargé de l’examen des obtentions végétales, représentants des associations de semenciers d’Ukraine et demandeurs</w:t>
            </w:r>
          </w:p>
          <w:p w:rsidR="00840BB9" w:rsidRPr="00690A5A" w:rsidRDefault="00840BB9" w:rsidP="00B11368">
            <w:pPr>
              <w:pStyle w:val="ListParagraph"/>
              <w:ind w:left="0" w:firstLine="0"/>
              <w:contextualSpacing/>
              <w:rPr>
                <w:rFonts w:cs="Arial"/>
                <w:sz w:val="18"/>
                <w:szCs w:val="18"/>
                <w:lang w:val="en-GB" w:eastAsia="uk-UA"/>
              </w:rPr>
            </w:pPr>
            <w:r w:rsidRPr="00690A5A">
              <w:rPr>
                <w:rFonts w:cs="Arial"/>
                <w:sz w:val="18"/>
                <w:szCs w:val="18"/>
                <w:lang w:val="en-GB" w:eastAsia="uk-UA"/>
              </w:rPr>
              <w:t>(40 participants)</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40BB9" w:rsidRPr="00690A5A" w:rsidRDefault="00840BB9" w:rsidP="00B11368">
            <w:pPr>
              <w:keepNext/>
              <w:contextualSpacing/>
              <w:jc w:val="left"/>
              <w:rPr>
                <w:rFonts w:cs="Arial"/>
                <w:sz w:val="18"/>
                <w:szCs w:val="18"/>
                <w:lang w:val="en-GB" w:eastAsia="uk-UA"/>
              </w:rPr>
            </w:pPr>
          </w:p>
        </w:tc>
      </w:tr>
      <w:tr w:rsidR="00840BB9" w:rsidRPr="00690A5A" w:rsidTr="00840BB9">
        <w:tc>
          <w:tcPr>
            <w:tcW w:w="15168"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keepNext/>
              <w:keepLines/>
              <w:spacing w:before="60" w:after="60"/>
              <w:rPr>
                <w:rFonts w:cs="Arial"/>
                <w:sz w:val="18"/>
                <w:szCs w:val="18"/>
                <w:lang w:val="fr-CH" w:eastAsia="uk-UA"/>
              </w:rPr>
            </w:pPr>
            <w:r w:rsidRPr="00690A5A">
              <w:rPr>
                <w:rFonts w:cs="Arial"/>
                <w:sz w:val="18"/>
                <w:szCs w:val="18"/>
                <w:lang w:val="fr-CH" w:eastAsia="uk-UA"/>
              </w:rPr>
              <w:t>Publications (protection des obtentions végétales)</w:t>
            </w:r>
          </w:p>
        </w:tc>
      </w:tr>
      <w:tr w:rsidR="00840BB9" w:rsidRPr="00690A5A" w:rsidTr="00840BB9">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keepNext/>
              <w:keepLines/>
              <w:jc w:val="left"/>
              <w:rPr>
                <w:sz w:val="18"/>
                <w:lang w:val="fr-CH"/>
              </w:rPr>
            </w:pPr>
            <w:r w:rsidRPr="00690A5A">
              <w:rPr>
                <w:sz w:val="18"/>
                <w:lang w:val="fr-CH"/>
              </w:rPr>
              <w:t>Revue sur la recherche appliquée concernant l’étude et la protection des obtentions végétales n° 1-2 (26-27), 3-4 (28-29) de 2015</w:t>
            </w:r>
          </w:p>
          <w:p w:rsidR="00840BB9" w:rsidRPr="00130EDA" w:rsidRDefault="0095327A" w:rsidP="00B11368">
            <w:pPr>
              <w:keepNext/>
              <w:keepLines/>
              <w:jc w:val="left"/>
              <w:rPr>
                <w:rStyle w:val="Hyperlink"/>
              </w:rPr>
            </w:pPr>
            <w:hyperlink r:id="rId17" w:history="1">
              <w:r w:rsidR="00840BB9" w:rsidRPr="00130EDA">
                <w:rPr>
                  <w:rStyle w:val="Hyperlink"/>
                  <w:sz w:val="18"/>
                </w:rPr>
                <w:t>http://journal.sops.gov.ua/</w:t>
              </w:r>
            </w:hyperlink>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keepNext/>
              <w:keepLines/>
              <w:jc w:val="left"/>
              <w:rPr>
                <w:sz w:val="18"/>
              </w:rPr>
            </w:pPr>
            <w:r w:rsidRPr="00690A5A">
              <w:rPr>
                <w:sz w:val="18"/>
              </w:rPr>
              <w:t>Trimestriel</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keepNext/>
              <w:keepLines/>
              <w:jc w:val="left"/>
              <w:rPr>
                <w:sz w:val="18"/>
              </w:rPr>
            </w:pPr>
            <w:r w:rsidRPr="00690A5A">
              <w:rPr>
                <w:sz w:val="18"/>
              </w:rPr>
              <w:t>Kiev</w:t>
            </w:r>
          </w:p>
          <w:p w:rsidR="00840BB9" w:rsidRPr="00690A5A" w:rsidRDefault="00840BB9" w:rsidP="00B11368">
            <w:pPr>
              <w:keepNext/>
              <w:keepLines/>
              <w:jc w:val="left"/>
              <w:rPr>
                <w:sz w:val="18"/>
              </w:rPr>
            </w:pPr>
            <w:r w:rsidRPr="00690A5A">
              <w:rPr>
                <w:sz w:val="18"/>
              </w:rPr>
              <w:t>(Ukraine)</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keepNext/>
              <w:keepLines/>
              <w:jc w:val="left"/>
              <w:rPr>
                <w:sz w:val="18"/>
                <w:lang w:val="fr-CH"/>
              </w:rPr>
            </w:pPr>
            <w:r w:rsidRPr="00690A5A">
              <w:rPr>
                <w:sz w:val="18"/>
                <w:lang w:val="fr-CH"/>
              </w:rPr>
              <w:t>Institut ukrainien chargé de l’examen des obtentions végétales,</w:t>
            </w:r>
          </w:p>
          <w:p w:rsidR="00840BB9" w:rsidRPr="00690A5A" w:rsidRDefault="00840BB9" w:rsidP="00B11368">
            <w:pPr>
              <w:keepNext/>
              <w:keepLines/>
              <w:jc w:val="left"/>
              <w:rPr>
                <w:sz w:val="18"/>
                <w:lang w:val="fr-CH"/>
              </w:rPr>
            </w:pPr>
            <w:r w:rsidRPr="00690A5A">
              <w:rPr>
                <w:sz w:val="18"/>
                <w:lang w:val="fr-CH"/>
              </w:rPr>
              <w:t xml:space="preserve">Institut de sélection végétale et de </w:t>
            </w:r>
            <w:proofErr w:type="spellStart"/>
            <w:r w:rsidRPr="00690A5A">
              <w:rPr>
                <w:sz w:val="18"/>
                <w:lang w:val="fr-CH"/>
              </w:rPr>
              <w:t>phytogénétique</w:t>
            </w:r>
            <w:proofErr w:type="spellEnd"/>
            <w:r w:rsidRPr="00690A5A">
              <w:rPr>
                <w:sz w:val="18"/>
                <w:lang w:val="fr-CH"/>
              </w:rPr>
              <w:t xml:space="preserve"> – Centre national pour l’étude des semences et des cultivars de l’Académie nationale des sciences agricoles (NAAS),</w:t>
            </w:r>
          </w:p>
          <w:p w:rsidR="00840BB9" w:rsidRPr="00690A5A" w:rsidRDefault="00840BB9" w:rsidP="00B11368">
            <w:pPr>
              <w:keepNext/>
              <w:keepLines/>
              <w:jc w:val="left"/>
              <w:rPr>
                <w:sz w:val="18"/>
                <w:lang w:val="fr-CH"/>
              </w:rPr>
            </w:pPr>
            <w:r w:rsidRPr="00690A5A">
              <w:rPr>
                <w:sz w:val="18"/>
                <w:lang w:val="fr-CH"/>
              </w:rPr>
              <w:t xml:space="preserve">Institut de physiologie végétale et de </w:t>
            </w:r>
            <w:proofErr w:type="spellStart"/>
            <w:r w:rsidRPr="00690A5A">
              <w:rPr>
                <w:sz w:val="18"/>
                <w:lang w:val="fr-CH"/>
              </w:rPr>
              <w:t>phytogénétique</w:t>
            </w:r>
            <w:proofErr w:type="spellEnd"/>
            <w:r w:rsidRPr="00690A5A">
              <w:rPr>
                <w:sz w:val="18"/>
                <w:lang w:val="fr-CH"/>
              </w:rPr>
              <w:t>, Académie nationale des sciences d’Ukraine</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keepNext/>
              <w:keepLines/>
              <w:jc w:val="left"/>
              <w:rPr>
                <w:sz w:val="18"/>
                <w:lang w:val="fr-CH"/>
              </w:rPr>
            </w:pPr>
            <w:r w:rsidRPr="00690A5A">
              <w:rPr>
                <w:sz w:val="18"/>
                <w:lang w:val="fr-CH"/>
              </w:rPr>
              <w:t xml:space="preserve">Publications concernant l’étude des variétés végétales et les sciences, la </w:t>
            </w:r>
            <w:proofErr w:type="spellStart"/>
            <w:r w:rsidRPr="00690A5A">
              <w:rPr>
                <w:sz w:val="18"/>
                <w:lang w:val="fr-CH"/>
              </w:rPr>
              <w:t>phytogénétique</w:t>
            </w:r>
            <w:proofErr w:type="spellEnd"/>
            <w:r w:rsidRPr="00690A5A">
              <w:rPr>
                <w:sz w:val="18"/>
                <w:lang w:val="fr-CH"/>
              </w:rPr>
              <w:t>, la sélection et la production des semences, la physiologie végétale, la biotechnologie et la biosécurité, la production de variétés, la commercialisation des variétés, la protection des obtentions végétales, la coopération internationale, les systèmes et technologies de l’information, le point de vue des jeunes scientifiques, l’histoire des sciences, les commémorations</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keepNext/>
              <w:keepLines/>
              <w:jc w:val="left"/>
              <w:rPr>
                <w:sz w:val="18"/>
                <w:lang w:val="fr-CH"/>
              </w:rPr>
            </w:pP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keepNext/>
              <w:keepLines/>
              <w:jc w:val="left"/>
              <w:rPr>
                <w:sz w:val="18"/>
                <w:lang w:val="fr-CH"/>
              </w:rPr>
            </w:pPr>
          </w:p>
        </w:tc>
      </w:tr>
      <w:tr w:rsidR="00840BB9" w:rsidRPr="00690A5A" w:rsidTr="00840BB9">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jc w:val="left"/>
              <w:rPr>
                <w:sz w:val="18"/>
                <w:lang w:val="fr-CH"/>
              </w:rPr>
            </w:pPr>
            <w:r w:rsidRPr="00690A5A">
              <w:rPr>
                <w:sz w:val="18"/>
                <w:lang w:val="fr-CH"/>
              </w:rPr>
              <w:t>Bulletin “Protection des obtentions végétales”, n° 1, parties 1 et 2, n° 2, parties 1 et 2, n</w:t>
            </w:r>
            <w:r w:rsidRPr="00690A5A">
              <w:rPr>
                <w:sz w:val="18"/>
                <w:vertAlign w:val="superscript"/>
                <w:lang w:val="fr-CH"/>
              </w:rPr>
              <w:t>os</w:t>
            </w:r>
            <w:r w:rsidRPr="00690A5A">
              <w:rPr>
                <w:sz w:val="18"/>
                <w:lang w:val="fr-CH"/>
              </w:rPr>
              <w:t> 3 et 4, 2015</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jc w:val="left"/>
              <w:rPr>
                <w:sz w:val="18"/>
              </w:rPr>
            </w:pPr>
            <w:r w:rsidRPr="00690A5A">
              <w:rPr>
                <w:sz w:val="18"/>
              </w:rPr>
              <w:t>Trimestriel</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jc w:val="left"/>
              <w:rPr>
                <w:sz w:val="18"/>
              </w:rPr>
            </w:pPr>
            <w:r w:rsidRPr="00690A5A">
              <w:rPr>
                <w:sz w:val="18"/>
              </w:rPr>
              <w:t>Kiev</w:t>
            </w:r>
          </w:p>
          <w:p w:rsidR="00840BB9" w:rsidRPr="00690A5A" w:rsidRDefault="00840BB9" w:rsidP="00B11368">
            <w:pPr>
              <w:jc w:val="left"/>
              <w:rPr>
                <w:sz w:val="18"/>
              </w:rPr>
            </w:pPr>
            <w:r w:rsidRPr="00690A5A">
              <w:rPr>
                <w:sz w:val="18"/>
              </w:rPr>
              <w:t>(Ukraine)</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jc w:val="left"/>
              <w:rPr>
                <w:sz w:val="18"/>
                <w:lang w:val="fr-CH"/>
              </w:rPr>
            </w:pPr>
            <w:r w:rsidRPr="00690A5A">
              <w:rPr>
                <w:sz w:val="18"/>
                <w:lang w:val="fr-CH"/>
              </w:rPr>
              <w:t>Service vétérinaire et phytosanitaire d’État ukrainien,</w:t>
            </w:r>
          </w:p>
          <w:p w:rsidR="00840BB9" w:rsidRPr="00690A5A" w:rsidRDefault="00840BB9" w:rsidP="00B11368">
            <w:pPr>
              <w:jc w:val="left"/>
              <w:rPr>
                <w:sz w:val="18"/>
                <w:lang w:val="fr-CH"/>
              </w:rPr>
            </w:pPr>
            <w:r w:rsidRPr="00690A5A">
              <w:rPr>
                <w:sz w:val="18"/>
                <w:lang w:val="fr-CH"/>
              </w:rPr>
              <w:t>Institut ukrainien chargé de l’examen des obtentions végétales.</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jc w:val="left"/>
              <w:rPr>
                <w:sz w:val="18"/>
                <w:lang w:val="fr-CH"/>
              </w:rPr>
            </w:pPr>
            <w:r w:rsidRPr="00690A5A">
              <w:rPr>
                <w:sz w:val="18"/>
                <w:lang w:val="fr-CH"/>
              </w:rPr>
              <w:t>Bulletin publié conformément à la législation ukrainienne en matière de protection des obtentions végétales en vue de fournir des informations officielles concernant les droits relatifs aux obtentions végétales et satisfaire aux obligations découlant de l’adhésion de l’Ukraine à l’UPOV.</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jc w:val="left"/>
              <w:rPr>
                <w:sz w:val="18"/>
                <w:lang w:val="fr-CH"/>
              </w:rPr>
            </w:pP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jc w:val="left"/>
              <w:rPr>
                <w:sz w:val="18"/>
                <w:lang w:val="fr-CH"/>
              </w:rPr>
            </w:pPr>
            <w:r w:rsidRPr="00690A5A">
              <w:rPr>
                <w:sz w:val="18"/>
                <w:lang w:val="fr-CH"/>
              </w:rPr>
              <w:t>Destiné aux obtenteurs et titulaires de droits de propriété intellectuelle sur la diffusion des variétés, titulaires du droit d’obtenteur, producteurs de semences et de matériel végétal, entreprises de sélection et de production des semences, établissements de recherche, universités, établissements d’enseignement supérieur.  Présente également un intérêt pour les exploitants de différentes catégories, les maraîchers et les jardiniers.</w:t>
            </w:r>
          </w:p>
        </w:tc>
      </w:tr>
      <w:tr w:rsidR="00840BB9" w:rsidRPr="00690A5A" w:rsidTr="00840BB9">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jc w:val="left"/>
              <w:rPr>
                <w:sz w:val="18"/>
                <w:lang w:val="fr-CH"/>
              </w:rPr>
            </w:pPr>
            <w:r w:rsidRPr="00690A5A">
              <w:rPr>
                <w:sz w:val="18"/>
                <w:lang w:val="fr-CH"/>
              </w:rPr>
              <w:t>Documentation en ligne pour la Conférence Web internationale sur la recherche appliquée intitulée “Ressources végétales dans le monde : situation actuelle et perspectives de développement”, organisée dans le cadre du vingtième anniversaire de l’adhésion de l’Ukraine à l’UPOV.</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jc w:val="left"/>
              <w:rPr>
                <w:sz w:val="18"/>
              </w:rPr>
            </w:pPr>
            <w:r w:rsidRPr="00690A5A">
              <w:rPr>
                <w:sz w:val="18"/>
              </w:rPr>
              <w:t>03.11.2015</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jc w:val="left"/>
              <w:rPr>
                <w:sz w:val="18"/>
              </w:rPr>
            </w:pPr>
            <w:r w:rsidRPr="00690A5A">
              <w:rPr>
                <w:sz w:val="18"/>
              </w:rPr>
              <w:t>Kiev</w:t>
            </w:r>
          </w:p>
          <w:p w:rsidR="00840BB9" w:rsidRPr="00690A5A" w:rsidRDefault="00840BB9" w:rsidP="00B11368">
            <w:pPr>
              <w:jc w:val="left"/>
              <w:rPr>
                <w:sz w:val="18"/>
              </w:rPr>
            </w:pPr>
            <w:r w:rsidRPr="00690A5A">
              <w:rPr>
                <w:sz w:val="18"/>
              </w:rPr>
              <w:t>(Ukraine)</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jc w:val="left"/>
              <w:rPr>
                <w:sz w:val="18"/>
                <w:lang w:val="fr-CH"/>
              </w:rPr>
            </w:pPr>
            <w:r w:rsidRPr="00690A5A">
              <w:rPr>
                <w:sz w:val="18"/>
                <w:lang w:val="fr-CH"/>
              </w:rPr>
              <w:t>Institut ukrainien chargé de l’examen des obtentions végétales</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jc w:val="left"/>
              <w:rPr>
                <w:sz w:val="18"/>
                <w:lang w:val="fr-CH"/>
              </w:rPr>
            </w:pPr>
            <w:r w:rsidRPr="00690A5A">
              <w:rPr>
                <w:sz w:val="18"/>
                <w:lang w:val="fr-CH"/>
              </w:rPr>
              <w:t>Étude de questions théoriques et pratiques en rapport avec les ressources végétales dans le monde.  Analyse des enjeux actuels de la protection des obtentions végétales et des aspects historiques en la matière et analyse de la question des compétences en matière de sélection et de la question de la commercialisation des variétés végétales.</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jc w:val="left"/>
              <w:rPr>
                <w:sz w:val="18"/>
                <w:lang w:val="fr-CH"/>
              </w:rPr>
            </w:pPr>
            <w:r w:rsidRPr="00690A5A">
              <w:rPr>
                <w:sz w:val="18"/>
                <w:lang w:val="fr-CH"/>
              </w:rPr>
              <w:t xml:space="preserve">Ukraine, Pays-Bas, Allemagne, Pologne, Hongrie, </w:t>
            </w:r>
            <w:proofErr w:type="spellStart"/>
            <w:r w:rsidRPr="00690A5A">
              <w:rPr>
                <w:sz w:val="18"/>
                <w:lang w:val="fr-CH"/>
              </w:rPr>
              <w:t>Bélarus</w:t>
            </w:r>
            <w:proofErr w:type="spellEnd"/>
          </w:p>
          <w:p w:rsidR="00840BB9" w:rsidRPr="00690A5A" w:rsidRDefault="00840BB9" w:rsidP="00B11368">
            <w:pPr>
              <w:jc w:val="left"/>
              <w:rPr>
                <w:sz w:val="18"/>
              </w:rPr>
            </w:pPr>
            <w:r w:rsidRPr="00690A5A">
              <w:rPr>
                <w:sz w:val="18"/>
              </w:rPr>
              <w:t>(83 participants à distance)</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0BB9" w:rsidRPr="00690A5A" w:rsidRDefault="00840BB9" w:rsidP="00B11368">
            <w:pPr>
              <w:jc w:val="left"/>
              <w:rPr>
                <w:sz w:val="18"/>
                <w:lang w:val="fr-CH"/>
              </w:rPr>
            </w:pPr>
            <w:r w:rsidRPr="00690A5A">
              <w:rPr>
                <w:sz w:val="18"/>
                <w:lang w:val="fr-CH"/>
              </w:rPr>
              <w:t>Publication des documents de conférence.  Ce</w:t>
            </w:r>
            <w:r>
              <w:rPr>
                <w:sz w:val="18"/>
                <w:lang w:val="fr-CH"/>
              </w:rPr>
              <w:t>t évé</w:t>
            </w:r>
            <w:r w:rsidRPr="00690A5A">
              <w:rPr>
                <w:sz w:val="18"/>
                <w:lang w:val="fr-CH"/>
              </w:rPr>
              <w:t>nement s’adresse aux chercheurs, assistants, étudiants des cycles supérieurs et étudiants des universités agricoles, aux experts en plantes agricoles et, en particulier, aux spécialistes de la protection des obtentions végétales et des droits d’obtenteur.</w:t>
            </w:r>
          </w:p>
        </w:tc>
      </w:tr>
    </w:tbl>
    <w:p w:rsidR="0068479C" w:rsidRPr="004F3AB8" w:rsidRDefault="0068479C" w:rsidP="0068479C"/>
    <w:p w:rsidR="00840BB9" w:rsidRDefault="00840BB9" w:rsidP="0068479C">
      <w:pPr>
        <w:sectPr w:rsidR="00840BB9" w:rsidSect="00840BB9">
          <w:headerReference w:type="default" r:id="rId18"/>
          <w:pgSz w:w="16840" w:h="11907" w:orient="landscape" w:code="9"/>
          <w:pgMar w:top="510" w:right="1134" w:bottom="709" w:left="1134" w:header="510" w:footer="680" w:gutter="0"/>
          <w:cols w:space="720"/>
          <w:docGrid w:linePitch="272"/>
        </w:sectPr>
      </w:pPr>
    </w:p>
    <w:p w:rsidR="00840BB9" w:rsidRPr="00690A5A" w:rsidRDefault="00840BB9" w:rsidP="00840BB9">
      <w:pPr>
        <w:rPr>
          <w:lang w:val="fr-CH"/>
        </w:rPr>
      </w:pPr>
      <w:r w:rsidRPr="00690A5A">
        <w:rPr>
          <w:lang w:val="fr-CH"/>
        </w:rPr>
        <w:t>II.</w:t>
      </w:r>
      <w:r w:rsidRPr="00690A5A">
        <w:rPr>
          <w:lang w:val="fr-CH"/>
        </w:rPr>
        <w:tab/>
        <w:t>DOMAINES D’ACTIVITÉ CONNEXES PRÉSENTANT UN INTÉRÊT POUR L’UPOV</w:t>
      </w:r>
    </w:p>
    <w:p w:rsidR="00840BB9" w:rsidRPr="00690A5A" w:rsidRDefault="00840BB9" w:rsidP="00840BB9">
      <w:pPr>
        <w:rPr>
          <w:lang w:val="fr-CH"/>
        </w:rPr>
      </w:pPr>
    </w:p>
    <w:p w:rsidR="00840BB9" w:rsidRPr="00690A5A" w:rsidRDefault="00840BB9" w:rsidP="00840BB9">
      <w:pPr>
        <w:rPr>
          <w:lang w:val="fr-CH"/>
        </w:rPr>
      </w:pPr>
      <w:r w:rsidRPr="00690A5A">
        <w:rPr>
          <w:lang w:val="fr-CH"/>
        </w:rPr>
        <w:t xml:space="preserve">Les données statistiques relatives à la protection des obtentions végétales en Ukraine de 2001 à 2015 ont été envoyées par courrier électronique à l’adresse </w:t>
      </w:r>
      <w:hyperlink r:id="rId19" w:history="1">
        <w:r w:rsidRPr="00537FF1">
          <w:rPr>
            <w:rStyle w:val="Hyperlink"/>
            <w:lang w:val="fr-CH"/>
          </w:rPr>
          <w:t>upov.mail@upov.int</w:t>
        </w:r>
      </w:hyperlink>
      <w:r w:rsidRPr="00690A5A">
        <w:rPr>
          <w:lang w:val="fr-CH"/>
        </w:rPr>
        <w:t xml:space="preserve"> avec le présent rapport.</w:t>
      </w:r>
    </w:p>
    <w:p w:rsidR="00840BB9" w:rsidRPr="00690A5A" w:rsidRDefault="00840BB9" w:rsidP="00840BB9">
      <w:pPr>
        <w:rPr>
          <w:lang w:val="fr-CH"/>
        </w:rPr>
      </w:pPr>
    </w:p>
    <w:p w:rsidR="0068479C" w:rsidRDefault="0068479C" w:rsidP="0068479C"/>
    <w:p w:rsidR="00840BB9" w:rsidRPr="004F3AB8" w:rsidRDefault="00840BB9" w:rsidP="0068479C"/>
    <w:p w:rsidR="0068479C" w:rsidRPr="004F3AB8" w:rsidRDefault="0068479C" w:rsidP="0068479C">
      <w:pPr>
        <w:jc w:val="right"/>
      </w:pPr>
      <w:r w:rsidRPr="004F3AB8">
        <w:t>[L’annexe IV suit]</w:t>
      </w:r>
    </w:p>
    <w:p w:rsidR="0068479C" w:rsidRPr="004F3AB8" w:rsidRDefault="0068479C" w:rsidP="0068479C">
      <w:pPr>
        <w:jc w:val="left"/>
      </w:pPr>
    </w:p>
    <w:p w:rsidR="0068479C" w:rsidRPr="004F3AB8" w:rsidRDefault="0068479C" w:rsidP="0068479C">
      <w:pPr>
        <w:jc w:val="left"/>
        <w:sectPr w:rsidR="0068479C" w:rsidRPr="004F3AB8" w:rsidSect="00840BB9">
          <w:pgSz w:w="11907" w:h="16840" w:code="9"/>
          <w:pgMar w:top="510" w:right="1134" w:bottom="1134" w:left="1134" w:header="510" w:footer="680" w:gutter="0"/>
          <w:cols w:space="720"/>
          <w:docGrid w:linePitch="272"/>
        </w:sectPr>
      </w:pPr>
    </w:p>
    <w:p w:rsidR="0068479C" w:rsidRPr="004F3AB8" w:rsidRDefault="0068479C" w:rsidP="0068479C">
      <w:pPr>
        <w:jc w:val="center"/>
      </w:pPr>
      <w:r>
        <w:t>C/50/16</w:t>
      </w:r>
      <w:r w:rsidR="003274A7">
        <w:t xml:space="preserve"> </w:t>
      </w:r>
      <w:proofErr w:type="spellStart"/>
      <w:r w:rsidR="003274A7">
        <w:t>Add</w:t>
      </w:r>
      <w:proofErr w:type="spellEnd"/>
      <w:r w:rsidR="003274A7">
        <w:t>.</w:t>
      </w:r>
    </w:p>
    <w:p w:rsidR="0068479C" w:rsidRPr="004F3AB8" w:rsidRDefault="0068479C" w:rsidP="0068479C">
      <w:pPr>
        <w:jc w:val="center"/>
      </w:pPr>
    </w:p>
    <w:p w:rsidR="0068479C" w:rsidRPr="004F3AB8" w:rsidRDefault="0068479C" w:rsidP="0068479C">
      <w:pPr>
        <w:jc w:val="center"/>
      </w:pPr>
      <w:r w:rsidRPr="004F3AB8">
        <w:t>ANNEXE IV</w:t>
      </w:r>
    </w:p>
    <w:p w:rsidR="0068479C" w:rsidRPr="004F3AB8" w:rsidRDefault="0068479C" w:rsidP="0068479C">
      <w:pPr>
        <w:jc w:val="center"/>
      </w:pPr>
    </w:p>
    <w:p w:rsidR="0068479C" w:rsidRPr="004F3AB8" w:rsidRDefault="0068479C" w:rsidP="0068479C">
      <w:pPr>
        <w:jc w:val="center"/>
      </w:pPr>
    </w:p>
    <w:p w:rsidR="0068479C" w:rsidRPr="004F3AB8" w:rsidRDefault="003274A7" w:rsidP="003274A7">
      <w:pPr>
        <w:jc w:val="center"/>
      </w:pPr>
      <w:r w:rsidRPr="003274A7">
        <w:t xml:space="preserve">ORGANISATION RÉGIONALE AFRICAINE DE LA PROPRIÉTÉ INTELLECTUELLE </w:t>
      </w:r>
      <w:r>
        <w:br/>
      </w:r>
      <w:r w:rsidRPr="003274A7">
        <w:t>(ARIPO)</w:t>
      </w:r>
    </w:p>
    <w:p w:rsidR="0068479C" w:rsidRDefault="0068479C" w:rsidP="0068479C"/>
    <w:p w:rsidR="003274A7" w:rsidRPr="004F3AB8" w:rsidRDefault="003274A7" w:rsidP="0068479C"/>
    <w:p w:rsidR="00B3381F" w:rsidRPr="00690A5A" w:rsidRDefault="00B3381F" w:rsidP="00B3381F">
      <w:pPr>
        <w:rPr>
          <w:lang w:val="fr-CH"/>
        </w:rPr>
      </w:pPr>
      <w:r w:rsidRPr="00690A5A">
        <w:rPr>
          <w:lang w:val="fr-CH"/>
        </w:rPr>
        <w:t>PROTECTION DES OBTENTIONS VÉGÉTALES</w:t>
      </w:r>
    </w:p>
    <w:p w:rsidR="00B3381F" w:rsidRPr="00690A5A" w:rsidRDefault="00B3381F" w:rsidP="00B3381F">
      <w:pPr>
        <w:rPr>
          <w:lang w:val="fr-CH"/>
        </w:rPr>
      </w:pPr>
    </w:p>
    <w:p w:rsidR="00B3381F" w:rsidRPr="00E01F0E" w:rsidRDefault="00B3381F" w:rsidP="00B3381F">
      <w:pPr>
        <w:rPr>
          <w:lang w:val="fr-CH"/>
        </w:rPr>
      </w:pPr>
      <w:r w:rsidRPr="00690A5A">
        <w:rPr>
          <w:lang w:val="fr-CH"/>
        </w:rPr>
        <w:t>1.</w:t>
      </w:r>
      <w:r w:rsidRPr="00690A5A">
        <w:rPr>
          <w:lang w:val="fr-CH"/>
        </w:rPr>
        <w:tab/>
        <w:t xml:space="preserve">Après l’adoption du Protocole d’Arusha pour la protection des obtentions végétales dans le cadre de la Conférence diplomatique de l’ARIPO qui s’est tenue à Arusha (République-Unie de Tanzanie) en </w:t>
      </w:r>
      <w:r w:rsidRPr="00E01F0E">
        <w:rPr>
          <w:lang w:val="fr-CH"/>
        </w:rPr>
        <w:t xml:space="preserve">juillet 2015, le Protocole a jusqu’à présent été signé par </w:t>
      </w:r>
      <w:r w:rsidR="00B732F6" w:rsidRPr="00E01F0E">
        <w:rPr>
          <w:lang w:val="fr-CH"/>
        </w:rPr>
        <w:t>cinq</w:t>
      </w:r>
      <w:r w:rsidRPr="00E01F0E">
        <w:rPr>
          <w:lang w:val="fr-CH"/>
        </w:rPr>
        <w:t> États membres et nous espérons recevoir bientôt les instruments de ratification déposés des membres signataires ainsi que les instruments d’adhésion des autres membres (un certain nombre de demandes concernant les directives en matière d’adhésion ont été reçues).</w:t>
      </w:r>
    </w:p>
    <w:p w:rsidR="00B3381F" w:rsidRPr="00E01F0E" w:rsidRDefault="00B3381F" w:rsidP="00B3381F">
      <w:pPr>
        <w:rPr>
          <w:lang w:val="fr-CH"/>
        </w:rPr>
      </w:pPr>
    </w:p>
    <w:p w:rsidR="00B3381F" w:rsidRPr="00E01F0E" w:rsidRDefault="00B3381F" w:rsidP="00B3381F">
      <w:pPr>
        <w:rPr>
          <w:lang w:val="fr-CH"/>
        </w:rPr>
      </w:pPr>
      <w:r w:rsidRPr="00E01F0E">
        <w:rPr>
          <w:lang w:val="fr-CH"/>
        </w:rPr>
        <w:t>2.</w:t>
      </w:r>
      <w:r w:rsidRPr="00E01F0E">
        <w:rPr>
          <w:lang w:val="fr-CH"/>
        </w:rPr>
        <w:tab/>
        <w:t xml:space="preserve">Un ensemble de règles relatives à la mise en œuvre du Protocole a été élaboré et examiné par un comité d’experts et par le Comité technique chargé de la protection des obtentions végétales de l’ARIPO.  La version actuelle sera </w:t>
      </w:r>
      <w:r w:rsidR="00B732F6" w:rsidRPr="00E01F0E">
        <w:rPr>
          <w:lang w:val="fr-CH"/>
        </w:rPr>
        <w:t xml:space="preserve">proposée </w:t>
      </w:r>
      <w:r w:rsidRPr="00E01F0E">
        <w:rPr>
          <w:lang w:val="fr-CH"/>
        </w:rPr>
        <w:t>pour adoption au Conseil administratif de l’ARIPO à sa quarantième session, qui se tiendra à Harare du 5 au 7 décembre 2016.</w:t>
      </w:r>
    </w:p>
    <w:p w:rsidR="00B3381F" w:rsidRPr="00E01F0E" w:rsidRDefault="00B3381F" w:rsidP="00B3381F">
      <w:pPr>
        <w:rPr>
          <w:lang w:val="fr-CH"/>
        </w:rPr>
      </w:pPr>
    </w:p>
    <w:p w:rsidR="00B3381F" w:rsidRPr="00690A5A" w:rsidRDefault="00B3381F" w:rsidP="00B3381F">
      <w:pPr>
        <w:rPr>
          <w:lang w:val="fr-CH"/>
        </w:rPr>
      </w:pPr>
      <w:r w:rsidRPr="00E01F0E">
        <w:rPr>
          <w:lang w:val="fr-CH"/>
        </w:rPr>
        <w:t>3.</w:t>
      </w:r>
      <w:r w:rsidRPr="00E01F0E">
        <w:rPr>
          <w:lang w:val="fr-CH"/>
        </w:rPr>
        <w:tab/>
        <w:t xml:space="preserve">Une liste des plantes agricoles et des pratiques historiques en matière de production des semences fermières a été proposée et sera </w:t>
      </w:r>
      <w:r w:rsidR="00B732F6" w:rsidRPr="00E01F0E">
        <w:rPr>
          <w:lang w:val="fr-CH"/>
        </w:rPr>
        <w:t>proposée</w:t>
      </w:r>
      <w:r w:rsidRPr="00E01F0E">
        <w:rPr>
          <w:lang w:val="fr-CH"/>
        </w:rPr>
        <w:t xml:space="preserve"> pour approbation par le Conseil administratif de l’ARIPO à sa</w:t>
      </w:r>
      <w:r w:rsidRPr="00690A5A">
        <w:rPr>
          <w:lang w:val="fr-CH"/>
        </w:rPr>
        <w:t xml:space="preserve"> quarantième session.</w:t>
      </w:r>
      <w:bookmarkStart w:id="5" w:name="_GoBack"/>
      <w:bookmarkEnd w:id="5"/>
    </w:p>
    <w:p w:rsidR="00B3381F" w:rsidRPr="00690A5A" w:rsidRDefault="00B3381F" w:rsidP="00B3381F">
      <w:pPr>
        <w:rPr>
          <w:lang w:val="fr-CH"/>
        </w:rPr>
      </w:pPr>
    </w:p>
    <w:p w:rsidR="00B3381F" w:rsidRPr="00690A5A" w:rsidRDefault="00B3381F" w:rsidP="00B3381F">
      <w:pPr>
        <w:rPr>
          <w:lang w:val="fr-CH"/>
        </w:rPr>
      </w:pPr>
      <w:r w:rsidRPr="00690A5A">
        <w:rPr>
          <w:lang w:val="fr-CH"/>
        </w:rPr>
        <w:t>4.</w:t>
      </w:r>
      <w:r w:rsidRPr="00690A5A">
        <w:rPr>
          <w:lang w:val="fr-CH"/>
        </w:rPr>
        <w:tab/>
        <w:t>Le conseil examinera également les plans proposés concernant l’établissement d’un office régional des obtentions végétales à l’ARIPO.</w:t>
      </w:r>
    </w:p>
    <w:p w:rsidR="0068479C" w:rsidRPr="004F3AB8" w:rsidRDefault="0068479C" w:rsidP="0068479C"/>
    <w:p w:rsidR="0068479C" w:rsidRPr="004F3AB8" w:rsidRDefault="0068479C" w:rsidP="0068479C"/>
    <w:p w:rsidR="0068479C" w:rsidRPr="004F3AB8" w:rsidRDefault="003274A7" w:rsidP="0068479C">
      <w:pPr>
        <w:jc w:val="right"/>
      </w:pPr>
      <w:r w:rsidRPr="004F3AB8">
        <w:t xml:space="preserve">[Fin de l’annexe </w:t>
      </w:r>
      <w:r>
        <w:t>I</w:t>
      </w:r>
      <w:r w:rsidRPr="004F3AB8">
        <w:t>V et du document]</w:t>
      </w:r>
    </w:p>
    <w:sectPr w:rsidR="0068479C" w:rsidRPr="004F3AB8" w:rsidSect="00D4677B">
      <w:headerReference w:type="defaul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B74" w:rsidRDefault="00AC6B74" w:rsidP="00F45372">
      <w:r>
        <w:separator/>
      </w:r>
    </w:p>
  </w:endnote>
  <w:endnote w:type="continuationSeparator" w:id="0">
    <w:p w:rsidR="00AC6B74" w:rsidRDefault="00AC6B74" w:rsidP="00F45372">
      <w:r>
        <w:separator/>
      </w:r>
    </w:p>
    <w:p w:rsidR="00AC6B74" w:rsidRPr="00813041" w:rsidRDefault="00AC6B74" w:rsidP="0014714C">
      <w:pPr>
        <w:pStyle w:val="Footer"/>
        <w:rPr>
          <w:lang w:val="fr-FR"/>
        </w:rPr>
      </w:pPr>
      <w:r w:rsidRPr="00813041">
        <w:rPr>
          <w:lang w:val="fr-FR"/>
        </w:rPr>
        <w:t>[Suite de la note de la page précédente]</w:t>
      </w:r>
    </w:p>
    <w:p w:rsidR="00AC6B74" w:rsidRPr="00813041" w:rsidRDefault="00AC6B74" w:rsidP="00F45372"/>
    <w:p w:rsidR="00AC6B74" w:rsidRPr="00813041" w:rsidRDefault="00AC6B74" w:rsidP="00F45372"/>
  </w:endnote>
  <w:endnote w:type="continuationNotice" w:id="1">
    <w:p w:rsidR="00AC6B74" w:rsidRPr="00813041" w:rsidRDefault="00AC6B74" w:rsidP="00F45372">
      <w:r w:rsidRPr="00813041">
        <w:t>[Suite de la note page suivante]</w:t>
      </w:r>
    </w:p>
    <w:p w:rsidR="00AC6B74" w:rsidRPr="00813041" w:rsidRDefault="00AC6B74" w:rsidP="00F45372"/>
    <w:p w:rsidR="00AC6B74" w:rsidRPr="00813041" w:rsidRDefault="00AC6B74" w:rsidP="00F45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B74" w:rsidRDefault="00AC6B74" w:rsidP="0014714C">
      <w:pPr>
        <w:spacing w:before="120"/>
      </w:pPr>
      <w:r>
        <w:separator/>
      </w:r>
    </w:p>
  </w:footnote>
  <w:footnote w:type="continuationSeparator" w:id="0">
    <w:p w:rsidR="00AC6B74" w:rsidRDefault="00AC6B74" w:rsidP="00F45372">
      <w:r>
        <w:separator/>
      </w:r>
    </w:p>
    <w:p w:rsidR="00AC6B74" w:rsidRPr="00813041" w:rsidRDefault="00AC6B74" w:rsidP="0014714C">
      <w:pPr>
        <w:pStyle w:val="Footer"/>
        <w:rPr>
          <w:lang w:val="fr-FR"/>
        </w:rPr>
      </w:pPr>
      <w:r w:rsidRPr="00813041">
        <w:rPr>
          <w:lang w:val="fr-FR"/>
        </w:rPr>
        <w:t>[Suite de la note de la page précédente]</w:t>
      </w:r>
    </w:p>
  </w:footnote>
  <w:footnote w:type="continuationNotice" w:id="1">
    <w:p w:rsidR="00AC6B74" w:rsidRPr="00813041" w:rsidRDefault="00AC6B74" w:rsidP="00F45372">
      <w:pPr>
        <w:rPr>
          <w:sz w:val="12"/>
        </w:rPr>
      </w:pPr>
      <w:r w:rsidRPr="00813041">
        <w:rPr>
          <w:sz w:val="12"/>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05F" w:rsidRPr="00997029" w:rsidRDefault="003A243F" w:rsidP="00EB048E">
    <w:pPr>
      <w:pStyle w:val="Header"/>
      <w:rPr>
        <w:rStyle w:val="PageNumber"/>
      </w:rPr>
    </w:pPr>
    <w:r>
      <w:rPr>
        <w:rStyle w:val="PageNumber"/>
      </w:rPr>
      <w:t>C/50/</w:t>
    </w:r>
  </w:p>
  <w:p w:rsidR="00F9505F" w:rsidRPr="00997029" w:rsidRDefault="00F9505F" w:rsidP="00EB048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5327A">
      <w:rPr>
        <w:rStyle w:val="PageNumber"/>
        <w:noProof/>
      </w:rPr>
      <w:t>1</w:t>
    </w:r>
    <w:r w:rsidRPr="00997029">
      <w:rPr>
        <w:rStyle w:val="PageNumber"/>
      </w:rPr>
      <w:fldChar w:fldCharType="end"/>
    </w:r>
  </w:p>
  <w:p w:rsidR="00F9505F" w:rsidRPr="00997029" w:rsidRDefault="00F9505F" w:rsidP="00F45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C" w:rsidRPr="00C5280D" w:rsidRDefault="0068479C" w:rsidP="00EB048E">
    <w:pPr>
      <w:pStyle w:val="Header"/>
      <w:rPr>
        <w:rStyle w:val="PageNumber"/>
        <w:lang w:val="en-US"/>
      </w:rPr>
    </w:pPr>
    <w:r>
      <w:rPr>
        <w:rStyle w:val="PageNumber"/>
        <w:lang w:val="en-US"/>
      </w:rPr>
      <w:t>C/50/16</w:t>
    </w:r>
    <w:r w:rsidR="00C85DD2">
      <w:rPr>
        <w:rStyle w:val="PageNumber"/>
        <w:lang w:val="en-US"/>
      </w:rPr>
      <w:t xml:space="preserve"> Add.</w:t>
    </w:r>
  </w:p>
  <w:p w:rsidR="0068479C" w:rsidRPr="00C5280D" w:rsidRDefault="0068479C" w:rsidP="00EB048E">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327A">
      <w:rPr>
        <w:rStyle w:val="PageNumber"/>
        <w:noProof/>
        <w:lang w:val="en-US"/>
      </w:rPr>
      <w:t>1</w:t>
    </w:r>
    <w:r w:rsidRPr="00C5280D">
      <w:rPr>
        <w:rStyle w:val="PageNumber"/>
        <w:lang w:val="en-US"/>
      </w:rPr>
      <w:fldChar w:fldCharType="end"/>
    </w:r>
  </w:p>
  <w:p w:rsidR="0068479C" w:rsidRPr="00C5280D" w:rsidRDefault="0068479C" w:rsidP="004F3A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C" w:rsidRPr="00C5280D" w:rsidRDefault="0068479C" w:rsidP="00EB048E">
    <w:pPr>
      <w:pStyle w:val="Header"/>
      <w:rPr>
        <w:rStyle w:val="PageNumber"/>
        <w:lang w:val="en-US"/>
      </w:rPr>
    </w:pPr>
    <w:r>
      <w:rPr>
        <w:rStyle w:val="PageNumber"/>
        <w:lang w:val="en-US"/>
      </w:rPr>
      <w:t>C/50/16</w:t>
    </w:r>
  </w:p>
  <w:p w:rsidR="0068479C" w:rsidRPr="00C5280D" w:rsidRDefault="0068479C" w:rsidP="00EB048E">
    <w:pPr>
      <w:pStyle w:val="Header"/>
      <w:rPr>
        <w:lang w:val="en-US"/>
      </w:rPr>
    </w:pPr>
    <w:proofErr w:type="spellStart"/>
    <w:r>
      <w:rPr>
        <w:lang w:val="en-US"/>
      </w:rPr>
      <w:t>Annexe</w:t>
    </w:r>
    <w:proofErr w:type="spellEnd"/>
    <w:r>
      <w:rPr>
        <w:lang w:val="en-US"/>
      </w:rPr>
      <w:t xml:space="preserv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327A">
      <w:rPr>
        <w:rStyle w:val="PageNumber"/>
        <w:noProof/>
        <w:lang w:val="en-US"/>
      </w:rPr>
      <w:t>1</w:t>
    </w:r>
    <w:r w:rsidRPr="00C5280D">
      <w:rPr>
        <w:rStyle w:val="PageNumber"/>
        <w:lang w:val="en-US"/>
      </w:rPr>
      <w:fldChar w:fldCharType="end"/>
    </w:r>
  </w:p>
  <w:p w:rsidR="0068479C" w:rsidRPr="00C5280D" w:rsidRDefault="0068479C" w:rsidP="004F3AB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C" w:rsidRPr="00C5280D" w:rsidRDefault="0068479C" w:rsidP="00EB048E">
    <w:pPr>
      <w:pStyle w:val="Header"/>
      <w:rPr>
        <w:rStyle w:val="PageNumber"/>
        <w:lang w:val="en-US"/>
      </w:rPr>
    </w:pPr>
    <w:r>
      <w:rPr>
        <w:rStyle w:val="PageNumber"/>
        <w:lang w:val="en-US"/>
      </w:rPr>
      <w:t>C/50/16</w:t>
    </w:r>
  </w:p>
  <w:p w:rsidR="0068479C" w:rsidRPr="00C5280D" w:rsidRDefault="0068479C" w:rsidP="00EB048E">
    <w:pPr>
      <w:pStyle w:val="Header"/>
      <w:rPr>
        <w:lang w:val="en-US"/>
      </w:rPr>
    </w:pPr>
    <w:proofErr w:type="spellStart"/>
    <w:r>
      <w:rPr>
        <w:lang w:val="en-US"/>
      </w:rPr>
      <w:t>Annexe</w:t>
    </w:r>
    <w:proofErr w:type="spellEnd"/>
    <w:r>
      <w:rPr>
        <w:lang w:val="en-US"/>
      </w:rPr>
      <w:t xml:space="preserv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327A">
      <w:rPr>
        <w:rStyle w:val="PageNumber"/>
        <w:noProof/>
        <w:lang w:val="en-US"/>
      </w:rPr>
      <w:t>1</w:t>
    </w:r>
    <w:r w:rsidRPr="00C5280D">
      <w:rPr>
        <w:rStyle w:val="PageNumber"/>
        <w:lang w:val="en-US"/>
      </w:rPr>
      <w:fldChar w:fldCharType="end"/>
    </w:r>
  </w:p>
  <w:p w:rsidR="0068479C" w:rsidRPr="00C5280D" w:rsidRDefault="0068479C" w:rsidP="004F3AB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B9" w:rsidRPr="00C5280D" w:rsidRDefault="00840BB9" w:rsidP="00EB048E">
    <w:pPr>
      <w:pStyle w:val="Header"/>
      <w:rPr>
        <w:rStyle w:val="PageNumber"/>
        <w:lang w:val="en-US"/>
      </w:rPr>
    </w:pPr>
    <w:r>
      <w:rPr>
        <w:rStyle w:val="PageNumber"/>
        <w:lang w:val="en-US"/>
      </w:rPr>
      <w:t>C/50/16 Add.</w:t>
    </w:r>
  </w:p>
  <w:p w:rsidR="00840BB9" w:rsidRPr="00C5280D" w:rsidRDefault="00840BB9" w:rsidP="00EB048E">
    <w:pPr>
      <w:pStyle w:val="Header"/>
      <w:rPr>
        <w:lang w:val="en-US"/>
      </w:rPr>
    </w:pPr>
    <w:proofErr w:type="spellStart"/>
    <w:r>
      <w:rPr>
        <w:lang w:val="en-US"/>
      </w:rPr>
      <w:t>Annexe</w:t>
    </w:r>
    <w:proofErr w:type="spellEnd"/>
    <w:r>
      <w:rPr>
        <w:lang w:val="en-US"/>
      </w:rPr>
      <w:t xml:space="preserv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327A">
      <w:rPr>
        <w:rStyle w:val="PageNumber"/>
        <w:noProof/>
        <w:lang w:val="en-US"/>
      </w:rPr>
      <w:t>5</w:t>
    </w:r>
    <w:r w:rsidRPr="00C5280D">
      <w:rPr>
        <w:rStyle w:val="PageNumber"/>
        <w:lang w:val="en-US"/>
      </w:rPr>
      <w:fldChar w:fldCharType="end"/>
    </w:r>
  </w:p>
  <w:p w:rsidR="00840BB9" w:rsidRPr="00C5280D" w:rsidRDefault="00840BB9" w:rsidP="004F3AB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C" w:rsidRPr="00C5280D" w:rsidRDefault="0068479C" w:rsidP="00EB048E">
    <w:pPr>
      <w:pStyle w:val="Header"/>
      <w:rPr>
        <w:rStyle w:val="PageNumber"/>
        <w:lang w:val="en-US"/>
      </w:rPr>
    </w:pPr>
    <w:r>
      <w:rPr>
        <w:rStyle w:val="PageNumber"/>
        <w:lang w:val="en-US"/>
      </w:rPr>
      <w:t>C/50/16</w:t>
    </w:r>
  </w:p>
  <w:p w:rsidR="0068479C" w:rsidRPr="00C5280D" w:rsidRDefault="0068479C" w:rsidP="00EB048E">
    <w:pPr>
      <w:pStyle w:val="Header"/>
      <w:rPr>
        <w:lang w:val="en-US"/>
      </w:rPr>
    </w:pPr>
    <w:proofErr w:type="spellStart"/>
    <w:r>
      <w:rPr>
        <w:lang w:val="en-US"/>
      </w:rPr>
      <w:t>Annexe</w:t>
    </w:r>
    <w:proofErr w:type="spellEnd"/>
    <w:r>
      <w:rPr>
        <w:lang w:val="en-US"/>
      </w:rPr>
      <w:t xml:space="preserve"> 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327A">
      <w:rPr>
        <w:rStyle w:val="PageNumber"/>
        <w:noProof/>
        <w:lang w:val="en-US"/>
      </w:rPr>
      <w:t>1</w:t>
    </w:r>
    <w:r w:rsidRPr="00C5280D">
      <w:rPr>
        <w:rStyle w:val="PageNumber"/>
        <w:lang w:val="en-US"/>
      </w:rPr>
      <w:fldChar w:fldCharType="end"/>
    </w:r>
  </w:p>
  <w:p w:rsidR="0068479C" w:rsidRPr="00C5280D" w:rsidRDefault="0068479C" w:rsidP="004F3A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9D8"/>
    <w:multiLevelType w:val="hybridMultilevel"/>
    <w:tmpl w:val="647C6A9C"/>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5D15076"/>
    <w:multiLevelType w:val="hybridMultilevel"/>
    <w:tmpl w:val="06D68B74"/>
    <w:lvl w:ilvl="0" w:tplc="1982CEB8">
      <w:start w:val="1"/>
      <w:numFmt w:val="decimal"/>
      <w:lvlText w:val="(%1)"/>
      <w:lvlJc w:val="left"/>
      <w:pPr>
        <w:ind w:left="738" w:hanging="648"/>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2">
    <w:nsid w:val="08CE7EC1"/>
    <w:multiLevelType w:val="hybridMultilevel"/>
    <w:tmpl w:val="141CD0B6"/>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F2EE2"/>
    <w:multiLevelType w:val="hybridMultilevel"/>
    <w:tmpl w:val="B570FCAE"/>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B36EA"/>
    <w:multiLevelType w:val="hybridMultilevel"/>
    <w:tmpl w:val="FCD4EB82"/>
    <w:lvl w:ilvl="0" w:tplc="37228F54">
      <w:start w:val="1"/>
      <w:numFmt w:val="lowerLetter"/>
      <w:lvlText w:val="(%1)"/>
      <w:lvlJc w:val="left"/>
      <w:pPr>
        <w:ind w:left="360" w:hanging="360"/>
      </w:p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5">
    <w:nsid w:val="11A51C02"/>
    <w:multiLevelType w:val="hybridMultilevel"/>
    <w:tmpl w:val="BF7C9404"/>
    <w:lvl w:ilvl="0" w:tplc="55841A5A">
      <w:start w:val="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D27B28"/>
    <w:multiLevelType w:val="hybridMultilevel"/>
    <w:tmpl w:val="BE868A9C"/>
    <w:lvl w:ilvl="0" w:tplc="30090019">
      <w:start w:val="1"/>
      <w:numFmt w:val="lowerLetter"/>
      <w:lvlText w:val="%1."/>
      <w:lvlJc w:val="left"/>
      <w:pPr>
        <w:ind w:left="720" w:hanging="360"/>
      </w:pPr>
      <w:rPr>
        <w:color w:val="auto"/>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7">
    <w:nsid w:val="17251A8F"/>
    <w:multiLevelType w:val="hybridMultilevel"/>
    <w:tmpl w:val="2EA28966"/>
    <w:lvl w:ilvl="0" w:tplc="DEE461BC">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DF2D2E"/>
    <w:multiLevelType w:val="hybridMultilevel"/>
    <w:tmpl w:val="0B8EB124"/>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9418CB"/>
    <w:multiLevelType w:val="hybridMultilevel"/>
    <w:tmpl w:val="A3E8AF2A"/>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nsid w:val="338E16F5"/>
    <w:multiLevelType w:val="hybridMultilevel"/>
    <w:tmpl w:val="DE6EA1F4"/>
    <w:lvl w:ilvl="0" w:tplc="3009001B">
      <w:start w:val="1"/>
      <w:numFmt w:val="lowerRoman"/>
      <w:lvlText w:val="%1."/>
      <w:lvlJc w:val="right"/>
      <w:pPr>
        <w:ind w:left="1440" w:hanging="360"/>
      </w:pPr>
    </w:lvl>
    <w:lvl w:ilvl="1" w:tplc="30090019">
      <w:start w:val="1"/>
      <w:numFmt w:val="lowerLetter"/>
      <w:lvlText w:val="%2."/>
      <w:lvlJc w:val="left"/>
      <w:pPr>
        <w:ind w:left="2160" w:hanging="360"/>
      </w:pPr>
    </w:lvl>
    <w:lvl w:ilvl="2" w:tplc="3009001B">
      <w:start w:val="1"/>
      <w:numFmt w:val="lowerRoman"/>
      <w:lvlText w:val="%3."/>
      <w:lvlJc w:val="right"/>
      <w:pPr>
        <w:ind w:left="2880" w:hanging="180"/>
      </w:pPr>
    </w:lvl>
    <w:lvl w:ilvl="3" w:tplc="3009000F">
      <w:start w:val="1"/>
      <w:numFmt w:val="decimal"/>
      <w:lvlText w:val="%4."/>
      <w:lvlJc w:val="left"/>
      <w:pPr>
        <w:ind w:left="3600" w:hanging="360"/>
      </w:pPr>
    </w:lvl>
    <w:lvl w:ilvl="4" w:tplc="30090019">
      <w:start w:val="1"/>
      <w:numFmt w:val="lowerLetter"/>
      <w:lvlText w:val="%5."/>
      <w:lvlJc w:val="left"/>
      <w:pPr>
        <w:ind w:left="4320" w:hanging="360"/>
      </w:pPr>
    </w:lvl>
    <w:lvl w:ilvl="5" w:tplc="3009001B">
      <w:start w:val="1"/>
      <w:numFmt w:val="lowerRoman"/>
      <w:lvlText w:val="%6."/>
      <w:lvlJc w:val="right"/>
      <w:pPr>
        <w:ind w:left="5040" w:hanging="180"/>
      </w:pPr>
    </w:lvl>
    <w:lvl w:ilvl="6" w:tplc="3009000F">
      <w:start w:val="1"/>
      <w:numFmt w:val="decimal"/>
      <w:lvlText w:val="%7."/>
      <w:lvlJc w:val="left"/>
      <w:pPr>
        <w:ind w:left="5760" w:hanging="360"/>
      </w:pPr>
    </w:lvl>
    <w:lvl w:ilvl="7" w:tplc="30090019">
      <w:start w:val="1"/>
      <w:numFmt w:val="lowerLetter"/>
      <w:lvlText w:val="%8."/>
      <w:lvlJc w:val="left"/>
      <w:pPr>
        <w:ind w:left="6480" w:hanging="360"/>
      </w:pPr>
    </w:lvl>
    <w:lvl w:ilvl="8" w:tplc="3009001B">
      <w:start w:val="1"/>
      <w:numFmt w:val="lowerRoman"/>
      <w:lvlText w:val="%9."/>
      <w:lvlJc w:val="right"/>
      <w:pPr>
        <w:ind w:left="7200" w:hanging="180"/>
      </w:pPr>
    </w:lvl>
  </w:abstractNum>
  <w:abstractNum w:abstractNumId="11">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4F2397"/>
    <w:multiLevelType w:val="hybridMultilevel"/>
    <w:tmpl w:val="2804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A3AF3"/>
    <w:multiLevelType w:val="hybridMultilevel"/>
    <w:tmpl w:val="8FE4B916"/>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nsid w:val="3D8D0617"/>
    <w:multiLevelType w:val="hybridMultilevel"/>
    <w:tmpl w:val="6C64D996"/>
    <w:lvl w:ilvl="0" w:tplc="483460A0">
      <w:numFmt w:val="bullet"/>
      <w:lvlText w:val="-"/>
      <w:lvlJc w:val="left"/>
      <w:pPr>
        <w:ind w:left="360" w:hanging="360"/>
      </w:pPr>
      <w:rPr>
        <w:rFonts w:ascii="Arial" w:eastAsia="MS Mincho" w:hAnsi="Arial" w:cs="Times New Roman"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5">
    <w:nsid w:val="3E8B26B1"/>
    <w:multiLevelType w:val="hybridMultilevel"/>
    <w:tmpl w:val="341ECE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4F74EF"/>
    <w:multiLevelType w:val="hybridMultilevel"/>
    <w:tmpl w:val="7E620C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8911AC"/>
    <w:multiLevelType w:val="hybridMultilevel"/>
    <w:tmpl w:val="3656F57E"/>
    <w:lvl w:ilvl="0" w:tplc="083654E4">
      <w:start w:val="1"/>
      <w:numFmt w:val="decimal"/>
      <w:lvlText w:val="(%1)"/>
      <w:lvlJc w:val="left"/>
      <w:pPr>
        <w:ind w:left="460" w:hanging="370"/>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18">
    <w:nsid w:val="45CB410E"/>
    <w:multiLevelType w:val="hybridMultilevel"/>
    <w:tmpl w:val="FE5A7B82"/>
    <w:lvl w:ilvl="0" w:tplc="DEE461BC">
      <w:start w:val="1"/>
      <w:numFmt w:val="bullet"/>
      <w:lvlText w:val=""/>
      <w:lvlJc w:val="left"/>
      <w:pPr>
        <w:ind w:left="783" w:hanging="360"/>
      </w:pPr>
      <w:rPr>
        <w:rFonts w:ascii="Symbol" w:hAnsi="Symbol" w:hint="default"/>
        <w:sz w:val="20"/>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nsid w:val="4C6D3954"/>
    <w:multiLevelType w:val="hybridMultilevel"/>
    <w:tmpl w:val="0038A646"/>
    <w:lvl w:ilvl="0" w:tplc="DEE461BC">
      <w:start w:val="1"/>
      <w:numFmt w:val="bullet"/>
      <w:lvlText w:val=""/>
      <w:lvlJc w:val="left"/>
      <w:pPr>
        <w:ind w:left="783" w:hanging="360"/>
      </w:pPr>
      <w:rPr>
        <w:rFonts w:ascii="Symbol" w:hAnsi="Symbol" w:hint="default"/>
        <w:sz w:val="20"/>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nsid w:val="50BE4FEB"/>
    <w:multiLevelType w:val="hybridMultilevel"/>
    <w:tmpl w:val="4224DB3A"/>
    <w:lvl w:ilvl="0" w:tplc="C9B47E1E">
      <w:start w:val="1"/>
      <w:numFmt w:val="decimal"/>
      <w:lvlText w:val="(%1)"/>
      <w:lvlJc w:val="left"/>
      <w:pPr>
        <w:ind w:left="360" w:hanging="360"/>
      </w:pPr>
      <w:rPr>
        <w:color w:val="auto"/>
        <w:lang w:val="en-US"/>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2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2">
    <w:nsid w:val="57314A1D"/>
    <w:multiLevelType w:val="hybridMultilevel"/>
    <w:tmpl w:val="2B941D9C"/>
    <w:lvl w:ilvl="0" w:tplc="17AEECB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25C775E"/>
    <w:multiLevelType w:val="hybridMultilevel"/>
    <w:tmpl w:val="38D0065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681B6C"/>
    <w:multiLevelType w:val="hybridMultilevel"/>
    <w:tmpl w:val="6AD6EA26"/>
    <w:lvl w:ilvl="0" w:tplc="DEE461BC">
      <w:start w:val="1"/>
      <w:numFmt w:val="bullet"/>
      <w:lvlText w:val=""/>
      <w:lvlJc w:val="left"/>
      <w:pPr>
        <w:ind w:left="1077" w:hanging="360"/>
      </w:pPr>
      <w:rPr>
        <w:rFonts w:ascii="Symbol" w:hAnsi="Symbol" w:hint="default"/>
        <w:sz w:val="20"/>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nsid w:val="78522786"/>
    <w:multiLevelType w:val="hybridMultilevel"/>
    <w:tmpl w:val="357ADBC8"/>
    <w:lvl w:ilvl="0" w:tplc="F61E617C">
      <w:start w:val="1"/>
      <w:numFmt w:val="decimal"/>
      <w:lvlText w:val="(%1)"/>
      <w:lvlJc w:val="left"/>
      <w:pPr>
        <w:ind w:left="405" w:hanging="4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78825A29"/>
    <w:multiLevelType w:val="hybridMultilevel"/>
    <w:tmpl w:val="2492576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7">
    <w:nsid w:val="79E34952"/>
    <w:multiLevelType w:val="hybridMultilevel"/>
    <w:tmpl w:val="06D68B74"/>
    <w:lvl w:ilvl="0" w:tplc="1982CEB8">
      <w:start w:val="1"/>
      <w:numFmt w:val="decimal"/>
      <w:lvlText w:val="(%1)"/>
      <w:lvlJc w:val="left"/>
      <w:pPr>
        <w:ind w:left="738" w:hanging="648"/>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28">
    <w:nsid w:val="7CE94540"/>
    <w:multiLevelType w:val="hybridMultilevel"/>
    <w:tmpl w:val="E37A78C8"/>
    <w:lvl w:ilvl="0" w:tplc="2DA4344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6"/>
  </w:num>
  <w:num w:numId="3">
    <w:abstractNumId w:val="11"/>
  </w:num>
  <w:num w:numId="4">
    <w:abstractNumId w:val="22"/>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7"/>
  </w:num>
  <w:num w:numId="11">
    <w:abstractNumId w:val="19"/>
  </w:num>
  <w:num w:numId="12">
    <w:abstractNumId w:val="13"/>
  </w:num>
  <w:num w:numId="13">
    <w:abstractNumId w:val="9"/>
  </w:num>
  <w:num w:numId="14">
    <w:abstractNumId w:val="24"/>
  </w:num>
  <w:num w:numId="15">
    <w:abstractNumId w:val="18"/>
  </w:num>
  <w:num w:numId="16">
    <w:abstractNumId w:val="1"/>
  </w:num>
  <w:num w:numId="17">
    <w:abstractNumId w:val="27"/>
  </w:num>
  <w:num w:numId="18">
    <w:abstractNumId w:val="25"/>
  </w:num>
  <w:num w:numId="19">
    <w:abstractNumId w:val="4"/>
  </w:num>
  <w:num w:numId="20">
    <w:abstractNumId w:val="17"/>
  </w:num>
  <w:num w:numId="21">
    <w:abstractNumId w:val="20"/>
  </w:num>
  <w:num w:numId="22">
    <w:abstractNumId w:val="28"/>
  </w:num>
  <w:num w:numId="23">
    <w:abstractNumId w:val="12"/>
  </w:num>
  <w:num w:numId="24">
    <w:abstractNumId w:val="15"/>
  </w:num>
  <w:num w:numId="25">
    <w:abstractNumId w:val="23"/>
  </w:num>
  <w:num w:numId="26">
    <w:abstractNumId w:val="3"/>
  </w:num>
  <w:num w:numId="27">
    <w:abstractNumId w:val="16"/>
  </w:num>
  <w:num w:numId="28">
    <w:abstractNumId w:val="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74"/>
    <w:rsid w:val="00001A09"/>
    <w:rsid w:val="00010CF3"/>
    <w:rsid w:val="00011E27"/>
    <w:rsid w:val="000148BC"/>
    <w:rsid w:val="00024AB8"/>
    <w:rsid w:val="00030854"/>
    <w:rsid w:val="00036028"/>
    <w:rsid w:val="00044642"/>
    <w:rsid w:val="000446B9"/>
    <w:rsid w:val="00047E21"/>
    <w:rsid w:val="00066C42"/>
    <w:rsid w:val="00081B03"/>
    <w:rsid w:val="00085505"/>
    <w:rsid w:val="000B6E8B"/>
    <w:rsid w:val="000C7021"/>
    <w:rsid w:val="000D6BBC"/>
    <w:rsid w:val="000D7780"/>
    <w:rsid w:val="00105929"/>
    <w:rsid w:val="001131D5"/>
    <w:rsid w:val="00141DB8"/>
    <w:rsid w:val="0014714C"/>
    <w:rsid w:val="0016107C"/>
    <w:rsid w:val="0017474A"/>
    <w:rsid w:val="001758C6"/>
    <w:rsid w:val="00176792"/>
    <w:rsid w:val="001A0AE3"/>
    <w:rsid w:val="0021332C"/>
    <w:rsid w:val="00213982"/>
    <w:rsid w:val="0023155E"/>
    <w:rsid w:val="00235267"/>
    <w:rsid w:val="0024416D"/>
    <w:rsid w:val="00276F75"/>
    <w:rsid w:val="002800A0"/>
    <w:rsid w:val="002801B3"/>
    <w:rsid w:val="00281060"/>
    <w:rsid w:val="002940E8"/>
    <w:rsid w:val="002A6E50"/>
    <w:rsid w:val="002C256A"/>
    <w:rsid w:val="00303D90"/>
    <w:rsid w:val="00305A7F"/>
    <w:rsid w:val="003152FE"/>
    <w:rsid w:val="00320AE8"/>
    <w:rsid w:val="00327436"/>
    <w:rsid w:val="003274A7"/>
    <w:rsid w:val="00344BD6"/>
    <w:rsid w:val="0035528D"/>
    <w:rsid w:val="00361821"/>
    <w:rsid w:val="003A243F"/>
    <w:rsid w:val="003D12A9"/>
    <w:rsid w:val="003D227C"/>
    <w:rsid w:val="003D2B4D"/>
    <w:rsid w:val="003D4A0E"/>
    <w:rsid w:val="003D7E71"/>
    <w:rsid w:val="0040289C"/>
    <w:rsid w:val="00415D2A"/>
    <w:rsid w:val="00422BD2"/>
    <w:rsid w:val="0043005A"/>
    <w:rsid w:val="00444A88"/>
    <w:rsid w:val="00472E02"/>
    <w:rsid w:val="00474DA4"/>
    <w:rsid w:val="00483F7E"/>
    <w:rsid w:val="004D047D"/>
    <w:rsid w:val="004E242A"/>
    <w:rsid w:val="004E522C"/>
    <w:rsid w:val="004F305A"/>
    <w:rsid w:val="00512164"/>
    <w:rsid w:val="005127FB"/>
    <w:rsid w:val="00520297"/>
    <w:rsid w:val="005338F9"/>
    <w:rsid w:val="0054281C"/>
    <w:rsid w:val="0055268D"/>
    <w:rsid w:val="00576BE4"/>
    <w:rsid w:val="005A400A"/>
    <w:rsid w:val="00612379"/>
    <w:rsid w:val="0061555F"/>
    <w:rsid w:val="00641200"/>
    <w:rsid w:val="006657AB"/>
    <w:rsid w:val="0068479C"/>
    <w:rsid w:val="00687EB4"/>
    <w:rsid w:val="006A3790"/>
    <w:rsid w:val="006B17D2"/>
    <w:rsid w:val="006C224E"/>
    <w:rsid w:val="006D780A"/>
    <w:rsid w:val="006F2E1A"/>
    <w:rsid w:val="00732DEC"/>
    <w:rsid w:val="00735BD5"/>
    <w:rsid w:val="007556F6"/>
    <w:rsid w:val="00760EEF"/>
    <w:rsid w:val="007659F8"/>
    <w:rsid w:val="00777EE5"/>
    <w:rsid w:val="00784836"/>
    <w:rsid w:val="0079023E"/>
    <w:rsid w:val="007A2854"/>
    <w:rsid w:val="007B06A5"/>
    <w:rsid w:val="007B6770"/>
    <w:rsid w:val="007D0B9D"/>
    <w:rsid w:val="007D19B0"/>
    <w:rsid w:val="007D4543"/>
    <w:rsid w:val="007F101B"/>
    <w:rsid w:val="007F498F"/>
    <w:rsid w:val="0080679D"/>
    <w:rsid w:val="008108B0"/>
    <w:rsid w:val="008117A9"/>
    <w:rsid w:val="00811B20"/>
    <w:rsid w:val="00813041"/>
    <w:rsid w:val="0082296E"/>
    <w:rsid w:val="00824099"/>
    <w:rsid w:val="00824DC3"/>
    <w:rsid w:val="00840BB9"/>
    <w:rsid w:val="00857FCB"/>
    <w:rsid w:val="00867AC1"/>
    <w:rsid w:val="008A086D"/>
    <w:rsid w:val="008A743F"/>
    <w:rsid w:val="008C0970"/>
    <w:rsid w:val="008D2CF7"/>
    <w:rsid w:val="008D3729"/>
    <w:rsid w:val="008F403F"/>
    <w:rsid w:val="00900C26"/>
    <w:rsid w:val="0090197F"/>
    <w:rsid w:val="00906DDC"/>
    <w:rsid w:val="00934E09"/>
    <w:rsid w:val="00936253"/>
    <w:rsid w:val="00952DD4"/>
    <w:rsid w:val="0095327A"/>
    <w:rsid w:val="00970FED"/>
    <w:rsid w:val="00971A29"/>
    <w:rsid w:val="009809C6"/>
    <w:rsid w:val="00997029"/>
    <w:rsid w:val="009D655A"/>
    <w:rsid w:val="009D690D"/>
    <w:rsid w:val="009E0AF8"/>
    <w:rsid w:val="009E65B6"/>
    <w:rsid w:val="009F40E4"/>
    <w:rsid w:val="00A07CAE"/>
    <w:rsid w:val="00A10DE5"/>
    <w:rsid w:val="00A42AC3"/>
    <w:rsid w:val="00A430CF"/>
    <w:rsid w:val="00A47CDB"/>
    <w:rsid w:val="00A54309"/>
    <w:rsid w:val="00A656B6"/>
    <w:rsid w:val="00AB2B93"/>
    <w:rsid w:val="00AB7E5B"/>
    <w:rsid w:val="00AC6B74"/>
    <w:rsid w:val="00AD6403"/>
    <w:rsid w:val="00AE0EF1"/>
    <w:rsid w:val="00B07301"/>
    <w:rsid w:val="00B224DE"/>
    <w:rsid w:val="00B314D5"/>
    <w:rsid w:val="00B3381F"/>
    <w:rsid w:val="00B438DE"/>
    <w:rsid w:val="00B46525"/>
    <w:rsid w:val="00B732F6"/>
    <w:rsid w:val="00B84BBD"/>
    <w:rsid w:val="00B91394"/>
    <w:rsid w:val="00BA43FB"/>
    <w:rsid w:val="00BC127D"/>
    <w:rsid w:val="00BC1FE6"/>
    <w:rsid w:val="00C061B6"/>
    <w:rsid w:val="00C13808"/>
    <w:rsid w:val="00C23554"/>
    <w:rsid w:val="00C2446C"/>
    <w:rsid w:val="00C36AE5"/>
    <w:rsid w:val="00C41F17"/>
    <w:rsid w:val="00C5791C"/>
    <w:rsid w:val="00C66290"/>
    <w:rsid w:val="00C72B7A"/>
    <w:rsid w:val="00C734F7"/>
    <w:rsid w:val="00C85DD2"/>
    <w:rsid w:val="00C973F2"/>
    <w:rsid w:val="00CA774A"/>
    <w:rsid w:val="00CC11B0"/>
    <w:rsid w:val="00CF7E36"/>
    <w:rsid w:val="00D3708D"/>
    <w:rsid w:val="00D40426"/>
    <w:rsid w:val="00D4677B"/>
    <w:rsid w:val="00D57C96"/>
    <w:rsid w:val="00D91203"/>
    <w:rsid w:val="00D95174"/>
    <w:rsid w:val="00DA6F36"/>
    <w:rsid w:val="00DB596E"/>
    <w:rsid w:val="00DC00EA"/>
    <w:rsid w:val="00E01803"/>
    <w:rsid w:val="00E01F0E"/>
    <w:rsid w:val="00E4565F"/>
    <w:rsid w:val="00E72D49"/>
    <w:rsid w:val="00E7593C"/>
    <w:rsid w:val="00E7678A"/>
    <w:rsid w:val="00E935F1"/>
    <w:rsid w:val="00E94A81"/>
    <w:rsid w:val="00EA1FFB"/>
    <w:rsid w:val="00EA5245"/>
    <w:rsid w:val="00EB048E"/>
    <w:rsid w:val="00ED7F5E"/>
    <w:rsid w:val="00EE34DF"/>
    <w:rsid w:val="00EF2F89"/>
    <w:rsid w:val="00F03136"/>
    <w:rsid w:val="00F1237A"/>
    <w:rsid w:val="00F22CBD"/>
    <w:rsid w:val="00F45372"/>
    <w:rsid w:val="00F54290"/>
    <w:rsid w:val="00F560F7"/>
    <w:rsid w:val="00F6334D"/>
    <w:rsid w:val="00F91BC8"/>
    <w:rsid w:val="00F9505F"/>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BC8"/>
    <w:pPr>
      <w:jc w:val="both"/>
    </w:pPr>
    <w:rPr>
      <w:rFonts w:ascii="Arial" w:hAnsi="Arial"/>
      <w:lang w:val="fr-FR"/>
    </w:rPr>
  </w:style>
  <w:style w:type="paragraph" w:styleId="Heading1">
    <w:name w:val="heading 1"/>
    <w:next w:val="Normal"/>
    <w:autoRedefine/>
    <w:qFormat/>
    <w:rsid w:val="0043005A"/>
    <w:pPr>
      <w:keepNext/>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7">
    <w:name w:val="heading 7"/>
    <w:basedOn w:val="Normal"/>
    <w:next w:val="Normal"/>
    <w:link w:val="Heading7Char"/>
    <w:qFormat/>
    <w:rsid w:val="0068479C"/>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68479C"/>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43005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link w:val="FootnoteTextChar"/>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link w:val="EndnoteTextChar"/>
    <w:semiHidden/>
    <w:rsid w:val="0043005A"/>
  </w:style>
  <w:style w:type="character" w:styleId="EndnoteReference">
    <w:name w:val="endnote reference"/>
    <w:basedOn w:val="DefaultParagraphFont"/>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E4565F"/>
    <w:pPr>
      <w:tabs>
        <w:tab w:val="right" w:leader="dot" w:pos="9639"/>
      </w:tabs>
      <w:ind w:left="284" w:right="284" w:hanging="284"/>
      <w:contextualSpacing/>
      <w:jc w:val="right"/>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813041"/>
    <w:rPr>
      <w:rFonts w:ascii="Tahoma" w:hAnsi="Tahoma" w:cs="Tahoma"/>
      <w:sz w:val="16"/>
      <w:szCs w:val="16"/>
    </w:rPr>
  </w:style>
  <w:style w:type="character" w:customStyle="1" w:styleId="BalloonTextChar">
    <w:name w:val="Balloon Text Char"/>
    <w:basedOn w:val="DefaultParagraphFont"/>
    <w:link w:val="BalloonText"/>
    <w:uiPriority w:val="99"/>
    <w:rsid w:val="00813041"/>
    <w:rPr>
      <w:rFonts w:ascii="Tahoma" w:hAnsi="Tahoma" w:cs="Tahoma"/>
      <w:sz w:val="16"/>
      <w:szCs w:val="16"/>
    </w:rPr>
  </w:style>
  <w:style w:type="character" w:customStyle="1" w:styleId="Heading7Char">
    <w:name w:val="Heading 7 Char"/>
    <w:basedOn w:val="DefaultParagraphFont"/>
    <w:link w:val="Heading7"/>
    <w:rsid w:val="0068479C"/>
    <w:rPr>
      <w:sz w:val="22"/>
      <w:szCs w:val="22"/>
      <w:u w:val="single"/>
      <w:lang w:val="en-GB"/>
    </w:rPr>
  </w:style>
  <w:style w:type="character" w:customStyle="1" w:styleId="Heading8Char">
    <w:name w:val="Heading 8 Char"/>
    <w:basedOn w:val="DefaultParagraphFont"/>
    <w:link w:val="Heading8"/>
    <w:rsid w:val="0068479C"/>
    <w:rPr>
      <w:rFonts w:ascii="Arial" w:hAnsi="Arial"/>
      <w:u w:val="single"/>
      <w:lang w:val="en-GB" w:eastAsia="pl-PL"/>
    </w:rPr>
  </w:style>
  <w:style w:type="paragraph" w:styleId="ListParagraph">
    <w:name w:val="List Paragraph"/>
    <w:basedOn w:val="Normal"/>
    <w:uiPriority w:val="34"/>
    <w:qFormat/>
    <w:rsid w:val="0068479C"/>
    <w:pPr>
      <w:ind w:left="1134" w:hanging="567"/>
      <w:jc w:val="left"/>
    </w:pPr>
    <w:rPr>
      <w:szCs w:val="22"/>
    </w:rPr>
  </w:style>
  <w:style w:type="table" w:styleId="TableGrid">
    <w:name w:val="Table Grid"/>
    <w:basedOn w:val="TableNormal"/>
    <w:rsid w:val="006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8479C"/>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68479C"/>
    <w:rPr>
      <w:sz w:val="28"/>
      <w:lang w:val="pl-PL" w:eastAsia="pl-PL"/>
    </w:rPr>
  </w:style>
  <w:style w:type="character" w:customStyle="1" w:styleId="FooterChar">
    <w:name w:val="Footer Char"/>
    <w:aliases w:val="doc_path_name Char"/>
    <w:basedOn w:val="DefaultParagraphFont"/>
    <w:link w:val="Footer"/>
    <w:uiPriority w:val="99"/>
    <w:rsid w:val="0068479C"/>
    <w:rPr>
      <w:rFonts w:ascii="Arial" w:hAnsi="Arial"/>
      <w:sz w:val="12"/>
    </w:rPr>
  </w:style>
  <w:style w:type="character" w:customStyle="1" w:styleId="FootnoteTextChar">
    <w:name w:val="Footnote Text Char"/>
    <w:link w:val="FootnoteText"/>
    <w:rsid w:val="0068479C"/>
    <w:rPr>
      <w:rFonts w:ascii="Arial" w:hAnsi="Arial"/>
      <w:sz w:val="16"/>
    </w:rPr>
  </w:style>
  <w:style w:type="paragraph" w:styleId="ListBullet">
    <w:name w:val="List Bullet"/>
    <w:basedOn w:val="Normal"/>
    <w:uiPriority w:val="99"/>
    <w:rsid w:val="0068479C"/>
    <w:pPr>
      <w:numPr>
        <w:numId w:val="1"/>
      </w:numPr>
      <w:spacing w:after="240"/>
    </w:pPr>
    <w:rPr>
      <w:lang w:val="en-GB"/>
    </w:rPr>
  </w:style>
  <w:style w:type="paragraph" w:customStyle="1" w:styleId="Default">
    <w:name w:val="Default"/>
    <w:rsid w:val="0068479C"/>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68479C"/>
    <w:pPr>
      <w:autoSpaceDE w:val="0"/>
      <w:autoSpaceDN w:val="0"/>
      <w:adjustRightInd w:val="0"/>
      <w:spacing w:line="191" w:lineRule="atLeast"/>
      <w:jc w:val="left"/>
    </w:pPr>
    <w:rPr>
      <w:rFonts w:ascii="Myriad Pro Light" w:eastAsia="Calibri" w:hAnsi="Myriad Pro Light"/>
      <w:sz w:val="24"/>
      <w:szCs w:val="24"/>
      <w:lang w:eastAsia="fr-FR"/>
    </w:rPr>
  </w:style>
  <w:style w:type="paragraph" w:customStyle="1" w:styleId="Pa26">
    <w:name w:val="Pa26"/>
    <w:basedOn w:val="Normal"/>
    <w:next w:val="Normal"/>
    <w:uiPriority w:val="99"/>
    <w:rsid w:val="0068479C"/>
    <w:pPr>
      <w:autoSpaceDE w:val="0"/>
      <w:autoSpaceDN w:val="0"/>
      <w:adjustRightInd w:val="0"/>
      <w:spacing w:line="181" w:lineRule="atLeast"/>
      <w:jc w:val="left"/>
    </w:pPr>
    <w:rPr>
      <w:rFonts w:ascii="Myriad Pro Light" w:eastAsia="Calibri" w:hAnsi="Myriad Pro Light"/>
      <w:sz w:val="24"/>
      <w:szCs w:val="24"/>
      <w:lang w:eastAsia="fr-FR"/>
    </w:rPr>
  </w:style>
  <w:style w:type="paragraph" w:styleId="NormalWeb">
    <w:name w:val="Normal (Web)"/>
    <w:basedOn w:val="Normal"/>
    <w:uiPriority w:val="99"/>
    <w:rsid w:val="0068479C"/>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68479C"/>
    <w:pPr>
      <w:spacing w:after="240"/>
    </w:pPr>
    <w:rPr>
      <w:rFonts w:ascii="Courier New" w:hAnsi="Courier New"/>
      <w:lang w:val="en-GB"/>
    </w:rPr>
  </w:style>
  <w:style w:type="character" w:customStyle="1" w:styleId="PlainTextChar">
    <w:name w:val="Plain Text Char"/>
    <w:basedOn w:val="DefaultParagraphFont"/>
    <w:link w:val="PlainText"/>
    <w:uiPriority w:val="99"/>
    <w:rsid w:val="0068479C"/>
    <w:rPr>
      <w:rFonts w:ascii="Courier New" w:hAnsi="Courier New"/>
      <w:lang w:val="en-GB"/>
    </w:rPr>
  </w:style>
  <w:style w:type="paragraph" w:styleId="BodyTextIndent2">
    <w:name w:val="Body Text Indent 2"/>
    <w:basedOn w:val="Normal"/>
    <w:link w:val="BodyTextIndent2Char"/>
    <w:rsid w:val="0068479C"/>
    <w:pPr>
      <w:spacing w:after="120" w:line="480" w:lineRule="auto"/>
      <w:ind w:left="360"/>
    </w:pPr>
  </w:style>
  <w:style w:type="character" w:customStyle="1" w:styleId="BodyTextIndent2Char">
    <w:name w:val="Body Text Indent 2 Char"/>
    <w:basedOn w:val="DefaultParagraphFont"/>
    <w:link w:val="BodyTextIndent2"/>
    <w:rsid w:val="0068479C"/>
    <w:rPr>
      <w:rFonts w:ascii="Arial" w:hAnsi="Arial"/>
      <w:lang w:val="fr-FR"/>
    </w:rPr>
  </w:style>
  <w:style w:type="paragraph" w:styleId="BodyText3">
    <w:name w:val="Body Text 3"/>
    <w:basedOn w:val="Normal"/>
    <w:link w:val="BodyText3Char"/>
    <w:rsid w:val="0068479C"/>
    <w:pPr>
      <w:spacing w:after="120"/>
    </w:pPr>
    <w:rPr>
      <w:sz w:val="16"/>
      <w:szCs w:val="16"/>
    </w:rPr>
  </w:style>
  <w:style w:type="character" w:customStyle="1" w:styleId="BodyText3Char">
    <w:name w:val="Body Text 3 Char"/>
    <w:basedOn w:val="DefaultParagraphFont"/>
    <w:link w:val="BodyText3"/>
    <w:rsid w:val="0068479C"/>
    <w:rPr>
      <w:rFonts w:ascii="Arial" w:hAnsi="Arial"/>
      <w:sz w:val="16"/>
      <w:szCs w:val="16"/>
      <w:lang w:val="fr-FR"/>
    </w:rPr>
  </w:style>
  <w:style w:type="character" w:customStyle="1" w:styleId="FootnoteTextChar2">
    <w:name w:val="Footnote Text Char2"/>
    <w:rsid w:val="0068479C"/>
    <w:rPr>
      <w:rFonts w:ascii="Arial" w:hAnsi="Arial" w:cs="Mangal"/>
      <w:sz w:val="18"/>
      <w:szCs w:val="24"/>
      <w:lang w:bidi="ne-NP"/>
    </w:rPr>
  </w:style>
  <w:style w:type="paragraph" w:styleId="NoSpacing">
    <w:name w:val="No Spacing"/>
    <w:uiPriority w:val="1"/>
    <w:qFormat/>
    <w:rsid w:val="0068479C"/>
    <w:rPr>
      <w:rFonts w:ascii="Calibri" w:eastAsia="Calibri" w:hAnsi="Calibri"/>
      <w:sz w:val="22"/>
      <w:szCs w:val="22"/>
    </w:rPr>
  </w:style>
  <w:style w:type="paragraph" w:customStyle="1" w:styleId="inf61normal">
    <w:name w:val="inf_6_1_normal"/>
    <w:basedOn w:val="Normal"/>
    <w:rsid w:val="0068479C"/>
    <w:pPr>
      <w:tabs>
        <w:tab w:val="left" w:pos="-31680"/>
        <w:tab w:val="left" w:pos="315"/>
      </w:tabs>
    </w:pPr>
    <w:rPr>
      <w:rFonts w:ascii="Times New Roman" w:hAnsi="Times New Roman"/>
      <w:color w:val="000000"/>
      <w:kern w:val="28"/>
      <w:sz w:val="24"/>
      <w:lang w:val="en-ZW" w:eastAsia="en-ZW"/>
    </w:rPr>
  </w:style>
  <w:style w:type="character" w:customStyle="1" w:styleId="ht">
    <w:name w:val="ht"/>
    <w:basedOn w:val="DefaultParagraphFont"/>
    <w:rsid w:val="0068479C"/>
  </w:style>
  <w:style w:type="character" w:styleId="Strong">
    <w:name w:val="Strong"/>
    <w:qFormat/>
    <w:rsid w:val="0068479C"/>
    <w:rPr>
      <w:b/>
      <w:bCs/>
    </w:rPr>
  </w:style>
  <w:style w:type="character" w:styleId="Emphasis">
    <w:name w:val="Emphasis"/>
    <w:qFormat/>
    <w:rsid w:val="0068479C"/>
    <w:rPr>
      <w:i/>
      <w:iCs/>
    </w:rPr>
  </w:style>
  <w:style w:type="paragraph" w:customStyle="1" w:styleId="c71indicateur">
    <w:name w:val="c71indicateur"/>
    <w:basedOn w:val="Normal"/>
    <w:rsid w:val="0068479C"/>
    <w:pPr>
      <w:spacing w:before="600" w:after="560"/>
      <w:ind w:left="567"/>
      <w:jc w:val="center"/>
    </w:pPr>
    <w:rPr>
      <w:szCs w:val="24"/>
      <w:lang w:eastAsia="fr-FR"/>
    </w:rPr>
  </w:style>
  <w:style w:type="paragraph" w:customStyle="1" w:styleId="c02alineaalta">
    <w:name w:val="c02alineaalta"/>
    <w:basedOn w:val="Normal"/>
    <w:rsid w:val="0068479C"/>
    <w:pPr>
      <w:spacing w:after="240"/>
      <w:ind w:left="567"/>
    </w:pPr>
    <w:rPr>
      <w:szCs w:val="24"/>
      <w:lang w:eastAsia="fr-FR"/>
    </w:rPr>
  </w:style>
  <w:style w:type="paragraph" w:customStyle="1" w:styleId="Char">
    <w:name w:val="Char 字元 字元"/>
    <w:basedOn w:val="Normal"/>
    <w:rsid w:val="0068479C"/>
    <w:pPr>
      <w:spacing w:after="160" w:line="240" w:lineRule="exact"/>
      <w:jc w:val="left"/>
    </w:pPr>
    <w:rPr>
      <w:rFonts w:ascii="Verdana" w:eastAsia="PMingLiU" w:hAnsi="Verdana"/>
      <w:lang w:val="en-US"/>
    </w:rPr>
  </w:style>
  <w:style w:type="paragraph" w:customStyle="1" w:styleId="tableaheadital">
    <w:name w:val="tableaheadital"/>
    <w:basedOn w:val="Normal"/>
    <w:rsid w:val="0068479C"/>
    <w:pPr>
      <w:spacing w:before="100" w:beforeAutospacing="1" w:after="100" w:afterAutospacing="1"/>
      <w:jc w:val="left"/>
    </w:pPr>
    <w:rPr>
      <w:rFonts w:ascii="Times New Roman" w:eastAsia="MS Mincho" w:hAnsi="Times New Roman"/>
      <w:sz w:val="24"/>
      <w:szCs w:val="24"/>
      <w:lang w:val="en-AU" w:eastAsia="ja-JP"/>
    </w:rPr>
  </w:style>
  <w:style w:type="character" w:customStyle="1" w:styleId="hps">
    <w:name w:val="hps"/>
    <w:rsid w:val="0068479C"/>
  </w:style>
  <w:style w:type="character" w:customStyle="1" w:styleId="apple-converted-space">
    <w:name w:val="apple-converted-space"/>
    <w:basedOn w:val="DefaultParagraphFont"/>
    <w:rsid w:val="0068479C"/>
  </w:style>
  <w:style w:type="paragraph" w:customStyle="1" w:styleId="a">
    <w:name w:val="바탕글"/>
    <w:uiPriority w:val="99"/>
    <w:rsid w:val="0068479C"/>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eastAsia="ko-KR"/>
    </w:rPr>
  </w:style>
  <w:style w:type="character" w:styleId="FollowedHyperlink">
    <w:name w:val="FollowedHyperlink"/>
    <w:basedOn w:val="DefaultParagraphFont"/>
    <w:rsid w:val="0068479C"/>
    <w:rPr>
      <w:color w:val="800080" w:themeColor="followedHyperlink"/>
      <w:u w:val="single"/>
    </w:rPr>
  </w:style>
  <w:style w:type="character" w:customStyle="1" w:styleId="HeaderChar">
    <w:name w:val="Header Char"/>
    <w:basedOn w:val="DefaultParagraphFont"/>
    <w:link w:val="Header"/>
    <w:uiPriority w:val="99"/>
    <w:rsid w:val="0068479C"/>
    <w:rPr>
      <w:rFonts w:ascii="Arial" w:hAnsi="Arial"/>
      <w:lang w:val="fr-FR"/>
    </w:rPr>
  </w:style>
  <w:style w:type="character" w:customStyle="1" w:styleId="shorttext">
    <w:name w:val="short_text"/>
    <w:basedOn w:val="DefaultParagraphFont"/>
    <w:rsid w:val="00D4677B"/>
  </w:style>
  <w:style w:type="character" w:customStyle="1" w:styleId="EndnoteTextChar">
    <w:name w:val="Endnote Text Char"/>
    <w:basedOn w:val="DefaultParagraphFont"/>
    <w:link w:val="EndnoteText"/>
    <w:semiHidden/>
    <w:rsid w:val="00D4677B"/>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BC8"/>
    <w:pPr>
      <w:jc w:val="both"/>
    </w:pPr>
    <w:rPr>
      <w:rFonts w:ascii="Arial" w:hAnsi="Arial"/>
      <w:lang w:val="fr-FR"/>
    </w:rPr>
  </w:style>
  <w:style w:type="paragraph" w:styleId="Heading1">
    <w:name w:val="heading 1"/>
    <w:next w:val="Normal"/>
    <w:autoRedefine/>
    <w:qFormat/>
    <w:rsid w:val="0043005A"/>
    <w:pPr>
      <w:keepNext/>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7">
    <w:name w:val="heading 7"/>
    <w:basedOn w:val="Normal"/>
    <w:next w:val="Normal"/>
    <w:link w:val="Heading7Char"/>
    <w:qFormat/>
    <w:rsid w:val="0068479C"/>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68479C"/>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43005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link w:val="FootnoteTextChar"/>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link w:val="EndnoteTextChar"/>
    <w:semiHidden/>
    <w:rsid w:val="0043005A"/>
  </w:style>
  <w:style w:type="character" w:styleId="EndnoteReference">
    <w:name w:val="endnote reference"/>
    <w:basedOn w:val="DefaultParagraphFont"/>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E4565F"/>
    <w:pPr>
      <w:tabs>
        <w:tab w:val="right" w:leader="dot" w:pos="9639"/>
      </w:tabs>
      <w:ind w:left="284" w:right="284" w:hanging="284"/>
      <w:contextualSpacing/>
      <w:jc w:val="right"/>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813041"/>
    <w:rPr>
      <w:rFonts w:ascii="Tahoma" w:hAnsi="Tahoma" w:cs="Tahoma"/>
      <w:sz w:val="16"/>
      <w:szCs w:val="16"/>
    </w:rPr>
  </w:style>
  <w:style w:type="character" w:customStyle="1" w:styleId="BalloonTextChar">
    <w:name w:val="Balloon Text Char"/>
    <w:basedOn w:val="DefaultParagraphFont"/>
    <w:link w:val="BalloonText"/>
    <w:uiPriority w:val="99"/>
    <w:rsid w:val="00813041"/>
    <w:rPr>
      <w:rFonts w:ascii="Tahoma" w:hAnsi="Tahoma" w:cs="Tahoma"/>
      <w:sz w:val="16"/>
      <w:szCs w:val="16"/>
    </w:rPr>
  </w:style>
  <w:style w:type="character" w:customStyle="1" w:styleId="Heading7Char">
    <w:name w:val="Heading 7 Char"/>
    <w:basedOn w:val="DefaultParagraphFont"/>
    <w:link w:val="Heading7"/>
    <w:rsid w:val="0068479C"/>
    <w:rPr>
      <w:sz w:val="22"/>
      <w:szCs w:val="22"/>
      <w:u w:val="single"/>
      <w:lang w:val="en-GB"/>
    </w:rPr>
  </w:style>
  <w:style w:type="character" w:customStyle="1" w:styleId="Heading8Char">
    <w:name w:val="Heading 8 Char"/>
    <w:basedOn w:val="DefaultParagraphFont"/>
    <w:link w:val="Heading8"/>
    <w:rsid w:val="0068479C"/>
    <w:rPr>
      <w:rFonts w:ascii="Arial" w:hAnsi="Arial"/>
      <w:u w:val="single"/>
      <w:lang w:val="en-GB" w:eastAsia="pl-PL"/>
    </w:rPr>
  </w:style>
  <w:style w:type="paragraph" w:styleId="ListParagraph">
    <w:name w:val="List Paragraph"/>
    <w:basedOn w:val="Normal"/>
    <w:uiPriority w:val="34"/>
    <w:qFormat/>
    <w:rsid w:val="0068479C"/>
    <w:pPr>
      <w:ind w:left="1134" w:hanging="567"/>
      <w:jc w:val="left"/>
    </w:pPr>
    <w:rPr>
      <w:szCs w:val="22"/>
    </w:rPr>
  </w:style>
  <w:style w:type="table" w:styleId="TableGrid">
    <w:name w:val="Table Grid"/>
    <w:basedOn w:val="TableNormal"/>
    <w:rsid w:val="006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8479C"/>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68479C"/>
    <w:rPr>
      <w:sz w:val="28"/>
      <w:lang w:val="pl-PL" w:eastAsia="pl-PL"/>
    </w:rPr>
  </w:style>
  <w:style w:type="character" w:customStyle="1" w:styleId="FooterChar">
    <w:name w:val="Footer Char"/>
    <w:aliases w:val="doc_path_name Char"/>
    <w:basedOn w:val="DefaultParagraphFont"/>
    <w:link w:val="Footer"/>
    <w:uiPriority w:val="99"/>
    <w:rsid w:val="0068479C"/>
    <w:rPr>
      <w:rFonts w:ascii="Arial" w:hAnsi="Arial"/>
      <w:sz w:val="12"/>
    </w:rPr>
  </w:style>
  <w:style w:type="character" w:customStyle="1" w:styleId="FootnoteTextChar">
    <w:name w:val="Footnote Text Char"/>
    <w:link w:val="FootnoteText"/>
    <w:rsid w:val="0068479C"/>
    <w:rPr>
      <w:rFonts w:ascii="Arial" w:hAnsi="Arial"/>
      <w:sz w:val="16"/>
    </w:rPr>
  </w:style>
  <w:style w:type="paragraph" w:styleId="ListBullet">
    <w:name w:val="List Bullet"/>
    <w:basedOn w:val="Normal"/>
    <w:uiPriority w:val="99"/>
    <w:rsid w:val="0068479C"/>
    <w:pPr>
      <w:numPr>
        <w:numId w:val="1"/>
      </w:numPr>
      <w:spacing w:after="240"/>
    </w:pPr>
    <w:rPr>
      <w:lang w:val="en-GB"/>
    </w:rPr>
  </w:style>
  <w:style w:type="paragraph" w:customStyle="1" w:styleId="Default">
    <w:name w:val="Default"/>
    <w:rsid w:val="0068479C"/>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68479C"/>
    <w:pPr>
      <w:autoSpaceDE w:val="0"/>
      <w:autoSpaceDN w:val="0"/>
      <w:adjustRightInd w:val="0"/>
      <w:spacing w:line="191" w:lineRule="atLeast"/>
      <w:jc w:val="left"/>
    </w:pPr>
    <w:rPr>
      <w:rFonts w:ascii="Myriad Pro Light" w:eastAsia="Calibri" w:hAnsi="Myriad Pro Light"/>
      <w:sz w:val="24"/>
      <w:szCs w:val="24"/>
      <w:lang w:eastAsia="fr-FR"/>
    </w:rPr>
  </w:style>
  <w:style w:type="paragraph" w:customStyle="1" w:styleId="Pa26">
    <w:name w:val="Pa26"/>
    <w:basedOn w:val="Normal"/>
    <w:next w:val="Normal"/>
    <w:uiPriority w:val="99"/>
    <w:rsid w:val="0068479C"/>
    <w:pPr>
      <w:autoSpaceDE w:val="0"/>
      <w:autoSpaceDN w:val="0"/>
      <w:adjustRightInd w:val="0"/>
      <w:spacing w:line="181" w:lineRule="atLeast"/>
      <w:jc w:val="left"/>
    </w:pPr>
    <w:rPr>
      <w:rFonts w:ascii="Myriad Pro Light" w:eastAsia="Calibri" w:hAnsi="Myriad Pro Light"/>
      <w:sz w:val="24"/>
      <w:szCs w:val="24"/>
      <w:lang w:eastAsia="fr-FR"/>
    </w:rPr>
  </w:style>
  <w:style w:type="paragraph" w:styleId="NormalWeb">
    <w:name w:val="Normal (Web)"/>
    <w:basedOn w:val="Normal"/>
    <w:uiPriority w:val="99"/>
    <w:rsid w:val="0068479C"/>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68479C"/>
    <w:pPr>
      <w:spacing w:after="240"/>
    </w:pPr>
    <w:rPr>
      <w:rFonts w:ascii="Courier New" w:hAnsi="Courier New"/>
      <w:lang w:val="en-GB"/>
    </w:rPr>
  </w:style>
  <w:style w:type="character" w:customStyle="1" w:styleId="PlainTextChar">
    <w:name w:val="Plain Text Char"/>
    <w:basedOn w:val="DefaultParagraphFont"/>
    <w:link w:val="PlainText"/>
    <w:uiPriority w:val="99"/>
    <w:rsid w:val="0068479C"/>
    <w:rPr>
      <w:rFonts w:ascii="Courier New" w:hAnsi="Courier New"/>
      <w:lang w:val="en-GB"/>
    </w:rPr>
  </w:style>
  <w:style w:type="paragraph" w:styleId="BodyTextIndent2">
    <w:name w:val="Body Text Indent 2"/>
    <w:basedOn w:val="Normal"/>
    <w:link w:val="BodyTextIndent2Char"/>
    <w:rsid w:val="0068479C"/>
    <w:pPr>
      <w:spacing w:after="120" w:line="480" w:lineRule="auto"/>
      <w:ind w:left="360"/>
    </w:pPr>
  </w:style>
  <w:style w:type="character" w:customStyle="1" w:styleId="BodyTextIndent2Char">
    <w:name w:val="Body Text Indent 2 Char"/>
    <w:basedOn w:val="DefaultParagraphFont"/>
    <w:link w:val="BodyTextIndent2"/>
    <w:rsid w:val="0068479C"/>
    <w:rPr>
      <w:rFonts w:ascii="Arial" w:hAnsi="Arial"/>
      <w:lang w:val="fr-FR"/>
    </w:rPr>
  </w:style>
  <w:style w:type="paragraph" w:styleId="BodyText3">
    <w:name w:val="Body Text 3"/>
    <w:basedOn w:val="Normal"/>
    <w:link w:val="BodyText3Char"/>
    <w:rsid w:val="0068479C"/>
    <w:pPr>
      <w:spacing w:after="120"/>
    </w:pPr>
    <w:rPr>
      <w:sz w:val="16"/>
      <w:szCs w:val="16"/>
    </w:rPr>
  </w:style>
  <w:style w:type="character" w:customStyle="1" w:styleId="BodyText3Char">
    <w:name w:val="Body Text 3 Char"/>
    <w:basedOn w:val="DefaultParagraphFont"/>
    <w:link w:val="BodyText3"/>
    <w:rsid w:val="0068479C"/>
    <w:rPr>
      <w:rFonts w:ascii="Arial" w:hAnsi="Arial"/>
      <w:sz w:val="16"/>
      <w:szCs w:val="16"/>
      <w:lang w:val="fr-FR"/>
    </w:rPr>
  </w:style>
  <w:style w:type="character" w:customStyle="1" w:styleId="FootnoteTextChar2">
    <w:name w:val="Footnote Text Char2"/>
    <w:rsid w:val="0068479C"/>
    <w:rPr>
      <w:rFonts w:ascii="Arial" w:hAnsi="Arial" w:cs="Mangal"/>
      <w:sz w:val="18"/>
      <w:szCs w:val="24"/>
      <w:lang w:bidi="ne-NP"/>
    </w:rPr>
  </w:style>
  <w:style w:type="paragraph" w:styleId="NoSpacing">
    <w:name w:val="No Spacing"/>
    <w:uiPriority w:val="1"/>
    <w:qFormat/>
    <w:rsid w:val="0068479C"/>
    <w:rPr>
      <w:rFonts w:ascii="Calibri" w:eastAsia="Calibri" w:hAnsi="Calibri"/>
      <w:sz w:val="22"/>
      <w:szCs w:val="22"/>
    </w:rPr>
  </w:style>
  <w:style w:type="paragraph" w:customStyle="1" w:styleId="inf61normal">
    <w:name w:val="inf_6_1_normal"/>
    <w:basedOn w:val="Normal"/>
    <w:rsid w:val="0068479C"/>
    <w:pPr>
      <w:tabs>
        <w:tab w:val="left" w:pos="-31680"/>
        <w:tab w:val="left" w:pos="315"/>
      </w:tabs>
    </w:pPr>
    <w:rPr>
      <w:rFonts w:ascii="Times New Roman" w:hAnsi="Times New Roman"/>
      <w:color w:val="000000"/>
      <w:kern w:val="28"/>
      <w:sz w:val="24"/>
      <w:lang w:val="en-ZW" w:eastAsia="en-ZW"/>
    </w:rPr>
  </w:style>
  <w:style w:type="character" w:customStyle="1" w:styleId="ht">
    <w:name w:val="ht"/>
    <w:basedOn w:val="DefaultParagraphFont"/>
    <w:rsid w:val="0068479C"/>
  </w:style>
  <w:style w:type="character" w:styleId="Strong">
    <w:name w:val="Strong"/>
    <w:qFormat/>
    <w:rsid w:val="0068479C"/>
    <w:rPr>
      <w:b/>
      <w:bCs/>
    </w:rPr>
  </w:style>
  <w:style w:type="character" w:styleId="Emphasis">
    <w:name w:val="Emphasis"/>
    <w:qFormat/>
    <w:rsid w:val="0068479C"/>
    <w:rPr>
      <w:i/>
      <w:iCs/>
    </w:rPr>
  </w:style>
  <w:style w:type="paragraph" w:customStyle="1" w:styleId="c71indicateur">
    <w:name w:val="c71indicateur"/>
    <w:basedOn w:val="Normal"/>
    <w:rsid w:val="0068479C"/>
    <w:pPr>
      <w:spacing w:before="600" w:after="560"/>
      <w:ind w:left="567"/>
      <w:jc w:val="center"/>
    </w:pPr>
    <w:rPr>
      <w:szCs w:val="24"/>
      <w:lang w:eastAsia="fr-FR"/>
    </w:rPr>
  </w:style>
  <w:style w:type="paragraph" w:customStyle="1" w:styleId="c02alineaalta">
    <w:name w:val="c02alineaalta"/>
    <w:basedOn w:val="Normal"/>
    <w:rsid w:val="0068479C"/>
    <w:pPr>
      <w:spacing w:after="240"/>
      <w:ind w:left="567"/>
    </w:pPr>
    <w:rPr>
      <w:szCs w:val="24"/>
      <w:lang w:eastAsia="fr-FR"/>
    </w:rPr>
  </w:style>
  <w:style w:type="paragraph" w:customStyle="1" w:styleId="Char">
    <w:name w:val="Char 字元 字元"/>
    <w:basedOn w:val="Normal"/>
    <w:rsid w:val="0068479C"/>
    <w:pPr>
      <w:spacing w:after="160" w:line="240" w:lineRule="exact"/>
      <w:jc w:val="left"/>
    </w:pPr>
    <w:rPr>
      <w:rFonts w:ascii="Verdana" w:eastAsia="PMingLiU" w:hAnsi="Verdana"/>
      <w:lang w:val="en-US"/>
    </w:rPr>
  </w:style>
  <w:style w:type="paragraph" w:customStyle="1" w:styleId="tableaheadital">
    <w:name w:val="tableaheadital"/>
    <w:basedOn w:val="Normal"/>
    <w:rsid w:val="0068479C"/>
    <w:pPr>
      <w:spacing w:before="100" w:beforeAutospacing="1" w:after="100" w:afterAutospacing="1"/>
      <w:jc w:val="left"/>
    </w:pPr>
    <w:rPr>
      <w:rFonts w:ascii="Times New Roman" w:eastAsia="MS Mincho" w:hAnsi="Times New Roman"/>
      <w:sz w:val="24"/>
      <w:szCs w:val="24"/>
      <w:lang w:val="en-AU" w:eastAsia="ja-JP"/>
    </w:rPr>
  </w:style>
  <w:style w:type="character" w:customStyle="1" w:styleId="hps">
    <w:name w:val="hps"/>
    <w:rsid w:val="0068479C"/>
  </w:style>
  <w:style w:type="character" w:customStyle="1" w:styleId="apple-converted-space">
    <w:name w:val="apple-converted-space"/>
    <w:basedOn w:val="DefaultParagraphFont"/>
    <w:rsid w:val="0068479C"/>
  </w:style>
  <w:style w:type="paragraph" w:customStyle="1" w:styleId="a">
    <w:name w:val="바탕글"/>
    <w:uiPriority w:val="99"/>
    <w:rsid w:val="0068479C"/>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eastAsia="ko-KR"/>
    </w:rPr>
  </w:style>
  <w:style w:type="character" w:styleId="FollowedHyperlink">
    <w:name w:val="FollowedHyperlink"/>
    <w:basedOn w:val="DefaultParagraphFont"/>
    <w:rsid w:val="0068479C"/>
    <w:rPr>
      <w:color w:val="800080" w:themeColor="followedHyperlink"/>
      <w:u w:val="single"/>
    </w:rPr>
  </w:style>
  <w:style w:type="character" w:customStyle="1" w:styleId="HeaderChar">
    <w:name w:val="Header Char"/>
    <w:basedOn w:val="DefaultParagraphFont"/>
    <w:link w:val="Header"/>
    <w:uiPriority w:val="99"/>
    <w:rsid w:val="0068479C"/>
    <w:rPr>
      <w:rFonts w:ascii="Arial" w:hAnsi="Arial"/>
      <w:lang w:val="fr-FR"/>
    </w:rPr>
  </w:style>
  <w:style w:type="character" w:customStyle="1" w:styleId="shorttext">
    <w:name w:val="short_text"/>
    <w:basedOn w:val="DefaultParagraphFont"/>
    <w:rsid w:val="00D4677B"/>
  </w:style>
  <w:style w:type="character" w:customStyle="1" w:styleId="EndnoteTextChar">
    <w:name w:val="Endnote Text Char"/>
    <w:basedOn w:val="DefaultParagraphFont"/>
    <w:link w:val="EndnoteText"/>
    <w:semiHidden/>
    <w:rsid w:val="00D4677B"/>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journal.sops.gov.ua/" TargetMode="External"/><Relationship Id="rId2" Type="http://schemas.openxmlformats.org/officeDocument/2006/relationships/numbering" Target="numbering.xml"/><Relationship Id="rId16" Type="http://schemas.openxmlformats.org/officeDocument/2006/relationships/hyperlink" Target="http://conference.sops.gov.ua/index.php/mai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mailto:upov.mail@upov.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0\templates\C_50_FR.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DAT2\ORGLAN\AEM\POOL\c_50_16_add_annex_42017_F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ipogvafs01\DAT2\ORGLAN\AEM\POOL\c_50_16_add_annex_42017_F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'Solicitudes '!$D$4</c:f>
              <c:strCache>
                <c:ptCount val="1"/>
                <c:pt idx="0">
                  <c:v>Total</c:v>
                </c:pt>
              </c:strCache>
            </c:strRef>
          </c:tx>
          <c:invertIfNegative val="0"/>
          <c:dPt>
            <c:idx val="0"/>
            <c:invertIfNegative val="0"/>
            <c:bubble3D val="0"/>
            <c:spPr>
              <a:solidFill>
                <a:schemeClr val="tx2">
                  <a:lumMod val="60000"/>
                  <a:lumOff val="40000"/>
                </a:schemeClr>
              </a:solidFill>
            </c:spPr>
          </c:dPt>
          <c:dPt>
            <c:idx val="1"/>
            <c:invertIfNegative val="0"/>
            <c:bubble3D val="0"/>
            <c:spPr>
              <a:solidFill>
                <a:schemeClr val="accent2"/>
              </a:solidFill>
            </c:spPr>
          </c:dPt>
          <c:dPt>
            <c:idx val="2"/>
            <c:invertIfNegative val="0"/>
            <c:bubble3D val="0"/>
            <c:spPr>
              <a:solidFill>
                <a:srgbClr val="FF0000"/>
              </a:solidFill>
            </c:spPr>
          </c:dPt>
          <c:dPt>
            <c:idx val="3"/>
            <c:invertIfNegative val="0"/>
            <c:bubble3D val="0"/>
            <c:spPr>
              <a:solidFill>
                <a:schemeClr val="accent3">
                  <a:lumMod val="75000"/>
                </a:schemeClr>
              </a:solidFill>
            </c:spPr>
          </c:dPt>
          <c:dPt>
            <c:idx val="4"/>
            <c:invertIfNegative val="0"/>
            <c:bubble3D val="0"/>
            <c:spPr>
              <a:solidFill>
                <a:schemeClr val="accent5"/>
              </a:solidFill>
            </c:spPr>
          </c:dPt>
          <c:dPt>
            <c:idx val="5"/>
            <c:invertIfNegative val="0"/>
            <c:bubble3D val="0"/>
            <c:spPr>
              <a:solidFill>
                <a:srgbClr val="00B050"/>
              </a:solidFill>
            </c:spPr>
          </c:dPt>
          <c:dPt>
            <c:idx val="6"/>
            <c:invertIfNegative val="0"/>
            <c:bubble3D val="0"/>
            <c:spPr>
              <a:solidFill>
                <a:schemeClr val="accent2">
                  <a:lumMod val="75000"/>
                </a:schemeClr>
              </a:solidFill>
            </c:spPr>
          </c:dPt>
          <c:dPt>
            <c:idx val="7"/>
            <c:invertIfNegative val="0"/>
            <c:bubble3D val="0"/>
            <c:spPr>
              <a:solidFill>
                <a:schemeClr val="tx2">
                  <a:lumMod val="75000"/>
                </a:schemeClr>
              </a:solidFill>
            </c:spPr>
          </c:dPt>
          <c:dPt>
            <c:idx val="8"/>
            <c:invertIfNegative val="0"/>
            <c:bubble3D val="0"/>
            <c:spPr>
              <a:solidFill>
                <a:srgbClr val="92D050"/>
              </a:solidFill>
            </c:spPr>
          </c:dPt>
          <c:dPt>
            <c:idx val="9"/>
            <c:invertIfNegative val="0"/>
            <c:bubble3D val="0"/>
            <c:spPr>
              <a:solidFill>
                <a:schemeClr val="accent4">
                  <a:lumMod val="75000"/>
                </a:schemeClr>
              </a:solidFill>
            </c:spPr>
          </c:dPt>
          <c:dPt>
            <c:idx val="10"/>
            <c:invertIfNegative val="0"/>
            <c:bubble3D val="0"/>
            <c:spPr>
              <a:solidFill>
                <a:srgbClr val="FF0000"/>
              </a:solidFill>
            </c:spPr>
          </c:dPt>
          <c:dPt>
            <c:idx val="12"/>
            <c:invertIfNegative val="0"/>
            <c:bubble3D val="0"/>
            <c:spPr>
              <a:solidFill>
                <a:schemeClr val="accent5">
                  <a:lumMod val="40000"/>
                  <a:lumOff val="60000"/>
                </a:schemeClr>
              </a:solidFill>
            </c:spPr>
          </c:dPt>
          <c:dPt>
            <c:idx val="13"/>
            <c:invertIfNegative val="0"/>
            <c:bubble3D val="0"/>
            <c:spPr>
              <a:solidFill>
                <a:schemeClr val="bg2">
                  <a:lumMod val="50000"/>
                </a:schemeClr>
              </a:solidFill>
            </c:spPr>
          </c:dPt>
          <c:dLbls>
            <c:showLegendKey val="0"/>
            <c:showVal val="1"/>
            <c:showCatName val="0"/>
            <c:showSerName val="0"/>
            <c:showPercent val="0"/>
            <c:showBubbleSize val="0"/>
            <c:showLeaderLines val="0"/>
          </c:dLbls>
          <c:cat>
            <c:strRef>
              <c:f>'Solicitudes '!$C$5:$C$19</c:f>
              <c:strCache>
                <c:ptCount val="15"/>
                <c:pt idx="0">
                  <c:v>ALSTRŒMÈRE </c:v>
                </c:pt>
                <c:pt idx="1">
                  <c:v>AIRELLE</c:v>
                </c:pt>
                <c:pt idx="2">
                  <c:v>RIZ</c:v>
                </c:pt>
                <c:pt idx="3">
                  <c:v>BRACHIARIA</c:v>
                </c:pt>
                <c:pt idx="4">
                  <c:v>CORIANDRE</c:v>
                </c:pt>
                <c:pt idx="5">
                  <c:v>ŒILLET</c:v>
                </c:pt>
                <c:pt idx="6">
                  <c:v>CHRYSANTHÈME</c:v>
                </c:pt>
                <c:pt idx="7">
                  <c:v>SCABIEUSE</c:v>
                </c:pt>
                <c:pt idx="8">
                  <c:v>FRAISIER</c:v>
                </c:pt>
                <c:pt idx="9">
                  <c:v>MANDARINIER</c:v>
                </c:pt>
                <c:pt idx="10">
                  <c:v>POMME DE TERRE</c:v>
                </c:pt>
                <c:pt idx="11">
                  <c:v>ROSIER</c:v>
                </c:pt>
                <c:pt idx="12">
                  <c:v>ROSIER</c:v>
                </c:pt>
                <c:pt idx="13">
                  <c:v>VERGE D'OR</c:v>
                </c:pt>
                <c:pt idx="14">
                  <c:v>VIGNE</c:v>
                </c:pt>
              </c:strCache>
            </c:strRef>
          </c:cat>
          <c:val>
            <c:numRef>
              <c:f>'Solicitudes '!$D$5:$D$19</c:f>
              <c:numCache>
                <c:formatCode>General</c:formatCode>
                <c:ptCount val="15"/>
                <c:pt idx="0">
                  <c:v>15</c:v>
                </c:pt>
                <c:pt idx="1">
                  <c:v>14</c:v>
                </c:pt>
                <c:pt idx="2">
                  <c:v>1</c:v>
                </c:pt>
                <c:pt idx="3">
                  <c:v>2</c:v>
                </c:pt>
                <c:pt idx="4">
                  <c:v>1</c:v>
                </c:pt>
                <c:pt idx="5">
                  <c:v>5</c:v>
                </c:pt>
                <c:pt idx="6">
                  <c:v>32</c:v>
                </c:pt>
                <c:pt idx="7">
                  <c:v>1</c:v>
                </c:pt>
                <c:pt idx="8">
                  <c:v>1</c:v>
                </c:pt>
                <c:pt idx="9">
                  <c:v>2</c:v>
                </c:pt>
                <c:pt idx="10">
                  <c:v>1</c:v>
                </c:pt>
                <c:pt idx="11">
                  <c:v>40</c:v>
                </c:pt>
                <c:pt idx="12">
                  <c:v>2</c:v>
                </c:pt>
                <c:pt idx="13">
                  <c:v>1</c:v>
                </c:pt>
                <c:pt idx="14">
                  <c:v>1</c:v>
                </c:pt>
              </c:numCache>
            </c:numRef>
          </c:val>
        </c:ser>
        <c:dLbls>
          <c:showLegendKey val="0"/>
          <c:showVal val="0"/>
          <c:showCatName val="0"/>
          <c:showSerName val="0"/>
          <c:showPercent val="0"/>
          <c:showBubbleSize val="0"/>
        </c:dLbls>
        <c:gapWidth val="150"/>
        <c:axId val="142982144"/>
        <c:axId val="146965632"/>
      </c:barChart>
      <c:catAx>
        <c:axId val="142982144"/>
        <c:scaling>
          <c:orientation val="minMax"/>
        </c:scaling>
        <c:delete val="0"/>
        <c:axPos val="b"/>
        <c:majorTickMark val="out"/>
        <c:minorTickMark val="none"/>
        <c:tickLblPos val="nextTo"/>
        <c:txPr>
          <a:bodyPr rot="-5400000" vert="horz"/>
          <a:lstStyle/>
          <a:p>
            <a:pPr>
              <a:defRPr/>
            </a:pPr>
            <a:endParaRPr lang="en-US"/>
          </a:p>
        </c:txPr>
        <c:crossAx val="146965632"/>
        <c:crosses val="autoZero"/>
        <c:auto val="0"/>
        <c:lblAlgn val="ctr"/>
        <c:lblOffset val="100"/>
        <c:noMultiLvlLbl val="0"/>
      </c:catAx>
      <c:valAx>
        <c:axId val="146965632"/>
        <c:scaling>
          <c:orientation val="minMax"/>
        </c:scaling>
        <c:delete val="0"/>
        <c:axPos val="l"/>
        <c:majorGridlines/>
        <c:numFmt formatCode="General" sourceLinked="1"/>
        <c:majorTickMark val="out"/>
        <c:minorTickMark val="none"/>
        <c:tickLblPos val="nextTo"/>
        <c:crossAx val="1429821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10577712711674"/>
          <c:y val="8.1919326444247029E-2"/>
          <c:w val="0.46956894055596493"/>
          <c:h val="0.80497509920280408"/>
        </c:manualLayout>
      </c:layout>
      <c:pieChart>
        <c:varyColors val="1"/>
        <c:ser>
          <c:idx val="0"/>
          <c:order val="0"/>
          <c:tx>
            <c:strRef>
              <c:f>'Certificados Entregados'!$C$3</c:f>
              <c:strCache>
                <c:ptCount val="1"/>
                <c:pt idx="0">
                  <c:v>Total</c:v>
                </c:pt>
              </c:strCache>
            </c:strRef>
          </c:tx>
          <c:explosion val="25"/>
          <c:dLbls>
            <c:dLbl>
              <c:idx val="1"/>
              <c:layout>
                <c:manualLayout>
                  <c:x val="-6.8993614604144632E-3"/>
                  <c:y val="1.1107332085504084E-2"/>
                </c:manualLayout>
              </c:layout>
              <c:showLegendKey val="0"/>
              <c:showVal val="1"/>
              <c:showCatName val="0"/>
              <c:showSerName val="0"/>
              <c:showPercent val="0"/>
              <c:showBubbleSize val="0"/>
            </c:dLbl>
            <c:dLbl>
              <c:idx val="2"/>
              <c:layout>
                <c:manualLayout>
                  <c:x val="6.0826860685833542E-4"/>
                  <c:y val="1.4566516982215305E-2"/>
                </c:manualLayout>
              </c:layout>
              <c:showLegendKey val="0"/>
              <c:showVal val="1"/>
              <c:showCatName val="0"/>
              <c:showSerName val="0"/>
              <c:showPercent val="0"/>
              <c:showBubbleSize val="0"/>
            </c:dLbl>
            <c:showLegendKey val="0"/>
            <c:showVal val="1"/>
            <c:showCatName val="0"/>
            <c:showSerName val="0"/>
            <c:showPercent val="0"/>
            <c:showBubbleSize val="0"/>
            <c:showLeaderLines val="1"/>
            <c:leaderLines>
              <c:spPr>
                <a:ln>
                  <a:noFill/>
                </a:ln>
              </c:spPr>
            </c:leaderLines>
          </c:dLbls>
          <c:cat>
            <c:strRef>
              <c:f>'Certificados Entregados'!$B$4:$B$13</c:f>
              <c:strCache>
                <c:ptCount val="10"/>
                <c:pt idx="0">
                  <c:v>ALLEMAGNE</c:v>
                </c:pt>
                <c:pt idx="1">
                  <c:v>AUSTRALIE</c:v>
                </c:pt>
                <c:pt idx="2">
                  <c:v>COLOMBIE</c:v>
                </c:pt>
                <c:pt idx="3">
                  <c:v>ESPAGNE</c:v>
                </c:pt>
                <c:pt idx="4">
                  <c:v>ÉTATS-UNIS D'AMÉRIQUE</c:v>
                </c:pt>
                <c:pt idx="5">
                  <c:v>PAYS-BAS</c:v>
                </c:pt>
                <c:pt idx="6">
                  <c:v>ISRAËL</c:v>
                </c:pt>
                <c:pt idx="7">
                  <c:v>ITALIE </c:v>
                </c:pt>
                <c:pt idx="8">
                  <c:v>RÉPUBLIQUE DE CORÉE</c:v>
                </c:pt>
                <c:pt idx="9">
                  <c:v>TOTAL</c:v>
                </c:pt>
              </c:strCache>
            </c:strRef>
          </c:cat>
          <c:val>
            <c:numRef>
              <c:f>'Certificados Entregados'!$C$4:$C$13</c:f>
              <c:numCache>
                <c:formatCode>General</c:formatCode>
                <c:ptCount val="10"/>
                <c:pt idx="0">
                  <c:v>7</c:v>
                </c:pt>
                <c:pt idx="1">
                  <c:v>1</c:v>
                </c:pt>
                <c:pt idx="2">
                  <c:v>1</c:v>
                </c:pt>
                <c:pt idx="3">
                  <c:v>5</c:v>
                </c:pt>
                <c:pt idx="4">
                  <c:v>4</c:v>
                </c:pt>
                <c:pt idx="5">
                  <c:v>32</c:v>
                </c:pt>
                <c:pt idx="6">
                  <c:v>2</c:v>
                </c:pt>
                <c:pt idx="7">
                  <c:v>1</c:v>
                </c:pt>
                <c:pt idx="8">
                  <c:v>1</c:v>
                </c:pt>
                <c:pt idx="9">
                  <c:v>54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1038137871843365"/>
          <c:y val="0.16527105499132952"/>
          <c:w val="0.26525525557609236"/>
          <c:h val="0.7401199127370431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289E9-D822-4DDB-818B-2B9D426B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C_50_FR.dotx</Template>
  <TotalTime>16</TotalTime>
  <Pages>10</Pages>
  <Words>2051</Words>
  <Characters>12438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C/50/16</vt:lpstr>
    </vt:vector>
  </TitlesOfParts>
  <Company>UPOV</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C/50/16</dc:title>
  <dc:creator>SANCHEZ-VIZCAINO GOMEZ Rosa Maria</dc:creator>
  <cp:lastModifiedBy>SANCHEZ-VIZCAINO GOMEZ Rosa Maria</cp:lastModifiedBy>
  <cp:revision>15</cp:revision>
  <cp:lastPrinted>2017-09-18T12:20:00Z</cp:lastPrinted>
  <dcterms:created xsi:type="dcterms:W3CDTF">2017-08-23T10:08:00Z</dcterms:created>
  <dcterms:modified xsi:type="dcterms:W3CDTF">2017-09-18T12:20:00Z</dcterms:modified>
</cp:coreProperties>
</file>