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310F7F" w:rsidTr="00FD21CB">
        <w:trPr>
          <w:trHeight w:val="1760"/>
        </w:trPr>
        <w:tc>
          <w:tcPr>
            <w:tcW w:w="4243" w:type="dxa"/>
          </w:tcPr>
          <w:p w:rsidR="0067078A" w:rsidRPr="00310F7F" w:rsidRDefault="0067078A" w:rsidP="00BA5523">
            <w:pPr>
              <w:rPr>
                <w:lang w:val="fr-FR"/>
              </w:rPr>
            </w:pPr>
          </w:p>
        </w:tc>
        <w:tc>
          <w:tcPr>
            <w:tcW w:w="1646" w:type="dxa"/>
            <w:vAlign w:val="center"/>
          </w:tcPr>
          <w:p w:rsidR="0067078A" w:rsidRPr="00310F7F" w:rsidRDefault="0067078A" w:rsidP="00BA5523">
            <w:pPr>
              <w:pStyle w:val="LogoUPOV"/>
              <w:rPr>
                <w:lang w:val="fr-FR"/>
              </w:rPr>
            </w:pPr>
            <w:r w:rsidRPr="00310F7F">
              <w:rPr>
                <w:noProof/>
              </w:rPr>
              <w:drawing>
                <wp:inline distT="0" distB="0" distL="0" distR="0" wp14:anchorId="118BA766" wp14:editId="35A1B44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7078A" w:rsidRPr="00310F7F" w:rsidRDefault="00A703A7" w:rsidP="00BA5523">
            <w:pPr>
              <w:pStyle w:val="Lettrine"/>
              <w:spacing w:line="240" w:lineRule="auto"/>
              <w:rPr>
                <w:lang w:val="fr-FR"/>
              </w:rPr>
            </w:pPr>
            <w:r w:rsidRPr="00310F7F">
              <w:rPr>
                <w:lang w:val="fr-FR"/>
              </w:rPr>
              <w:t>F</w:t>
            </w:r>
          </w:p>
          <w:p w:rsidR="0067078A" w:rsidRPr="00310F7F" w:rsidRDefault="002521B6" w:rsidP="00310F7F">
            <w:pPr>
              <w:pStyle w:val="Docoriginal"/>
              <w:spacing w:line="280" w:lineRule="atLeast"/>
              <w:rPr>
                <w:lang w:val="fr-FR"/>
              </w:rPr>
            </w:pPr>
            <w:r w:rsidRPr="00310F7F">
              <w:rPr>
                <w:lang w:val="fr-FR"/>
              </w:rPr>
              <w:t>C/49</w:t>
            </w:r>
            <w:r w:rsidR="0067078A" w:rsidRPr="00310F7F">
              <w:rPr>
                <w:lang w:val="fr-FR"/>
              </w:rPr>
              <w:t>/</w:t>
            </w:r>
            <w:bookmarkStart w:id="0" w:name="Code"/>
            <w:bookmarkEnd w:id="0"/>
            <w:r w:rsidR="00D65D5B" w:rsidRPr="00310F7F">
              <w:rPr>
                <w:lang w:val="fr-FR"/>
              </w:rPr>
              <w:t>9</w:t>
            </w:r>
          </w:p>
          <w:p w:rsidR="0067078A" w:rsidRPr="00310F7F" w:rsidRDefault="0067078A" w:rsidP="00310F7F">
            <w:pPr>
              <w:pStyle w:val="Docoriginal"/>
              <w:spacing w:line="280" w:lineRule="atLeast"/>
              <w:rPr>
                <w:b w:val="0"/>
                <w:spacing w:val="0"/>
                <w:lang w:val="fr-FR"/>
              </w:rPr>
            </w:pPr>
            <w:r w:rsidRPr="00310F7F">
              <w:rPr>
                <w:rStyle w:val="StyleDoclangBold"/>
                <w:b/>
                <w:bCs/>
                <w:spacing w:val="0"/>
                <w:lang w:val="fr-FR"/>
              </w:rPr>
              <w:t>ORIGINAL</w:t>
            </w:r>
            <w:r w:rsidR="00A703A7" w:rsidRPr="00310F7F">
              <w:rPr>
                <w:rStyle w:val="StyleDoclangBold"/>
                <w:b/>
                <w:bCs/>
                <w:spacing w:val="0"/>
                <w:lang w:val="fr-FR"/>
              </w:rPr>
              <w:t> </w:t>
            </w:r>
            <w:r w:rsidRPr="00310F7F">
              <w:rPr>
                <w:rStyle w:val="StyleDoclangBold"/>
                <w:b/>
                <w:bCs/>
                <w:spacing w:val="0"/>
                <w:lang w:val="fr-FR"/>
              </w:rPr>
              <w:t>:</w:t>
            </w:r>
            <w:r w:rsidRPr="00310F7F">
              <w:rPr>
                <w:rStyle w:val="StyleDocoriginalNotBold1"/>
                <w:spacing w:val="0"/>
                <w:lang w:val="fr-FR"/>
              </w:rPr>
              <w:t xml:space="preserve"> </w:t>
            </w:r>
            <w:bookmarkStart w:id="1" w:name="Original"/>
            <w:bookmarkEnd w:id="1"/>
            <w:r w:rsidR="00A703A7" w:rsidRPr="00310F7F">
              <w:rPr>
                <w:b w:val="0"/>
                <w:spacing w:val="0"/>
                <w:lang w:val="fr-FR"/>
              </w:rPr>
              <w:t>a</w:t>
            </w:r>
            <w:r w:rsidRPr="00310F7F">
              <w:rPr>
                <w:b w:val="0"/>
                <w:spacing w:val="0"/>
                <w:lang w:val="fr-FR"/>
              </w:rPr>
              <w:t>ngl</w:t>
            </w:r>
            <w:r w:rsidR="00A703A7" w:rsidRPr="00310F7F">
              <w:rPr>
                <w:b w:val="0"/>
                <w:spacing w:val="0"/>
                <w:lang w:val="fr-FR"/>
              </w:rPr>
              <w:t>a</w:t>
            </w:r>
            <w:r w:rsidRPr="00310F7F">
              <w:rPr>
                <w:b w:val="0"/>
                <w:spacing w:val="0"/>
                <w:lang w:val="fr-FR"/>
              </w:rPr>
              <w:t>is</w:t>
            </w:r>
          </w:p>
          <w:p w:rsidR="0067078A" w:rsidRPr="00310F7F" w:rsidRDefault="0067078A" w:rsidP="006F1CB9">
            <w:pPr>
              <w:pStyle w:val="Docoriginal"/>
              <w:spacing w:line="280" w:lineRule="atLeast"/>
              <w:rPr>
                <w:lang w:val="fr-FR"/>
              </w:rPr>
            </w:pPr>
            <w:r w:rsidRPr="00310F7F">
              <w:rPr>
                <w:lang w:val="fr-FR"/>
              </w:rPr>
              <w:t>DATE</w:t>
            </w:r>
            <w:r w:rsidR="00A703A7" w:rsidRPr="00310F7F">
              <w:rPr>
                <w:lang w:val="fr-FR"/>
              </w:rPr>
              <w:t> </w:t>
            </w:r>
            <w:r w:rsidRPr="00310F7F">
              <w:rPr>
                <w:lang w:val="fr-FR"/>
              </w:rPr>
              <w:t>:</w:t>
            </w:r>
            <w:r w:rsidRPr="00310F7F">
              <w:rPr>
                <w:b w:val="0"/>
                <w:lang w:val="fr-FR"/>
              </w:rPr>
              <w:t xml:space="preserve"> </w:t>
            </w:r>
            <w:bookmarkStart w:id="2" w:name="Date"/>
            <w:bookmarkEnd w:id="2"/>
            <w:r w:rsidR="006F1CB9" w:rsidRPr="006F1CB9">
              <w:rPr>
                <w:b w:val="0"/>
                <w:spacing w:val="0"/>
                <w:lang w:val="fr-FR"/>
              </w:rPr>
              <w:t>5 octobre</w:t>
            </w:r>
            <w:r w:rsidR="00A703A7" w:rsidRPr="006F1CB9">
              <w:rPr>
                <w:b w:val="0"/>
                <w:spacing w:val="0"/>
                <w:lang w:val="fr-FR"/>
              </w:rPr>
              <w:t> </w:t>
            </w:r>
            <w:r w:rsidR="00C86975" w:rsidRPr="006F1CB9">
              <w:rPr>
                <w:b w:val="0"/>
                <w:spacing w:val="0"/>
                <w:lang w:val="fr-FR"/>
              </w:rPr>
              <w:t>2015</w:t>
            </w:r>
          </w:p>
        </w:tc>
      </w:tr>
      <w:tr w:rsidR="0067078A" w:rsidRPr="00310F7F" w:rsidTr="00FD21CB">
        <w:tc>
          <w:tcPr>
            <w:tcW w:w="10131" w:type="dxa"/>
            <w:gridSpan w:val="3"/>
          </w:tcPr>
          <w:p w:rsidR="0067078A" w:rsidRPr="00310F7F" w:rsidRDefault="00A703A7" w:rsidP="00BA5523">
            <w:pPr>
              <w:pStyle w:val="upove"/>
              <w:rPr>
                <w:sz w:val="28"/>
                <w:lang w:val="fr-FR"/>
              </w:rPr>
            </w:pPr>
            <w:r w:rsidRPr="00310F7F">
              <w:rPr>
                <w:snapToGrid w:val="0"/>
                <w:lang w:val="fr-FR"/>
              </w:rPr>
              <w:t>UNION INTERNATIONALE POUR LA PROTECTION DES OBTENTIONS VÉGÉTALES</w:t>
            </w:r>
            <w:r w:rsidR="0067078A" w:rsidRPr="00310F7F">
              <w:rPr>
                <w:snapToGrid w:val="0"/>
                <w:lang w:val="fr-FR"/>
              </w:rPr>
              <w:t xml:space="preserve"> </w:t>
            </w:r>
          </w:p>
        </w:tc>
      </w:tr>
      <w:tr w:rsidR="0067078A" w:rsidRPr="00310F7F" w:rsidTr="00FD21CB">
        <w:tc>
          <w:tcPr>
            <w:tcW w:w="10131" w:type="dxa"/>
            <w:gridSpan w:val="3"/>
          </w:tcPr>
          <w:p w:rsidR="0067078A" w:rsidRPr="00310F7F" w:rsidRDefault="0067078A" w:rsidP="00BA5523">
            <w:pPr>
              <w:pStyle w:val="Country"/>
              <w:rPr>
                <w:lang w:val="fr-FR"/>
              </w:rPr>
            </w:pPr>
            <w:r w:rsidRPr="00310F7F">
              <w:rPr>
                <w:lang w:val="fr-FR"/>
              </w:rPr>
              <w:t>Gen</w:t>
            </w:r>
            <w:r w:rsidR="00A703A7" w:rsidRPr="00310F7F">
              <w:rPr>
                <w:lang w:val="fr-FR"/>
              </w:rPr>
              <w:t>è</w:t>
            </w:r>
            <w:r w:rsidRPr="00310F7F">
              <w:rPr>
                <w:lang w:val="fr-FR"/>
              </w:rPr>
              <w:t>v</w:t>
            </w:r>
            <w:r w:rsidR="00A703A7" w:rsidRPr="00310F7F">
              <w:rPr>
                <w:lang w:val="fr-FR"/>
              </w:rPr>
              <w:t>e</w:t>
            </w:r>
          </w:p>
        </w:tc>
      </w:tr>
    </w:tbl>
    <w:p w:rsidR="0067078A" w:rsidRPr="00310F7F" w:rsidRDefault="0067078A" w:rsidP="00BA5523">
      <w:pPr>
        <w:pStyle w:val="Sessiontc"/>
        <w:rPr>
          <w:lang w:val="fr-FR"/>
        </w:rPr>
      </w:pPr>
      <w:r w:rsidRPr="00310F7F">
        <w:rPr>
          <w:lang w:val="fr-FR"/>
        </w:rPr>
        <w:t>CON</w:t>
      </w:r>
      <w:r w:rsidR="00A703A7" w:rsidRPr="00310F7F">
        <w:rPr>
          <w:lang w:val="fr-FR"/>
        </w:rPr>
        <w:t>SE</w:t>
      </w:r>
      <w:r w:rsidRPr="00310F7F">
        <w:rPr>
          <w:lang w:val="fr-FR"/>
        </w:rPr>
        <w:t>IL</w:t>
      </w:r>
    </w:p>
    <w:p w:rsidR="0067078A" w:rsidRPr="00310F7F" w:rsidRDefault="00A703A7" w:rsidP="00BA5523">
      <w:pPr>
        <w:pStyle w:val="Sessiontcplacedate"/>
        <w:rPr>
          <w:lang w:val="fr-FR"/>
        </w:rPr>
      </w:pPr>
      <w:r w:rsidRPr="00310F7F">
        <w:rPr>
          <w:lang w:val="fr-FR"/>
        </w:rPr>
        <w:t>Quarante</w:t>
      </w:r>
      <w:r w:rsidR="00FF3774" w:rsidRPr="00310F7F">
        <w:rPr>
          <w:lang w:val="fr-FR"/>
        </w:rPr>
        <w:noBreakHyphen/>
      </w:r>
      <w:r w:rsidRPr="00310F7F">
        <w:rPr>
          <w:lang w:val="fr-FR"/>
        </w:rPr>
        <w:t>neuvième</w:t>
      </w:r>
      <w:r w:rsidR="00205023" w:rsidRPr="00310F7F">
        <w:rPr>
          <w:lang w:val="fr-FR"/>
        </w:rPr>
        <w:t> </w:t>
      </w:r>
      <w:r w:rsidRPr="00310F7F">
        <w:rPr>
          <w:lang w:val="fr-FR"/>
        </w:rPr>
        <w:t>session ordinaire</w:t>
      </w:r>
      <w:r w:rsidR="00FF3774" w:rsidRPr="00310F7F">
        <w:rPr>
          <w:lang w:val="fr-FR"/>
        </w:rPr>
        <w:br/>
      </w:r>
      <w:r w:rsidRPr="00310F7F">
        <w:rPr>
          <w:lang w:val="fr-FR"/>
        </w:rPr>
        <w:t>Genève, 29 octobre 2015</w:t>
      </w:r>
    </w:p>
    <w:p w:rsidR="000D7780" w:rsidRPr="00310F7F" w:rsidRDefault="00A703A7" w:rsidP="00BA5523">
      <w:pPr>
        <w:pStyle w:val="Titleofdoc0"/>
        <w:rPr>
          <w:lang w:val="fr-FR"/>
        </w:rPr>
      </w:pPr>
      <w:r w:rsidRPr="00310F7F">
        <w:rPr>
          <w:lang w:val="fr-FR"/>
        </w:rPr>
        <w:t>RAPPORT SUR L</w:t>
      </w:r>
      <w:r w:rsidR="00FD21CB" w:rsidRPr="00310F7F">
        <w:rPr>
          <w:lang w:val="fr-FR"/>
        </w:rPr>
        <w:t>’</w:t>
      </w:r>
      <w:r w:rsidRPr="00310F7F">
        <w:rPr>
          <w:lang w:val="fr-FR"/>
        </w:rPr>
        <w:t>État d</w:t>
      </w:r>
      <w:r w:rsidR="00FD21CB" w:rsidRPr="00310F7F">
        <w:rPr>
          <w:lang w:val="fr-FR"/>
        </w:rPr>
        <w:t>’</w:t>
      </w:r>
      <w:r w:rsidRPr="00310F7F">
        <w:rPr>
          <w:lang w:val="fr-FR"/>
        </w:rPr>
        <w:t>avancement des travaux du comitÉ administratif et juridique</w:t>
      </w:r>
    </w:p>
    <w:p w:rsidR="000D7780" w:rsidRPr="00310F7F" w:rsidRDefault="00A703A7" w:rsidP="00BA5523">
      <w:pPr>
        <w:pStyle w:val="preparedby1"/>
        <w:rPr>
          <w:lang w:val="fr-FR"/>
        </w:rPr>
      </w:pPr>
      <w:bookmarkStart w:id="3" w:name="Prepared"/>
      <w:bookmarkEnd w:id="3"/>
      <w:proofErr w:type="gramStart"/>
      <w:r w:rsidRPr="00310F7F">
        <w:rPr>
          <w:lang w:val="fr-FR"/>
        </w:rPr>
        <w:t>établi</w:t>
      </w:r>
      <w:proofErr w:type="gramEnd"/>
      <w:r w:rsidRPr="00310F7F">
        <w:rPr>
          <w:lang w:val="fr-FR"/>
        </w:rPr>
        <w:t xml:space="preserve"> par le Bureau de l</w:t>
      </w:r>
      <w:r w:rsidR="00FD21CB" w:rsidRPr="00310F7F">
        <w:rPr>
          <w:lang w:val="fr-FR"/>
        </w:rPr>
        <w:t>’</w:t>
      </w:r>
      <w:r w:rsidRPr="00310F7F">
        <w:rPr>
          <w:lang w:val="fr-FR"/>
        </w:rPr>
        <w:t>Union</w:t>
      </w:r>
      <w:r w:rsidR="00560A6D" w:rsidRPr="00310F7F">
        <w:rPr>
          <w:lang w:val="fr-FR"/>
        </w:rPr>
        <w:br/>
      </w:r>
      <w:r w:rsidR="00560A6D" w:rsidRPr="00310F7F">
        <w:rPr>
          <w:lang w:val="fr-FR"/>
        </w:rPr>
        <w:br/>
      </w:r>
      <w:r w:rsidRPr="00310F7F">
        <w:rPr>
          <w:color w:val="A6A6A6" w:themeColor="background1" w:themeShade="A6"/>
          <w:lang w:val="fr-FR"/>
        </w:rPr>
        <w:t>Avertissement : le présent document ne représente pas les principes ou les orientations de l</w:t>
      </w:r>
      <w:r w:rsidR="00FD21CB" w:rsidRPr="00310F7F">
        <w:rPr>
          <w:color w:val="A6A6A6" w:themeColor="background1" w:themeShade="A6"/>
          <w:lang w:val="fr-FR"/>
        </w:rPr>
        <w:t>’</w:t>
      </w:r>
      <w:r w:rsidRPr="00310F7F">
        <w:rPr>
          <w:color w:val="A6A6A6" w:themeColor="background1" w:themeShade="A6"/>
          <w:lang w:val="fr-FR"/>
        </w:rPr>
        <w:t>UPOV</w:t>
      </w:r>
    </w:p>
    <w:p w:rsidR="00C86975" w:rsidRPr="00310F7F" w:rsidRDefault="00C86975"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A703A7" w:rsidRPr="00310F7F">
        <w:rPr>
          <w:lang w:val="fr-FR"/>
        </w:rPr>
        <w:t>Le Comité administratif et juridique (CAJ) a tenu sa soixante</w:t>
      </w:r>
      <w:r w:rsidR="003B2AC4" w:rsidRPr="00310F7F">
        <w:rPr>
          <w:lang w:val="fr-FR"/>
        </w:rPr>
        <w:t> </w:t>
      </w:r>
      <w:r w:rsidR="00A703A7" w:rsidRPr="00310F7F">
        <w:rPr>
          <w:lang w:val="fr-FR"/>
        </w:rPr>
        <w:t>et</w:t>
      </w:r>
      <w:r w:rsidR="003B2AC4" w:rsidRPr="00310F7F">
        <w:rPr>
          <w:lang w:val="fr-FR"/>
        </w:rPr>
        <w:t> </w:t>
      </w:r>
      <w:r w:rsidR="00A703A7" w:rsidRPr="00310F7F">
        <w:rPr>
          <w:lang w:val="fr-FR"/>
        </w:rPr>
        <w:t>onzième session à Genève, le 26 mars 2015, sous la présidence de M. </w:t>
      </w:r>
      <w:r w:rsidRPr="00310F7F">
        <w:rPr>
          <w:lang w:val="fr-FR"/>
        </w:rPr>
        <w:t>Martin</w:t>
      </w:r>
      <w:r w:rsidR="00A703A7" w:rsidRPr="00310F7F">
        <w:rPr>
          <w:lang w:val="fr-FR"/>
        </w:rPr>
        <w:t> </w:t>
      </w:r>
      <w:proofErr w:type="spellStart"/>
      <w:r w:rsidRPr="00310F7F">
        <w:rPr>
          <w:lang w:val="fr-FR"/>
        </w:rPr>
        <w:t>Ekvad</w:t>
      </w:r>
      <w:proofErr w:type="spellEnd"/>
      <w:r w:rsidRPr="00310F7F">
        <w:rPr>
          <w:lang w:val="fr-FR"/>
        </w:rPr>
        <w:t xml:space="preserve"> (</w:t>
      </w:r>
      <w:r w:rsidR="00A703A7" w:rsidRPr="00310F7F">
        <w:rPr>
          <w:lang w:val="fr-FR"/>
        </w:rPr>
        <w:t>Union e</w:t>
      </w:r>
      <w:r w:rsidRPr="00310F7F">
        <w:rPr>
          <w:lang w:val="fr-FR"/>
        </w:rPr>
        <w:t>urop</w:t>
      </w:r>
      <w:r w:rsidR="00A703A7" w:rsidRPr="00310F7F">
        <w:rPr>
          <w:lang w:val="fr-FR"/>
        </w:rPr>
        <w:t>é</w:t>
      </w:r>
      <w:r w:rsidRPr="00310F7F">
        <w:rPr>
          <w:lang w:val="fr-FR"/>
        </w:rPr>
        <w:t>enn</w:t>
      </w:r>
      <w:r w:rsidR="00A703A7" w:rsidRPr="00310F7F">
        <w:rPr>
          <w:lang w:val="fr-FR"/>
        </w:rPr>
        <w:t>e</w:t>
      </w:r>
      <w:r w:rsidRPr="00310F7F">
        <w:rPr>
          <w:lang w:val="fr-FR"/>
        </w:rPr>
        <w:t xml:space="preserve">).  </w:t>
      </w:r>
      <w:r w:rsidR="00A703A7" w:rsidRPr="00310F7F">
        <w:rPr>
          <w:lang w:val="fr-FR"/>
        </w:rPr>
        <w:t>À la quarante</w:t>
      </w:r>
      <w:r w:rsidR="00FF3774" w:rsidRPr="00310F7F">
        <w:rPr>
          <w:lang w:val="fr-FR"/>
        </w:rPr>
        <w:noBreakHyphen/>
      </w:r>
      <w:r w:rsidR="00A703A7" w:rsidRPr="00310F7F">
        <w:rPr>
          <w:lang w:val="fr-FR"/>
        </w:rPr>
        <w:t>neuvième</w:t>
      </w:r>
      <w:r w:rsidR="003B2AC4" w:rsidRPr="00310F7F">
        <w:rPr>
          <w:lang w:val="fr-FR"/>
        </w:rPr>
        <w:t> </w:t>
      </w:r>
      <w:r w:rsidR="00A703A7" w:rsidRPr="00310F7F">
        <w:rPr>
          <w:lang w:val="fr-FR"/>
        </w:rPr>
        <w:t>session ordinaire du Conseil, le président</w:t>
      </w:r>
      <w:r w:rsidR="00FD21CB" w:rsidRPr="00310F7F">
        <w:rPr>
          <w:lang w:val="fr-FR"/>
        </w:rPr>
        <w:t xml:space="preserve"> du CAJ</w:t>
      </w:r>
      <w:r w:rsidR="00A703A7" w:rsidRPr="00310F7F">
        <w:rPr>
          <w:lang w:val="fr-FR"/>
        </w:rPr>
        <w:t xml:space="preserve"> présentera un rapport verbal sur la soixante</w:t>
      </w:r>
      <w:r w:rsidR="00FF3774" w:rsidRPr="00310F7F">
        <w:rPr>
          <w:lang w:val="fr-FR"/>
        </w:rPr>
        <w:noBreakHyphen/>
      </w:r>
      <w:r w:rsidR="00A703A7" w:rsidRPr="00310F7F">
        <w:rPr>
          <w:lang w:val="fr-FR"/>
        </w:rPr>
        <w:t>d</w:t>
      </w:r>
      <w:r w:rsidR="00A32F78" w:rsidRPr="00310F7F">
        <w:rPr>
          <w:lang w:val="fr-FR"/>
        </w:rPr>
        <w:t>ouz</w:t>
      </w:r>
      <w:r w:rsidR="00A703A7" w:rsidRPr="00310F7F">
        <w:rPr>
          <w:lang w:val="fr-FR"/>
        </w:rPr>
        <w:t>ième</w:t>
      </w:r>
      <w:r w:rsidR="00A32F78" w:rsidRPr="00310F7F">
        <w:rPr>
          <w:lang w:val="fr-FR"/>
        </w:rPr>
        <w:t> </w:t>
      </w:r>
      <w:r w:rsidR="00A703A7" w:rsidRPr="00310F7F">
        <w:rPr>
          <w:lang w:val="fr-FR"/>
        </w:rPr>
        <w:t>session</w:t>
      </w:r>
      <w:r w:rsidR="00FD21CB" w:rsidRPr="00310F7F">
        <w:rPr>
          <w:lang w:val="fr-FR"/>
        </w:rPr>
        <w:t xml:space="preserve"> du CAJ</w:t>
      </w:r>
      <w:r w:rsidR="00A703A7" w:rsidRPr="00310F7F">
        <w:rPr>
          <w:lang w:val="fr-FR"/>
        </w:rPr>
        <w:t>, prévue à Genève le</w:t>
      </w:r>
      <w:r w:rsidR="00A32F78" w:rsidRPr="00310F7F">
        <w:rPr>
          <w:lang w:val="fr-FR"/>
        </w:rPr>
        <w:t>s 26 et 27 </w:t>
      </w:r>
      <w:r w:rsidR="00A703A7" w:rsidRPr="00310F7F">
        <w:rPr>
          <w:lang w:val="fr-FR"/>
        </w:rPr>
        <w:t>octobre</w:t>
      </w:r>
      <w:r w:rsidR="00A32F78" w:rsidRPr="00310F7F">
        <w:rPr>
          <w:lang w:val="fr-FR"/>
        </w:rPr>
        <w:t> </w:t>
      </w:r>
      <w:r w:rsidR="00A703A7" w:rsidRPr="00310F7F">
        <w:rPr>
          <w:lang w:val="fr-FR"/>
        </w:rPr>
        <w:t>201</w:t>
      </w:r>
      <w:r w:rsidR="00A32F78" w:rsidRPr="00310F7F">
        <w:rPr>
          <w:lang w:val="fr-FR"/>
        </w:rPr>
        <w:t>5</w:t>
      </w:r>
      <w:r w:rsidR="00A703A7" w:rsidRPr="00310F7F">
        <w:rPr>
          <w:lang w:val="fr-FR"/>
        </w:rPr>
        <w:t>, et sur le programme de sa soixante</w:t>
      </w:r>
      <w:r w:rsidR="00FF3774" w:rsidRPr="00310F7F">
        <w:rPr>
          <w:lang w:val="fr-FR"/>
        </w:rPr>
        <w:noBreakHyphen/>
      </w:r>
      <w:r w:rsidR="00A32F78" w:rsidRPr="00310F7F">
        <w:rPr>
          <w:lang w:val="fr-FR"/>
        </w:rPr>
        <w:t>trei</w:t>
      </w:r>
      <w:r w:rsidR="00A703A7" w:rsidRPr="00310F7F">
        <w:rPr>
          <w:lang w:val="fr-FR"/>
        </w:rPr>
        <w:t>zième</w:t>
      </w:r>
      <w:r w:rsidR="00A32F78" w:rsidRPr="00310F7F">
        <w:rPr>
          <w:lang w:val="fr-FR"/>
        </w:rPr>
        <w:t> session</w:t>
      </w:r>
      <w:r w:rsidR="006D51F0" w:rsidRPr="00310F7F">
        <w:rPr>
          <w:lang w:val="fr-FR"/>
        </w:rPr>
        <w:t xml:space="preserve"> (</w:t>
      </w:r>
      <w:r w:rsidR="00A32F78" w:rsidRPr="00310F7F">
        <w:rPr>
          <w:lang w:val="fr-FR"/>
        </w:rPr>
        <w:t>voir l</w:t>
      </w:r>
      <w:r w:rsidR="006D51F0" w:rsidRPr="00310F7F">
        <w:rPr>
          <w:lang w:val="fr-FR"/>
        </w:rPr>
        <w:t>e document CAJ/72/9 “</w:t>
      </w:r>
      <w:r w:rsidR="00A32F78" w:rsidRPr="00310F7F">
        <w:rPr>
          <w:lang w:val="fr-FR"/>
        </w:rPr>
        <w:t>Compte rendu des c</w:t>
      </w:r>
      <w:r w:rsidR="006D51F0" w:rsidRPr="00310F7F">
        <w:rPr>
          <w:lang w:val="fr-FR"/>
        </w:rPr>
        <w:t>onclusions”)</w:t>
      </w:r>
      <w:r w:rsidRPr="00310F7F">
        <w:rPr>
          <w:lang w:val="fr-FR"/>
        </w:rPr>
        <w:t>.</w:t>
      </w:r>
    </w:p>
    <w:p w:rsidR="00C86975" w:rsidRPr="00310F7F" w:rsidRDefault="00C86975" w:rsidP="00BA5523">
      <w:pPr>
        <w:rPr>
          <w:lang w:val="fr-FR"/>
        </w:rPr>
      </w:pPr>
    </w:p>
    <w:p w:rsidR="00C86975" w:rsidRPr="00310F7F" w:rsidRDefault="00C86975" w:rsidP="00BA5523">
      <w:pPr>
        <w:rPr>
          <w:lang w:val="fr-FR"/>
        </w:rPr>
      </w:pPr>
    </w:p>
    <w:p w:rsidR="00C86975" w:rsidRPr="00310F7F" w:rsidRDefault="00C86975" w:rsidP="00BA5523">
      <w:pPr>
        <w:rPr>
          <w:u w:val="single"/>
          <w:lang w:val="fr-FR"/>
        </w:rPr>
      </w:pPr>
      <w:r w:rsidRPr="00310F7F">
        <w:rPr>
          <w:u w:val="single"/>
          <w:lang w:val="fr-FR"/>
        </w:rPr>
        <w:t xml:space="preserve">Table </w:t>
      </w:r>
      <w:r w:rsidR="00A32F78" w:rsidRPr="00310F7F">
        <w:rPr>
          <w:u w:val="single"/>
          <w:lang w:val="fr-FR"/>
        </w:rPr>
        <w:t>des matièr</w:t>
      </w:r>
      <w:r w:rsidRPr="00310F7F">
        <w:rPr>
          <w:u w:val="single"/>
          <w:lang w:val="fr-FR"/>
        </w:rPr>
        <w:t>es</w:t>
      </w:r>
    </w:p>
    <w:p w:rsidR="00C86975" w:rsidRPr="00310F7F" w:rsidRDefault="00C86975" w:rsidP="00BA5523">
      <w:pPr>
        <w:rPr>
          <w:lang w:val="fr-FR"/>
        </w:rPr>
      </w:pPr>
    </w:p>
    <w:p w:rsidR="00310F7F" w:rsidRDefault="00C86975">
      <w:pPr>
        <w:pStyle w:val="TOC1"/>
        <w:rPr>
          <w:rFonts w:asciiTheme="minorHAnsi" w:eastAsiaTheme="minorEastAsia" w:hAnsiTheme="minorHAnsi" w:cstheme="minorBidi"/>
          <w:caps w:val="0"/>
          <w:sz w:val="22"/>
          <w:szCs w:val="22"/>
        </w:rPr>
      </w:pPr>
      <w:r w:rsidRPr="00310F7F">
        <w:rPr>
          <w:highlight w:val="yellow"/>
          <w:lang w:val="fr-FR"/>
        </w:rPr>
        <w:fldChar w:fldCharType="begin"/>
      </w:r>
      <w:r w:rsidRPr="00310F7F">
        <w:rPr>
          <w:highlight w:val="yellow"/>
          <w:lang w:val="fr-FR"/>
        </w:rPr>
        <w:instrText xml:space="preserve"> TOC \o "1-3" \u </w:instrText>
      </w:r>
      <w:r w:rsidRPr="00310F7F">
        <w:rPr>
          <w:highlight w:val="yellow"/>
          <w:lang w:val="fr-FR"/>
        </w:rPr>
        <w:fldChar w:fldCharType="separate"/>
      </w:r>
      <w:r w:rsidR="00310F7F" w:rsidRPr="00FD7E19">
        <w:rPr>
          <w:lang w:val="fr-FR"/>
        </w:rPr>
        <w:t>RAPport SUR LA sOIXANTe et ONZI</w:t>
      </w:r>
      <w:r w:rsidR="00310F7F" w:rsidRPr="00FD7E19">
        <w:rPr>
          <w:rFonts w:cs="Arial"/>
          <w:lang w:val="fr-FR"/>
        </w:rPr>
        <w:t>È</w:t>
      </w:r>
      <w:r w:rsidR="00310F7F" w:rsidRPr="00FD7E19">
        <w:rPr>
          <w:lang w:val="fr-FR"/>
        </w:rPr>
        <w:t>ME session DU CAJ</w:t>
      </w:r>
      <w:r w:rsidR="00310F7F">
        <w:tab/>
      </w:r>
      <w:r w:rsidR="00310F7F">
        <w:fldChar w:fldCharType="begin"/>
      </w:r>
      <w:r w:rsidR="00310F7F">
        <w:instrText xml:space="preserve"> PAGEREF _Toc431558820 \h </w:instrText>
      </w:r>
      <w:r w:rsidR="00310F7F">
        <w:fldChar w:fldCharType="separate"/>
      </w:r>
      <w:r w:rsidR="000A743E">
        <w:t>2</w:t>
      </w:r>
      <w:r w:rsidR="00310F7F">
        <w:fldChar w:fldCharType="end"/>
      </w:r>
    </w:p>
    <w:p w:rsidR="00310F7F" w:rsidRDefault="00310F7F">
      <w:pPr>
        <w:pStyle w:val="TOC3"/>
        <w:rPr>
          <w:rFonts w:asciiTheme="minorHAnsi" w:eastAsiaTheme="minorEastAsia" w:hAnsiTheme="minorHAnsi" w:cstheme="minorBidi"/>
          <w:i w:val="0"/>
          <w:sz w:val="22"/>
          <w:szCs w:val="22"/>
          <w:lang w:val="en-US"/>
        </w:rPr>
      </w:pPr>
      <w:r w:rsidRPr="00FD7E19">
        <w:t>Rapport sur les faits nouveaux intervenus au sein du Comité technique</w:t>
      </w:r>
      <w:r>
        <w:tab/>
      </w:r>
      <w:r>
        <w:fldChar w:fldCharType="begin"/>
      </w:r>
      <w:r>
        <w:instrText xml:space="preserve"> PAGEREF _Toc431558821 \h </w:instrText>
      </w:r>
      <w:r>
        <w:fldChar w:fldCharType="separate"/>
      </w:r>
      <w:r w:rsidR="000A743E">
        <w:t>2</w:t>
      </w:r>
      <w:r>
        <w:fldChar w:fldCharType="end"/>
      </w:r>
    </w:p>
    <w:p w:rsidR="00310F7F" w:rsidRDefault="00310F7F">
      <w:pPr>
        <w:pStyle w:val="TOC3"/>
        <w:rPr>
          <w:rFonts w:asciiTheme="minorHAnsi" w:eastAsiaTheme="minorEastAsia" w:hAnsiTheme="minorHAnsi" w:cstheme="minorBidi"/>
          <w:i w:val="0"/>
          <w:sz w:val="22"/>
          <w:szCs w:val="22"/>
          <w:lang w:val="en-US"/>
        </w:rPr>
      </w:pPr>
      <w:r w:rsidRPr="00FD7E19">
        <w:t>Élaboration de matériel d’information concernant la Convention UPOV</w:t>
      </w:r>
      <w:r>
        <w:tab/>
      </w:r>
      <w:r>
        <w:fldChar w:fldCharType="begin"/>
      </w:r>
      <w:r>
        <w:instrText xml:space="preserve"> PAGEREF _Toc431558822 \h </w:instrText>
      </w:r>
      <w:r>
        <w:fldChar w:fldCharType="separate"/>
      </w:r>
      <w:r w:rsidR="000A743E">
        <w:t>2</w:t>
      </w:r>
      <w:r>
        <w:fldChar w:fldCharType="end"/>
      </w:r>
    </w:p>
    <w:p w:rsidR="00310F7F" w:rsidRDefault="00310F7F">
      <w:pPr>
        <w:pStyle w:val="TOC3"/>
        <w:rPr>
          <w:rFonts w:asciiTheme="minorHAnsi" w:eastAsiaTheme="minorEastAsia" w:hAnsiTheme="minorHAnsi" w:cstheme="minorBidi"/>
          <w:i w:val="0"/>
          <w:sz w:val="22"/>
          <w:szCs w:val="22"/>
          <w:lang w:val="en-US"/>
        </w:rPr>
      </w:pPr>
      <w:r w:rsidRPr="00FD7E19">
        <w:rPr>
          <w:snapToGrid w:val="0"/>
        </w:rPr>
        <w:t>Dénominations variétales</w:t>
      </w:r>
      <w:r>
        <w:tab/>
      </w:r>
      <w:r>
        <w:fldChar w:fldCharType="begin"/>
      </w:r>
      <w:r>
        <w:instrText xml:space="preserve"> PAGEREF _Toc431558823 \h </w:instrText>
      </w:r>
      <w:r>
        <w:fldChar w:fldCharType="separate"/>
      </w:r>
      <w:r w:rsidR="000A743E">
        <w:t>4</w:t>
      </w:r>
      <w:r>
        <w:fldChar w:fldCharType="end"/>
      </w:r>
    </w:p>
    <w:p w:rsidR="00310F7F" w:rsidRDefault="00310F7F">
      <w:pPr>
        <w:pStyle w:val="TOC3"/>
        <w:rPr>
          <w:rFonts w:asciiTheme="minorHAnsi" w:eastAsiaTheme="minorEastAsia" w:hAnsiTheme="minorHAnsi" w:cstheme="minorBidi"/>
          <w:i w:val="0"/>
          <w:sz w:val="22"/>
          <w:szCs w:val="22"/>
          <w:lang w:val="en-US"/>
        </w:rPr>
      </w:pPr>
      <w:r w:rsidRPr="00FD7E19">
        <w:t>Systèmes de dépôt électronique des demandes</w:t>
      </w:r>
      <w:r>
        <w:tab/>
      </w:r>
      <w:r>
        <w:fldChar w:fldCharType="begin"/>
      </w:r>
      <w:r>
        <w:instrText xml:space="preserve"> PAGEREF _Toc431558824 \h </w:instrText>
      </w:r>
      <w:r>
        <w:fldChar w:fldCharType="separate"/>
      </w:r>
      <w:r w:rsidR="000A743E">
        <w:t>4</w:t>
      </w:r>
      <w:r>
        <w:fldChar w:fldCharType="end"/>
      </w:r>
    </w:p>
    <w:p w:rsidR="00310F7F" w:rsidRDefault="00310F7F">
      <w:pPr>
        <w:pStyle w:val="TOC3"/>
        <w:rPr>
          <w:rFonts w:asciiTheme="minorHAnsi" w:eastAsiaTheme="minorEastAsia" w:hAnsiTheme="minorHAnsi" w:cstheme="minorBidi"/>
          <w:i w:val="0"/>
          <w:sz w:val="22"/>
          <w:szCs w:val="22"/>
          <w:lang w:val="en-US"/>
        </w:rPr>
      </w:pPr>
      <w:r w:rsidRPr="00FD7E19">
        <w:t>Bases de données d’</w:t>
      </w:r>
      <w:r w:rsidRPr="00FD7E19">
        <w:rPr>
          <w:snapToGrid w:val="0"/>
        </w:rPr>
        <w:t>information de l’UPOV</w:t>
      </w:r>
      <w:r>
        <w:tab/>
      </w:r>
      <w:r>
        <w:fldChar w:fldCharType="begin"/>
      </w:r>
      <w:r>
        <w:instrText xml:space="preserve"> PAGEREF _Toc431558825 \h </w:instrText>
      </w:r>
      <w:r>
        <w:fldChar w:fldCharType="separate"/>
      </w:r>
      <w:r w:rsidR="000A743E">
        <w:t>5</w:t>
      </w:r>
      <w:r>
        <w:fldChar w:fldCharType="end"/>
      </w:r>
    </w:p>
    <w:p w:rsidR="00310F7F" w:rsidRDefault="00310F7F">
      <w:pPr>
        <w:pStyle w:val="TOC3"/>
        <w:rPr>
          <w:rFonts w:asciiTheme="minorHAnsi" w:eastAsiaTheme="minorEastAsia" w:hAnsiTheme="minorHAnsi" w:cstheme="minorBidi"/>
          <w:i w:val="0"/>
          <w:sz w:val="22"/>
          <w:szCs w:val="22"/>
          <w:lang w:val="en-US"/>
        </w:rPr>
      </w:pPr>
      <w:r w:rsidRPr="00FD7E19">
        <w:t>Échange et utilisation de logiciels et d’équipements</w:t>
      </w:r>
      <w:r>
        <w:tab/>
      </w:r>
      <w:r>
        <w:fldChar w:fldCharType="begin"/>
      </w:r>
      <w:r>
        <w:instrText xml:space="preserve"> PAGEREF _Toc431558826 \h </w:instrText>
      </w:r>
      <w:r>
        <w:fldChar w:fldCharType="separate"/>
      </w:r>
      <w:r w:rsidR="000A743E">
        <w:t>6</w:t>
      </w:r>
      <w:r>
        <w:fldChar w:fldCharType="end"/>
      </w:r>
    </w:p>
    <w:p w:rsidR="00310F7F" w:rsidRDefault="00310F7F">
      <w:pPr>
        <w:pStyle w:val="TOC3"/>
        <w:rPr>
          <w:rFonts w:asciiTheme="minorHAnsi" w:eastAsiaTheme="minorEastAsia" w:hAnsiTheme="minorHAnsi" w:cstheme="minorBidi"/>
          <w:i w:val="0"/>
          <w:sz w:val="22"/>
          <w:szCs w:val="22"/>
          <w:lang w:val="en-US"/>
        </w:rPr>
      </w:pPr>
      <w:r w:rsidRPr="00FD7E19">
        <w:rPr>
          <w:snapToGrid w:val="0"/>
        </w:rPr>
        <w:t>Documents TGP</w:t>
      </w:r>
      <w:r>
        <w:tab/>
      </w:r>
      <w:r>
        <w:fldChar w:fldCharType="begin"/>
      </w:r>
      <w:r>
        <w:instrText xml:space="preserve"> PAGEREF _Toc431558827 \h </w:instrText>
      </w:r>
      <w:r>
        <w:fldChar w:fldCharType="separate"/>
      </w:r>
      <w:r w:rsidR="000A743E">
        <w:t>6</w:t>
      </w:r>
      <w:r>
        <w:fldChar w:fldCharType="end"/>
      </w:r>
    </w:p>
    <w:p w:rsidR="00310F7F" w:rsidRDefault="00310F7F">
      <w:pPr>
        <w:pStyle w:val="TOC3"/>
        <w:rPr>
          <w:rFonts w:asciiTheme="minorHAnsi" w:eastAsiaTheme="minorEastAsia" w:hAnsiTheme="minorHAnsi" w:cstheme="minorBidi"/>
          <w:i w:val="0"/>
          <w:sz w:val="22"/>
          <w:szCs w:val="22"/>
          <w:lang w:val="en-US"/>
        </w:rPr>
      </w:pPr>
      <w:r w:rsidRPr="00FD7E19">
        <w:rPr>
          <w:snapToGrid w:val="0"/>
        </w:rPr>
        <w:t>Techniques moléculaires</w:t>
      </w:r>
      <w:r>
        <w:tab/>
      </w:r>
      <w:r>
        <w:fldChar w:fldCharType="begin"/>
      </w:r>
      <w:r>
        <w:instrText xml:space="preserve"> PAGEREF _Toc431558828 \h </w:instrText>
      </w:r>
      <w:r>
        <w:fldChar w:fldCharType="separate"/>
      </w:r>
      <w:r w:rsidR="000A743E">
        <w:t>7</w:t>
      </w:r>
      <w:r>
        <w:fldChar w:fldCharType="end"/>
      </w:r>
    </w:p>
    <w:p w:rsidR="00310F7F" w:rsidRDefault="00310F7F">
      <w:pPr>
        <w:pStyle w:val="TOC1"/>
        <w:rPr>
          <w:rFonts w:asciiTheme="minorHAnsi" w:eastAsiaTheme="minorEastAsia" w:hAnsiTheme="minorHAnsi" w:cstheme="minorBidi"/>
          <w:caps w:val="0"/>
          <w:sz w:val="22"/>
          <w:szCs w:val="22"/>
        </w:rPr>
      </w:pPr>
      <w:r w:rsidRPr="00FD7E19">
        <w:rPr>
          <w:snapToGrid w:val="0"/>
          <w:lang w:val="fr-FR"/>
        </w:rPr>
        <w:t>Programme de la soixante</w:t>
      </w:r>
      <w:r w:rsidRPr="00FD7E19">
        <w:rPr>
          <w:snapToGrid w:val="0"/>
          <w:lang w:val="fr-FR"/>
        </w:rPr>
        <w:noBreakHyphen/>
        <w:t>douzième session</w:t>
      </w:r>
      <w:r>
        <w:tab/>
      </w:r>
      <w:r>
        <w:fldChar w:fldCharType="begin"/>
      </w:r>
      <w:r>
        <w:instrText xml:space="preserve"> PAGEREF _Toc431558829 \h </w:instrText>
      </w:r>
      <w:r>
        <w:fldChar w:fldCharType="separate"/>
      </w:r>
      <w:r w:rsidR="000A743E">
        <w:t>8</w:t>
      </w:r>
      <w:r>
        <w:fldChar w:fldCharType="end"/>
      </w:r>
    </w:p>
    <w:p w:rsidR="00C86975" w:rsidRPr="00310F7F" w:rsidRDefault="00C86975" w:rsidP="00BA5523">
      <w:pPr>
        <w:rPr>
          <w:lang w:val="fr-FR"/>
        </w:rPr>
      </w:pPr>
      <w:r w:rsidRPr="00310F7F">
        <w:rPr>
          <w:highlight w:val="yellow"/>
          <w:lang w:val="fr-FR"/>
        </w:rPr>
        <w:fldChar w:fldCharType="end"/>
      </w:r>
    </w:p>
    <w:p w:rsidR="00C86975" w:rsidRPr="00310F7F" w:rsidRDefault="00C86975" w:rsidP="00BA5523">
      <w:pPr>
        <w:rPr>
          <w:lang w:val="fr-FR"/>
        </w:rPr>
      </w:pPr>
    </w:p>
    <w:p w:rsidR="00C86975" w:rsidRPr="00310F7F" w:rsidRDefault="00C86975" w:rsidP="00BA5523">
      <w:pPr>
        <w:jc w:val="left"/>
        <w:rPr>
          <w:u w:val="single"/>
          <w:lang w:val="fr-FR"/>
        </w:rPr>
      </w:pPr>
      <w:r w:rsidRPr="00310F7F">
        <w:rPr>
          <w:lang w:val="fr-FR"/>
        </w:rPr>
        <w:br w:type="page"/>
      </w:r>
    </w:p>
    <w:p w:rsidR="00C86975" w:rsidRPr="00310F7F" w:rsidRDefault="00C86975" w:rsidP="00BA5523">
      <w:pPr>
        <w:pStyle w:val="Heading1"/>
        <w:rPr>
          <w:lang w:val="fr-FR"/>
        </w:rPr>
      </w:pPr>
      <w:bookmarkStart w:id="4" w:name="_Toc431558820"/>
      <w:r w:rsidRPr="00310F7F">
        <w:rPr>
          <w:lang w:val="fr-FR"/>
        </w:rPr>
        <w:lastRenderedPageBreak/>
        <w:t>R</w:t>
      </w:r>
      <w:r w:rsidR="00A32F78" w:rsidRPr="00310F7F">
        <w:rPr>
          <w:lang w:val="fr-FR"/>
        </w:rPr>
        <w:t>AP</w:t>
      </w:r>
      <w:r w:rsidRPr="00310F7F">
        <w:rPr>
          <w:lang w:val="fr-FR"/>
        </w:rPr>
        <w:t xml:space="preserve">port </w:t>
      </w:r>
      <w:r w:rsidR="00A32F78" w:rsidRPr="00310F7F">
        <w:rPr>
          <w:lang w:val="fr-FR"/>
        </w:rPr>
        <w:t>SUR LA</w:t>
      </w:r>
      <w:r w:rsidRPr="00310F7F">
        <w:rPr>
          <w:lang w:val="fr-FR"/>
        </w:rPr>
        <w:t xml:space="preserve"> </w:t>
      </w:r>
      <w:r w:rsidR="00ED1B40" w:rsidRPr="00310F7F">
        <w:rPr>
          <w:lang w:val="fr-FR"/>
        </w:rPr>
        <w:t>s</w:t>
      </w:r>
      <w:r w:rsidR="00A32F78" w:rsidRPr="00310F7F">
        <w:rPr>
          <w:lang w:val="fr-FR"/>
        </w:rPr>
        <w:t>OIXANT</w:t>
      </w:r>
      <w:r w:rsidR="00ED1B40" w:rsidRPr="00310F7F">
        <w:rPr>
          <w:lang w:val="fr-FR"/>
        </w:rPr>
        <w:t>e</w:t>
      </w:r>
      <w:r w:rsidR="00A32F78" w:rsidRPr="00310F7F">
        <w:rPr>
          <w:lang w:val="fr-FR"/>
        </w:rPr>
        <w:t xml:space="preserve"> </w:t>
      </w:r>
      <w:r w:rsidR="00ED1B40" w:rsidRPr="00310F7F">
        <w:rPr>
          <w:lang w:val="fr-FR"/>
        </w:rPr>
        <w:t>et</w:t>
      </w:r>
      <w:r w:rsidR="00A32F78" w:rsidRPr="00310F7F">
        <w:rPr>
          <w:lang w:val="fr-FR"/>
        </w:rPr>
        <w:t xml:space="preserve"> ONZI</w:t>
      </w:r>
      <w:r w:rsidR="00A32F78" w:rsidRPr="00310F7F">
        <w:rPr>
          <w:rFonts w:cs="Arial"/>
          <w:lang w:val="fr-FR"/>
        </w:rPr>
        <w:t>È</w:t>
      </w:r>
      <w:r w:rsidR="00A32F78" w:rsidRPr="00310F7F">
        <w:rPr>
          <w:lang w:val="fr-FR"/>
        </w:rPr>
        <w:t>ME</w:t>
      </w:r>
      <w:r w:rsidR="00ED1B40" w:rsidRPr="00310F7F">
        <w:rPr>
          <w:lang w:val="fr-FR"/>
        </w:rPr>
        <w:t xml:space="preserve"> </w:t>
      </w:r>
      <w:r w:rsidRPr="00310F7F">
        <w:rPr>
          <w:lang w:val="fr-FR"/>
        </w:rPr>
        <w:t xml:space="preserve">session </w:t>
      </w:r>
      <w:r w:rsidR="00A32F78" w:rsidRPr="00310F7F">
        <w:rPr>
          <w:lang w:val="fr-FR"/>
        </w:rPr>
        <w:t xml:space="preserve">DU </w:t>
      </w:r>
      <w:r w:rsidRPr="00310F7F">
        <w:rPr>
          <w:lang w:val="fr-FR"/>
        </w:rPr>
        <w:t>CAJ</w:t>
      </w:r>
      <w:bookmarkEnd w:id="4"/>
    </w:p>
    <w:p w:rsidR="00C86975" w:rsidRPr="00310F7F" w:rsidRDefault="00C86975" w:rsidP="00BA5523">
      <w:pPr>
        <w:rPr>
          <w:snapToGrid w:val="0"/>
          <w:lang w:val="fr-FR"/>
        </w:rPr>
      </w:pPr>
    </w:p>
    <w:p w:rsidR="00C86975" w:rsidRPr="00310F7F" w:rsidRDefault="00BF0721" w:rsidP="00BA5523">
      <w:pPr>
        <w:pStyle w:val="Heading3"/>
        <w:rPr>
          <w:lang w:val="fr-FR"/>
        </w:rPr>
      </w:pPr>
      <w:bookmarkStart w:id="5" w:name="_Toc431558821"/>
      <w:r w:rsidRPr="00310F7F">
        <w:rPr>
          <w:lang w:val="fr-FR"/>
        </w:rPr>
        <w:t>R</w:t>
      </w:r>
      <w:r w:rsidR="00A32F78" w:rsidRPr="00310F7F">
        <w:rPr>
          <w:lang w:val="fr-FR"/>
        </w:rPr>
        <w:t>ap</w:t>
      </w:r>
      <w:r w:rsidRPr="00310F7F">
        <w:rPr>
          <w:lang w:val="fr-FR"/>
        </w:rPr>
        <w:t xml:space="preserve">port </w:t>
      </w:r>
      <w:r w:rsidR="00A32F78" w:rsidRPr="00310F7F">
        <w:rPr>
          <w:lang w:val="fr-FR"/>
        </w:rPr>
        <w:t>sur les faits nouveaux intervenus au sein du Comité techniqu</w:t>
      </w:r>
      <w:r w:rsidR="00C86975" w:rsidRPr="00310F7F">
        <w:rPr>
          <w:lang w:val="fr-FR"/>
        </w:rPr>
        <w:t>e</w:t>
      </w:r>
      <w:bookmarkEnd w:id="5"/>
    </w:p>
    <w:p w:rsidR="00C86975" w:rsidRPr="00310F7F" w:rsidRDefault="00C86975" w:rsidP="00BA5523">
      <w:pPr>
        <w:pStyle w:val="Heading3"/>
        <w:rPr>
          <w:lang w:val="fr-FR"/>
        </w:rPr>
      </w:pPr>
    </w:p>
    <w:p w:rsidR="00C86975" w:rsidRPr="00310F7F" w:rsidRDefault="00C86975"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933ED9" w:rsidRPr="00310F7F">
        <w:rPr>
          <w:lang w:val="fr-FR"/>
        </w:rPr>
        <w:t>Le</w:t>
      </w:r>
      <w:r w:rsidR="00BF0721" w:rsidRPr="00310F7F">
        <w:rPr>
          <w:lang w:val="fr-FR"/>
        </w:rPr>
        <w:t xml:space="preserve"> CAJ </w:t>
      </w:r>
      <w:r w:rsidR="00933ED9" w:rsidRPr="00310F7F">
        <w:rPr>
          <w:lang w:val="fr-FR"/>
        </w:rPr>
        <w:t xml:space="preserve">a pris </w:t>
      </w:r>
      <w:r w:rsidR="00BF0721" w:rsidRPr="00310F7F">
        <w:rPr>
          <w:lang w:val="fr-FR"/>
        </w:rPr>
        <w:t>note</w:t>
      </w:r>
      <w:r w:rsidR="00933ED9" w:rsidRPr="00310F7F">
        <w:rPr>
          <w:lang w:val="fr-FR"/>
        </w:rPr>
        <w:t xml:space="preserve"> </w:t>
      </w:r>
      <w:r w:rsidR="00BF0721" w:rsidRPr="00310F7F">
        <w:rPr>
          <w:lang w:val="fr-FR"/>
        </w:rPr>
        <w:t>d</w:t>
      </w:r>
      <w:r w:rsidR="00933ED9" w:rsidRPr="00310F7F">
        <w:rPr>
          <w:lang w:val="fr-FR"/>
        </w:rPr>
        <w:t>u</w:t>
      </w:r>
      <w:r w:rsidR="00BF0721" w:rsidRPr="00310F7F">
        <w:rPr>
          <w:lang w:val="fr-FR"/>
        </w:rPr>
        <w:t xml:space="preserve"> r</w:t>
      </w:r>
      <w:r w:rsidR="00933ED9" w:rsidRPr="00310F7F">
        <w:rPr>
          <w:lang w:val="fr-FR"/>
        </w:rPr>
        <w:t>ap</w:t>
      </w:r>
      <w:r w:rsidR="00BF0721" w:rsidRPr="00310F7F">
        <w:rPr>
          <w:lang w:val="fr-FR"/>
        </w:rPr>
        <w:t xml:space="preserve">port </w:t>
      </w:r>
      <w:r w:rsidR="00933ED9" w:rsidRPr="00310F7F">
        <w:rPr>
          <w:lang w:val="fr-FR"/>
        </w:rPr>
        <w:t xml:space="preserve">présenté par </w:t>
      </w:r>
      <w:r w:rsidR="00BF0721" w:rsidRPr="00310F7F">
        <w:rPr>
          <w:lang w:val="fr-FR"/>
        </w:rPr>
        <w:t>M.</w:t>
      </w:r>
      <w:r w:rsidR="00933ED9" w:rsidRPr="00310F7F">
        <w:rPr>
          <w:lang w:val="fr-FR"/>
        </w:rPr>
        <w:t> </w:t>
      </w:r>
      <w:r w:rsidR="00BF0721" w:rsidRPr="00310F7F">
        <w:rPr>
          <w:lang w:val="fr-FR"/>
        </w:rPr>
        <w:t>Alejandro</w:t>
      </w:r>
      <w:r w:rsidR="00933ED9" w:rsidRPr="00310F7F">
        <w:rPr>
          <w:lang w:val="fr-FR"/>
        </w:rPr>
        <w:t> </w:t>
      </w:r>
      <w:proofErr w:type="spellStart"/>
      <w:r w:rsidR="00BF0721" w:rsidRPr="00310F7F">
        <w:rPr>
          <w:lang w:val="fr-FR"/>
        </w:rPr>
        <w:t>Barrientos</w:t>
      </w:r>
      <w:proofErr w:type="spellEnd"/>
      <w:r w:rsidR="00933ED9" w:rsidRPr="00310F7F">
        <w:rPr>
          <w:lang w:val="fr-FR"/>
        </w:rPr>
        <w:t> </w:t>
      </w:r>
      <w:proofErr w:type="spellStart"/>
      <w:r w:rsidR="00BF0721" w:rsidRPr="00310F7F">
        <w:rPr>
          <w:lang w:val="fr-FR"/>
        </w:rPr>
        <w:t>Priego</w:t>
      </w:r>
      <w:proofErr w:type="spellEnd"/>
      <w:r w:rsidR="00BF0721" w:rsidRPr="00310F7F">
        <w:rPr>
          <w:lang w:val="fr-FR"/>
        </w:rPr>
        <w:t xml:space="preserve"> (Mexi</w:t>
      </w:r>
      <w:r w:rsidR="00933ED9" w:rsidRPr="00310F7F">
        <w:rPr>
          <w:lang w:val="fr-FR"/>
        </w:rPr>
        <w:t>que</w:t>
      </w:r>
      <w:r w:rsidR="00BF0721" w:rsidRPr="00310F7F">
        <w:rPr>
          <w:lang w:val="fr-FR"/>
        </w:rPr>
        <w:t xml:space="preserve">), </w:t>
      </w:r>
      <w:r w:rsidR="00933ED9" w:rsidRPr="00310F7F">
        <w:rPr>
          <w:lang w:val="fr-FR"/>
        </w:rPr>
        <w:t>président du Comité t</w:t>
      </w:r>
      <w:r w:rsidR="0070583D" w:rsidRPr="00310F7F">
        <w:rPr>
          <w:lang w:val="fr-FR"/>
        </w:rPr>
        <w:t>echni</w:t>
      </w:r>
      <w:r w:rsidR="00933ED9" w:rsidRPr="00310F7F">
        <w:rPr>
          <w:lang w:val="fr-FR"/>
        </w:rPr>
        <w:t>que</w:t>
      </w:r>
      <w:r w:rsidR="0070583D" w:rsidRPr="00310F7F">
        <w:rPr>
          <w:lang w:val="fr-FR"/>
        </w:rPr>
        <w:t xml:space="preserve"> (</w:t>
      </w:r>
      <w:r w:rsidR="00BF0721" w:rsidRPr="00310F7F">
        <w:rPr>
          <w:lang w:val="fr-FR"/>
        </w:rPr>
        <w:t>TC</w:t>
      </w:r>
      <w:r w:rsidR="0070583D" w:rsidRPr="00310F7F">
        <w:rPr>
          <w:lang w:val="fr-FR"/>
        </w:rPr>
        <w:t>)</w:t>
      </w:r>
      <w:r w:rsidR="00BF0721" w:rsidRPr="00310F7F">
        <w:rPr>
          <w:lang w:val="fr-FR"/>
        </w:rPr>
        <w:t xml:space="preserve">, </w:t>
      </w:r>
      <w:r w:rsidR="00933ED9" w:rsidRPr="00310F7F">
        <w:rPr>
          <w:lang w:val="fr-FR"/>
        </w:rPr>
        <w:t>sur les faits nouveaux intervenus au sein du</w:t>
      </w:r>
      <w:r w:rsidR="00FD21CB" w:rsidRPr="00310F7F">
        <w:rPr>
          <w:lang w:val="fr-FR"/>
        </w:rPr>
        <w:t> TC</w:t>
      </w:r>
      <w:r w:rsidR="00BF0721" w:rsidRPr="00310F7F">
        <w:rPr>
          <w:lang w:val="fr-FR"/>
        </w:rPr>
        <w:t xml:space="preserve"> </w:t>
      </w:r>
      <w:r w:rsidR="00933ED9" w:rsidRPr="00310F7F">
        <w:rPr>
          <w:lang w:val="fr-FR"/>
        </w:rPr>
        <w:t>à sa cinquante</w:t>
      </w:r>
      <w:r w:rsidR="003B2AC4" w:rsidRPr="00310F7F">
        <w:rPr>
          <w:lang w:val="fr-FR"/>
        </w:rPr>
        <w:t> </w:t>
      </w:r>
      <w:r w:rsidR="00933ED9" w:rsidRPr="00310F7F">
        <w:rPr>
          <w:lang w:val="fr-FR"/>
        </w:rPr>
        <w:t>et</w:t>
      </w:r>
      <w:r w:rsidR="003B2AC4" w:rsidRPr="00310F7F">
        <w:rPr>
          <w:lang w:val="fr-FR"/>
        </w:rPr>
        <w:t> </w:t>
      </w:r>
      <w:r w:rsidR="00933ED9" w:rsidRPr="00310F7F">
        <w:rPr>
          <w:lang w:val="fr-FR"/>
        </w:rPr>
        <w:t>unième </w:t>
      </w:r>
      <w:r w:rsidR="00BF0721" w:rsidRPr="00310F7F">
        <w:rPr>
          <w:lang w:val="fr-FR"/>
        </w:rPr>
        <w:t xml:space="preserve">session </w:t>
      </w:r>
      <w:r w:rsidR="00933ED9" w:rsidRPr="00310F7F">
        <w:rPr>
          <w:lang w:val="fr-FR"/>
        </w:rPr>
        <w:t xml:space="preserve">tenue à </w:t>
      </w:r>
      <w:r w:rsidR="00BF0721" w:rsidRPr="00310F7F">
        <w:rPr>
          <w:lang w:val="fr-FR"/>
        </w:rPr>
        <w:t>Gen</w:t>
      </w:r>
      <w:r w:rsidR="00933ED9" w:rsidRPr="00310F7F">
        <w:rPr>
          <w:lang w:val="fr-FR"/>
        </w:rPr>
        <w:t>è</w:t>
      </w:r>
      <w:r w:rsidR="00BF0721" w:rsidRPr="00310F7F">
        <w:rPr>
          <w:lang w:val="fr-FR"/>
        </w:rPr>
        <w:t>v</w:t>
      </w:r>
      <w:r w:rsidR="00933ED9" w:rsidRPr="00310F7F">
        <w:rPr>
          <w:lang w:val="fr-FR"/>
        </w:rPr>
        <w:t>e</w:t>
      </w:r>
      <w:r w:rsidR="00BF0721" w:rsidRPr="00310F7F">
        <w:rPr>
          <w:lang w:val="fr-FR"/>
        </w:rPr>
        <w:t xml:space="preserve"> </w:t>
      </w:r>
      <w:r w:rsidR="00933ED9" w:rsidRPr="00310F7F">
        <w:rPr>
          <w:lang w:val="fr-FR"/>
        </w:rPr>
        <w:t>du 23 au 25 mars </w:t>
      </w:r>
      <w:r w:rsidR="00BF0721" w:rsidRPr="00310F7F">
        <w:rPr>
          <w:lang w:val="fr-FR"/>
        </w:rPr>
        <w:t xml:space="preserve">2015. </w:t>
      </w:r>
      <w:r w:rsidR="00FD21CB" w:rsidRPr="00310F7F">
        <w:rPr>
          <w:lang w:val="fr-FR"/>
        </w:rPr>
        <w:t xml:space="preserve"> Le CAJ</w:t>
      </w:r>
      <w:r w:rsidR="00BF0721" w:rsidRPr="00310F7F">
        <w:rPr>
          <w:lang w:val="fr-FR"/>
        </w:rPr>
        <w:t xml:space="preserve"> </w:t>
      </w:r>
      <w:r w:rsidR="00933ED9" w:rsidRPr="00310F7F">
        <w:rPr>
          <w:lang w:val="fr-FR"/>
        </w:rPr>
        <w:t>a noté que les</w:t>
      </w:r>
      <w:r w:rsidR="00BF0721" w:rsidRPr="00310F7F">
        <w:rPr>
          <w:lang w:val="fr-FR"/>
        </w:rPr>
        <w:t xml:space="preserve"> conclusions </w:t>
      </w:r>
      <w:r w:rsidR="00933ED9" w:rsidRPr="00310F7F">
        <w:rPr>
          <w:lang w:val="fr-FR"/>
        </w:rPr>
        <w:t>du</w:t>
      </w:r>
      <w:r w:rsidR="00FD21CB" w:rsidRPr="00310F7F">
        <w:rPr>
          <w:lang w:val="fr-FR"/>
        </w:rPr>
        <w:t> TC</w:t>
      </w:r>
      <w:r w:rsidR="00BF0721" w:rsidRPr="00310F7F">
        <w:rPr>
          <w:lang w:val="fr-FR"/>
        </w:rPr>
        <w:t xml:space="preserve"> </w:t>
      </w:r>
      <w:r w:rsidR="00933ED9" w:rsidRPr="00310F7F">
        <w:rPr>
          <w:lang w:val="fr-FR"/>
        </w:rPr>
        <w:t>e</w:t>
      </w:r>
      <w:r w:rsidR="00BF0721" w:rsidRPr="00310F7F">
        <w:rPr>
          <w:lang w:val="fr-FR"/>
        </w:rPr>
        <w:t xml:space="preserve">n </w:t>
      </w:r>
      <w:r w:rsidR="00933ED9" w:rsidRPr="00310F7F">
        <w:rPr>
          <w:lang w:val="fr-FR"/>
        </w:rPr>
        <w:t>ce qui concerne les questions devant être examinées par</w:t>
      </w:r>
      <w:r w:rsidR="00FD21CB" w:rsidRPr="00310F7F">
        <w:rPr>
          <w:lang w:val="fr-FR"/>
        </w:rPr>
        <w:t xml:space="preserve"> le CAJ</w:t>
      </w:r>
      <w:r w:rsidR="00BF0721" w:rsidRPr="00310F7F">
        <w:rPr>
          <w:lang w:val="fr-FR"/>
        </w:rPr>
        <w:t xml:space="preserve"> </w:t>
      </w:r>
      <w:r w:rsidR="00933ED9" w:rsidRPr="00310F7F">
        <w:rPr>
          <w:lang w:val="fr-FR"/>
        </w:rPr>
        <w:t>figuraient dans l</w:t>
      </w:r>
      <w:r w:rsidR="00BF0721" w:rsidRPr="00310F7F">
        <w:rPr>
          <w:lang w:val="fr-FR"/>
        </w:rPr>
        <w:t>e document CAJ/71/9.  I</w:t>
      </w:r>
      <w:r w:rsidR="00933ED9" w:rsidRPr="00310F7F">
        <w:rPr>
          <w:lang w:val="fr-FR"/>
        </w:rPr>
        <w:t>l a également noté que le compte rendu du</w:t>
      </w:r>
      <w:r w:rsidR="00FD21CB" w:rsidRPr="00310F7F">
        <w:rPr>
          <w:lang w:val="fr-FR"/>
        </w:rPr>
        <w:t> TC</w:t>
      </w:r>
      <w:r w:rsidR="00BF0721" w:rsidRPr="00310F7F">
        <w:rPr>
          <w:lang w:val="fr-FR"/>
        </w:rPr>
        <w:t xml:space="preserve"> </w:t>
      </w:r>
      <w:r w:rsidR="00933ED9" w:rsidRPr="00310F7F">
        <w:rPr>
          <w:lang w:val="fr-FR"/>
        </w:rPr>
        <w:t>figurait dans le</w:t>
      </w:r>
      <w:r w:rsidR="00BF0721" w:rsidRPr="00310F7F">
        <w:rPr>
          <w:lang w:val="fr-FR"/>
        </w:rPr>
        <w:t xml:space="preserve"> </w:t>
      </w:r>
      <w:r w:rsidR="00FD21CB" w:rsidRPr="00310F7F">
        <w:rPr>
          <w:lang w:val="fr-FR"/>
        </w:rPr>
        <w:t>document TC</w:t>
      </w:r>
      <w:r w:rsidR="00BF0721" w:rsidRPr="00310F7F">
        <w:rPr>
          <w:lang w:val="fr-FR"/>
        </w:rPr>
        <w:t>/51/39 “</w:t>
      </w:r>
      <w:r w:rsidR="00933ED9" w:rsidRPr="00310F7F">
        <w:rPr>
          <w:lang w:val="fr-FR"/>
        </w:rPr>
        <w:t>Compte rendu</w:t>
      </w:r>
      <w:r w:rsidR="00BF0721" w:rsidRPr="00310F7F">
        <w:rPr>
          <w:lang w:val="fr-FR"/>
        </w:rPr>
        <w:t>”</w:t>
      </w:r>
      <w:r w:rsidRPr="00310F7F">
        <w:rPr>
          <w:kern w:val="28"/>
          <w:lang w:val="fr-FR"/>
        </w:rPr>
        <w:t xml:space="preserve"> (</w:t>
      </w:r>
      <w:r w:rsidR="00933ED9" w:rsidRPr="00310F7F">
        <w:rPr>
          <w:kern w:val="28"/>
          <w:lang w:val="fr-FR"/>
        </w:rPr>
        <w:t>voir l</w:t>
      </w:r>
      <w:r w:rsidRPr="00310F7F">
        <w:rPr>
          <w:kern w:val="28"/>
          <w:lang w:val="fr-FR"/>
        </w:rPr>
        <w:t xml:space="preserve">e </w:t>
      </w:r>
      <w:r w:rsidR="00933ED9" w:rsidRPr="00310F7F">
        <w:rPr>
          <w:kern w:val="28"/>
          <w:lang w:val="fr-FR"/>
        </w:rPr>
        <w:t xml:space="preserve">paragraphe 8 du </w:t>
      </w:r>
      <w:r w:rsidRPr="00310F7F">
        <w:rPr>
          <w:kern w:val="28"/>
          <w:lang w:val="fr-FR"/>
        </w:rPr>
        <w:t xml:space="preserve">document </w:t>
      </w:r>
      <w:r w:rsidR="00997DE8" w:rsidRPr="00310F7F">
        <w:rPr>
          <w:kern w:val="28"/>
          <w:lang w:val="fr-FR"/>
        </w:rPr>
        <w:t>CAJ/71/10</w:t>
      </w:r>
      <w:r w:rsidRPr="00310F7F">
        <w:rPr>
          <w:kern w:val="28"/>
          <w:lang w:val="fr-FR"/>
        </w:rPr>
        <w:t xml:space="preserve"> “</w:t>
      </w:r>
      <w:r w:rsidR="00933ED9" w:rsidRPr="00310F7F">
        <w:rPr>
          <w:kern w:val="28"/>
          <w:lang w:val="fr-FR"/>
        </w:rPr>
        <w:t>Compte rendu des</w:t>
      </w:r>
      <w:r w:rsidRPr="00310F7F">
        <w:rPr>
          <w:kern w:val="28"/>
          <w:lang w:val="fr-FR"/>
        </w:rPr>
        <w:t xml:space="preserve"> </w:t>
      </w:r>
      <w:r w:rsidR="00933ED9" w:rsidRPr="00310F7F">
        <w:rPr>
          <w:kern w:val="28"/>
          <w:lang w:val="fr-FR"/>
        </w:rPr>
        <w:t>c</w:t>
      </w:r>
      <w:r w:rsidRPr="00310F7F">
        <w:rPr>
          <w:kern w:val="28"/>
          <w:lang w:val="fr-FR"/>
        </w:rPr>
        <w:t>onclusions”).</w:t>
      </w:r>
    </w:p>
    <w:p w:rsidR="00C86975" w:rsidRPr="00310F7F" w:rsidRDefault="00C86975" w:rsidP="00BA5523">
      <w:pPr>
        <w:rPr>
          <w:lang w:val="fr-FR"/>
        </w:rPr>
      </w:pPr>
    </w:p>
    <w:p w:rsidR="00C86975" w:rsidRPr="00310F7F" w:rsidRDefault="00933ED9" w:rsidP="00BA5523">
      <w:pPr>
        <w:pStyle w:val="Heading3"/>
        <w:rPr>
          <w:lang w:val="fr-FR"/>
        </w:rPr>
      </w:pPr>
      <w:bookmarkStart w:id="6" w:name="_Toc431558822"/>
      <w:r w:rsidRPr="00310F7F">
        <w:rPr>
          <w:lang w:val="fr-FR"/>
        </w:rPr>
        <w:t>Élaboration de matériel d</w:t>
      </w:r>
      <w:r w:rsidR="00FD21CB" w:rsidRPr="00310F7F">
        <w:rPr>
          <w:lang w:val="fr-FR"/>
        </w:rPr>
        <w:t>’</w:t>
      </w:r>
      <w:r w:rsidRPr="00310F7F">
        <w:rPr>
          <w:lang w:val="fr-FR"/>
        </w:rPr>
        <w:t xml:space="preserve">information concernant la </w:t>
      </w:r>
      <w:r w:rsidR="00FD21CB" w:rsidRPr="00310F7F">
        <w:rPr>
          <w:lang w:val="fr-FR"/>
        </w:rPr>
        <w:t>Convention UPOV</w:t>
      </w:r>
      <w:bookmarkEnd w:id="6"/>
    </w:p>
    <w:p w:rsidR="00C86975" w:rsidRPr="00310F7F" w:rsidRDefault="00C86975" w:rsidP="00BA5523">
      <w:pPr>
        <w:rPr>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933ED9" w:rsidRPr="00310F7F">
        <w:rPr>
          <w:lang w:val="fr-FR"/>
        </w:rPr>
        <w:t>L</w:t>
      </w:r>
      <w:r w:rsidRPr="00310F7F">
        <w:rPr>
          <w:lang w:val="fr-FR"/>
        </w:rPr>
        <w:t xml:space="preserve">e CAJ </w:t>
      </w:r>
      <w:r w:rsidR="00933ED9" w:rsidRPr="00310F7F">
        <w:rPr>
          <w:lang w:val="fr-FR"/>
        </w:rPr>
        <w:t xml:space="preserve">a pris </w:t>
      </w:r>
      <w:r w:rsidRPr="00310F7F">
        <w:rPr>
          <w:lang w:val="fr-FR"/>
        </w:rPr>
        <w:t>note</w:t>
      </w:r>
      <w:r w:rsidR="00933ED9" w:rsidRPr="00310F7F">
        <w:rPr>
          <w:lang w:val="fr-FR"/>
        </w:rPr>
        <w:t xml:space="preserve"> que le</w:t>
      </w:r>
      <w:r w:rsidRPr="00310F7F">
        <w:rPr>
          <w:lang w:val="fr-FR"/>
        </w:rPr>
        <w:t xml:space="preserve"> </w:t>
      </w:r>
      <w:r w:rsidR="00933ED9" w:rsidRPr="00310F7F">
        <w:rPr>
          <w:lang w:val="fr-FR"/>
        </w:rPr>
        <w:t>Groupe consultatif du Comité administratif et juridique (CAJ</w:t>
      </w:r>
      <w:r w:rsidR="00FF3774" w:rsidRPr="00310F7F">
        <w:rPr>
          <w:lang w:val="fr-FR"/>
        </w:rPr>
        <w:noBreakHyphen/>
      </w:r>
      <w:r w:rsidR="00933ED9" w:rsidRPr="00310F7F">
        <w:rPr>
          <w:lang w:val="fr-FR"/>
        </w:rPr>
        <w:t>AG)</w:t>
      </w:r>
      <w:r w:rsidRPr="00310F7F">
        <w:rPr>
          <w:lang w:val="fr-FR"/>
        </w:rPr>
        <w:t xml:space="preserve">, </w:t>
      </w:r>
      <w:r w:rsidR="00933ED9" w:rsidRPr="00310F7F">
        <w:rPr>
          <w:lang w:val="fr-FR"/>
        </w:rPr>
        <w:t>à sa neuvième </w:t>
      </w:r>
      <w:r w:rsidRPr="00310F7F">
        <w:rPr>
          <w:lang w:val="fr-FR"/>
        </w:rPr>
        <w:t xml:space="preserve">session, </w:t>
      </w:r>
      <w:r w:rsidR="00933ED9" w:rsidRPr="00310F7F">
        <w:rPr>
          <w:lang w:val="fr-FR"/>
        </w:rPr>
        <w:t>avait accueilli avec satisfaction l</w:t>
      </w:r>
      <w:r w:rsidR="00FD21CB" w:rsidRPr="00310F7F">
        <w:rPr>
          <w:lang w:val="fr-FR"/>
        </w:rPr>
        <w:t>’</w:t>
      </w:r>
      <w:r w:rsidR="00933ED9" w:rsidRPr="00310F7F">
        <w:rPr>
          <w:lang w:val="fr-FR"/>
        </w:rPr>
        <w:t>exposé de l</w:t>
      </w:r>
      <w:r w:rsidR="00FD21CB" w:rsidRPr="00310F7F">
        <w:rPr>
          <w:lang w:val="fr-FR"/>
        </w:rPr>
        <w:t>’</w:t>
      </w:r>
      <w:r w:rsidR="00933ED9" w:rsidRPr="00310F7F">
        <w:rPr>
          <w:lang w:val="fr-FR"/>
        </w:rPr>
        <w:t>Australie diffusé par voie électronique via l</w:t>
      </w:r>
      <w:r w:rsidR="00FD21CB" w:rsidRPr="00310F7F">
        <w:rPr>
          <w:lang w:val="fr-FR"/>
        </w:rPr>
        <w:t>’</w:t>
      </w:r>
      <w:r w:rsidR="00933ED9" w:rsidRPr="00310F7F">
        <w:rPr>
          <w:lang w:val="fr-FR"/>
        </w:rPr>
        <w:t>Internet, qui contenait des renseignements supplémentaires sur le contexte des exemples donnés par l</w:t>
      </w:r>
      <w:r w:rsidR="00FD21CB" w:rsidRPr="00310F7F">
        <w:rPr>
          <w:lang w:val="fr-FR"/>
        </w:rPr>
        <w:t>’</w:t>
      </w:r>
      <w:r w:rsidR="00933ED9" w:rsidRPr="00310F7F">
        <w:rPr>
          <w:lang w:val="fr-FR"/>
        </w:rPr>
        <w:t>Australie au séminaire sur les variétés essentiellement dérivées, et que cet exposé pouvait être consulté dans la partie du site Web de l</w:t>
      </w:r>
      <w:r w:rsidR="00FD21CB" w:rsidRPr="00310F7F">
        <w:rPr>
          <w:lang w:val="fr-FR"/>
        </w:rPr>
        <w:t>’</w:t>
      </w:r>
      <w:r w:rsidR="00933ED9" w:rsidRPr="00310F7F">
        <w:rPr>
          <w:lang w:val="fr-FR"/>
        </w:rPr>
        <w:t>UPOV consacrée à la quatorzième session</w:t>
      </w:r>
      <w:r w:rsidR="00FD21CB" w:rsidRPr="00310F7F">
        <w:rPr>
          <w:lang w:val="fr-FR"/>
        </w:rPr>
        <w:t xml:space="preserve"> du CAJ</w:t>
      </w:r>
      <w:r w:rsidR="00FF3774" w:rsidRPr="00310F7F">
        <w:rPr>
          <w:lang w:val="fr-FR"/>
        </w:rPr>
        <w:noBreakHyphen/>
      </w:r>
      <w:r w:rsidR="00933ED9" w:rsidRPr="00310F7F">
        <w:rPr>
          <w:lang w:val="fr-FR"/>
        </w:rPr>
        <w:t>AG</w:t>
      </w:r>
      <w:r w:rsidRPr="00310F7F">
        <w:rPr>
          <w:lang w:val="fr-FR"/>
        </w:rPr>
        <w:t xml:space="preserve"> </w:t>
      </w:r>
      <w:r w:rsidRPr="00310F7F">
        <w:rPr>
          <w:kern w:val="28"/>
          <w:lang w:val="fr-FR"/>
        </w:rPr>
        <w:t>(</w:t>
      </w:r>
      <w:r w:rsidR="00933ED9" w:rsidRPr="00310F7F">
        <w:rPr>
          <w:kern w:val="28"/>
          <w:lang w:val="fr-FR"/>
        </w:rPr>
        <w:t>voir le paragraphe 10 du</w:t>
      </w:r>
      <w:r w:rsidRPr="00310F7F">
        <w:rPr>
          <w:kern w:val="28"/>
          <w:lang w:val="fr-FR"/>
        </w:rPr>
        <w:t xml:space="preserve"> document CAJ/71/10 “</w:t>
      </w:r>
      <w:r w:rsidR="00933ED9" w:rsidRPr="00310F7F">
        <w:rPr>
          <w:kern w:val="28"/>
          <w:lang w:val="fr-FR"/>
        </w:rPr>
        <w:t>Compte rendu des</w:t>
      </w:r>
      <w:r w:rsidRPr="00310F7F">
        <w:rPr>
          <w:kern w:val="28"/>
          <w:lang w:val="fr-FR"/>
        </w:rPr>
        <w:t xml:space="preserve"> </w:t>
      </w:r>
      <w:r w:rsidR="00933ED9" w:rsidRPr="00310F7F">
        <w:rPr>
          <w:kern w:val="28"/>
          <w:lang w:val="fr-FR"/>
        </w:rPr>
        <w:t>c</w:t>
      </w:r>
      <w:r w:rsidRPr="00310F7F">
        <w:rPr>
          <w:kern w:val="28"/>
          <w:lang w:val="fr-FR"/>
        </w:rPr>
        <w:t>onclusions”)</w:t>
      </w:r>
      <w:r w:rsidRPr="00310F7F">
        <w:rPr>
          <w:lang w:val="fr-FR"/>
        </w:rPr>
        <w:t>.</w:t>
      </w:r>
    </w:p>
    <w:p w:rsidR="003C1402" w:rsidRPr="00310F7F" w:rsidRDefault="003C1402" w:rsidP="00BA5523">
      <w:pPr>
        <w:rPr>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CE38BE" w:rsidRPr="00310F7F">
        <w:rPr>
          <w:lang w:val="fr-FR"/>
        </w:rPr>
        <w:t>Le CAJ est convenu d</w:t>
      </w:r>
      <w:r w:rsidR="00FD21CB" w:rsidRPr="00310F7F">
        <w:rPr>
          <w:lang w:val="fr-FR"/>
        </w:rPr>
        <w:t>’</w:t>
      </w:r>
      <w:r w:rsidR="00CE38BE" w:rsidRPr="00310F7F">
        <w:rPr>
          <w:lang w:val="fr-FR"/>
        </w:rPr>
        <w:t>envisager l</w:t>
      </w:r>
      <w:r w:rsidR="00FD21CB" w:rsidRPr="00310F7F">
        <w:rPr>
          <w:lang w:val="fr-FR"/>
        </w:rPr>
        <w:t>’</w:t>
      </w:r>
      <w:r w:rsidR="00CE38BE" w:rsidRPr="00310F7F">
        <w:rPr>
          <w:lang w:val="fr-FR"/>
        </w:rPr>
        <w:t>élaboration d</w:t>
      </w:r>
      <w:r w:rsidR="00FD21CB" w:rsidRPr="00310F7F">
        <w:rPr>
          <w:lang w:val="fr-FR"/>
        </w:rPr>
        <w:t>’</w:t>
      </w:r>
      <w:r w:rsidR="00CE38BE" w:rsidRPr="00310F7F">
        <w:rPr>
          <w:lang w:val="fr-FR"/>
        </w:rPr>
        <w:t>orientations concernant le statut des variétés essentiellement dérivées qui n</w:t>
      </w:r>
      <w:r w:rsidR="00FD21CB" w:rsidRPr="00310F7F">
        <w:rPr>
          <w:lang w:val="fr-FR"/>
        </w:rPr>
        <w:t>’</w:t>
      </w:r>
      <w:r w:rsidR="00CE38BE" w:rsidRPr="00310F7F">
        <w:rPr>
          <w:lang w:val="fr-FR"/>
        </w:rPr>
        <w:t>ont pas bénéficié de la protection de plein droit, après l</w:t>
      </w:r>
      <w:r w:rsidR="00FD21CB" w:rsidRPr="00310F7F">
        <w:rPr>
          <w:lang w:val="fr-FR"/>
        </w:rPr>
        <w:t>’</w:t>
      </w:r>
      <w:r w:rsidR="00CE38BE" w:rsidRPr="00310F7F">
        <w:rPr>
          <w:lang w:val="fr-FR"/>
        </w:rPr>
        <w:t>adoption du document révisé UPOV/EXN/EDV/2</w:t>
      </w:r>
      <w:r w:rsidRPr="00310F7F">
        <w:rPr>
          <w:lang w:val="fr-FR"/>
        </w:rPr>
        <w:t xml:space="preserve"> </w:t>
      </w:r>
      <w:r w:rsidRPr="00310F7F">
        <w:rPr>
          <w:kern w:val="28"/>
          <w:lang w:val="fr-FR"/>
        </w:rPr>
        <w:t>(</w:t>
      </w:r>
      <w:r w:rsidR="00CE38BE" w:rsidRPr="00310F7F">
        <w:rPr>
          <w:kern w:val="28"/>
          <w:lang w:val="fr-FR"/>
        </w:rPr>
        <w:t>voir le paragraphe 11 du</w:t>
      </w:r>
      <w:r w:rsidRPr="00310F7F">
        <w:rPr>
          <w:kern w:val="28"/>
          <w:lang w:val="fr-FR"/>
        </w:rPr>
        <w:t xml:space="preserve"> document CAJ/71/10 “</w:t>
      </w:r>
      <w:r w:rsidR="00CE38BE" w:rsidRPr="00310F7F">
        <w:rPr>
          <w:kern w:val="28"/>
          <w:lang w:val="fr-FR"/>
        </w:rPr>
        <w:t>Compte rendu des c</w:t>
      </w:r>
      <w:r w:rsidRPr="00310F7F">
        <w:rPr>
          <w:kern w:val="28"/>
          <w:lang w:val="fr-FR"/>
        </w:rPr>
        <w:t>onclusions”)</w:t>
      </w:r>
      <w:r w:rsidRPr="00310F7F">
        <w:rPr>
          <w:lang w:val="fr-FR"/>
        </w:rPr>
        <w:t>.</w:t>
      </w:r>
    </w:p>
    <w:p w:rsidR="003C1402" w:rsidRPr="00310F7F" w:rsidRDefault="003C1402" w:rsidP="00BA5523">
      <w:pPr>
        <w:rPr>
          <w:snapToGrid w:val="0"/>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CE38BE" w:rsidRPr="00310F7F">
        <w:rPr>
          <w:lang w:val="fr-FR"/>
        </w:rPr>
        <w:t>Le CAJ est convenu d</w:t>
      </w:r>
      <w:r w:rsidR="00FD21CB" w:rsidRPr="00310F7F">
        <w:rPr>
          <w:lang w:val="fr-FR"/>
        </w:rPr>
        <w:t>’</w:t>
      </w:r>
      <w:r w:rsidR="00CE38BE" w:rsidRPr="00310F7F">
        <w:rPr>
          <w:lang w:val="fr-FR"/>
        </w:rPr>
        <w:t>inviter les membres de l</w:t>
      </w:r>
      <w:r w:rsidR="00FD21CB" w:rsidRPr="00310F7F">
        <w:rPr>
          <w:lang w:val="fr-FR"/>
        </w:rPr>
        <w:t>’</w:t>
      </w:r>
      <w:r w:rsidR="00CE38BE" w:rsidRPr="00310F7F">
        <w:rPr>
          <w:lang w:val="fr-FR"/>
        </w:rPr>
        <w:t>Union à présenter des exposés sur leurs systèmes concernant les variétés essentiellement dérivées à sa soixante</w:t>
      </w:r>
      <w:r w:rsidR="00FF3774" w:rsidRPr="00310F7F">
        <w:rPr>
          <w:lang w:val="fr-FR"/>
        </w:rPr>
        <w:noBreakHyphen/>
      </w:r>
      <w:r w:rsidR="00CE38BE" w:rsidRPr="00310F7F">
        <w:rPr>
          <w:lang w:val="fr-FR"/>
        </w:rPr>
        <w:t>douzième session</w:t>
      </w:r>
      <w:r w:rsidRPr="00310F7F">
        <w:rPr>
          <w:lang w:val="fr-FR"/>
        </w:rPr>
        <w:t xml:space="preserve"> </w:t>
      </w:r>
      <w:r w:rsidRPr="00310F7F">
        <w:rPr>
          <w:kern w:val="28"/>
          <w:lang w:val="fr-FR"/>
        </w:rPr>
        <w:t>(</w:t>
      </w:r>
      <w:r w:rsidR="00CE38BE" w:rsidRPr="00310F7F">
        <w:rPr>
          <w:kern w:val="28"/>
          <w:lang w:val="fr-FR"/>
        </w:rPr>
        <w:t>voir le paragraphe 12 du</w:t>
      </w:r>
      <w:r w:rsidRPr="00310F7F">
        <w:rPr>
          <w:kern w:val="28"/>
          <w:lang w:val="fr-FR"/>
        </w:rPr>
        <w:t xml:space="preserve"> document CAJ/71/10 “</w:t>
      </w:r>
      <w:r w:rsidR="00CE38BE" w:rsidRPr="00310F7F">
        <w:rPr>
          <w:kern w:val="28"/>
          <w:lang w:val="fr-FR"/>
        </w:rPr>
        <w:t>Compte rendu des</w:t>
      </w:r>
      <w:r w:rsidRPr="00310F7F">
        <w:rPr>
          <w:kern w:val="28"/>
          <w:lang w:val="fr-FR"/>
        </w:rPr>
        <w:t xml:space="preserve"> </w:t>
      </w:r>
      <w:r w:rsidR="00CE38BE" w:rsidRPr="00310F7F">
        <w:rPr>
          <w:kern w:val="28"/>
          <w:lang w:val="fr-FR"/>
        </w:rPr>
        <w:t>c</w:t>
      </w:r>
      <w:r w:rsidRPr="00310F7F">
        <w:rPr>
          <w:kern w:val="28"/>
          <w:lang w:val="fr-FR"/>
        </w:rPr>
        <w:t>onclusions”)</w:t>
      </w:r>
      <w:r w:rsidRPr="00310F7F">
        <w:rPr>
          <w:lang w:val="fr-FR"/>
        </w:rPr>
        <w:t>.</w:t>
      </w:r>
    </w:p>
    <w:p w:rsidR="003C1402" w:rsidRPr="00310F7F" w:rsidRDefault="003C1402" w:rsidP="00BA5523">
      <w:pPr>
        <w:rPr>
          <w:snapToGrid w:val="0"/>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CE38BE" w:rsidRPr="00310F7F">
        <w:rPr>
          <w:lang w:val="fr-FR"/>
        </w:rPr>
        <w:t>Le CAJ est convenu d</w:t>
      </w:r>
      <w:r w:rsidR="00FD21CB" w:rsidRPr="00310F7F">
        <w:rPr>
          <w:lang w:val="fr-FR"/>
        </w:rPr>
        <w:t>’</w:t>
      </w:r>
      <w:r w:rsidR="00CE38BE" w:rsidRPr="00310F7F">
        <w:rPr>
          <w:lang w:val="fr-FR"/>
        </w:rPr>
        <w:t>examiner, à sa soixante</w:t>
      </w:r>
      <w:r w:rsidR="00FF3774" w:rsidRPr="00310F7F">
        <w:rPr>
          <w:lang w:val="fr-FR"/>
        </w:rPr>
        <w:noBreakHyphen/>
      </w:r>
      <w:r w:rsidR="00CE38BE" w:rsidRPr="00310F7F">
        <w:rPr>
          <w:lang w:val="fr-FR"/>
        </w:rPr>
        <w:t>douzième session, la proposition selon laquelle le Bureau de l</w:t>
      </w:r>
      <w:r w:rsidR="00FD21CB" w:rsidRPr="00310F7F">
        <w:rPr>
          <w:lang w:val="fr-FR"/>
        </w:rPr>
        <w:t>’</w:t>
      </w:r>
      <w:r w:rsidR="00CE38BE" w:rsidRPr="00310F7F">
        <w:rPr>
          <w:lang w:val="fr-FR"/>
        </w:rPr>
        <w:t>Union devrait organiser une réunion pour échanger des informations avec la Communauté internationale des obtenteurs de plantes ornementales et fruitières à reproduction asexuée (CIOPORA), l</w:t>
      </w:r>
      <w:r w:rsidR="00FD21CB" w:rsidRPr="00310F7F">
        <w:rPr>
          <w:lang w:val="fr-FR"/>
        </w:rPr>
        <w:t>’</w:t>
      </w:r>
      <w:r w:rsidR="00CE38BE" w:rsidRPr="00310F7F">
        <w:rPr>
          <w:lang w:val="fr-FR"/>
        </w:rPr>
        <w:t xml:space="preserve">International </w:t>
      </w:r>
      <w:proofErr w:type="spellStart"/>
      <w:r w:rsidR="00CE38BE" w:rsidRPr="00310F7F">
        <w:rPr>
          <w:lang w:val="fr-FR"/>
        </w:rPr>
        <w:t>Seed</w:t>
      </w:r>
      <w:proofErr w:type="spellEnd"/>
      <w:r w:rsidR="00CE38BE" w:rsidRPr="00310F7F">
        <w:rPr>
          <w:lang w:val="fr-FR"/>
        </w:rPr>
        <w:t xml:space="preserve"> </w:t>
      </w:r>
      <w:proofErr w:type="spellStart"/>
      <w:r w:rsidR="00CE38BE" w:rsidRPr="00310F7F">
        <w:rPr>
          <w:lang w:val="fr-FR"/>
        </w:rPr>
        <w:t>Federation</w:t>
      </w:r>
      <w:proofErr w:type="spellEnd"/>
      <w:r w:rsidR="00CE38BE" w:rsidRPr="00310F7F">
        <w:rPr>
          <w:lang w:val="fr-FR"/>
        </w:rPr>
        <w:t xml:space="preserve"> (ISF) et l</w:t>
      </w:r>
      <w:r w:rsidR="00FD21CB" w:rsidRPr="00310F7F">
        <w:rPr>
          <w:lang w:val="fr-FR"/>
        </w:rPr>
        <w:t>’</w:t>
      </w:r>
      <w:r w:rsidR="00CE38BE" w:rsidRPr="00310F7F">
        <w:rPr>
          <w:lang w:val="fr-FR"/>
        </w:rPr>
        <w:t>Organisation Mondiale de la Propriété Intellectuelle (OMPI) en vue d</w:t>
      </w:r>
      <w:r w:rsidR="00FD21CB" w:rsidRPr="00310F7F">
        <w:rPr>
          <w:lang w:val="fr-FR"/>
        </w:rPr>
        <w:t>’</w:t>
      </w:r>
      <w:r w:rsidR="00CE38BE" w:rsidRPr="00310F7F">
        <w:rPr>
          <w:lang w:val="fr-FR"/>
        </w:rPr>
        <w:t>étudier le rôle que l</w:t>
      </w:r>
      <w:r w:rsidR="00FD21CB" w:rsidRPr="00310F7F">
        <w:rPr>
          <w:lang w:val="fr-FR"/>
        </w:rPr>
        <w:t>’</w:t>
      </w:r>
      <w:r w:rsidR="00CE38BE" w:rsidRPr="00310F7F">
        <w:rPr>
          <w:lang w:val="fr-FR"/>
        </w:rPr>
        <w:t xml:space="preserve">UPOV pourrait jouer dans les mécanismes extrajudiciaires de règlement des litiges pour les questions relatives aux variétés essentiellement dérivées, </w:t>
      </w:r>
      <w:r w:rsidR="00FD21CB" w:rsidRPr="00310F7F">
        <w:rPr>
          <w:lang w:val="fr-FR"/>
        </w:rPr>
        <w:t>y compris</w:t>
      </w:r>
      <w:r w:rsidR="00CE38BE" w:rsidRPr="00310F7F">
        <w:rPr>
          <w:lang w:val="fr-FR"/>
        </w:rPr>
        <w:t xml:space="preserve"> la mise à disposition d</w:t>
      </w:r>
      <w:r w:rsidR="00FD21CB" w:rsidRPr="00310F7F">
        <w:rPr>
          <w:lang w:val="fr-FR"/>
        </w:rPr>
        <w:t>’</w:t>
      </w:r>
      <w:r w:rsidR="00CE38BE" w:rsidRPr="00310F7F">
        <w:rPr>
          <w:lang w:val="fr-FR"/>
        </w:rPr>
        <w:t>experts concernant les questions relatives aux variétés essentiellement dérivées.  Il a noté que le Conseil avait adopté le document UPOV/INF/21/1 “Mécanismes extrajudiciaires de règlement des litiges”</w:t>
      </w:r>
      <w:r w:rsidRPr="00310F7F">
        <w:rPr>
          <w:lang w:val="fr-FR"/>
        </w:rPr>
        <w:t xml:space="preserve"> </w:t>
      </w:r>
      <w:r w:rsidRPr="00310F7F">
        <w:rPr>
          <w:kern w:val="28"/>
          <w:lang w:val="fr-FR"/>
        </w:rPr>
        <w:t>(</w:t>
      </w:r>
      <w:r w:rsidR="00CE38BE" w:rsidRPr="00310F7F">
        <w:rPr>
          <w:kern w:val="28"/>
          <w:lang w:val="fr-FR"/>
        </w:rPr>
        <w:t>voir le paragraphe 13 du</w:t>
      </w:r>
      <w:r w:rsidRPr="00310F7F">
        <w:rPr>
          <w:kern w:val="28"/>
          <w:lang w:val="fr-FR"/>
        </w:rPr>
        <w:t xml:space="preserve"> document CAJ/71/10 “</w:t>
      </w:r>
      <w:r w:rsidR="00CE38BE" w:rsidRPr="00310F7F">
        <w:rPr>
          <w:kern w:val="28"/>
          <w:lang w:val="fr-FR"/>
        </w:rPr>
        <w:t>Compte rendu des</w:t>
      </w:r>
      <w:r w:rsidRPr="00310F7F">
        <w:rPr>
          <w:kern w:val="28"/>
          <w:lang w:val="fr-FR"/>
        </w:rPr>
        <w:t xml:space="preserve"> </w:t>
      </w:r>
      <w:r w:rsidR="00CE38BE" w:rsidRPr="00310F7F">
        <w:rPr>
          <w:kern w:val="28"/>
          <w:lang w:val="fr-FR"/>
        </w:rPr>
        <w:t>c</w:t>
      </w:r>
      <w:r w:rsidRPr="00310F7F">
        <w:rPr>
          <w:kern w:val="28"/>
          <w:lang w:val="fr-FR"/>
        </w:rPr>
        <w:t>onclusions”)</w:t>
      </w:r>
      <w:r w:rsidRPr="00310F7F">
        <w:rPr>
          <w:lang w:val="fr-FR"/>
        </w:rPr>
        <w:t>.</w:t>
      </w:r>
    </w:p>
    <w:p w:rsidR="003C1402" w:rsidRPr="00310F7F" w:rsidRDefault="003C1402" w:rsidP="00BA5523">
      <w:pPr>
        <w:rPr>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C4286E" w:rsidRPr="00310F7F">
        <w:rPr>
          <w:lang w:val="fr-FR"/>
        </w:rPr>
        <w:t>Le CAJ est convenu d</w:t>
      </w:r>
      <w:r w:rsidR="00FD21CB" w:rsidRPr="00310F7F">
        <w:rPr>
          <w:lang w:val="fr-FR"/>
        </w:rPr>
        <w:t>’</w:t>
      </w:r>
      <w:r w:rsidR="00C4286E" w:rsidRPr="00310F7F">
        <w:rPr>
          <w:lang w:val="fr-FR"/>
        </w:rPr>
        <w:t>examiner un nouveau projet de “Notes explicatives sur les variétés essentiellement dérivées selon l</w:t>
      </w:r>
      <w:r w:rsidR="00FD21CB" w:rsidRPr="00310F7F">
        <w:rPr>
          <w:lang w:val="fr-FR"/>
        </w:rPr>
        <w:t>’</w:t>
      </w:r>
      <w:r w:rsidR="00C4286E" w:rsidRPr="00310F7F">
        <w:rPr>
          <w:lang w:val="fr-FR"/>
        </w:rPr>
        <w:t xml:space="preserve">Acte de 1991 de la </w:t>
      </w:r>
      <w:r w:rsidR="00FD21CB" w:rsidRPr="00310F7F">
        <w:rPr>
          <w:lang w:val="fr-FR"/>
        </w:rPr>
        <w:t>Convention UPOV</w:t>
      </w:r>
      <w:r w:rsidR="00C4286E" w:rsidRPr="00310F7F">
        <w:rPr>
          <w:lang w:val="fr-FR"/>
        </w:rPr>
        <w:t>” (révision) (document UPOV/EXN/EDV/2 </w:t>
      </w:r>
      <w:proofErr w:type="spellStart"/>
      <w:r w:rsidR="00C4286E" w:rsidRPr="00310F7F">
        <w:rPr>
          <w:lang w:val="fr-FR"/>
        </w:rPr>
        <w:t>Draft</w:t>
      </w:r>
      <w:proofErr w:type="spellEnd"/>
      <w:r w:rsidR="00C4286E" w:rsidRPr="00310F7F">
        <w:rPr>
          <w:lang w:val="fr-FR"/>
        </w:rPr>
        <w:t> 6) à sa soixante</w:t>
      </w:r>
      <w:r w:rsidR="00FF3774" w:rsidRPr="00310F7F">
        <w:rPr>
          <w:lang w:val="fr-FR"/>
        </w:rPr>
        <w:noBreakHyphen/>
      </w:r>
      <w:r w:rsidR="00C4286E" w:rsidRPr="00310F7F">
        <w:rPr>
          <w:lang w:val="fr-FR"/>
        </w:rPr>
        <w:t xml:space="preserve">douzième session </w:t>
      </w:r>
      <w:r w:rsidRPr="00310F7F">
        <w:rPr>
          <w:kern w:val="28"/>
          <w:lang w:val="fr-FR"/>
        </w:rPr>
        <w:t>(</w:t>
      </w:r>
      <w:r w:rsidR="00C4286E" w:rsidRPr="00310F7F">
        <w:rPr>
          <w:kern w:val="28"/>
          <w:lang w:val="fr-FR"/>
        </w:rPr>
        <w:t>voir le paragraphe 14 du</w:t>
      </w:r>
      <w:r w:rsidRPr="00310F7F">
        <w:rPr>
          <w:kern w:val="28"/>
          <w:lang w:val="fr-FR"/>
        </w:rPr>
        <w:t xml:space="preserve"> document CAJ/71/10 “</w:t>
      </w:r>
      <w:r w:rsidR="00C4286E" w:rsidRPr="00310F7F">
        <w:rPr>
          <w:kern w:val="28"/>
          <w:lang w:val="fr-FR"/>
        </w:rPr>
        <w:t>Compte rendu des</w:t>
      </w:r>
      <w:r w:rsidRPr="00310F7F">
        <w:rPr>
          <w:kern w:val="28"/>
          <w:lang w:val="fr-FR"/>
        </w:rPr>
        <w:t xml:space="preserve"> </w:t>
      </w:r>
      <w:r w:rsidR="00C4286E" w:rsidRPr="00310F7F">
        <w:rPr>
          <w:kern w:val="28"/>
          <w:lang w:val="fr-FR"/>
        </w:rPr>
        <w:t>c</w:t>
      </w:r>
      <w:r w:rsidRPr="00310F7F">
        <w:rPr>
          <w:kern w:val="28"/>
          <w:lang w:val="fr-FR"/>
        </w:rPr>
        <w:t>onclusions”)</w:t>
      </w:r>
      <w:r w:rsidRPr="00310F7F">
        <w:rPr>
          <w:lang w:val="fr-FR"/>
        </w:rPr>
        <w:t>.</w:t>
      </w:r>
    </w:p>
    <w:p w:rsidR="003C1402" w:rsidRPr="00310F7F" w:rsidRDefault="003C1402" w:rsidP="00BA5523">
      <w:pPr>
        <w:rPr>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C4286E" w:rsidRPr="00310F7F">
        <w:rPr>
          <w:lang w:val="fr-FR"/>
        </w:rPr>
        <w:t>Le CAJ est convenu d</w:t>
      </w:r>
      <w:r w:rsidR="00FD21CB" w:rsidRPr="00310F7F">
        <w:rPr>
          <w:lang w:val="fr-FR"/>
        </w:rPr>
        <w:t>’</w:t>
      </w:r>
      <w:r w:rsidR="00C4286E" w:rsidRPr="00310F7F">
        <w:rPr>
          <w:lang w:val="fr-FR"/>
        </w:rPr>
        <w:t>examiner un nouveau projet de “Notes explicatives sur le matériel de reproduction ou de multiplication selon l</w:t>
      </w:r>
      <w:r w:rsidR="00FD21CB" w:rsidRPr="00310F7F">
        <w:rPr>
          <w:lang w:val="fr-FR"/>
        </w:rPr>
        <w:t>’</w:t>
      </w:r>
      <w:r w:rsidR="00C4286E" w:rsidRPr="00310F7F">
        <w:rPr>
          <w:lang w:val="fr-FR"/>
        </w:rPr>
        <w:t xml:space="preserve">Acte de 1991 de la </w:t>
      </w:r>
      <w:r w:rsidR="00FD21CB" w:rsidRPr="00310F7F">
        <w:rPr>
          <w:lang w:val="fr-FR"/>
        </w:rPr>
        <w:t>Convention UPOV</w:t>
      </w:r>
      <w:r w:rsidR="00C4286E" w:rsidRPr="00310F7F">
        <w:rPr>
          <w:lang w:val="fr-FR"/>
        </w:rPr>
        <w:t>” (document UPOV/EXN/PPM/1 </w:t>
      </w:r>
      <w:proofErr w:type="spellStart"/>
      <w:r w:rsidR="00C4286E" w:rsidRPr="00310F7F">
        <w:rPr>
          <w:lang w:val="fr-FR"/>
        </w:rPr>
        <w:t>Draft</w:t>
      </w:r>
      <w:proofErr w:type="spellEnd"/>
      <w:r w:rsidR="00C4286E" w:rsidRPr="00310F7F">
        <w:rPr>
          <w:lang w:val="fr-FR"/>
        </w:rPr>
        <w:t> 5) à sa soixante</w:t>
      </w:r>
      <w:r w:rsidR="00FF3774" w:rsidRPr="00310F7F">
        <w:rPr>
          <w:lang w:val="fr-FR"/>
        </w:rPr>
        <w:noBreakHyphen/>
      </w:r>
      <w:r w:rsidR="00C4286E" w:rsidRPr="00310F7F">
        <w:rPr>
          <w:lang w:val="fr-FR"/>
        </w:rPr>
        <w:t>douzième session, incorporant les modifications suivantes</w:t>
      </w:r>
      <w:r w:rsidRPr="00310F7F">
        <w:rPr>
          <w:lang w:val="fr-FR"/>
        </w:rPr>
        <w:t xml:space="preserve"> </w:t>
      </w:r>
      <w:r w:rsidR="00A572EB" w:rsidRPr="00310F7F">
        <w:rPr>
          <w:kern w:val="28"/>
          <w:lang w:val="fr-FR"/>
        </w:rPr>
        <w:t>(</w:t>
      </w:r>
      <w:r w:rsidR="00EC757B" w:rsidRPr="00310F7F">
        <w:rPr>
          <w:kern w:val="28"/>
          <w:lang w:val="fr-FR"/>
        </w:rPr>
        <w:t>voir le paragraphe 15 du</w:t>
      </w:r>
      <w:r w:rsidR="00A572EB" w:rsidRPr="00310F7F">
        <w:rPr>
          <w:kern w:val="28"/>
          <w:lang w:val="fr-FR"/>
        </w:rPr>
        <w:t xml:space="preserve"> document CAJ/71/10 “</w:t>
      </w:r>
      <w:r w:rsidR="00EC757B" w:rsidRPr="00310F7F">
        <w:rPr>
          <w:kern w:val="28"/>
          <w:lang w:val="fr-FR"/>
        </w:rPr>
        <w:t>Compte rendu des c</w:t>
      </w:r>
      <w:r w:rsidR="00A572EB" w:rsidRPr="00310F7F">
        <w:rPr>
          <w:kern w:val="28"/>
          <w:lang w:val="fr-FR"/>
        </w:rPr>
        <w:t>onclusions)</w:t>
      </w:r>
      <w:r w:rsidR="00EC757B" w:rsidRPr="00310F7F">
        <w:rPr>
          <w:kern w:val="28"/>
          <w:lang w:val="fr-FR"/>
        </w:rPr>
        <w:t> </w:t>
      </w:r>
      <w:r w:rsidRPr="00310F7F">
        <w:rPr>
          <w:kern w:val="28"/>
          <w:lang w:val="fr-FR"/>
        </w:rPr>
        <w:t>:</w:t>
      </w:r>
    </w:p>
    <w:p w:rsidR="003C1402" w:rsidRPr="00310F7F" w:rsidRDefault="003C1402" w:rsidP="00BA5523">
      <w:pPr>
        <w:rPr>
          <w:lang w:val="fr-FR"/>
        </w:rPr>
      </w:pPr>
    </w:p>
    <w:p w:rsidR="003C1402" w:rsidRPr="00310F7F" w:rsidRDefault="003C1402" w:rsidP="00BA5523">
      <w:pPr>
        <w:ind w:left="567"/>
        <w:rPr>
          <w:lang w:val="fr-FR"/>
        </w:rPr>
      </w:pPr>
      <w:r w:rsidRPr="00310F7F">
        <w:rPr>
          <w:lang w:val="fr-FR"/>
        </w:rPr>
        <w:t>a)</w:t>
      </w:r>
      <w:r w:rsidRPr="00310F7F">
        <w:rPr>
          <w:lang w:val="fr-FR"/>
        </w:rPr>
        <w:tab/>
      </w:r>
      <w:r w:rsidR="00EC757B" w:rsidRPr="00310F7F">
        <w:rPr>
          <w:lang w:val="fr-FR"/>
        </w:rPr>
        <w:t xml:space="preserve">inclure la référence à la </w:t>
      </w:r>
      <w:r w:rsidR="00FD21CB" w:rsidRPr="00310F7F">
        <w:rPr>
          <w:lang w:val="fr-FR"/>
        </w:rPr>
        <w:t>Convention UPOV</w:t>
      </w:r>
      <w:r w:rsidR="00EC757B" w:rsidRPr="00310F7F">
        <w:rPr>
          <w:lang w:val="fr-FR"/>
        </w:rPr>
        <w:t xml:space="preserve"> dans le titre du document et dans le préambule;</w:t>
      </w:r>
    </w:p>
    <w:p w:rsidR="003C1402" w:rsidRPr="00310F7F" w:rsidRDefault="003C1402" w:rsidP="00BA5523">
      <w:pPr>
        <w:ind w:left="567"/>
        <w:rPr>
          <w:lang w:val="fr-FR"/>
        </w:rPr>
      </w:pPr>
    </w:p>
    <w:p w:rsidR="003C1402" w:rsidRPr="00310F7F" w:rsidRDefault="003C1402" w:rsidP="00BA5523">
      <w:pPr>
        <w:ind w:left="567"/>
        <w:rPr>
          <w:lang w:val="fr-FR"/>
        </w:rPr>
      </w:pPr>
      <w:r w:rsidRPr="00310F7F">
        <w:rPr>
          <w:lang w:val="fr-FR"/>
        </w:rPr>
        <w:t>b)</w:t>
      </w:r>
      <w:r w:rsidRPr="00310F7F">
        <w:rPr>
          <w:lang w:val="fr-FR"/>
        </w:rPr>
        <w:tab/>
      </w:r>
      <w:r w:rsidR="00EC757B" w:rsidRPr="00310F7F">
        <w:rPr>
          <w:lang w:val="fr-FR"/>
        </w:rPr>
        <w:t>actualiser la section</w:t>
      </w:r>
      <w:r w:rsidR="003B2AC4" w:rsidRPr="00310F7F">
        <w:rPr>
          <w:lang w:val="fr-FR"/>
        </w:rPr>
        <w:t> </w:t>
      </w:r>
      <w:r w:rsidR="00EC757B" w:rsidRPr="00310F7F">
        <w:rPr>
          <w:lang w:val="fr-FR"/>
        </w:rPr>
        <w:t>a) pour y faire figurer les articles pertinents de l</w:t>
      </w:r>
      <w:r w:rsidR="00FD21CB" w:rsidRPr="00310F7F">
        <w:rPr>
          <w:lang w:val="fr-FR"/>
        </w:rPr>
        <w:t>’</w:t>
      </w:r>
      <w:r w:rsidR="00EC757B" w:rsidRPr="00310F7F">
        <w:rPr>
          <w:lang w:val="fr-FR"/>
        </w:rPr>
        <w:t>Acte de 1978;</w:t>
      </w:r>
    </w:p>
    <w:p w:rsidR="003C1402" w:rsidRPr="00310F7F" w:rsidRDefault="003C1402" w:rsidP="00BA5523">
      <w:pPr>
        <w:ind w:left="567"/>
        <w:rPr>
          <w:lang w:val="fr-FR"/>
        </w:rPr>
      </w:pPr>
    </w:p>
    <w:p w:rsidR="003C1402" w:rsidRPr="00310F7F" w:rsidRDefault="003C1402" w:rsidP="00BA5523">
      <w:pPr>
        <w:ind w:left="567"/>
        <w:rPr>
          <w:lang w:val="fr-FR"/>
        </w:rPr>
      </w:pPr>
      <w:r w:rsidRPr="00310F7F">
        <w:rPr>
          <w:lang w:val="fr-FR"/>
        </w:rPr>
        <w:t>c)</w:t>
      </w:r>
      <w:r w:rsidRPr="00310F7F">
        <w:rPr>
          <w:lang w:val="fr-FR"/>
        </w:rPr>
        <w:tab/>
      </w:r>
      <w:r w:rsidR="00EC757B" w:rsidRPr="00310F7F">
        <w:rPr>
          <w:lang w:val="fr-FR"/>
        </w:rPr>
        <w:t>supprimer les</w:t>
      </w:r>
      <w:r w:rsidRPr="00310F7F">
        <w:rPr>
          <w:lang w:val="fr-FR"/>
        </w:rPr>
        <w:t xml:space="preserve"> paragraph</w:t>
      </w:r>
      <w:r w:rsidR="00EC757B" w:rsidRPr="00310F7F">
        <w:rPr>
          <w:lang w:val="fr-FR"/>
        </w:rPr>
        <w:t>e</w:t>
      </w:r>
      <w:r w:rsidRPr="00310F7F">
        <w:rPr>
          <w:lang w:val="fr-FR"/>
        </w:rPr>
        <w:t>s</w:t>
      </w:r>
      <w:r w:rsidR="00EC757B" w:rsidRPr="00310F7F">
        <w:rPr>
          <w:lang w:val="fr-FR"/>
        </w:rPr>
        <w:t> </w:t>
      </w:r>
      <w:r w:rsidRPr="00310F7F">
        <w:rPr>
          <w:lang w:val="fr-FR"/>
        </w:rPr>
        <w:t xml:space="preserve">2 </w:t>
      </w:r>
      <w:r w:rsidR="00EC757B" w:rsidRPr="00310F7F">
        <w:rPr>
          <w:lang w:val="fr-FR"/>
        </w:rPr>
        <w:t>et </w:t>
      </w:r>
      <w:r w:rsidRPr="00310F7F">
        <w:rPr>
          <w:lang w:val="fr-FR"/>
        </w:rPr>
        <w:t xml:space="preserve">3;  </w:t>
      </w:r>
      <w:r w:rsidR="00EC757B" w:rsidRPr="00310F7F">
        <w:rPr>
          <w:lang w:val="fr-FR"/>
        </w:rPr>
        <w:t>et</w:t>
      </w:r>
    </w:p>
    <w:p w:rsidR="003C1402" w:rsidRPr="00310F7F" w:rsidRDefault="003C1402" w:rsidP="00BA5523">
      <w:pPr>
        <w:ind w:left="567"/>
        <w:rPr>
          <w:lang w:val="fr-FR"/>
        </w:rPr>
      </w:pPr>
    </w:p>
    <w:p w:rsidR="003C1402" w:rsidRPr="00310F7F" w:rsidRDefault="003C1402" w:rsidP="00BA5523">
      <w:pPr>
        <w:ind w:left="567"/>
        <w:rPr>
          <w:lang w:val="fr-FR"/>
        </w:rPr>
      </w:pPr>
      <w:r w:rsidRPr="00310F7F">
        <w:rPr>
          <w:lang w:val="fr-FR"/>
        </w:rPr>
        <w:t>d)</w:t>
      </w:r>
      <w:r w:rsidRPr="00310F7F">
        <w:rPr>
          <w:lang w:val="fr-FR"/>
        </w:rPr>
        <w:tab/>
      </w:r>
      <w:r w:rsidR="00EC757B" w:rsidRPr="00310F7F">
        <w:rPr>
          <w:lang w:val="fr-FR"/>
        </w:rPr>
        <w:t>remplacer le verbe “décider” par “déterminer” au paragraphe 4.</w:t>
      </w:r>
    </w:p>
    <w:p w:rsidR="003C1402" w:rsidRPr="00310F7F" w:rsidRDefault="003C1402" w:rsidP="00BA5523">
      <w:pPr>
        <w:rPr>
          <w:lang w:val="fr-FR"/>
        </w:rPr>
      </w:pPr>
    </w:p>
    <w:p w:rsidR="00FD21CB"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AA2C39" w:rsidRPr="00310F7F">
        <w:rPr>
          <w:lang w:val="fr-FR"/>
        </w:rPr>
        <w:t>Le CAJ a pris note de la conclusion adoptée par</w:t>
      </w:r>
      <w:r w:rsidR="00FD21CB" w:rsidRPr="00310F7F">
        <w:rPr>
          <w:lang w:val="fr-FR"/>
        </w:rPr>
        <w:t xml:space="preserve"> le CAJ</w:t>
      </w:r>
      <w:r w:rsidR="00FF3774" w:rsidRPr="00310F7F">
        <w:rPr>
          <w:lang w:val="fr-FR"/>
        </w:rPr>
        <w:noBreakHyphen/>
      </w:r>
      <w:r w:rsidR="00AA2C39" w:rsidRPr="00310F7F">
        <w:rPr>
          <w:lang w:val="fr-FR"/>
        </w:rPr>
        <w:t xml:space="preserve">AG à sa neuvième session, selon laquelle il ne serait pas approprié pour le moment de chercher à élaborer une révision du document “Notes explicatives sur les actes </w:t>
      </w:r>
      <w:r w:rsidR="00FD21CB" w:rsidRPr="00310F7F">
        <w:rPr>
          <w:lang w:val="fr-FR"/>
        </w:rPr>
        <w:t>à l’égard</w:t>
      </w:r>
      <w:r w:rsidR="00AA2C39" w:rsidRPr="00310F7F">
        <w:rPr>
          <w:lang w:val="fr-FR"/>
        </w:rPr>
        <w:t xml:space="preserve"> du produit de la récolte selon l</w:t>
      </w:r>
      <w:r w:rsidR="00FD21CB" w:rsidRPr="00310F7F">
        <w:rPr>
          <w:lang w:val="fr-FR"/>
        </w:rPr>
        <w:t>’</w:t>
      </w:r>
      <w:r w:rsidR="00AA2C39" w:rsidRPr="00310F7F">
        <w:rPr>
          <w:lang w:val="fr-FR"/>
        </w:rPr>
        <w:t xml:space="preserve">Acte de 1991 de la </w:t>
      </w:r>
      <w:r w:rsidR="00FD21CB" w:rsidRPr="00310F7F">
        <w:rPr>
          <w:lang w:val="fr-FR"/>
        </w:rPr>
        <w:t>Convention UPOV</w:t>
      </w:r>
      <w:r w:rsidR="00AA2C39" w:rsidRPr="00310F7F">
        <w:rPr>
          <w:lang w:val="fr-FR"/>
        </w:rPr>
        <w:t>” (document UPOV/EXN/HRV/1).</w:t>
      </w:r>
      <w:r w:rsidRPr="00310F7F">
        <w:rPr>
          <w:lang w:val="fr-FR"/>
        </w:rPr>
        <w:t xml:space="preserve"> </w:t>
      </w:r>
      <w:r w:rsidR="00AA2C39" w:rsidRPr="00310F7F">
        <w:rPr>
          <w:lang w:val="fr-FR"/>
        </w:rPr>
        <w:t xml:space="preserve"> Il a toutefois jugé utile d</w:t>
      </w:r>
      <w:r w:rsidR="00FD21CB" w:rsidRPr="00310F7F">
        <w:rPr>
          <w:lang w:val="fr-FR"/>
        </w:rPr>
        <w:t>’</w:t>
      </w:r>
      <w:r w:rsidR="00AA2C39" w:rsidRPr="00310F7F">
        <w:rPr>
          <w:lang w:val="fr-FR"/>
        </w:rPr>
        <w:t>inviter les membres de l</w:t>
      </w:r>
      <w:r w:rsidR="00FD21CB" w:rsidRPr="00310F7F">
        <w:rPr>
          <w:lang w:val="fr-FR"/>
        </w:rPr>
        <w:t>’</w:t>
      </w:r>
      <w:r w:rsidR="00AA2C39" w:rsidRPr="00310F7F">
        <w:rPr>
          <w:lang w:val="fr-FR"/>
        </w:rPr>
        <w:t>Union, à sa soixante</w:t>
      </w:r>
      <w:r w:rsidR="00FF3774" w:rsidRPr="00310F7F">
        <w:rPr>
          <w:lang w:val="fr-FR"/>
        </w:rPr>
        <w:noBreakHyphen/>
      </w:r>
      <w:r w:rsidR="00AA2C39" w:rsidRPr="00310F7F">
        <w:rPr>
          <w:lang w:val="fr-FR"/>
        </w:rPr>
        <w:t>douzième</w:t>
      </w:r>
      <w:r w:rsidR="003B2AC4" w:rsidRPr="00310F7F">
        <w:rPr>
          <w:lang w:val="fr-FR"/>
        </w:rPr>
        <w:t> </w:t>
      </w:r>
      <w:r w:rsidR="00AA2C39" w:rsidRPr="00310F7F">
        <w:rPr>
          <w:lang w:val="fr-FR"/>
        </w:rPr>
        <w:t>session, à présenter les questions concernant le produit de la récolte qui devraient être examinées dans le cadre d</w:t>
      </w:r>
      <w:r w:rsidR="00FD21CB" w:rsidRPr="00310F7F">
        <w:rPr>
          <w:lang w:val="fr-FR"/>
        </w:rPr>
        <w:t>’</w:t>
      </w:r>
      <w:r w:rsidR="00AA2C39" w:rsidRPr="00310F7F">
        <w:rPr>
          <w:lang w:val="fr-FR"/>
        </w:rPr>
        <w:t xml:space="preserve">une révision éventuelle du document UPOV/EXN/HRV/1 comme point de départ </w:t>
      </w:r>
      <w:r w:rsidR="00AA2C39" w:rsidRPr="00310F7F">
        <w:rPr>
          <w:lang w:val="fr-FR"/>
        </w:rPr>
        <w:lastRenderedPageBreak/>
        <w:t>pour l</w:t>
      </w:r>
      <w:r w:rsidR="00FD21CB" w:rsidRPr="00310F7F">
        <w:rPr>
          <w:lang w:val="fr-FR"/>
        </w:rPr>
        <w:t>’</w:t>
      </w:r>
      <w:r w:rsidR="00AA2C39" w:rsidRPr="00310F7F">
        <w:rPr>
          <w:lang w:val="fr-FR"/>
        </w:rPr>
        <w:t>examen des options possibles concernant la poursuite de ses travaux</w:t>
      </w:r>
      <w:r w:rsidR="007726FE" w:rsidRPr="00310F7F">
        <w:rPr>
          <w:lang w:val="fr-FR"/>
        </w:rPr>
        <w:t xml:space="preserve"> </w:t>
      </w:r>
      <w:r w:rsidR="007726FE" w:rsidRPr="00310F7F">
        <w:rPr>
          <w:kern w:val="28"/>
          <w:lang w:val="fr-FR"/>
        </w:rPr>
        <w:t>(</w:t>
      </w:r>
      <w:r w:rsidR="00AA2C39" w:rsidRPr="00310F7F">
        <w:rPr>
          <w:kern w:val="28"/>
          <w:lang w:val="fr-FR"/>
        </w:rPr>
        <w:t>voir le paragraphe 16 du</w:t>
      </w:r>
      <w:r w:rsidR="007726FE" w:rsidRPr="00310F7F">
        <w:rPr>
          <w:kern w:val="28"/>
          <w:lang w:val="fr-FR"/>
        </w:rPr>
        <w:t xml:space="preserve"> document CAJ/71/10 “</w:t>
      </w:r>
      <w:r w:rsidR="00AA2C39" w:rsidRPr="00310F7F">
        <w:rPr>
          <w:kern w:val="28"/>
          <w:lang w:val="fr-FR"/>
        </w:rPr>
        <w:t>Compte rendu des</w:t>
      </w:r>
      <w:r w:rsidR="007726FE" w:rsidRPr="00310F7F">
        <w:rPr>
          <w:kern w:val="28"/>
          <w:lang w:val="fr-FR"/>
        </w:rPr>
        <w:t xml:space="preserve"> </w:t>
      </w:r>
      <w:r w:rsidR="00AA2C39" w:rsidRPr="00310F7F">
        <w:rPr>
          <w:kern w:val="28"/>
          <w:lang w:val="fr-FR"/>
        </w:rPr>
        <w:t>c</w:t>
      </w:r>
      <w:r w:rsidR="007726FE" w:rsidRPr="00310F7F">
        <w:rPr>
          <w:kern w:val="28"/>
          <w:lang w:val="fr-FR"/>
        </w:rPr>
        <w:t>onclusions”)</w:t>
      </w:r>
      <w:r w:rsidRPr="00310F7F">
        <w:rPr>
          <w:lang w:val="fr-FR"/>
        </w:rPr>
        <w:t>.</w:t>
      </w:r>
    </w:p>
    <w:p w:rsidR="003C1402" w:rsidRPr="00310F7F" w:rsidRDefault="003C1402" w:rsidP="00BA5523">
      <w:pPr>
        <w:rPr>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AA2C39" w:rsidRPr="00310F7F">
        <w:rPr>
          <w:lang w:val="fr-FR"/>
        </w:rPr>
        <w:t>Le CAJ a approuvé le document UPOV/EXN/CAN/2 </w:t>
      </w:r>
      <w:proofErr w:type="spellStart"/>
      <w:r w:rsidR="00AA2C39" w:rsidRPr="00310F7F">
        <w:rPr>
          <w:lang w:val="fr-FR"/>
        </w:rPr>
        <w:t>Draft</w:t>
      </w:r>
      <w:proofErr w:type="spellEnd"/>
      <w:r w:rsidR="00AA2C39" w:rsidRPr="00310F7F">
        <w:rPr>
          <w:lang w:val="fr-FR"/>
        </w:rPr>
        <w:t> 3 en tant que base pour la révision des “Notes explicatives sur la déchéance de l</w:t>
      </w:r>
      <w:r w:rsidR="00FD21CB" w:rsidRPr="00310F7F">
        <w:rPr>
          <w:lang w:val="fr-FR"/>
        </w:rPr>
        <w:t>’</w:t>
      </w:r>
      <w:r w:rsidR="00AA2C39" w:rsidRPr="00310F7F">
        <w:rPr>
          <w:lang w:val="fr-FR"/>
        </w:rPr>
        <w:t xml:space="preserve">obtenteur selon la </w:t>
      </w:r>
      <w:r w:rsidR="00FD21CB" w:rsidRPr="00310F7F">
        <w:rPr>
          <w:lang w:val="fr-FR"/>
        </w:rPr>
        <w:t>Convention UPOV</w:t>
      </w:r>
      <w:r w:rsidR="00AA2C39" w:rsidRPr="00310F7F">
        <w:rPr>
          <w:lang w:val="fr-FR"/>
        </w:rPr>
        <w:t>” (révision) (document UPOV/EXN/CAN/1) par le Conseil à sa quarante</w:t>
      </w:r>
      <w:r w:rsidR="00FF3774" w:rsidRPr="00310F7F">
        <w:rPr>
          <w:lang w:val="fr-FR"/>
        </w:rPr>
        <w:noBreakHyphen/>
      </w:r>
      <w:r w:rsidR="00AA2C39" w:rsidRPr="00310F7F">
        <w:rPr>
          <w:lang w:val="fr-FR"/>
        </w:rPr>
        <w:t>neuvième session ordinaire, prévue le 29 octobre 2015</w:t>
      </w:r>
      <w:r w:rsidR="007726FE" w:rsidRPr="00310F7F">
        <w:rPr>
          <w:lang w:val="fr-FR"/>
        </w:rPr>
        <w:t xml:space="preserve"> </w:t>
      </w:r>
      <w:r w:rsidR="007726FE" w:rsidRPr="00310F7F">
        <w:rPr>
          <w:kern w:val="28"/>
          <w:lang w:val="fr-FR"/>
        </w:rPr>
        <w:t>(</w:t>
      </w:r>
      <w:r w:rsidR="00AA2C39" w:rsidRPr="00310F7F">
        <w:rPr>
          <w:kern w:val="28"/>
          <w:lang w:val="fr-FR"/>
        </w:rPr>
        <w:t>voir le paragraphe 17 du</w:t>
      </w:r>
      <w:r w:rsidR="007726FE" w:rsidRPr="00310F7F">
        <w:rPr>
          <w:kern w:val="28"/>
          <w:lang w:val="fr-FR"/>
        </w:rPr>
        <w:t xml:space="preserve"> document CAJ/71/10 “</w:t>
      </w:r>
      <w:r w:rsidR="00AA2C39" w:rsidRPr="00310F7F">
        <w:rPr>
          <w:kern w:val="28"/>
          <w:lang w:val="fr-FR"/>
        </w:rPr>
        <w:t>Compte rendu des</w:t>
      </w:r>
      <w:r w:rsidR="007726FE" w:rsidRPr="00310F7F">
        <w:rPr>
          <w:kern w:val="28"/>
          <w:lang w:val="fr-FR"/>
        </w:rPr>
        <w:t xml:space="preserve"> </w:t>
      </w:r>
      <w:r w:rsidR="00AA2C39" w:rsidRPr="00310F7F">
        <w:rPr>
          <w:kern w:val="28"/>
          <w:lang w:val="fr-FR"/>
        </w:rPr>
        <w:t>c</w:t>
      </w:r>
      <w:r w:rsidR="007726FE" w:rsidRPr="00310F7F">
        <w:rPr>
          <w:kern w:val="28"/>
          <w:lang w:val="fr-FR"/>
        </w:rPr>
        <w:t>onclusions”)</w:t>
      </w:r>
      <w:r w:rsidRPr="00310F7F">
        <w:rPr>
          <w:lang w:val="fr-FR"/>
        </w:rPr>
        <w:t>.</w:t>
      </w:r>
    </w:p>
    <w:p w:rsidR="007726FE" w:rsidRPr="00310F7F" w:rsidRDefault="007726FE" w:rsidP="00BA5523">
      <w:pPr>
        <w:rPr>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AA2C39" w:rsidRPr="00310F7F">
        <w:rPr>
          <w:lang w:val="fr-FR"/>
        </w:rPr>
        <w:t xml:space="preserve">Le CAJ </w:t>
      </w:r>
      <w:r w:rsidR="00707DDB" w:rsidRPr="00310F7F">
        <w:rPr>
          <w:lang w:val="fr-FR"/>
        </w:rPr>
        <w:t xml:space="preserve">a </w:t>
      </w:r>
      <w:r w:rsidR="00AA2C39" w:rsidRPr="00310F7F">
        <w:rPr>
          <w:lang w:val="fr-FR"/>
        </w:rPr>
        <w:t>not</w:t>
      </w:r>
      <w:r w:rsidR="00707DDB" w:rsidRPr="00310F7F">
        <w:rPr>
          <w:lang w:val="fr-FR"/>
        </w:rPr>
        <w:t>é</w:t>
      </w:r>
      <w:r w:rsidR="00AA2C39" w:rsidRPr="00310F7F">
        <w:rPr>
          <w:lang w:val="fr-FR"/>
        </w:rPr>
        <w:t xml:space="preserve"> qu</w:t>
      </w:r>
      <w:r w:rsidR="00FD21CB" w:rsidRPr="00310F7F">
        <w:rPr>
          <w:lang w:val="fr-FR"/>
        </w:rPr>
        <w:t>’</w:t>
      </w:r>
      <w:r w:rsidR="00AA2C39" w:rsidRPr="00310F7F">
        <w:rPr>
          <w:lang w:val="fr-FR"/>
        </w:rPr>
        <w:t>à sa soixante</w:t>
      </w:r>
      <w:r w:rsidR="00FF3774" w:rsidRPr="00310F7F">
        <w:rPr>
          <w:lang w:val="fr-FR"/>
        </w:rPr>
        <w:noBreakHyphen/>
      </w:r>
      <w:r w:rsidR="00AA2C39" w:rsidRPr="00310F7F">
        <w:rPr>
          <w:lang w:val="fr-FR"/>
        </w:rPr>
        <w:t>neuvième</w:t>
      </w:r>
      <w:r w:rsidR="00707DDB" w:rsidRPr="00310F7F">
        <w:rPr>
          <w:lang w:val="fr-FR"/>
        </w:rPr>
        <w:t> </w:t>
      </w:r>
      <w:r w:rsidR="00AA2C39" w:rsidRPr="00310F7F">
        <w:rPr>
          <w:lang w:val="fr-FR"/>
        </w:rPr>
        <w:t xml:space="preserve">session, il </w:t>
      </w:r>
      <w:r w:rsidR="00707DDB" w:rsidRPr="00310F7F">
        <w:rPr>
          <w:lang w:val="fr-FR"/>
        </w:rPr>
        <w:t>étai</w:t>
      </w:r>
      <w:r w:rsidR="00AA2C39" w:rsidRPr="00310F7F">
        <w:rPr>
          <w:lang w:val="fr-FR"/>
        </w:rPr>
        <w:t>t convenu d</w:t>
      </w:r>
      <w:r w:rsidR="00FD21CB" w:rsidRPr="00310F7F">
        <w:rPr>
          <w:lang w:val="fr-FR"/>
        </w:rPr>
        <w:t>’</w:t>
      </w:r>
      <w:r w:rsidR="00AA2C39" w:rsidRPr="00310F7F">
        <w:rPr>
          <w:lang w:val="fr-FR"/>
        </w:rPr>
        <w:t>inviter le</w:t>
      </w:r>
      <w:r w:rsidR="00FD21CB" w:rsidRPr="00310F7F">
        <w:rPr>
          <w:lang w:val="fr-FR"/>
        </w:rPr>
        <w:t> TC</w:t>
      </w:r>
      <w:r w:rsidR="00AA2C39" w:rsidRPr="00310F7F">
        <w:rPr>
          <w:lang w:val="fr-FR"/>
        </w:rPr>
        <w:t xml:space="preserve"> à envisager l</w:t>
      </w:r>
      <w:r w:rsidR="00FD21CB" w:rsidRPr="00310F7F">
        <w:rPr>
          <w:lang w:val="fr-FR"/>
        </w:rPr>
        <w:t>’</w:t>
      </w:r>
      <w:r w:rsidR="00AA2C39" w:rsidRPr="00310F7F">
        <w:rPr>
          <w:lang w:val="fr-FR"/>
        </w:rPr>
        <w:t>élaboration d</w:t>
      </w:r>
      <w:r w:rsidR="00FD21CB" w:rsidRPr="00310F7F">
        <w:rPr>
          <w:lang w:val="fr-FR"/>
        </w:rPr>
        <w:t>’</w:t>
      </w:r>
      <w:r w:rsidR="00AA2C39" w:rsidRPr="00310F7F">
        <w:rPr>
          <w:lang w:val="fr-FR"/>
        </w:rPr>
        <w:t>orientations sur certaines questions concernant les descriptions variétales</w:t>
      </w:r>
      <w:r w:rsidR="00707DDB" w:rsidRPr="00310F7F">
        <w:rPr>
          <w:lang w:val="fr-FR"/>
        </w:rPr>
        <w:t xml:space="preserve"> (voir le</w:t>
      </w:r>
      <w:r w:rsidR="00AA2C39" w:rsidRPr="00310F7F">
        <w:rPr>
          <w:lang w:val="fr-FR"/>
        </w:rPr>
        <w:t xml:space="preserve"> paragraphe</w:t>
      </w:r>
      <w:r w:rsidR="00707DDB" w:rsidRPr="00310F7F">
        <w:rPr>
          <w:lang w:val="fr-FR"/>
        </w:rPr>
        <w:t> 18</w:t>
      </w:r>
      <w:r w:rsidR="00AA2C39" w:rsidRPr="00310F7F">
        <w:rPr>
          <w:lang w:val="fr-FR"/>
        </w:rPr>
        <w:t xml:space="preserve"> du document CAJ/71/</w:t>
      </w:r>
      <w:r w:rsidR="00707DDB" w:rsidRPr="00310F7F">
        <w:rPr>
          <w:lang w:val="fr-FR"/>
        </w:rPr>
        <w:t>10</w:t>
      </w:r>
      <w:r w:rsidR="007726FE" w:rsidRPr="00310F7F">
        <w:rPr>
          <w:kern w:val="28"/>
          <w:lang w:val="fr-FR"/>
        </w:rPr>
        <w:t xml:space="preserve"> “</w:t>
      </w:r>
      <w:r w:rsidR="00707DDB" w:rsidRPr="00310F7F">
        <w:rPr>
          <w:kern w:val="28"/>
          <w:lang w:val="fr-FR"/>
        </w:rPr>
        <w:t>Compte rendu des</w:t>
      </w:r>
      <w:r w:rsidR="007726FE" w:rsidRPr="00310F7F">
        <w:rPr>
          <w:kern w:val="28"/>
          <w:lang w:val="fr-FR"/>
        </w:rPr>
        <w:t xml:space="preserve"> </w:t>
      </w:r>
      <w:r w:rsidR="00707DDB" w:rsidRPr="00310F7F">
        <w:rPr>
          <w:kern w:val="28"/>
          <w:lang w:val="fr-FR"/>
        </w:rPr>
        <w:t>conclusions”</w:t>
      </w:r>
      <w:r w:rsidR="007726FE" w:rsidRPr="00310F7F">
        <w:rPr>
          <w:kern w:val="28"/>
          <w:lang w:val="fr-FR"/>
        </w:rPr>
        <w:t>)</w:t>
      </w:r>
      <w:r w:rsidRPr="00310F7F">
        <w:rPr>
          <w:lang w:val="fr-FR"/>
        </w:rPr>
        <w:t>.</w:t>
      </w:r>
    </w:p>
    <w:p w:rsidR="003C1402" w:rsidRPr="00310F7F" w:rsidRDefault="003C1402" w:rsidP="00BA5523">
      <w:pPr>
        <w:keepNext/>
        <w:outlineLvl w:val="1"/>
        <w:rPr>
          <w:i/>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DA14EE" w:rsidRPr="00310F7F">
        <w:rPr>
          <w:lang w:val="fr-FR"/>
        </w:rPr>
        <w:t>Le CAJ a approuvé le document UPOV/EXN/NUL/2 </w:t>
      </w:r>
      <w:proofErr w:type="spellStart"/>
      <w:r w:rsidR="00DA14EE" w:rsidRPr="00310F7F">
        <w:rPr>
          <w:lang w:val="fr-FR"/>
        </w:rPr>
        <w:t>Draft</w:t>
      </w:r>
      <w:proofErr w:type="spellEnd"/>
      <w:r w:rsidR="00DA14EE" w:rsidRPr="00310F7F">
        <w:rPr>
          <w:lang w:val="fr-FR"/>
        </w:rPr>
        <w:t> 3 en tant que base pour la révision des “Notes explicatives sur la nullité du droit d</w:t>
      </w:r>
      <w:r w:rsidR="00FD21CB" w:rsidRPr="00310F7F">
        <w:rPr>
          <w:lang w:val="fr-FR"/>
        </w:rPr>
        <w:t>’</w:t>
      </w:r>
      <w:r w:rsidR="00DA14EE" w:rsidRPr="00310F7F">
        <w:rPr>
          <w:lang w:val="fr-FR"/>
        </w:rPr>
        <w:t xml:space="preserve">obtenteur selon la </w:t>
      </w:r>
      <w:r w:rsidR="00FD21CB" w:rsidRPr="00310F7F">
        <w:rPr>
          <w:lang w:val="fr-FR"/>
        </w:rPr>
        <w:t>Convention UPOV</w:t>
      </w:r>
      <w:r w:rsidR="00DA14EE" w:rsidRPr="00310F7F">
        <w:rPr>
          <w:lang w:val="fr-FR"/>
        </w:rPr>
        <w:t>” (révision) (document UPOV/EXN/NUL/1) par le Conseil à sa quarante</w:t>
      </w:r>
      <w:r w:rsidR="00FF3774" w:rsidRPr="00310F7F">
        <w:rPr>
          <w:lang w:val="fr-FR"/>
        </w:rPr>
        <w:noBreakHyphen/>
      </w:r>
      <w:r w:rsidR="00DA14EE" w:rsidRPr="00310F7F">
        <w:rPr>
          <w:lang w:val="fr-FR"/>
        </w:rPr>
        <w:t>neuvième session ordinaire, prévue le 29 octobre 2015 (voir l</w:t>
      </w:r>
      <w:r w:rsidR="006D7691" w:rsidRPr="00310F7F">
        <w:rPr>
          <w:kern w:val="28"/>
          <w:lang w:val="fr-FR"/>
        </w:rPr>
        <w:t xml:space="preserve">e </w:t>
      </w:r>
      <w:r w:rsidR="00DA14EE" w:rsidRPr="00310F7F">
        <w:rPr>
          <w:kern w:val="28"/>
          <w:lang w:val="fr-FR"/>
        </w:rPr>
        <w:t xml:space="preserve">paragraphe 19 du </w:t>
      </w:r>
      <w:r w:rsidR="006D7691" w:rsidRPr="00310F7F">
        <w:rPr>
          <w:kern w:val="28"/>
          <w:lang w:val="fr-FR"/>
        </w:rPr>
        <w:t>document CAJ/71/10 “</w:t>
      </w:r>
      <w:r w:rsidR="00DA14EE" w:rsidRPr="00310F7F">
        <w:rPr>
          <w:kern w:val="28"/>
          <w:lang w:val="fr-FR"/>
        </w:rPr>
        <w:t>Compte rendu des c</w:t>
      </w:r>
      <w:r w:rsidR="006D7691" w:rsidRPr="00310F7F">
        <w:rPr>
          <w:kern w:val="28"/>
          <w:lang w:val="fr-FR"/>
        </w:rPr>
        <w:t>onclusions”)</w:t>
      </w:r>
      <w:r w:rsidR="006D7691" w:rsidRPr="00310F7F">
        <w:rPr>
          <w:lang w:val="fr-FR"/>
        </w:rPr>
        <w:t>.</w:t>
      </w:r>
    </w:p>
    <w:p w:rsidR="003C1402" w:rsidRPr="00310F7F" w:rsidRDefault="003C1402" w:rsidP="00BA5523">
      <w:pPr>
        <w:keepNext/>
        <w:outlineLvl w:val="1"/>
        <w:rPr>
          <w:i/>
          <w:snapToGrid w:val="0"/>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DA14EE" w:rsidRPr="00310F7F">
        <w:rPr>
          <w:lang w:val="fr-FR"/>
        </w:rPr>
        <w:t>Le CAJ a approuvé le document UPOV/EXN/PRP/2 </w:t>
      </w:r>
      <w:proofErr w:type="spellStart"/>
      <w:r w:rsidR="00DA14EE" w:rsidRPr="00310F7F">
        <w:rPr>
          <w:lang w:val="fr-FR"/>
        </w:rPr>
        <w:t>Draft</w:t>
      </w:r>
      <w:proofErr w:type="spellEnd"/>
      <w:r w:rsidR="00DA14EE" w:rsidRPr="00310F7F">
        <w:rPr>
          <w:lang w:val="fr-FR"/>
        </w:rPr>
        <w:t xml:space="preserve"> 3 en tant que base pour la révision des “Notes explicatives sur la protection provisoire selon la </w:t>
      </w:r>
      <w:r w:rsidR="00FD21CB" w:rsidRPr="00310F7F">
        <w:rPr>
          <w:lang w:val="fr-FR"/>
        </w:rPr>
        <w:t>Convention UPOV</w:t>
      </w:r>
      <w:r w:rsidR="00DA14EE" w:rsidRPr="00310F7F">
        <w:rPr>
          <w:lang w:val="fr-FR"/>
        </w:rPr>
        <w:t>” (révision) (document UPOV/EXN/PRP/1) par le Conseil à sa quarante</w:t>
      </w:r>
      <w:r w:rsidR="00FF3774" w:rsidRPr="00310F7F">
        <w:rPr>
          <w:lang w:val="fr-FR"/>
        </w:rPr>
        <w:noBreakHyphen/>
      </w:r>
      <w:r w:rsidR="00DA14EE" w:rsidRPr="00310F7F">
        <w:rPr>
          <w:lang w:val="fr-FR"/>
        </w:rPr>
        <w:t>neuvième session ordinaire, prévue le 29 octobre 2015</w:t>
      </w:r>
      <w:r w:rsidRPr="00310F7F">
        <w:rPr>
          <w:lang w:val="fr-FR"/>
        </w:rPr>
        <w:t xml:space="preserve">, </w:t>
      </w:r>
      <w:r w:rsidR="00DA14EE" w:rsidRPr="00310F7F">
        <w:rPr>
          <w:lang w:val="fr-FR"/>
        </w:rPr>
        <w:t>sous réserve de modificatio</w:t>
      </w:r>
      <w:r w:rsidR="004979B5" w:rsidRPr="00310F7F">
        <w:rPr>
          <w:spacing w:val="-2"/>
          <w:lang w:val="fr-FR"/>
        </w:rPr>
        <w:t>ns</w:t>
      </w:r>
      <w:r w:rsidR="006D7691" w:rsidRPr="00310F7F">
        <w:rPr>
          <w:spacing w:val="-2"/>
          <w:lang w:val="fr-FR"/>
        </w:rPr>
        <w:t xml:space="preserve"> </w:t>
      </w:r>
      <w:r w:rsidR="00DA14EE" w:rsidRPr="00310F7F">
        <w:rPr>
          <w:spacing w:val="-2"/>
          <w:lang w:val="fr-FR"/>
        </w:rPr>
        <w:t xml:space="preserve">spécifiques </w:t>
      </w:r>
      <w:r w:rsidR="006D7691" w:rsidRPr="00310F7F">
        <w:rPr>
          <w:spacing w:val="-2"/>
          <w:kern w:val="28"/>
          <w:lang w:val="fr-FR"/>
        </w:rPr>
        <w:t>(</w:t>
      </w:r>
      <w:r w:rsidR="00DA14EE" w:rsidRPr="00310F7F">
        <w:rPr>
          <w:spacing w:val="-2"/>
          <w:kern w:val="28"/>
          <w:lang w:val="fr-FR"/>
        </w:rPr>
        <w:t>voir le paragraphe 20 du</w:t>
      </w:r>
      <w:r w:rsidR="006D7691" w:rsidRPr="00310F7F">
        <w:rPr>
          <w:spacing w:val="-2"/>
          <w:kern w:val="28"/>
          <w:lang w:val="fr-FR"/>
        </w:rPr>
        <w:t xml:space="preserve"> document CAJ/71/10 “</w:t>
      </w:r>
      <w:r w:rsidR="00DA14EE" w:rsidRPr="00310F7F">
        <w:rPr>
          <w:spacing w:val="-2"/>
          <w:kern w:val="28"/>
          <w:lang w:val="fr-FR"/>
        </w:rPr>
        <w:t>Compte rendu des c</w:t>
      </w:r>
      <w:r w:rsidR="006D7691" w:rsidRPr="00310F7F">
        <w:rPr>
          <w:spacing w:val="-2"/>
          <w:kern w:val="28"/>
          <w:lang w:val="fr-FR"/>
        </w:rPr>
        <w:t>onclusions”)</w:t>
      </w:r>
      <w:r w:rsidR="004979B5" w:rsidRPr="00310F7F">
        <w:rPr>
          <w:spacing w:val="-2"/>
          <w:lang w:val="fr-FR"/>
        </w:rPr>
        <w:t>.</w:t>
      </w:r>
    </w:p>
    <w:p w:rsidR="003C1402" w:rsidRPr="00310F7F" w:rsidRDefault="003C1402" w:rsidP="00BA5523">
      <w:pPr>
        <w:rPr>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DA14EE" w:rsidRPr="00310F7F">
        <w:rPr>
          <w:lang w:val="fr-FR"/>
        </w:rPr>
        <w:t>Le CAJ a souscrit à la conclusion adoptée par</w:t>
      </w:r>
      <w:r w:rsidR="00FD21CB" w:rsidRPr="00310F7F">
        <w:rPr>
          <w:lang w:val="fr-FR"/>
        </w:rPr>
        <w:t xml:space="preserve"> le CAJ</w:t>
      </w:r>
      <w:r w:rsidR="00FF3774" w:rsidRPr="00310F7F">
        <w:rPr>
          <w:lang w:val="fr-FR"/>
        </w:rPr>
        <w:noBreakHyphen/>
      </w:r>
      <w:r w:rsidR="00DA14EE" w:rsidRPr="00310F7F">
        <w:rPr>
          <w:lang w:val="fr-FR"/>
        </w:rPr>
        <w:t>AG, à sa neuvième session, sur le ou les buts de la description variétale élaborée au moment de l</w:t>
      </w:r>
      <w:r w:rsidR="00FD21CB" w:rsidRPr="00310F7F">
        <w:rPr>
          <w:lang w:val="fr-FR"/>
        </w:rPr>
        <w:t>’</w:t>
      </w:r>
      <w:r w:rsidR="00DA14EE" w:rsidRPr="00310F7F">
        <w:rPr>
          <w:lang w:val="fr-FR"/>
        </w:rPr>
        <w:t>octroi du droit d</w:t>
      </w:r>
      <w:r w:rsidR="00FD21CB" w:rsidRPr="00310F7F">
        <w:rPr>
          <w:lang w:val="fr-FR"/>
        </w:rPr>
        <w:t>’</w:t>
      </w:r>
      <w:r w:rsidR="00DA14EE" w:rsidRPr="00310F7F">
        <w:rPr>
          <w:lang w:val="fr-FR"/>
        </w:rPr>
        <w:t>obtenteur (description variétale initiale)</w:t>
      </w:r>
      <w:r w:rsidRPr="00310F7F">
        <w:rPr>
          <w:lang w:val="fr-FR"/>
        </w:rPr>
        <w:t xml:space="preserve"> </w:t>
      </w:r>
      <w:r w:rsidR="006D7691" w:rsidRPr="00310F7F">
        <w:rPr>
          <w:kern w:val="28"/>
          <w:lang w:val="fr-FR"/>
        </w:rPr>
        <w:t>(</w:t>
      </w:r>
      <w:r w:rsidR="00DA14EE" w:rsidRPr="00310F7F">
        <w:rPr>
          <w:kern w:val="28"/>
          <w:lang w:val="fr-FR"/>
        </w:rPr>
        <w:t>voir le paragraphe 21 du</w:t>
      </w:r>
      <w:r w:rsidR="006D7691" w:rsidRPr="00310F7F">
        <w:rPr>
          <w:kern w:val="28"/>
          <w:lang w:val="fr-FR"/>
        </w:rPr>
        <w:t xml:space="preserve"> document CAJ/71/10 “</w:t>
      </w:r>
      <w:r w:rsidR="00DA14EE" w:rsidRPr="00310F7F">
        <w:rPr>
          <w:kern w:val="28"/>
          <w:lang w:val="fr-FR"/>
        </w:rPr>
        <w:t>Compte rendu des c</w:t>
      </w:r>
      <w:r w:rsidR="006D7691" w:rsidRPr="00310F7F">
        <w:rPr>
          <w:kern w:val="28"/>
          <w:lang w:val="fr-FR"/>
        </w:rPr>
        <w:t>onclusions”)</w:t>
      </w:r>
      <w:r w:rsidR="00E36CE1" w:rsidRPr="00310F7F">
        <w:rPr>
          <w:lang w:val="fr-FR"/>
        </w:rPr>
        <w:t>.</w:t>
      </w:r>
    </w:p>
    <w:p w:rsidR="003C1402" w:rsidRPr="00310F7F" w:rsidRDefault="003C1402" w:rsidP="00BA5523">
      <w:pPr>
        <w:rPr>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DA14EE" w:rsidRPr="00310F7F">
        <w:rPr>
          <w:lang w:val="fr-FR"/>
        </w:rPr>
        <w:t>Le CAJ a souscrit à la conclusion adoptée par</w:t>
      </w:r>
      <w:r w:rsidR="00FD21CB" w:rsidRPr="00310F7F">
        <w:rPr>
          <w:lang w:val="fr-FR"/>
        </w:rPr>
        <w:t xml:space="preserve"> le CAJ</w:t>
      </w:r>
      <w:r w:rsidR="00FF3774" w:rsidRPr="00310F7F">
        <w:rPr>
          <w:lang w:val="fr-FR"/>
        </w:rPr>
        <w:noBreakHyphen/>
      </w:r>
      <w:r w:rsidR="00DA14EE" w:rsidRPr="00310F7F">
        <w:rPr>
          <w:lang w:val="fr-FR"/>
        </w:rPr>
        <w:t>AG</w:t>
      </w:r>
      <w:r w:rsidR="006758D4" w:rsidRPr="00310F7F">
        <w:rPr>
          <w:lang w:val="fr-FR"/>
        </w:rPr>
        <w:t>,</w:t>
      </w:r>
      <w:r w:rsidR="00DA14EE" w:rsidRPr="00310F7F">
        <w:rPr>
          <w:lang w:val="fr-FR"/>
        </w:rPr>
        <w:t xml:space="preserve"> à sa neuvième</w:t>
      </w:r>
      <w:r w:rsidR="006758D4" w:rsidRPr="00310F7F">
        <w:rPr>
          <w:lang w:val="fr-FR"/>
        </w:rPr>
        <w:t> </w:t>
      </w:r>
      <w:r w:rsidR="00DA14EE" w:rsidRPr="00310F7F">
        <w:rPr>
          <w:lang w:val="fr-FR"/>
        </w:rPr>
        <w:t>session</w:t>
      </w:r>
      <w:r w:rsidR="006758D4" w:rsidRPr="00310F7F">
        <w:rPr>
          <w:lang w:val="fr-FR"/>
        </w:rPr>
        <w:t>,</w:t>
      </w:r>
      <w:r w:rsidR="00DA14EE" w:rsidRPr="00310F7F">
        <w:rPr>
          <w:lang w:val="fr-FR"/>
        </w:rPr>
        <w:t xml:space="preserve"> sur le statut de la description variétale initiale, au regard de la vérification du matériel végétal d</w:t>
      </w:r>
      <w:r w:rsidR="00FD21CB" w:rsidRPr="00310F7F">
        <w:rPr>
          <w:lang w:val="fr-FR"/>
        </w:rPr>
        <w:t>’</w:t>
      </w:r>
      <w:r w:rsidR="00DA14EE" w:rsidRPr="00310F7F">
        <w:rPr>
          <w:lang w:val="fr-FR"/>
        </w:rPr>
        <w:t>une variété protégée aux fins de la défense du droit d</w:t>
      </w:r>
      <w:r w:rsidR="00FD21CB" w:rsidRPr="00310F7F">
        <w:rPr>
          <w:lang w:val="fr-FR"/>
        </w:rPr>
        <w:t>’</w:t>
      </w:r>
      <w:r w:rsidR="00DA14EE" w:rsidRPr="00310F7F">
        <w:rPr>
          <w:lang w:val="fr-FR"/>
        </w:rPr>
        <w:t>obtenteur</w:t>
      </w:r>
      <w:r w:rsidRPr="00310F7F">
        <w:rPr>
          <w:lang w:val="fr-FR"/>
        </w:rPr>
        <w:t xml:space="preserve"> </w:t>
      </w:r>
      <w:r w:rsidR="006D7691" w:rsidRPr="00310F7F">
        <w:rPr>
          <w:kern w:val="28"/>
          <w:lang w:val="fr-FR"/>
        </w:rPr>
        <w:t>(</w:t>
      </w:r>
      <w:r w:rsidR="006758D4" w:rsidRPr="00310F7F">
        <w:rPr>
          <w:kern w:val="28"/>
          <w:lang w:val="fr-FR"/>
        </w:rPr>
        <w:t>voir le paragraphe 22 du</w:t>
      </w:r>
      <w:r w:rsidR="006D7691" w:rsidRPr="00310F7F">
        <w:rPr>
          <w:kern w:val="28"/>
          <w:lang w:val="fr-FR"/>
        </w:rPr>
        <w:t xml:space="preserve"> document CAJ/71/10 “</w:t>
      </w:r>
      <w:r w:rsidR="006758D4" w:rsidRPr="00310F7F">
        <w:rPr>
          <w:kern w:val="28"/>
          <w:lang w:val="fr-FR"/>
        </w:rPr>
        <w:t>Compte rendu des c</w:t>
      </w:r>
      <w:r w:rsidR="006D7691" w:rsidRPr="00310F7F">
        <w:rPr>
          <w:kern w:val="28"/>
          <w:lang w:val="fr-FR"/>
        </w:rPr>
        <w:t>onclusions”)</w:t>
      </w:r>
      <w:r w:rsidR="006D7691" w:rsidRPr="00310F7F">
        <w:rPr>
          <w:lang w:val="fr-FR"/>
        </w:rPr>
        <w:t>.</w:t>
      </w:r>
    </w:p>
    <w:p w:rsidR="003C1402" w:rsidRPr="00310F7F" w:rsidRDefault="003C1402" w:rsidP="00BA5523">
      <w:pPr>
        <w:rPr>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5A34B4" w:rsidRPr="00310F7F">
        <w:rPr>
          <w:lang w:val="fr-FR"/>
        </w:rPr>
        <w:t>Le CAJ a noté que le</w:t>
      </w:r>
      <w:r w:rsidR="00FD21CB" w:rsidRPr="00310F7F">
        <w:rPr>
          <w:lang w:val="fr-FR"/>
        </w:rPr>
        <w:t> TC</w:t>
      </w:r>
      <w:r w:rsidR="005A34B4" w:rsidRPr="00310F7F">
        <w:rPr>
          <w:lang w:val="fr-FR"/>
        </w:rPr>
        <w:t xml:space="preserve"> avait pris note de l</w:t>
      </w:r>
      <w:r w:rsidR="00FD21CB" w:rsidRPr="00310F7F">
        <w:rPr>
          <w:lang w:val="fr-FR"/>
        </w:rPr>
        <w:t>’</w:t>
      </w:r>
      <w:r w:rsidR="005A34B4" w:rsidRPr="00310F7F">
        <w:rPr>
          <w:lang w:val="fr-FR"/>
        </w:rPr>
        <w:t>existence de différentes approches pour l</w:t>
      </w:r>
      <w:r w:rsidR="00FD21CB" w:rsidRPr="00310F7F">
        <w:rPr>
          <w:lang w:val="fr-FR"/>
        </w:rPr>
        <w:t>’</w:t>
      </w:r>
      <w:r w:rsidR="005A34B4" w:rsidRPr="00310F7F">
        <w:rPr>
          <w:lang w:val="fr-FR"/>
        </w:rPr>
        <w:t>établissement de descriptions variétales et le contrôle du maintien des variétés dans différents membres de l</w:t>
      </w:r>
      <w:r w:rsidR="00FD21CB" w:rsidRPr="00310F7F">
        <w:rPr>
          <w:lang w:val="fr-FR"/>
        </w:rPr>
        <w:t>’</w:t>
      </w:r>
      <w:r w:rsidR="005A34B4" w:rsidRPr="00310F7F">
        <w:rPr>
          <w:lang w:val="fr-FR"/>
        </w:rPr>
        <w:t>UPOV et selon divers systèmes d</w:t>
      </w:r>
      <w:r w:rsidR="00FD21CB" w:rsidRPr="00310F7F">
        <w:rPr>
          <w:lang w:val="fr-FR"/>
        </w:rPr>
        <w:t>’</w:t>
      </w:r>
      <w:r w:rsidR="005A34B4" w:rsidRPr="00310F7F">
        <w:rPr>
          <w:lang w:val="fr-FR"/>
        </w:rPr>
        <w:t>examen</w:t>
      </w:r>
      <w:r w:rsidR="003B2AC4" w:rsidRPr="00310F7F">
        <w:rPr>
          <w:lang w:val="fr-FR"/>
        </w:rPr>
        <w:t> </w:t>
      </w:r>
      <w:r w:rsidR="005A34B4" w:rsidRPr="00310F7F">
        <w:rPr>
          <w:lang w:val="fr-FR"/>
        </w:rPr>
        <w:t>DHS.  Il a également noté que le</w:t>
      </w:r>
      <w:r w:rsidR="00FD21CB" w:rsidRPr="00310F7F">
        <w:rPr>
          <w:lang w:val="fr-FR"/>
        </w:rPr>
        <w:t> TC</w:t>
      </w:r>
      <w:r w:rsidR="005A34B4" w:rsidRPr="00310F7F">
        <w:rPr>
          <w:lang w:val="fr-FR"/>
        </w:rPr>
        <w:t xml:space="preserve"> était convenu d</w:t>
      </w:r>
      <w:r w:rsidR="00FD21CB" w:rsidRPr="00310F7F">
        <w:rPr>
          <w:lang w:val="fr-FR"/>
        </w:rPr>
        <w:t>’</w:t>
      </w:r>
      <w:r w:rsidR="005A34B4" w:rsidRPr="00310F7F">
        <w:rPr>
          <w:lang w:val="fr-FR"/>
        </w:rPr>
        <w:t>inviter des experts à expliquer aux groupes de travail techniques, à leurs sessions de 2015, comment les descriptions variétales étaient établies dans le cadre de l</w:t>
      </w:r>
      <w:r w:rsidR="00FD21CB" w:rsidRPr="00310F7F">
        <w:rPr>
          <w:lang w:val="fr-FR"/>
        </w:rPr>
        <w:t>’</w:t>
      </w:r>
      <w:r w:rsidR="005A34B4" w:rsidRPr="00310F7F">
        <w:rPr>
          <w:lang w:val="fr-FR"/>
        </w:rPr>
        <w:t>examen</w:t>
      </w:r>
      <w:r w:rsidR="003B2AC4" w:rsidRPr="00310F7F">
        <w:rPr>
          <w:lang w:val="fr-FR"/>
        </w:rPr>
        <w:t> </w:t>
      </w:r>
      <w:r w:rsidR="005A34B4" w:rsidRPr="00310F7F">
        <w:rPr>
          <w:lang w:val="fr-FR"/>
        </w:rPr>
        <w:t>DHS et utilisées après l</w:t>
      </w:r>
      <w:r w:rsidR="00FD21CB" w:rsidRPr="00310F7F">
        <w:rPr>
          <w:lang w:val="fr-FR"/>
        </w:rPr>
        <w:t>’</w:t>
      </w:r>
      <w:r w:rsidR="005A34B4" w:rsidRPr="00310F7F">
        <w:rPr>
          <w:lang w:val="fr-FR"/>
        </w:rPr>
        <w:t>octroi d</w:t>
      </w:r>
      <w:r w:rsidR="00FD21CB" w:rsidRPr="00310F7F">
        <w:rPr>
          <w:lang w:val="fr-FR"/>
        </w:rPr>
        <w:t>’</w:t>
      </w:r>
      <w:r w:rsidR="005A34B4" w:rsidRPr="00310F7F">
        <w:rPr>
          <w:lang w:val="fr-FR"/>
        </w:rPr>
        <w:t>un droit d</w:t>
      </w:r>
      <w:r w:rsidR="00FD21CB" w:rsidRPr="00310F7F">
        <w:rPr>
          <w:lang w:val="fr-FR"/>
        </w:rPr>
        <w:t>’</w:t>
      </w:r>
      <w:r w:rsidR="005A34B4" w:rsidRPr="00310F7F">
        <w:rPr>
          <w:lang w:val="fr-FR"/>
        </w:rPr>
        <w:t xml:space="preserve">obtenteur et comment le maintien de la variété était contrôlé. </w:t>
      </w:r>
      <w:r w:rsidR="00FD21CB" w:rsidRPr="00310F7F">
        <w:rPr>
          <w:lang w:val="fr-FR"/>
        </w:rPr>
        <w:t xml:space="preserve"> Le CAJ</w:t>
      </w:r>
      <w:r w:rsidR="005A34B4" w:rsidRPr="00310F7F">
        <w:rPr>
          <w:lang w:val="fr-FR"/>
        </w:rPr>
        <w:t xml:space="preserve"> a également noté que le</w:t>
      </w:r>
      <w:r w:rsidR="00FD21CB" w:rsidRPr="00310F7F">
        <w:rPr>
          <w:lang w:val="fr-FR"/>
        </w:rPr>
        <w:t> TC</w:t>
      </w:r>
      <w:r w:rsidR="005A34B4" w:rsidRPr="00310F7F">
        <w:rPr>
          <w:lang w:val="fr-FR"/>
        </w:rPr>
        <w:t xml:space="preserve"> était convenu que des experts devraient aussi être invités à expliquer aux groupes de travail techniques, à leurs sessions de 2015, le rôle du matériel végétal utilisé comme base de l</w:t>
      </w:r>
      <w:r w:rsidR="00FD21CB" w:rsidRPr="00310F7F">
        <w:rPr>
          <w:lang w:val="fr-FR"/>
        </w:rPr>
        <w:t>’</w:t>
      </w:r>
      <w:r w:rsidR="005A34B4" w:rsidRPr="00310F7F">
        <w:rPr>
          <w:lang w:val="fr-FR"/>
        </w:rPr>
        <w:t>examen</w:t>
      </w:r>
      <w:r w:rsidR="003B2AC4" w:rsidRPr="00310F7F">
        <w:rPr>
          <w:lang w:val="fr-FR"/>
        </w:rPr>
        <w:t> </w:t>
      </w:r>
      <w:r w:rsidR="005A34B4" w:rsidRPr="00310F7F">
        <w:rPr>
          <w:lang w:val="fr-FR"/>
        </w:rPr>
        <w:t xml:space="preserve">DHS en relation avec les questions visées au paragraphe 8 du </w:t>
      </w:r>
      <w:r w:rsidR="00FD21CB" w:rsidRPr="00310F7F">
        <w:rPr>
          <w:lang w:val="fr-FR"/>
        </w:rPr>
        <w:t>document TC</w:t>
      </w:r>
      <w:r w:rsidR="005A34B4" w:rsidRPr="00310F7F">
        <w:rPr>
          <w:lang w:val="fr-FR"/>
        </w:rPr>
        <w:t>/51/38</w:t>
      </w:r>
      <w:r w:rsidR="006D7691" w:rsidRPr="00310F7F">
        <w:rPr>
          <w:lang w:val="fr-FR"/>
        </w:rPr>
        <w:t xml:space="preserve"> </w:t>
      </w:r>
      <w:r w:rsidR="006D7691" w:rsidRPr="00310F7F">
        <w:rPr>
          <w:kern w:val="28"/>
          <w:lang w:val="fr-FR"/>
        </w:rPr>
        <w:t>(</w:t>
      </w:r>
      <w:r w:rsidR="005A34B4" w:rsidRPr="00310F7F">
        <w:rPr>
          <w:kern w:val="28"/>
          <w:lang w:val="fr-FR"/>
        </w:rPr>
        <w:t>voir l</w:t>
      </w:r>
      <w:r w:rsidR="006D7691" w:rsidRPr="00310F7F">
        <w:rPr>
          <w:kern w:val="28"/>
          <w:lang w:val="fr-FR"/>
        </w:rPr>
        <w:t>e</w:t>
      </w:r>
      <w:r w:rsidR="005A34B4" w:rsidRPr="00310F7F">
        <w:rPr>
          <w:kern w:val="28"/>
          <w:lang w:val="fr-FR"/>
        </w:rPr>
        <w:t xml:space="preserve"> paragraph</w:t>
      </w:r>
      <w:r w:rsidR="006D7691" w:rsidRPr="00310F7F">
        <w:rPr>
          <w:kern w:val="28"/>
          <w:lang w:val="fr-FR"/>
        </w:rPr>
        <w:t>e</w:t>
      </w:r>
      <w:r w:rsidR="005A34B4" w:rsidRPr="00310F7F">
        <w:rPr>
          <w:kern w:val="28"/>
          <w:lang w:val="fr-FR"/>
        </w:rPr>
        <w:t> 23 du doc</w:t>
      </w:r>
      <w:r w:rsidR="006D7691" w:rsidRPr="00310F7F">
        <w:rPr>
          <w:kern w:val="28"/>
          <w:lang w:val="fr-FR"/>
        </w:rPr>
        <w:t>ument CAJ/71/10 “</w:t>
      </w:r>
      <w:r w:rsidR="005A34B4" w:rsidRPr="00310F7F">
        <w:rPr>
          <w:kern w:val="28"/>
          <w:lang w:val="fr-FR"/>
        </w:rPr>
        <w:t>Compte rendu des c</w:t>
      </w:r>
      <w:r w:rsidR="006D7691" w:rsidRPr="00310F7F">
        <w:rPr>
          <w:kern w:val="28"/>
          <w:lang w:val="fr-FR"/>
        </w:rPr>
        <w:t>onclusions”)</w:t>
      </w:r>
      <w:r w:rsidR="006D7691" w:rsidRPr="00310F7F">
        <w:rPr>
          <w:lang w:val="fr-FR"/>
        </w:rPr>
        <w:t>.</w:t>
      </w:r>
    </w:p>
    <w:p w:rsidR="003C1402" w:rsidRPr="00310F7F" w:rsidRDefault="003C1402" w:rsidP="00BA5523">
      <w:pPr>
        <w:rPr>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5A34B4" w:rsidRPr="00310F7F">
        <w:rPr>
          <w:lang w:val="fr-FR"/>
        </w:rPr>
        <w:t>Le CAJ a noté que le</w:t>
      </w:r>
      <w:r w:rsidR="00FD21CB" w:rsidRPr="00310F7F">
        <w:rPr>
          <w:lang w:val="fr-FR"/>
        </w:rPr>
        <w:t> TC</w:t>
      </w:r>
      <w:r w:rsidR="005A34B4" w:rsidRPr="00310F7F">
        <w:rPr>
          <w:lang w:val="fr-FR"/>
        </w:rPr>
        <w:t xml:space="preserve"> était convenu d</w:t>
      </w:r>
      <w:r w:rsidR="00FD21CB" w:rsidRPr="00310F7F">
        <w:rPr>
          <w:lang w:val="fr-FR"/>
        </w:rPr>
        <w:t>’</w:t>
      </w:r>
      <w:r w:rsidR="005A34B4" w:rsidRPr="00310F7F">
        <w:rPr>
          <w:lang w:val="fr-FR"/>
        </w:rPr>
        <w:t>inscrire à l</w:t>
      </w:r>
      <w:r w:rsidR="00FD21CB" w:rsidRPr="00310F7F">
        <w:rPr>
          <w:lang w:val="fr-FR"/>
        </w:rPr>
        <w:t>’</w:t>
      </w:r>
      <w:r w:rsidR="005A34B4" w:rsidRPr="00310F7F">
        <w:rPr>
          <w:lang w:val="fr-FR"/>
        </w:rPr>
        <w:t>ordre du jour de sa cinquante</w:t>
      </w:r>
      <w:r w:rsidR="00FF3774" w:rsidRPr="00310F7F">
        <w:rPr>
          <w:lang w:val="fr-FR"/>
        </w:rPr>
        <w:noBreakHyphen/>
      </w:r>
      <w:r w:rsidR="005A34B4" w:rsidRPr="00310F7F">
        <w:rPr>
          <w:lang w:val="fr-FR"/>
        </w:rPr>
        <w:t>deuxième session, prévue à Genève en 2016, un débat sur les descriptions variétales et le rôle du matériel végétal, notamment le nombre minimal de cycles de végétation pour l</w:t>
      </w:r>
      <w:r w:rsidR="00FD21CB" w:rsidRPr="00310F7F">
        <w:rPr>
          <w:lang w:val="fr-FR"/>
        </w:rPr>
        <w:t>’</w:t>
      </w:r>
      <w:r w:rsidR="005A34B4" w:rsidRPr="00310F7F">
        <w:rPr>
          <w:lang w:val="fr-FR"/>
        </w:rPr>
        <w:t>examen</w:t>
      </w:r>
      <w:r w:rsidR="003B2AC4" w:rsidRPr="00310F7F">
        <w:rPr>
          <w:lang w:val="fr-FR"/>
        </w:rPr>
        <w:t> </w:t>
      </w:r>
      <w:r w:rsidR="005A34B4" w:rsidRPr="00310F7F">
        <w:rPr>
          <w:lang w:val="fr-FR"/>
        </w:rPr>
        <w:t>DHS</w:t>
      </w:r>
      <w:r w:rsidR="006D7691" w:rsidRPr="00310F7F">
        <w:rPr>
          <w:lang w:val="fr-FR"/>
        </w:rPr>
        <w:t xml:space="preserve"> </w:t>
      </w:r>
      <w:r w:rsidR="006D7691" w:rsidRPr="00310F7F">
        <w:rPr>
          <w:kern w:val="28"/>
          <w:lang w:val="fr-FR"/>
        </w:rPr>
        <w:t>(</w:t>
      </w:r>
      <w:r w:rsidR="005A34B4" w:rsidRPr="00310F7F">
        <w:rPr>
          <w:kern w:val="28"/>
          <w:lang w:val="fr-FR"/>
        </w:rPr>
        <w:t>voir le paragraphe 24 du</w:t>
      </w:r>
      <w:r w:rsidR="006D7691" w:rsidRPr="00310F7F">
        <w:rPr>
          <w:kern w:val="28"/>
          <w:lang w:val="fr-FR"/>
        </w:rPr>
        <w:t xml:space="preserve"> document CAJ/71/10 “</w:t>
      </w:r>
      <w:r w:rsidR="005A34B4" w:rsidRPr="00310F7F">
        <w:rPr>
          <w:kern w:val="28"/>
          <w:lang w:val="fr-FR"/>
        </w:rPr>
        <w:t>Compte rendu des</w:t>
      </w:r>
      <w:r w:rsidR="006D7691" w:rsidRPr="00310F7F">
        <w:rPr>
          <w:kern w:val="28"/>
          <w:lang w:val="fr-FR"/>
        </w:rPr>
        <w:t xml:space="preserve"> </w:t>
      </w:r>
      <w:r w:rsidR="005A34B4" w:rsidRPr="00310F7F">
        <w:rPr>
          <w:kern w:val="28"/>
          <w:lang w:val="fr-FR"/>
        </w:rPr>
        <w:t>c</w:t>
      </w:r>
      <w:r w:rsidR="006D7691" w:rsidRPr="00310F7F">
        <w:rPr>
          <w:kern w:val="28"/>
          <w:lang w:val="fr-FR"/>
        </w:rPr>
        <w:t>onclusions”)</w:t>
      </w:r>
      <w:r w:rsidR="006D7691" w:rsidRPr="00310F7F">
        <w:rPr>
          <w:lang w:val="fr-FR"/>
        </w:rPr>
        <w:t>.</w:t>
      </w:r>
    </w:p>
    <w:p w:rsidR="003C1402" w:rsidRPr="00310F7F" w:rsidRDefault="003C1402" w:rsidP="00BA5523">
      <w:pPr>
        <w:keepNext/>
        <w:rPr>
          <w:lang w:val="fr-FR"/>
        </w:rPr>
      </w:pPr>
    </w:p>
    <w:p w:rsidR="00BC267F" w:rsidRPr="00310F7F" w:rsidRDefault="00310F7F"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6E7712" w:rsidRPr="00310F7F">
        <w:rPr>
          <w:lang w:val="fr-FR"/>
        </w:rPr>
        <w:t>Le CAJ a noté qu</w:t>
      </w:r>
      <w:r w:rsidR="00FD21CB" w:rsidRPr="00310F7F">
        <w:rPr>
          <w:lang w:val="fr-FR"/>
        </w:rPr>
        <w:t>’</w:t>
      </w:r>
      <w:r w:rsidR="006E7712" w:rsidRPr="00310F7F">
        <w:rPr>
          <w:lang w:val="fr-FR"/>
        </w:rPr>
        <w:t>il avait été fait part au Comité consultatif et au Conseil de l</w:t>
      </w:r>
      <w:r w:rsidR="00FD21CB" w:rsidRPr="00310F7F">
        <w:rPr>
          <w:lang w:val="fr-FR"/>
        </w:rPr>
        <w:t>’</w:t>
      </w:r>
      <w:r w:rsidR="006E7712" w:rsidRPr="00310F7F">
        <w:rPr>
          <w:lang w:val="fr-FR"/>
        </w:rPr>
        <w:t>intérêt de l</w:t>
      </w:r>
      <w:r w:rsidR="00FD21CB" w:rsidRPr="00310F7F">
        <w:rPr>
          <w:lang w:val="fr-FR"/>
        </w:rPr>
        <w:t>’</w:t>
      </w:r>
      <w:r w:rsidR="006E7712" w:rsidRPr="00310F7F">
        <w:rPr>
          <w:lang w:val="fr-FR"/>
        </w:rPr>
        <w:t>examen des effets de la mise en œuvre du “Protocole de Nagoya sur l</w:t>
      </w:r>
      <w:r w:rsidR="00FD21CB" w:rsidRPr="00310F7F">
        <w:rPr>
          <w:lang w:val="fr-FR"/>
        </w:rPr>
        <w:t>’</w:t>
      </w:r>
      <w:r w:rsidR="006E7712" w:rsidRPr="00310F7F">
        <w:rPr>
          <w:lang w:val="fr-FR"/>
        </w:rPr>
        <w:t>accès aux ressources génétiques et le partage juste et équitable des avantages découlant de leur utilisation relatif à la Convention sur la diversité biologique” au regard de l</w:t>
      </w:r>
      <w:r w:rsidR="00FD21CB" w:rsidRPr="00310F7F">
        <w:rPr>
          <w:lang w:val="fr-FR"/>
        </w:rPr>
        <w:t>’</w:t>
      </w:r>
      <w:r w:rsidR="006E7712" w:rsidRPr="00310F7F">
        <w:rPr>
          <w:lang w:val="fr-FR"/>
        </w:rPr>
        <w:t>exception en faveur de l</w:t>
      </w:r>
      <w:r w:rsidR="00FD21CB" w:rsidRPr="00310F7F">
        <w:rPr>
          <w:lang w:val="fr-FR"/>
        </w:rPr>
        <w:t>’</w:t>
      </w:r>
      <w:r w:rsidR="006E7712" w:rsidRPr="00310F7F">
        <w:rPr>
          <w:lang w:val="fr-FR"/>
        </w:rPr>
        <w:t>obtenteur et du rapport entre les deux</w:t>
      </w:r>
      <w:r w:rsidR="003B2AC4" w:rsidRPr="00310F7F">
        <w:rPr>
          <w:lang w:val="fr-FR"/>
        </w:rPr>
        <w:t> </w:t>
      </w:r>
      <w:r w:rsidR="00BC267F" w:rsidRPr="00310F7F">
        <w:rPr>
          <w:kern w:val="28"/>
          <w:lang w:val="fr-FR"/>
        </w:rPr>
        <w:t>(</w:t>
      </w:r>
      <w:r w:rsidR="006E7712" w:rsidRPr="00310F7F">
        <w:rPr>
          <w:kern w:val="28"/>
          <w:lang w:val="fr-FR"/>
        </w:rPr>
        <w:t>voir le paragraphe 27 du</w:t>
      </w:r>
      <w:r w:rsidR="00BC267F" w:rsidRPr="00310F7F">
        <w:rPr>
          <w:kern w:val="28"/>
          <w:lang w:val="fr-FR"/>
        </w:rPr>
        <w:t xml:space="preserve"> document CAJ/71/10 “</w:t>
      </w:r>
      <w:r w:rsidR="006E7712" w:rsidRPr="00310F7F">
        <w:rPr>
          <w:kern w:val="28"/>
          <w:lang w:val="fr-FR"/>
        </w:rPr>
        <w:t>Compte rendu des</w:t>
      </w:r>
      <w:r w:rsidR="00BC267F" w:rsidRPr="00310F7F">
        <w:rPr>
          <w:kern w:val="28"/>
          <w:lang w:val="fr-FR"/>
        </w:rPr>
        <w:t xml:space="preserve"> </w:t>
      </w:r>
      <w:r w:rsidR="006E7712" w:rsidRPr="00310F7F">
        <w:rPr>
          <w:kern w:val="28"/>
          <w:lang w:val="fr-FR"/>
        </w:rPr>
        <w:t>c</w:t>
      </w:r>
      <w:r w:rsidR="00BC267F" w:rsidRPr="00310F7F">
        <w:rPr>
          <w:kern w:val="28"/>
          <w:lang w:val="fr-FR"/>
        </w:rPr>
        <w:t>onclusions”)</w:t>
      </w:r>
      <w:r w:rsidR="00BC267F" w:rsidRPr="00310F7F">
        <w:rPr>
          <w:lang w:val="fr-FR"/>
        </w:rPr>
        <w:t>.</w:t>
      </w:r>
    </w:p>
    <w:p w:rsidR="00BC267F" w:rsidRPr="00310F7F" w:rsidRDefault="00BC267F" w:rsidP="00BA5523">
      <w:pPr>
        <w:rPr>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6E7712" w:rsidRPr="00310F7F">
        <w:rPr>
          <w:lang w:val="fr-FR"/>
        </w:rPr>
        <w:t>Le CAJ a approuvé le programme provisoire d</w:t>
      </w:r>
      <w:r w:rsidR="00FD21CB" w:rsidRPr="00310F7F">
        <w:rPr>
          <w:lang w:val="fr-FR"/>
        </w:rPr>
        <w:t>’</w:t>
      </w:r>
      <w:r w:rsidR="006E7712" w:rsidRPr="00310F7F">
        <w:rPr>
          <w:lang w:val="fr-FR"/>
        </w:rPr>
        <w:t>élaboration de matériel d</w:t>
      </w:r>
      <w:r w:rsidR="00FD21CB" w:rsidRPr="00310F7F">
        <w:rPr>
          <w:lang w:val="fr-FR"/>
        </w:rPr>
        <w:t>’</w:t>
      </w:r>
      <w:r w:rsidR="006E7712" w:rsidRPr="00310F7F">
        <w:rPr>
          <w:lang w:val="fr-FR"/>
        </w:rPr>
        <w:t xml:space="preserve">information </w:t>
      </w:r>
      <w:r w:rsidR="00BC267F" w:rsidRPr="00310F7F">
        <w:rPr>
          <w:kern w:val="28"/>
          <w:lang w:val="fr-FR"/>
        </w:rPr>
        <w:t>(</w:t>
      </w:r>
      <w:r w:rsidR="006E7712" w:rsidRPr="00310F7F">
        <w:rPr>
          <w:kern w:val="28"/>
          <w:lang w:val="fr-FR"/>
        </w:rPr>
        <w:t>voir le paragraphe 28 du</w:t>
      </w:r>
      <w:r w:rsidR="00BC267F" w:rsidRPr="00310F7F">
        <w:rPr>
          <w:kern w:val="28"/>
          <w:lang w:val="fr-FR"/>
        </w:rPr>
        <w:t xml:space="preserve"> document CAJ/71/10 “</w:t>
      </w:r>
      <w:r w:rsidR="006E7712" w:rsidRPr="00310F7F">
        <w:rPr>
          <w:kern w:val="28"/>
          <w:lang w:val="fr-FR"/>
        </w:rPr>
        <w:t>Compte rendu des</w:t>
      </w:r>
      <w:r w:rsidR="00BC267F" w:rsidRPr="00310F7F">
        <w:rPr>
          <w:kern w:val="28"/>
          <w:lang w:val="fr-FR"/>
        </w:rPr>
        <w:t xml:space="preserve"> </w:t>
      </w:r>
      <w:r w:rsidR="006E7712" w:rsidRPr="00310F7F">
        <w:rPr>
          <w:kern w:val="28"/>
          <w:lang w:val="fr-FR"/>
        </w:rPr>
        <w:t>c</w:t>
      </w:r>
      <w:r w:rsidR="00BC267F" w:rsidRPr="00310F7F">
        <w:rPr>
          <w:kern w:val="28"/>
          <w:lang w:val="fr-FR"/>
        </w:rPr>
        <w:t>onclusions”)</w:t>
      </w:r>
      <w:r w:rsidR="004979B5" w:rsidRPr="00310F7F">
        <w:rPr>
          <w:lang w:val="fr-FR"/>
        </w:rPr>
        <w:t>.</w:t>
      </w:r>
    </w:p>
    <w:p w:rsidR="003C1402" w:rsidRPr="00310F7F" w:rsidRDefault="003C1402" w:rsidP="00BA5523">
      <w:pPr>
        <w:rPr>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FA460E" w:rsidRPr="00310F7F">
        <w:rPr>
          <w:lang w:val="fr-FR"/>
        </w:rPr>
        <w:t>Le CAJ est convenu de reporter l</w:t>
      </w:r>
      <w:r w:rsidR="00FD21CB" w:rsidRPr="00310F7F">
        <w:rPr>
          <w:lang w:val="fr-FR"/>
        </w:rPr>
        <w:t>’</w:t>
      </w:r>
      <w:r w:rsidR="00FA460E" w:rsidRPr="00310F7F">
        <w:rPr>
          <w:lang w:val="fr-FR"/>
        </w:rPr>
        <w:t>élaboration d</w:t>
      </w:r>
      <w:r w:rsidR="00FD21CB" w:rsidRPr="00310F7F">
        <w:rPr>
          <w:lang w:val="fr-FR"/>
        </w:rPr>
        <w:t>’</w:t>
      </w:r>
      <w:r w:rsidR="00FA460E" w:rsidRPr="00310F7F">
        <w:rPr>
          <w:lang w:val="fr-FR"/>
        </w:rPr>
        <w:t>un projet de révision du document UPOV/INF/5 “Bulletin type de l</w:t>
      </w:r>
      <w:r w:rsidR="00FD21CB" w:rsidRPr="00310F7F">
        <w:rPr>
          <w:lang w:val="fr-FR"/>
        </w:rPr>
        <w:t>’</w:t>
      </w:r>
      <w:r w:rsidR="00FA460E" w:rsidRPr="00310F7F">
        <w:rPr>
          <w:lang w:val="fr-FR"/>
        </w:rPr>
        <w:t>UPOV de la protection des obtentions végétales” (document UPOV/INF/5/1 </w:t>
      </w:r>
      <w:proofErr w:type="spellStart"/>
      <w:r w:rsidR="00FA460E" w:rsidRPr="00310F7F">
        <w:rPr>
          <w:lang w:val="fr-FR"/>
        </w:rPr>
        <w:t>Draft</w:t>
      </w:r>
      <w:proofErr w:type="spellEnd"/>
      <w:r w:rsidR="00FA460E" w:rsidRPr="00310F7F">
        <w:rPr>
          <w:lang w:val="fr-FR"/>
        </w:rPr>
        <w:t> 1) en attendant l</w:t>
      </w:r>
      <w:r w:rsidR="00FD21CB" w:rsidRPr="00310F7F">
        <w:rPr>
          <w:lang w:val="fr-FR"/>
        </w:rPr>
        <w:t>’</w:t>
      </w:r>
      <w:r w:rsidR="00FA460E" w:rsidRPr="00310F7F">
        <w:rPr>
          <w:lang w:val="fr-FR"/>
        </w:rPr>
        <w:t>avancement des travaux concernant l</w:t>
      </w:r>
      <w:r w:rsidR="00FD21CB" w:rsidRPr="00310F7F">
        <w:rPr>
          <w:lang w:val="fr-FR"/>
        </w:rPr>
        <w:t>’</w:t>
      </w:r>
      <w:r w:rsidR="00FA460E" w:rsidRPr="00310F7F">
        <w:rPr>
          <w:lang w:val="fr-FR"/>
        </w:rPr>
        <w:t>élaboration d</w:t>
      </w:r>
      <w:r w:rsidR="00FD21CB" w:rsidRPr="00310F7F">
        <w:rPr>
          <w:lang w:val="fr-FR"/>
        </w:rPr>
        <w:t>’</w:t>
      </w:r>
      <w:r w:rsidR="00FA460E" w:rsidRPr="00310F7F">
        <w:rPr>
          <w:lang w:val="fr-FR"/>
        </w:rPr>
        <w:t>un prototype de formulaire électronique (voir le document CAJ/71/4)</w:t>
      </w:r>
      <w:r w:rsidR="00BC267F" w:rsidRPr="00310F7F">
        <w:rPr>
          <w:lang w:val="fr-FR"/>
        </w:rPr>
        <w:t xml:space="preserve"> </w:t>
      </w:r>
      <w:r w:rsidR="00BC267F" w:rsidRPr="00310F7F">
        <w:rPr>
          <w:kern w:val="28"/>
          <w:lang w:val="fr-FR"/>
        </w:rPr>
        <w:t>(</w:t>
      </w:r>
      <w:r w:rsidR="00FA460E" w:rsidRPr="00310F7F">
        <w:rPr>
          <w:kern w:val="28"/>
          <w:lang w:val="fr-FR"/>
        </w:rPr>
        <w:t>voir le paragraphe 30 du</w:t>
      </w:r>
      <w:r w:rsidR="00BC267F" w:rsidRPr="00310F7F">
        <w:rPr>
          <w:kern w:val="28"/>
          <w:lang w:val="fr-FR"/>
        </w:rPr>
        <w:t xml:space="preserve"> document CAJ/71/10 “</w:t>
      </w:r>
      <w:r w:rsidR="00FA460E" w:rsidRPr="00310F7F">
        <w:rPr>
          <w:kern w:val="28"/>
          <w:lang w:val="fr-FR"/>
        </w:rPr>
        <w:t>Compte rendu des c</w:t>
      </w:r>
      <w:r w:rsidR="00BC267F" w:rsidRPr="00310F7F">
        <w:rPr>
          <w:kern w:val="28"/>
          <w:lang w:val="fr-FR"/>
        </w:rPr>
        <w:t>onclusions”)</w:t>
      </w:r>
      <w:r w:rsidR="00BC267F" w:rsidRPr="00310F7F">
        <w:rPr>
          <w:lang w:val="fr-FR"/>
        </w:rPr>
        <w:t>.</w:t>
      </w:r>
    </w:p>
    <w:p w:rsidR="003C1402" w:rsidRPr="00310F7F" w:rsidRDefault="003C1402" w:rsidP="00BA5523">
      <w:pPr>
        <w:rPr>
          <w:lang w:val="fr-FR"/>
        </w:rPr>
      </w:pPr>
    </w:p>
    <w:p w:rsidR="003C1402" w:rsidRPr="00310F7F" w:rsidRDefault="003C1402"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FA460E" w:rsidRPr="00310F7F">
        <w:rPr>
          <w:lang w:val="fr-FR"/>
        </w:rPr>
        <w:t>Le CAJ a noté que le Conseil serait invité, à sa quarante</w:t>
      </w:r>
      <w:r w:rsidR="00FF3774" w:rsidRPr="00310F7F">
        <w:rPr>
          <w:lang w:val="fr-FR"/>
        </w:rPr>
        <w:noBreakHyphen/>
      </w:r>
      <w:r w:rsidR="00FA460E" w:rsidRPr="00310F7F">
        <w:rPr>
          <w:lang w:val="fr-FR"/>
        </w:rPr>
        <w:t>neuvième session ordinaire, à adopter les documents d</w:t>
      </w:r>
      <w:r w:rsidR="00FD21CB" w:rsidRPr="00310F7F">
        <w:rPr>
          <w:lang w:val="fr-FR"/>
        </w:rPr>
        <w:t>’</w:t>
      </w:r>
      <w:r w:rsidR="00FA460E" w:rsidRPr="00310F7F">
        <w:rPr>
          <w:lang w:val="fr-FR"/>
        </w:rPr>
        <w:t xml:space="preserve">information suivants </w:t>
      </w:r>
      <w:r w:rsidR="00BC267F" w:rsidRPr="00310F7F">
        <w:rPr>
          <w:kern w:val="28"/>
          <w:lang w:val="fr-FR"/>
        </w:rPr>
        <w:t>(</w:t>
      </w:r>
      <w:r w:rsidR="00FA460E" w:rsidRPr="00310F7F">
        <w:rPr>
          <w:kern w:val="28"/>
          <w:lang w:val="fr-FR"/>
        </w:rPr>
        <w:t>voir le paragraphe 31 du</w:t>
      </w:r>
      <w:r w:rsidR="00BC267F" w:rsidRPr="00310F7F">
        <w:rPr>
          <w:kern w:val="28"/>
          <w:lang w:val="fr-FR"/>
        </w:rPr>
        <w:t xml:space="preserve"> document CAJ/71/10 “</w:t>
      </w:r>
      <w:r w:rsidR="00FA460E" w:rsidRPr="00310F7F">
        <w:rPr>
          <w:kern w:val="28"/>
          <w:lang w:val="fr-FR"/>
        </w:rPr>
        <w:t>Compte rendu des</w:t>
      </w:r>
      <w:r w:rsidR="00BC267F" w:rsidRPr="00310F7F">
        <w:rPr>
          <w:kern w:val="28"/>
          <w:lang w:val="fr-FR"/>
        </w:rPr>
        <w:t xml:space="preserve"> </w:t>
      </w:r>
      <w:r w:rsidR="00FA460E" w:rsidRPr="00310F7F">
        <w:rPr>
          <w:kern w:val="28"/>
          <w:lang w:val="fr-FR"/>
        </w:rPr>
        <w:t>c</w:t>
      </w:r>
      <w:r w:rsidR="00BC267F" w:rsidRPr="00310F7F">
        <w:rPr>
          <w:kern w:val="28"/>
          <w:lang w:val="fr-FR"/>
        </w:rPr>
        <w:t>onclusions”)</w:t>
      </w:r>
      <w:r w:rsidR="00BC267F" w:rsidRPr="00310F7F">
        <w:rPr>
          <w:lang w:val="fr-FR"/>
        </w:rPr>
        <w:t>.</w:t>
      </w:r>
    </w:p>
    <w:p w:rsidR="003C1402" w:rsidRPr="00310F7F" w:rsidRDefault="003C1402" w:rsidP="00BA5523">
      <w:pPr>
        <w:rPr>
          <w:lang w:val="fr-FR"/>
        </w:rPr>
      </w:pPr>
    </w:p>
    <w:p w:rsidR="00FD21CB" w:rsidRPr="00310F7F" w:rsidRDefault="003C1402" w:rsidP="00BA5523">
      <w:pPr>
        <w:tabs>
          <w:tab w:val="left" w:pos="567"/>
        </w:tabs>
        <w:ind w:left="1134" w:hanging="1134"/>
        <w:rPr>
          <w:lang w:val="fr-FR"/>
        </w:rPr>
      </w:pPr>
      <w:r w:rsidRPr="00310F7F">
        <w:rPr>
          <w:lang w:val="fr-FR"/>
        </w:rPr>
        <w:tab/>
        <w:t>i)</w:t>
      </w:r>
      <w:r w:rsidRPr="00310F7F">
        <w:rPr>
          <w:lang w:val="fr-FR"/>
        </w:rPr>
        <w:tab/>
      </w:r>
      <w:r w:rsidR="00F17CF0" w:rsidRPr="00310F7F">
        <w:rPr>
          <w:lang w:val="fr-FR"/>
        </w:rPr>
        <w:t>“Notes explicatives sur la déchéance de l</w:t>
      </w:r>
      <w:r w:rsidR="00FD21CB" w:rsidRPr="00310F7F">
        <w:rPr>
          <w:lang w:val="fr-FR"/>
        </w:rPr>
        <w:t>’</w:t>
      </w:r>
      <w:r w:rsidR="00F17CF0" w:rsidRPr="00310F7F">
        <w:rPr>
          <w:lang w:val="fr-FR"/>
        </w:rPr>
        <w:t xml:space="preserve">obtenteur selon la </w:t>
      </w:r>
      <w:r w:rsidR="00FD21CB" w:rsidRPr="00310F7F">
        <w:rPr>
          <w:lang w:val="fr-FR"/>
        </w:rPr>
        <w:t>Convention UPOV</w:t>
      </w:r>
      <w:r w:rsidR="00F17CF0" w:rsidRPr="00310F7F">
        <w:rPr>
          <w:lang w:val="fr-FR"/>
        </w:rPr>
        <w:t>” (révision) (document UPOV/EXN/CAN/2);</w:t>
      </w:r>
    </w:p>
    <w:p w:rsidR="003C1402" w:rsidRPr="00310F7F" w:rsidRDefault="003C1402" w:rsidP="00BA5523">
      <w:pPr>
        <w:tabs>
          <w:tab w:val="left" w:pos="567"/>
        </w:tabs>
        <w:ind w:left="1134" w:hanging="1134"/>
        <w:rPr>
          <w:lang w:val="fr-FR"/>
        </w:rPr>
      </w:pPr>
    </w:p>
    <w:p w:rsidR="003C1402" w:rsidRPr="00310F7F" w:rsidRDefault="003C1402" w:rsidP="00BA5523">
      <w:pPr>
        <w:tabs>
          <w:tab w:val="left" w:pos="567"/>
        </w:tabs>
        <w:ind w:left="1134" w:hanging="1134"/>
        <w:rPr>
          <w:lang w:val="fr-FR"/>
        </w:rPr>
      </w:pPr>
      <w:r w:rsidRPr="00310F7F">
        <w:rPr>
          <w:lang w:val="fr-FR"/>
        </w:rPr>
        <w:tab/>
        <w:t>ii)</w:t>
      </w:r>
      <w:r w:rsidRPr="00310F7F">
        <w:rPr>
          <w:lang w:val="fr-FR"/>
        </w:rPr>
        <w:tab/>
      </w:r>
      <w:r w:rsidR="00F17CF0" w:rsidRPr="00310F7F">
        <w:rPr>
          <w:lang w:val="fr-FR"/>
        </w:rPr>
        <w:t>“Notes explicatives sur la nullité du droit d</w:t>
      </w:r>
      <w:r w:rsidR="00FD21CB" w:rsidRPr="00310F7F">
        <w:rPr>
          <w:lang w:val="fr-FR"/>
        </w:rPr>
        <w:t>’</w:t>
      </w:r>
      <w:r w:rsidR="00F17CF0" w:rsidRPr="00310F7F">
        <w:rPr>
          <w:lang w:val="fr-FR"/>
        </w:rPr>
        <w:t xml:space="preserve">obtenteur selon la </w:t>
      </w:r>
      <w:r w:rsidR="00FD21CB" w:rsidRPr="00310F7F">
        <w:rPr>
          <w:lang w:val="fr-FR"/>
        </w:rPr>
        <w:t>Convention UPOV</w:t>
      </w:r>
      <w:r w:rsidR="00F17CF0" w:rsidRPr="00310F7F">
        <w:rPr>
          <w:lang w:val="fr-FR"/>
        </w:rPr>
        <w:t>” (révision) (document UPOV/EXN/NUL/2);</w:t>
      </w:r>
    </w:p>
    <w:p w:rsidR="003C1402" w:rsidRPr="00310F7F" w:rsidRDefault="003C1402" w:rsidP="00BA5523">
      <w:pPr>
        <w:tabs>
          <w:tab w:val="left" w:pos="567"/>
        </w:tabs>
        <w:ind w:left="1134" w:hanging="1134"/>
        <w:rPr>
          <w:lang w:val="fr-FR"/>
        </w:rPr>
      </w:pPr>
    </w:p>
    <w:p w:rsidR="003C1402" w:rsidRPr="00310F7F" w:rsidRDefault="003C1402" w:rsidP="00BA5523">
      <w:pPr>
        <w:tabs>
          <w:tab w:val="left" w:pos="567"/>
        </w:tabs>
        <w:ind w:left="1134" w:hanging="1134"/>
        <w:rPr>
          <w:lang w:val="fr-FR"/>
        </w:rPr>
      </w:pPr>
      <w:r w:rsidRPr="00310F7F">
        <w:rPr>
          <w:lang w:val="fr-FR"/>
        </w:rPr>
        <w:tab/>
        <w:t>iii)</w:t>
      </w:r>
      <w:r w:rsidRPr="00310F7F">
        <w:rPr>
          <w:lang w:val="fr-FR"/>
        </w:rPr>
        <w:tab/>
      </w:r>
      <w:r w:rsidR="00F17CF0" w:rsidRPr="00310F7F">
        <w:rPr>
          <w:lang w:val="fr-FR"/>
        </w:rPr>
        <w:t xml:space="preserve">“Notes explicatives sur la protection provisoire selon la </w:t>
      </w:r>
      <w:r w:rsidR="00FD21CB" w:rsidRPr="00310F7F">
        <w:rPr>
          <w:lang w:val="fr-FR"/>
        </w:rPr>
        <w:t>Convention UPOV</w:t>
      </w:r>
      <w:r w:rsidR="00F17CF0" w:rsidRPr="00310F7F">
        <w:rPr>
          <w:lang w:val="fr-FR"/>
        </w:rPr>
        <w:t>” (révision) (document UPOV/EXN/PRP/2);  et,</w:t>
      </w:r>
    </w:p>
    <w:p w:rsidR="003C1402" w:rsidRPr="00310F7F" w:rsidRDefault="003C1402" w:rsidP="00BA5523">
      <w:pPr>
        <w:tabs>
          <w:tab w:val="left" w:pos="567"/>
        </w:tabs>
        <w:ind w:left="1134" w:hanging="1134"/>
        <w:rPr>
          <w:lang w:val="fr-FR"/>
        </w:rPr>
      </w:pPr>
    </w:p>
    <w:p w:rsidR="00FD21CB" w:rsidRPr="00310F7F" w:rsidRDefault="003C1402" w:rsidP="00BA5523">
      <w:pPr>
        <w:tabs>
          <w:tab w:val="left" w:pos="567"/>
        </w:tabs>
        <w:ind w:left="1134" w:hanging="1134"/>
        <w:rPr>
          <w:lang w:val="fr-FR"/>
        </w:rPr>
      </w:pPr>
      <w:r w:rsidRPr="00310F7F">
        <w:rPr>
          <w:lang w:val="fr-FR"/>
        </w:rPr>
        <w:tab/>
        <w:t>iv)</w:t>
      </w:r>
      <w:r w:rsidRPr="00310F7F">
        <w:rPr>
          <w:lang w:val="fr-FR"/>
        </w:rPr>
        <w:tab/>
      </w:r>
      <w:r w:rsidR="00F17CF0" w:rsidRPr="00310F7F">
        <w:rPr>
          <w:lang w:val="fr-FR"/>
        </w:rPr>
        <w:t>parallèlement aux notes explicatives indiquées ci</w:t>
      </w:r>
      <w:r w:rsidR="00FF3774" w:rsidRPr="00310F7F">
        <w:rPr>
          <w:lang w:val="fr-FR"/>
        </w:rPr>
        <w:noBreakHyphen/>
      </w:r>
      <w:r w:rsidR="00F17CF0" w:rsidRPr="00310F7F">
        <w:rPr>
          <w:lang w:val="fr-FR"/>
        </w:rPr>
        <w:t>dessus, une version révisée du document UPOV/INF/6/3 “Orientations en vue de la rédaction de lois fondées sur l</w:t>
      </w:r>
      <w:r w:rsidR="00FD21CB" w:rsidRPr="00310F7F">
        <w:rPr>
          <w:lang w:val="fr-FR"/>
        </w:rPr>
        <w:t>’</w:t>
      </w:r>
      <w:r w:rsidR="00F17CF0" w:rsidRPr="00310F7F">
        <w:rPr>
          <w:lang w:val="fr-FR"/>
        </w:rPr>
        <w:t xml:space="preserve">Acte de 1991 de la </w:t>
      </w:r>
      <w:r w:rsidR="00FD21CB" w:rsidRPr="00310F7F">
        <w:rPr>
          <w:lang w:val="fr-FR"/>
        </w:rPr>
        <w:t>Convention UPOV</w:t>
      </w:r>
      <w:r w:rsidR="00F17CF0" w:rsidRPr="00310F7F">
        <w:rPr>
          <w:lang w:val="fr-FR"/>
        </w:rPr>
        <w:t>” (document UPOV/INF/6/4).</w:t>
      </w:r>
    </w:p>
    <w:p w:rsidR="00C86975" w:rsidRPr="00310F7F" w:rsidRDefault="00C86975" w:rsidP="00BA5523">
      <w:pPr>
        <w:rPr>
          <w:highlight w:val="yellow"/>
          <w:lang w:val="fr-FR"/>
        </w:rPr>
      </w:pPr>
    </w:p>
    <w:p w:rsidR="00FD21CB" w:rsidRPr="00310F7F" w:rsidRDefault="00F17CF0" w:rsidP="00BA5523">
      <w:pPr>
        <w:pStyle w:val="Heading3"/>
        <w:rPr>
          <w:snapToGrid w:val="0"/>
          <w:lang w:val="fr-FR"/>
        </w:rPr>
      </w:pPr>
      <w:bookmarkStart w:id="7" w:name="_Toc413059226"/>
      <w:bookmarkStart w:id="8" w:name="_Toc431558823"/>
      <w:r w:rsidRPr="00310F7F">
        <w:rPr>
          <w:snapToGrid w:val="0"/>
          <w:lang w:val="fr-FR"/>
        </w:rPr>
        <w:t>Dé</w:t>
      </w:r>
      <w:r w:rsidR="00BC267F" w:rsidRPr="00310F7F">
        <w:rPr>
          <w:snapToGrid w:val="0"/>
          <w:lang w:val="fr-FR"/>
        </w:rPr>
        <w:t>nominations</w:t>
      </w:r>
      <w:r w:rsidRPr="00310F7F">
        <w:rPr>
          <w:snapToGrid w:val="0"/>
          <w:lang w:val="fr-FR"/>
        </w:rPr>
        <w:t xml:space="preserve"> variétales</w:t>
      </w:r>
      <w:bookmarkEnd w:id="7"/>
      <w:bookmarkEnd w:id="8"/>
    </w:p>
    <w:p w:rsidR="00BC267F" w:rsidRPr="00310F7F" w:rsidRDefault="00BC267F" w:rsidP="00BA5523">
      <w:pPr>
        <w:rPr>
          <w:lang w:val="fr-FR"/>
        </w:rPr>
      </w:pPr>
    </w:p>
    <w:p w:rsidR="00BC267F" w:rsidRPr="00310F7F" w:rsidRDefault="00BC267F"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842389" w:rsidRPr="00310F7F">
        <w:rPr>
          <w:lang w:val="fr-FR"/>
        </w:rPr>
        <w:t>Le CAJ a pris note des travaux concernant la possibilité d</w:t>
      </w:r>
      <w:r w:rsidR="00FD21CB" w:rsidRPr="00310F7F">
        <w:rPr>
          <w:lang w:val="fr-FR"/>
        </w:rPr>
        <w:t>’</w:t>
      </w:r>
      <w:r w:rsidR="00842389" w:rsidRPr="00310F7F">
        <w:rPr>
          <w:lang w:val="fr-FR"/>
        </w:rPr>
        <w:t>élaboration d</w:t>
      </w:r>
      <w:r w:rsidR="00FD21CB" w:rsidRPr="00310F7F">
        <w:rPr>
          <w:lang w:val="fr-FR"/>
        </w:rPr>
        <w:t>’</w:t>
      </w:r>
      <w:r w:rsidR="00842389" w:rsidRPr="00310F7F">
        <w:rPr>
          <w:lang w:val="fr-FR"/>
        </w:rPr>
        <w:t>un outil de recherche de l</w:t>
      </w:r>
      <w:r w:rsidR="00FD21CB" w:rsidRPr="00310F7F">
        <w:rPr>
          <w:lang w:val="fr-FR"/>
        </w:rPr>
        <w:t>’</w:t>
      </w:r>
      <w:r w:rsidR="00842389" w:rsidRPr="00310F7F">
        <w:rPr>
          <w:lang w:val="fr-FR"/>
        </w:rPr>
        <w:t>UPOV de similarité aux fins de la dénomination variétale réalisés par le groupe de travail sur l</w:t>
      </w:r>
      <w:r w:rsidR="00FD21CB" w:rsidRPr="00310F7F">
        <w:rPr>
          <w:lang w:val="fr-FR"/>
        </w:rPr>
        <w:t>’</w:t>
      </w:r>
      <w:r w:rsidR="00842389" w:rsidRPr="00310F7F">
        <w:rPr>
          <w:lang w:val="fr-FR"/>
        </w:rPr>
        <w:t>élaboration d</w:t>
      </w:r>
      <w:r w:rsidR="00FD21CB" w:rsidRPr="00310F7F">
        <w:rPr>
          <w:lang w:val="fr-FR"/>
        </w:rPr>
        <w:t>’</w:t>
      </w:r>
      <w:r w:rsidR="00842389" w:rsidRPr="00310F7F">
        <w:rPr>
          <w:lang w:val="fr-FR"/>
        </w:rPr>
        <w:t>un outil de recherche de l</w:t>
      </w:r>
      <w:r w:rsidR="00FD21CB" w:rsidRPr="00310F7F">
        <w:rPr>
          <w:lang w:val="fr-FR"/>
        </w:rPr>
        <w:t>’</w:t>
      </w:r>
      <w:r w:rsidR="00842389" w:rsidRPr="00310F7F">
        <w:rPr>
          <w:lang w:val="fr-FR"/>
        </w:rPr>
        <w:t>UPOV de similarité aux fins de la dénomination variétale (WG</w:t>
      </w:r>
      <w:r w:rsidR="00FF3774" w:rsidRPr="00310F7F">
        <w:rPr>
          <w:lang w:val="fr-FR"/>
        </w:rPr>
        <w:noBreakHyphen/>
      </w:r>
      <w:r w:rsidR="00842389" w:rsidRPr="00310F7F">
        <w:rPr>
          <w:lang w:val="fr-FR"/>
        </w:rPr>
        <w:t xml:space="preserve">DST), </w:t>
      </w:r>
      <w:r w:rsidR="00FD21CB" w:rsidRPr="00310F7F">
        <w:rPr>
          <w:lang w:val="fr-FR"/>
        </w:rPr>
        <w:t>y compris</w:t>
      </w:r>
      <w:r w:rsidR="00842389" w:rsidRPr="00310F7F">
        <w:rPr>
          <w:lang w:val="fr-FR"/>
        </w:rPr>
        <w:t xml:space="preserve"> de l</w:t>
      </w:r>
      <w:r w:rsidR="00FD21CB" w:rsidRPr="00310F7F">
        <w:rPr>
          <w:lang w:val="fr-FR"/>
        </w:rPr>
        <w:t>’</w:t>
      </w:r>
      <w:r w:rsidR="00842389" w:rsidRPr="00310F7F">
        <w:rPr>
          <w:lang w:val="fr-FR"/>
        </w:rPr>
        <w:t>étude test</w:t>
      </w:r>
      <w:r w:rsidRPr="00310F7F">
        <w:rPr>
          <w:lang w:val="fr-FR"/>
        </w:rPr>
        <w:t xml:space="preserve"> </w:t>
      </w:r>
      <w:r w:rsidRPr="00310F7F">
        <w:rPr>
          <w:kern w:val="28"/>
          <w:lang w:val="fr-FR"/>
        </w:rPr>
        <w:t>(</w:t>
      </w:r>
      <w:r w:rsidR="00842389" w:rsidRPr="00310F7F">
        <w:rPr>
          <w:kern w:val="28"/>
          <w:lang w:val="fr-FR"/>
        </w:rPr>
        <w:t xml:space="preserve">voir le paragraphe 33 du </w:t>
      </w:r>
      <w:r w:rsidRPr="00310F7F">
        <w:rPr>
          <w:kern w:val="28"/>
          <w:lang w:val="fr-FR"/>
        </w:rPr>
        <w:t>document CAJ/71/10 “</w:t>
      </w:r>
      <w:r w:rsidR="00842389" w:rsidRPr="00310F7F">
        <w:rPr>
          <w:kern w:val="28"/>
          <w:lang w:val="fr-FR"/>
        </w:rPr>
        <w:t>Compte rendu des c</w:t>
      </w:r>
      <w:r w:rsidRPr="00310F7F">
        <w:rPr>
          <w:kern w:val="28"/>
          <w:lang w:val="fr-FR"/>
        </w:rPr>
        <w:t>onclusions”)</w:t>
      </w:r>
      <w:r w:rsidRPr="00310F7F">
        <w:rPr>
          <w:lang w:val="fr-FR"/>
        </w:rPr>
        <w:t>.</w:t>
      </w:r>
    </w:p>
    <w:p w:rsidR="00BC267F" w:rsidRPr="00310F7F" w:rsidRDefault="00BC267F" w:rsidP="00BA5523">
      <w:pPr>
        <w:rPr>
          <w:lang w:val="fr-FR"/>
        </w:rPr>
      </w:pPr>
    </w:p>
    <w:p w:rsidR="00BC267F" w:rsidRPr="00310F7F" w:rsidRDefault="00BC267F"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842389" w:rsidRPr="00310F7F">
        <w:rPr>
          <w:lang w:val="fr-FR"/>
        </w:rPr>
        <w:t xml:space="preserve">Le CAJ a approuvé la proposition de révision du document UPOV/INF/12 “Notes explicatives concernant les dénominations variétales en vertu de la </w:t>
      </w:r>
      <w:r w:rsidR="00FD21CB" w:rsidRPr="00310F7F">
        <w:rPr>
          <w:lang w:val="fr-FR"/>
        </w:rPr>
        <w:t>Convention UPOV</w:t>
      </w:r>
      <w:r w:rsidR="00842389" w:rsidRPr="00310F7F">
        <w:rPr>
          <w:lang w:val="fr-FR"/>
        </w:rPr>
        <w:t>” en ce qui concerne les modifications de dénominations variétales enregistrées, et est convenu de soumettre ces orientations au Conseil pour adoption à sa quarante</w:t>
      </w:r>
      <w:r w:rsidR="00FF3774" w:rsidRPr="00310F7F">
        <w:rPr>
          <w:lang w:val="fr-FR"/>
        </w:rPr>
        <w:noBreakHyphen/>
      </w:r>
      <w:r w:rsidR="00842389" w:rsidRPr="00310F7F">
        <w:rPr>
          <w:lang w:val="fr-FR"/>
        </w:rPr>
        <w:t>neuvième session ordinaire, prévue le 29 octobre 2015</w:t>
      </w:r>
      <w:r w:rsidRPr="00310F7F">
        <w:rPr>
          <w:lang w:val="fr-FR"/>
        </w:rPr>
        <w:t xml:space="preserve"> </w:t>
      </w:r>
      <w:r w:rsidRPr="00310F7F">
        <w:rPr>
          <w:kern w:val="28"/>
          <w:lang w:val="fr-FR"/>
        </w:rPr>
        <w:t>(</w:t>
      </w:r>
      <w:r w:rsidR="00842389" w:rsidRPr="00310F7F">
        <w:rPr>
          <w:kern w:val="28"/>
          <w:lang w:val="fr-FR"/>
        </w:rPr>
        <w:t>voir le paragraphe 34 du</w:t>
      </w:r>
      <w:r w:rsidRPr="00310F7F">
        <w:rPr>
          <w:kern w:val="28"/>
          <w:lang w:val="fr-FR"/>
        </w:rPr>
        <w:t xml:space="preserve"> document CAJ/71/10 “</w:t>
      </w:r>
      <w:r w:rsidR="00842389" w:rsidRPr="00310F7F">
        <w:rPr>
          <w:kern w:val="28"/>
          <w:lang w:val="fr-FR"/>
        </w:rPr>
        <w:t>Compte rendu des</w:t>
      </w:r>
      <w:r w:rsidRPr="00310F7F">
        <w:rPr>
          <w:kern w:val="28"/>
          <w:lang w:val="fr-FR"/>
        </w:rPr>
        <w:t xml:space="preserve"> </w:t>
      </w:r>
      <w:r w:rsidR="00842389" w:rsidRPr="00310F7F">
        <w:rPr>
          <w:kern w:val="28"/>
          <w:lang w:val="fr-FR"/>
        </w:rPr>
        <w:t>c</w:t>
      </w:r>
      <w:r w:rsidRPr="00310F7F">
        <w:rPr>
          <w:kern w:val="28"/>
          <w:lang w:val="fr-FR"/>
        </w:rPr>
        <w:t>onclusions”)</w:t>
      </w:r>
      <w:r w:rsidR="00E36CE1" w:rsidRPr="00310F7F">
        <w:rPr>
          <w:lang w:val="fr-FR"/>
        </w:rPr>
        <w:t>.</w:t>
      </w:r>
    </w:p>
    <w:p w:rsidR="00BC267F" w:rsidRPr="00310F7F" w:rsidRDefault="00BC267F" w:rsidP="00BA5523">
      <w:pPr>
        <w:rPr>
          <w:lang w:val="fr-FR"/>
        </w:rPr>
      </w:pPr>
    </w:p>
    <w:p w:rsidR="00BC267F" w:rsidRPr="00310F7F" w:rsidRDefault="00BC267F"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842389" w:rsidRPr="00310F7F">
        <w:rPr>
          <w:lang w:val="fr-FR"/>
        </w:rPr>
        <w:t>Le CAJ a décidé d</w:t>
      </w:r>
      <w:r w:rsidR="00FD21CB" w:rsidRPr="00310F7F">
        <w:rPr>
          <w:lang w:val="fr-FR"/>
        </w:rPr>
        <w:t>’</w:t>
      </w:r>
      <w:r w:rsidR="00842389" w:rsidRPr="00310F7F">
        <w:rPr>
          <w:lang w:val="fr-FR"/>
        </w:rPr>
        <w:t>inviter le WG</w:t>
      </w:r>
      <w:r w:rsidR="00FF3774" w:rsidRPr="00310F7F">
        <w:rPr>
          <w:lang w:val="fr-FR"/>
        </w:rPr>
        <w:noBreakHyphen/>
      </w:r>
      <w:r w:rsidR="00842389" w:rsidRPr="00310F7F">
        <w:rPr>
          <w:lang w:val="fr-FR"/>
        </w:rPr>
        <w:t>DST à examiner les observations faites par</w:t>
      </w:r>
      <w:r w:rsidR="00FD21CB" w:rsidRPr="00310F7F">
        <w:rPr>
          <w:lang w:val="fr-FR"/>
        </w:rPr>
        <w:t xml:space="preserve"> le CAJ</w:t>
      </w:r>
      <w:r w:rsidR="00FF3774" w:rsidRPr="00310F7F">
        <w:rPr>
          <w:lang w:val="fr-FR"/>
        </w:rPr>
        <w:noBreakHyphen/>
      </w:r>
      <w:r w:rsidR="00842389" w:rsidRPr="00310F7F">
        <w:rPr>
          <w:lang w:val="fr-FR"/>
        </w:rPr>
        <w:t>AG sur les propositions présentées dans le document UPOV/INF/12/5 </w:t>
      </w:r>
      <w:proofErr w:type="spellStart"/>
      <w:r w:rsidR="00842389" w:rsidRPr="00310F7F">
        <w:rPr>
          <w:lang w:val="fr-FR"/>
        </w:rPr>
        <w:t>Draft</w:t>
      </w:r>
      <w:proofErr w:type="spellEnd"/>
      <w:r w:rsidR="00842389" w:rsidRPr="00310F7F">
        <w:rPr>
          <w:lang w:val="fr-FR"/>
        </w:rPr>
        <w:t> 2 concernant les paragraphes</w:t>
      </w:r>
      <w:r w:rsidR="003B2AC4" w:rsidRPr="00310F7F">
        <w:rPr>
          <w:lang w:val="fr-FR"/>
        </w:rPr>
        <w:t> </w:t>
      </w:r>
      <w:r w:rsidR="00842389" w:rsidRPr="00310F7F">
        <w:rPr>
          <w:lang w:val="fr-FR"/>
        </w:rPr>
        <w:t>2.2.2.b), 2.3.1.c) et d)</w:t>
      </w:r>
      <w:r w:rsidR="003B2AC4" w:rsidRPr="00310F7F">
        <w:rPr>
          <w:lang w:val="fr-FR"/>
        </w:rPr>
        <w:t> </w:t>
      </w:r>
      <w:r w:rsidR="00842389" w:rsidRPr="00310F7F">
        <w:rPr>
          <w:lang w:val="fr-FR"/>
        </w:rPr>
        <w:t>et 2.3.3</w:t>
      </w:r>
      <w:r w:rsidR="00CA7242" w:rsidRPr="00310F7F">
        <w:rPr>
          <w:lang w:val="fr-FR"/>
        </w:rPr>
        <w:t xml:space="preserve"> </w:t>
      </w:r>
      <w:r w:rsidR="00CA7242" w:rsidRPr="00310F7F">
        <w:rPr>
          <w:kern w:val="28"/>
          <w:lang w:val="fr-FR"/>
        </w:rPr>
        <w:t>(</w:t>
      </w:r>
      <w:r w:rsidR="00842389" w:rsidRPr="00310F7F">
        <w:rPr>
          <w:kern w:val="28"/>
          <w:lang w:val="fr-FR"/>
        </w:rPr>
        <w:t>voir le paragraphe 35 du</w:t>
      </w:r>
      <w:r w:rsidR="00CA7242" w:rsidRPr="00310F7F">
        <w:rPr>
          <w:kern w:val="28"/>
          <w:lang w:val="fr-FR"/>
        </w:rPr>
        <w:t xml:space="preserve"> document CAJ/71/10 “</w:t>
      </w:r>
      <w:r w:rsidR="00842389" w:rsidRPr="00310F7F">
        <w:rPr>
          <w:kern w:val="28"/>
          <w:lang w:val="fr-FR"/>
        </w:rPr>
        <w:t>Compte rendu des c</w:t>
      </w:r>
      <w:r w:rsidR="00CA7242" w:rsidRPr="00310F7F">
        <w:rPr>
          <w:kern w:val="28"/>
          <w:lang w:val="fr-FR"/>
        </w:rPr>
        <w:t>onclusions”)</w:t>
      </w:r>
      <w:r w:rsidR="00CA7242" w:rsidRPr="00310F7F">
        <w:rPr>
          <w:lang w:val="fr-FR"/>
        </w:rPr>
        <w:t>.</w:t>
      </w:r>
    </w:p>
    <w:p w:rsidR="00BC267F" w:rsidRPr="00310F7F" w:rsidRDefault="00BC267F" w:rsidP="00BA5523">
      <w:pPr>
        <w:rPr>
          <w:lang w:val="fr-FR"/>
        </w:rPr>
      </w:pPr>
    </w:p>
    <w:p w:rsidR="00BC267F" w:rsidRPr="00310F7F" w:rsidRDefault="00BC267F"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842389" w:rsidRPr="00310F7F">
        <w:rPr>
          <w:lang w:val="fr-FR"/>
        </w:rPr>
        <w:t>L</w:t>
      </w:r>
      <w:r w:rsidRPr="00310F7F">
        <w:rPr>
          <w:lang w:val="fr-FR"/>
        </w:rPr>
        <w:t xml:space="preserve">e CAJ </w:t>
      </w:r>
      <w:r w:rsidR="00842389" w:rsidRPr="00310F7F">
        <w:rPr>
          <w:lang w:val="fr-FR"/>
        </w:rPr>
        <w:t>a pris note du souhait du</w:t>
      </w:r>
      <w:r w:rsidRPr="00310F7F">
        <w:rPr>
          <w:lang w:val="fr-FR"/>
        </w:rPr>
        <w:t xml:space="preserve"> Jap</w:t>
      </w:r>
      <w:r w:rsidR="00842389" w:rsidRPr="00310F7F">
        <w:rPr>
          <w:lang w:val="fr-FR"/>
        </w:rPr>
        <w:t>o</w:t>
      </w:r>
      <w:r w:rsidR="00CA7242" w:rsidRPr="00310F7F">
        <w:rPr>
          <w:lang w:val="fr-FR"/>
        </w:rPr>
        <w:t xml:space="preserve">n </w:t>
      </w:r>
      <w:r w:rsidR="00842389" w:rsidRPr="00310F7F">
        <w:rPr>
          <w:lang w:val="fr-FR"/>
        </w:rPr>
        <w:t>de</w:t>
      </w:r>
      <w:r w:rsidR="00CA7242" w:rsidRPr="00310F7F">
        <w:rPr>
          <w:lang w:val="fr-FR"/>
        </w:rPr>
        <w:t xml:space="preserve"> participe</w:t>
      </w:r>
      <w:r w:rsidR="00842389" w:rsidRPr="00310F7F">
        <w:rPr>
          <w:lang w:val="fr-FR"/>
        </w:rPr>
        <w:t>r</w:t>
      </w:r>
      <w:r w:rsidR="00CA7242" w:rsidRPr="00310F7F">
        <w:rPr>
          <w:lang w:val="fr-FR"/>
        </w:rPr>
        <w:t xml:space="preserve"> </w:t>
      </w:r>
      <w:r w:rsidR="00842389" w:rsidRPr="00310F7F">
        <w:rPr>
          <w:lang w:val="fr-FR"/>
        </w:rPr>
        <w:t>au</w:t>
      </w:r>
      <w:r w:rsidR="00CA7242" w:rsidRPr="00310F7F">
        <w:rPr>
          <w:lang w:val="fr-FR"/>
        </w:rPr>
        <w:t xml:space="preserve"> WG</w:t>
      </w:r>
      <w:r w:rsidR="00FF3774" w:rsidRPr="00310F7F">
        <w:rPr>
          <w:lang w:val="fr-FR"/>
        </w:rPr>
        <w:noBreakHyphen/>
      </w:r>
      <w:r w:rsidR="00CA7242" w:rsidRPr="00310F7F">
        <w:rPr>
          <w:lang w:val="fr-FR"/>
        </w:rPr>
        <w:t xml:space="preserve">DST </w:t>
      </w:r>
      <w:r w:rsidR="00CA7242" w:rsidRPr="00310F7F">
        <w:rPr>
          <w:kern w:val="28"/>
          <w:lang w:val="fr-FR"/>
        </w:rPr>
        <w:t>(</w:t>
      </w:r>
      <w:r w:rsidR="00842389" w:rsidRPr="00310F7F">
        <w:rPr>
          <w:kern w:val="28"/>
          <w:lang w:val="fr-FR"/>
        </w:rPr>
        <w:t>voir le paragraphe 36 du</w:t>
      </w:r>
      <w:r w:rsidR="00CA7242" w:rsidRPr="00310F7F">
        <w:rPr>
          <w:kern w:val="28"/>
          <w:lang w:val="fr-FR"/>
        </w:rPr>
        <w:t xml:space="preserve"> document CAJ/71/10 “</w:t>
      </w:r>
      <w:r w:rsidR="00842389" w:rsidRPr="00310F7F">
        <w:rPr>
          <w:kern w:val="28"/>
          <w:lang w:val="fr-FR"/>
        </w:rPr>
        <w:t>Compte rendu des c</w:t>
      </w:r>
      <w:r w:rsidR="00CA7242" w:rsidRPr="00310F7F">
        <w:rPr>
          <w:kern w:val="28"/>
          <w:lang w:val="fr-FR"/>
        </w:rPr>
        <w:t>onclusions”)</w:t>
      </w:r>
      <w:r w:rsidR="00CA7242" w:rsidRPr="00310F7F">
        <w:rPr>
          <w:lang w:val="fr-FR"/>
        </w:rPr>
        <w:t>.</w:t>
      </w:r>
    </w:p>
    <w:p w:rsidR="00BC267F" w:rsidRPr="00310F7F" w:rsidRDefault="00BC267F" w:rsidP="00BA5523">
      <w:pPr>
        <w:rPr>
          <w:lang w:val="fr-FR"/>
        </w:rPr>
      </w:pPr>
    </w:p>
    <w:p w:rsidR="00BC267F" w:rsidRPr="00310F7F" w:rsidRDefault="00BC267F"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842389" w:rsidRPr="00310F7F">
        <w:rPr>
          <w:lang w:val="fr-FR"/>
        </w:rPr>
        <w:t>Le CAJ est convenu d</w:t>
      </w:r>
      <w:r w:rsidR="00FD21CB" w:rsidRPr="00310F7F">
        <w:rPr>
          <w:lang w:val="fr-FR"/>
        </w:rPr>
        <w:t>’</w:t>
      </w:r>
      <w:r w:rsidR="00842389" w:rsidRPr="00310F7F">
        <w:rPr>
          <w:lang w:val="fr-FR"/>
        </w:rPr>
        <w:t>examiner les propositions</w:t>
      </w:r>
      <w:r w:rsidR="00FD21CB" w:rsidRPr="00310F7F">
        <w:rPr>
          <w:lang w:val="fr-FR"/>
        </w:rPr>
        <w:t xml:space="preserve"> du CAJ</w:t>
      </w:r>
      <w:r w:rsidR="00FF3774" w:rsidRPr="00310F7F">
        <w:rPr>
          <w:lang w:val="fr-FR"/>
        </w:rPr>
        <w:noBreakHyphen/>
      </w:r>
      <w:r w:rsidR="00842389" w:rsidRPr="00310F7F">
        <w:rPr>
          <w:lang w:val="fr-FR"/>
        </w:rPr>
        <w:t>AG concernant les paragraphes</w:t>
      </w:r>
      <w:r w:rsidR="003B2AC4" w:rsidRPr="00310F7F">
        <w:rPr>
          <w:lang w:val="fr-FR"/>
        </w:rPr>
        <w:t> </w:t>
      </w:r>
      <w:r w:rsidR="00842389" w:rsidRPr="00310F7F">
        <w:rPr>
          <w:lang w:val="fr-FR"/>
        </w:rPr>
        <w:t>2.2.2.c), 4.a) et 4.e)i) à sa soixante</w:t>
      </w:r>
      <w:r w:rsidR="00FF3774" w:rsidRPr="00310F7F">
        <w:rPr>
          <w:lang w:val="fr-FR"/>
        </w:rPr>
        <w:noBreakHyphen/>
      </w:r>
      <w:r w:rsidR="00842389" w:rsidRPr="00310F7F">
        <w:rPr>
          <w:lang w:val="fr-FR"/>
        </w:rPr>
        <w:t>douzième</w:t>
      </w:r>
      <w:r w:rsidR="003B2AC4" w:rsidRPr="00310F7F">
        <w:rPr>
          <w:lang w:val="fr-FR"/>
        </w:rPr>
        <w:t> </w:t>
      </w:r>
      <w:r w:rsidR="00842389" w:rsidRPr="00310F7F">
        <w:rPr>
          <w:lang w:val="fr-FR"/>
        </w:rPr>
        <w:t>session</w:t>
      </w:r>
      <w:r w:rsidRPr="00310F7F">
        <w:rPr>
          <w:lang w:val="fr-FR"/>
        </w:rPr>
        <w:t xml:space="preserve"> </w:t>
      </w:r>
      <w:r w:rsidR="00CA7242" w:rsidRPr="00310F7F">
        <w:rPr>
          <w:kern w:val="28"/>
          <w:lang w:val="fr-FR"/>
        </w:rPr>
        <w:t>(</w:t>
      </w:r>
      <w:r w:rsidR="006466DC" w:rsidRPr="00310F7F">
        <w:rPr>
          <w:kern w:val="28"/>
          <w:lang w:val="fr-FR"/>
        </w:rPr>
        <w:t>voir le paragraphe 37 du</w:t>
      </w:r>
      <w:r w:rsidR="00CA7242" w:rsidRPr="00310F7F">
        <w:rPr>
          <w:kern w:val="28"/>
          <w:lang w:val="fr-FR"/>
        </w:rPr>
        <w:t xml:space="preserve"> document CAJ/71/10 “</w:t>
      </w:r>
      <w:r w:rsidR="006466DC" w:rsidRPr="00310F7F">
        <w:rPr>
          <w:kern w:val="28"/>
          <w:lang w:val="fr-FR"/>
        </w:rPr>
        <w:t>Compte rendu des</w:t>
      </w:r>
      <w:r w:rsidR="00CA7242" w:rsidRPr="00310F7F">
        <w:rPr>
          <w:kern w:val="28"/>
          <w:lang w:val="fr-FR"/>
        </w:rPr>
        <w:t xml:space="preserve"> </w:t>
      </w:r>
      <w:r w:rsidR="006466DC" w:rsidRPr="00310F7F">
        <w:rPr>
          <w:kern w:val="28"/>
          <w:lang w:val="fr-FR"/>
        </w:rPr>
        <w:t>c</w:t>
      </w:r>
      <w:r w:rsidR="00CA7242" w:rsidRPr="00310F7F">
        <w:rPr>
          <w:kern w:val="28"/>
          <w:lang w:val="fr-FR"/>
        </w:rPr>
        <w:t>onclusions”)</w:t>
      </w:r>
      <w:r w:rsidR="00CA7242" w:rsidRPr="00310F7F">
        <w:rPr>
          <w:lang w:val="fr-FR"/>
        </w:rPr>
        <w:t>.</w:t>
      </w:r>
    </w:p>
    <w:p w:rsidR="00BC267F" w:rsidRPr="00310F7F" w:rsidRDefault="00BC267F" w:rsidP="00BA5523">
      <w:pPr>
        <w:rPr>
          <w:lang w:val="fr-FR"/>
        </w:rPr>
      </w:pPr>
    </w:p>
    <w:p w:rsidR="00BC267F" w:rsidRPr="00310F7F" w:rsidRDefault="00BC267F"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6466DC" w:rsidRPr="00310F7F">
        <w:rPr>
          <w:lang w:val="fr-FR"/>
        </w:rPr>
        <w:t>Le CAJ a noté que la délégation de l</w:t>
      </w:r>
      <w:r w:rsidR="00FD21CB" w:rsidRPr="00310F7F">
        <w:rPr>
          <w:lang w:val="fr-FR"/>
        </w:rPr>
        <w:t>’</w:t>
      </w:r>
      <w:r w:rsidR="006466DC" w:rsidRPr="00310F7F">
        <w:rPr>
          <w:lang w:val="fr-FR"/>
        </w:rPr>
        <w:t>Argentine réalise une étude sur les dénominations variétales qui lui sera présentée à sa soixante</w:t>
      </w:r>
      <w:r w:rsidR="00FF3774" w:rsidRPr="00310F7F">
        <w:rPr>
          <w:lang w:val="fr-FR"/>
        </w:rPr>
        <w:noBreakHyphen/>
      </w:r>
      <w:r w:rsidR="006466DC" w:rsidRPr="00310F7F">
        <w:rPr>
          <w:lang w:val="fr-FR"/>
        </w:rPr>
        <w:t>douzième session prévue les 26 et 27 octobre 2015</w:t>
      </w:r>
      <w:r w:rsidR="00CA7242" w:rsidRPr="00310F7F">
        <w:rPr>
          <w:lang w:val="fr-FR"/>
        </w:rPr>
        <w:t xml:space="preserve"> </w:t>
      </w:r>
      <w:r w:rsidR="00CA7242" w:rsidRPr="00310F7F">
        <w:rPr>
          <w:kern w:val="28"/>
          <w:lang w:val="fr-FR"/>
        </w:rPr>
        <w:t>(</w:t>
      </w:r>
      <w:r w:rsidR="006466DC" w:rsidRPr="00310F7F">
        <w:rPr>
          <w:kern w:val="28"/>
          <w:lang w:val="fr-FR"/>
        </w:rPr>
        <w:t>voir le paragraphe 38 du</w:t>
      </w:r>
      <w:r w:rsidR="00CA7242" w:rsidRPr="00310F7F">
        <w:rPr>
          <w:kern w:val="28"/>
          <w:lang w:val="fr-FR"/>
        </w:rPr>
        <w:t xml:space="preserve"> document CAJ/71/10 “</w:t>
      </w:r>
      <w:r w:rsidR="006466DC" w:rsidRPr="00310F7F">
        <w:rPr>
          <w:kern w:val="28"/>
          <w:lang w:val="fr-FR"/>
        </w:rPr>
        <w:t>Compte rendu des</w:t>
      </w:r>
      <w:r w:rsidR="00CA7242" w:rsidRPr="00310F7F">
        <w:rPr>
          <w:kern w:val="28"/>
          <w:lang w:val="fr-FR"/>
        </w:rPr>
        <w:t xml:space="preserve"> </w:t>
      </w:r>
      <w:r w:rsidR="006466DC" w:rsidRPr="00310F7F">
        <w:rPr>
          <w:kern w:val="28"/>
          <w:lang w:val="fr-FR"/>
        </w:rPr>
        <w:t>c</w:t>
      </w:r>
      <w:r w:rsidR="00CA7242" w:rsidRPr="00310F7F">
        <w:rPr>
          <w:kern w:val="28"/>
          <w:lang w:val="fr-FR"/>
        </w:rPr>
        <w:t>onclusions”)</w:t>
      </w:r>
      <w:r w:rsidR="00CA7242" w:rsidRPr="00310F7F">
        <w:rPr>
          <w:lang w:val="fr-FR"/>
        </w:rPr>
        <w:t>.</w:t>
      </w:r>
    </w:p>
    <w:p w:rsidR="00C86975" w:rsidRPr="00310F7F" w:rsidRDefault="00C86975" w:rsidP="00BA5523">
      <w:pPr>
        <w:rPr>
          <w:lang w:val="fr-FR"/>
        </w:rPr>
      </w:pPr>
    </w:p>
    <w:p w:rsidR="00BE7D09" w:rsidRPr="00310F7F" w:rsidRDefault="006466DC" w:rsidP="00BA5523">
      <w:pPr>
        <w:pStyle w:val="Heading3"/>
        <w:rPr>
          <w:lang w:val="fr-FR"/>
        </w:rPr>
      </w:pPr>
      <w:bookmarkStart w:id="9" w:name="_Toc431558824"/>
      <w:r w:rsidRPr="00310F7F">
        <w:rPr>
          <w:lang w:val="fr-FR"/>
        </w:rPr>
        <w:t>Systèmes de dépôt é</w:t>
      </w:r>
      <w:r w:rsidR="00BE7D09" w:rsidRPr="00310F7F">
        <w:rPr>
          <w:lang w:val="fr-FR"/>
        </w:rPr>
        <w:t>lectroni</w:t>
      </w:r>
      <w:r w:rsidRPr="00310F7F">
        <w:rPr>
          <w:lang w:val="fr-FR"/>
        </w:rPr>
        <w:t>que des demandes</w:t>
      </w:r>
      <w:bookmarkEnd w:id="9"/>
    </w:p>
    <w:p w:rsidR="00BE7D09" w:rsidRPr="00310F7F" w:rsidRDefault="00BE7D09" w:rsidP="00BA5523">
      <w:pPr>
        <w:rPr>
          <w:lang w:val="fr-FR"/>
        </w:rPr>
      </w:pPr>
    </w:p>
    <w:p w:rsidR="00BE7D09" w:rsidRPr="00310F7F" w:rsidRDefault="00BE7D09"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5753C8" w:rsidRPr="00310F7F">
        <w:rPr>
          <w:lang w:val="fr-FR"/>
        </w:rPr>
        <w:t>Le CAJ a pris note des faits nouveaux concernant l</w:t>
      </w:r>
      <w:r w:rsidR="00FD21CB" w:rsidRPr="00310F7F">
        <w:rPr>
          <w:lang w:val="fr-FR"/>
        </w:rPr>
        <w:t>’</w:t>
      </w:r>
      <w:r w:rsidR="005753C8" w:rsidRPr="00310F7F">
        <w:rPr>
          <w:lang w:val="fr-FR"/>
        </w:rPr>
        <w:t>élaboration d</w:t>
      </w:r>
      <w:r w:rsidR="00FD21CB" w:rsidRPr="00310F7F">
        <w:rPr>
          <w:lang w:val="fr-FR"/>
        </w:rPr>
        <w:t>’</w:t>
      </w:r>
      <w:r w:rsidR="005753C8" w:rsidRPr="00310F7F">
        <w:rPr>
          <w:lang w:val="fr-FR"/>
        </w:rPr>
        <w:t>un prototype de formulaire électronique dont il est rendu compte dans le document CAJ/71/4</w:t>
      </w:r>
      <w:r w:rsidRPr="00310F7F">
        <w:rPr>
          <w:lang w:val="fr-FR"/>
        </w:rPr>
        <w:t xml:space="preserve"> </w:t>
      </w:r>
      <w:r w:rsidRPr="00310F7F">
        <w:rPr>
          <w:kern w:val="28"/>
          <w:lang w:val="fr-FR"/>
        </w:rPr>
        <w:t>(</w:t>
      </w:r>
      <w:r w:rsidR="005753C8" w:rsidRPr="00310F7F">
        <w:rPr>
          <w:kern w:val="28"/>
          <w:lang w:val="fr-FR"/>
        </w:rPr>
        <w:t>voir le paragraphe 40 du</w:t>
      </w:r>
      <w:r w:rsidRPr="00310F7F">
        <w:rPr>
          <w:kern w:val="28"/>
          <w:lang w:val="fr-FR"/>
        </w:rPr>
        <w:t xml:space="preserve"> document CAJ/71/10 “</w:t>
      </w:r>
      <w:r w:rsidR="005753C8" w:rsidRPr="00310F7F">
        <w:rPr>
          <w:kern w:val="28"/>
          <w:lang w:val="fr-FR"/>
        </w:rPr>
        <w:t>Compte rendu des c</w:t>
      </w:r>
      <w:r w:rsidRPr="00310F7F">
        <w:rPr>
          <w:kern w:val="28"/>
          <w:lang w:val="fr-FR"/>
        </w:rPr>
        <w:t>onclusions”)</w:t>
      </w:r>
      <w:r w:rsidRPr="00310F7F">
        <w:rPr>
          <w:lang w:val="fr-FR"/>
        </w:rPr>
        <w:t>.</w:t>
      </w:r>
    </w:p>
    <w:p w:rsidR="00BE7D09" w:rsidRPr="00310F7F" w:rsidRDefault="00BE7D09" w:rsidP="00BA5523">
      <w:pPr>
        <w:rPr>
          <w:lang w:val="fr-FR"/>
        </w:rPr>
      </w:pPr>
    </w:p>
    <w:p w:rsidR="00BE7D09" w:rsidRPr="00310F7F" w:rsidRDefault="00BE7D09"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5753C8" w:rsidRPr="00310F7F">
        <w:rPr>
          <w:lang w:val="fr-FR"/>
        </w:rPr>
        <w:t>Le CAJ a écouté un rapport verbal du secrétaire général adjoint concernant la cinquième réunion sur l</w:t>
      </w:r>
      <w:r w:rsidR="00FD21CB" w:rsidRPr="00310F7F">
        <w:rPr>
          <w:lang w:val="fr-FR"/>
        </w:rPr>
        <w:t>’</w:t>
      </w:r>
      <w:r w:rsidR="005753C8" w:rsidRPr="00310F7F">
        <w:rPr>
          <w:lang w:val="fr-FR"/>
        </w:rPr>
        <w:t>élaboration d</w:t>
      </w:r>
      <w:r w:rsidR="00FD21CB" w:rsidRPr="00310F7F">
        <w:rPr>
          <w:lang w:val="fr-FR"/>
        </w:rPr>
        <w:t>’</w:t>
      </w:r>
      <w:r w:rsidR="005753C8" w:rsidRPr="00310F7F">
        <w:rPr>
          <w:lang w:val="fr-FR"/>
        </w:rPr>
        <w:t>un prototype de formulaire électronique, tenue à Genève le 25 mars 2015, dans lequel était présenté le calendrier pour l</w:t>
      </w:r>
      <w:r w:rsidR="00FD21CB" w:rsidRPr="00310F7F">
        <w:rPr>
          <w:lang w:val="fr-FR"/>
        </w:rPr>
        <w:t>’</w:t>
      </w:r>
      <w:r w:rsidR="005753C8" w:rsidRPr="00310F7F">
        <w:rPr>
          <w:lang w:val="fr-FR"/>
        </w:rPr>
        <w:t>élaboration de la version 1 du prototype de formulaire de demande électronique (validation du concept).</w:t>
      </w:r>
      <w:r w:rsidRPr="00310F7F">
        <w:rPr>
          <w:lang w:val="fr-FR"/>
        </w:rPr>
        <w:t xml:space="preserve">  </w:t>
      </w:r>
      <w:r w:rsidR="005753C8" w:rsidRPr="00310F7F">
        <w:rPr>
          <w:lang w:val="fr-FR"/>
        </w:rPr>
        <w:t>Le secrétaire général adjoint a précisé que la sixième réunion sur l</w:t>
      </w:r>
      <w:r w:rsidR="00FD21CB" w:rsidRPr="00310F7F">
        <w:rPr>
          <w:lang w:val="fr-FR"/>
        </w:rPr>
        <w:t>’</w:t>
      </w:r>
      <w:r w:rsidR="005753C8" w:rsidRPr="00310F7F">
        <w:rPr>
          <w:lang w:val="fr-FR"/>
        </w:rPr>
        <w:t>élaboration d</w:t>
      </w:r>
      <w:r w:rsidR="00FD21CB" w:rsidRPr="00310F7F">
        <w:rPr>
          <w:lang w:val="fr-FR"/>
        </w:rPr>
        <w:t>’</w:t>
      </w:r>
      <w:r w:rsidR="005753C8" w:rsidRPr="00310F7F">
        <w:rPr>
          <w:lang w:val="fr-FR"/>
        </w:rPr>
        <w:t>un prototype de formulaire électronique se tiendrait dans la soirée du 26 octobre 2015.  Il était prévu, à cette occasion, de réexaminer la version 1 du prototype de formulaire électronique (validation du concept), d</w:t>
      </w:r>
      <w:r w:rsidR="00FD21CB" w:rsidRPr="00310F7F">
        <w:rPr>
          <w:lang w:val="fr-FR"/>
        </w:rPr>
        <w:t>’</w:t>
      </w:r>
      <w:r w:rsidR="005753C8" w:rsidRPr="00310F7F">
        <w:rPr>
          <w:lang w:val="fr-FR"/>
        </w:rPr>
        <w:t>étudier les questions juridiques, notamment les modalités de paiement et les autorisations, la date de dépôt ou de priorité et la confidentialité des données, d</w:t>
      </w:r>
      <w:r w:rsidR="00FD21CB" w:rsidRPr="00310F7F">
        <w:rPr>
          <w:lang w:val="fr-FR"/>
        </w:rPr>
        <w:t>’</w:t>
      </w:r>
      <w:r w:rsidR="005753C8" w:rsidRPr="00310F7F">
        <w:rPr>
          <w:lang w:val="fr-FR"/>
        </w:rPr>
        <w:t>examiner les aspects techniques, notamment l</w:t>
      </w:r>
      <w:r w:rsidR="00FD21CB" w:rsidRPr="00310F7F">
        <w:rPr>
          <w:lang w:val="fr-FR"/>
        </w:rPr>
        <w:t>’</w:t>
      </w:r>
      <w:r w:rsidR="005753C8" w:rsidRPr="00310F7F">
        <w:rPr>
          <w:lang w:val="fr-FR"/>
        </w:rPr>
        <w:t>autorisation de paiement et l</w:t>
      </w:r>
      <w:r w:rsidR="00FD21CB" w:rsidRPr="00310F7F">
        <w:rPr>
          <w:lang w:val="fr-FR"/>
        </w:rPr>
        <w:t>’</w:t>
      </w:r>
      <w:r w:rsidR="005753C8" w:rsidRPr="00310F7F">
        <w:rPr>
          <w:lang w:val="fr-FR"/>
        </w:rPr>
        <w:t>identification des utilisateurs, les signatures électroniques, la forte disponibilité et l</w:t>
      </w:r>
      <w:r w:rsidR="00FD21CB" w:rsidRPr="00310F7F">
        <w:rPr>
          <w:lang w:val="fr-FR"/>
        </w:rPr>
        <w:t>’</w:t>
      </w:r>
      <w:r w:rsidR="005753C8" w:rsidRPr="00310F7F">
        <w:rPr>
          <w:lang w:val="fr-FR"/>
        </w:rPr>
        <w:t>interaction avec des systèmes extérieurs (par exemple, les comptes GENIE ou OMPI), ainsi que l</w:t>
      </w:r>
      <w:r w:rsidR="00FD21CB" w:rsidRPr="00310F7F">
        <w:rPr>
          <w:lang w:val="fr-FR"/>
        </w:rPr>
        <w:t>’</w:t>
      </w:r>
      <w:r w:rsidR="005753C8" w:rsidRPr="00310F7F">
        <w:rPr>
          <w:lang w:val="fr-FR"/>
        </w:rPr>
        <w:t xml:space="preserve">assistance et la maintenance.  Par ailleurs, les moyens de faire avancer les travaux relatifs au projet seraient examinés, notamment des plans éventuels de mise en œuvre. </w:t>
      </w:r>
      <w:r w:rsidRPr="00310F7F">
        <w:rPr>
          <w:lang w:val="fr-FR"/>
        </w:rPr>
        <w:t xml:space="preserve"> </w:t>
      </w:r>
      <w:r w:rsidR="005753C8" w:rsidRPr="00310F7F">
        <w:rPr>
          <w:lang w:val="fr-FR"/>
        </w:rPr>
        <w:t>Le secrétaire général adjoint a également indiqué qu</w:t>
      </w:r>
      <w:r w:rsidR="00FD21CB" w:rsidRPr="00310F7F">
        <w:rPr>
          <w:lang w:val="fr-FR"/>
        </w:rPr>
        <w:t>’</w:t>
      </w:r>
      <w:r w:rsidR="005753C8" w:rsidRPr="00310F7F">
        <w:rPr>
          <w:lang w:val="fr-FR"/>
        </w:rPr>
        <w:t>il était proposé de présenter un exposé sur la version 1 du prototype de formulaire électronique (validation du concept)</w:t>
      </w:r>
      <w:r w:rsidR="00FD21CB" w:rsidRPr="00310F7F">
        <w:rPr>
          <w:lang w:val="fr-FR"/>
        </w:rPr>
        <w:t xml:space="preserve"> au CAJ</w:t>
      </w:r>
      <w:r w:rsidR="005753C8" w:rsidRPr="00310F7F">
        <w:rPr>
          <w:lang w:val="fr-FR"/>
        </w:rPr>
        <w:t xml:space="preserve"> et au Comité consultatif à leurs sessions d</w:t>
      </w:r>
      <w:r w:rsidR="00FD21CB" w:rsidRPr="00310F7F">
        <w:rPr>
          <w:lang w:val="fr-FR"/>
        </w:rPr>
        <w:t>’</w:t>
      </w:r>
      <w:r w:rsidR="005753C8" w:rsidRPr="00310F7F">
        <w:rPr>
          <w:lang w:val="fr-FR"/>
        </w:rPr>
        <w:t>octobre</w:t>
      </w:r>
      <w:r w:rsidR="006E0C69" w:rsidRPr="00310F7F">
        <w:rPr>
          <w:lang w:val="fr-FR"/>
        </w:rPr>
        <w:t> </w:t>
      </w:r>
      <w:r w:rsidR="005753C8" w:rsidRPr="00310F7F">
        <w:rPr>
          <w:lang w:val="fr-FR"/>
        </w:rPr>
        <w:t>2015 et de les inviter à examiner les moyens de faire avancer les travaux relatifs au projet.</w:t>
      </w:r>
      <w:r w:rsidR="006E0C69" w:rsidRPr="00310F7F">
        <w:rPr>
          <w:lang w:val="fr-FR"/>
        </w:rPr>
        <w:t xml:space="preserve">  </w:t>
      </w:r>
      <w:r w:rsidR="005753C8" w:rsidRPr="00310F7F">
        <w:rPr>
          <w:lang w:val="fr-FR"/>
        </w:rPr>
        <w:t>En ce qui concern</w:t>
      </w:r>
      <w:r w:rsidR="006E0C69" w:rsidRPr="00310F7F">
        <w:rPr>
          <w:lang w:val="fr-FR"/>
        </w:rPr>
        <w:t>ait</w:t>
      </w:r>
      <w:r w:rsidR="005753C8" w:rsidRPr="00310F7F">
        <w:rPr>
          <w:lang w:val="fr-FR"/>
        </w:rPr>
        <w:t xml:space="preserve"> les travaux après octobre</w:t>
      </w:r>
      <w:r w:rsidR="006E0C69" w:rsidRPr="00310F7F">
        <w:rPr>
          <w:lang w:val="fr-FR"/>
        </w:rPr>
        <w:t> </w:t>
      </w:r>
      <w:r w:rsidR="005753C8" w:rsidRPr="00310F7F">
        <w:rPr>
          <w:lang w:val="fr-FR"/>
        </w:rPr>
        <w:t xml:space="preserve">2015, il </w:t>
      </w:r>
      <w:r w:rsidR="006E0C69" w:rsidRPr="00310F7F">
        <w:rPr>
          <w:lang w:val="fr-FR"/>
        </w:rPr>
        <w:t>étai</w:t>
      </w:r>
      <w:r w:rsidR="005753C8" w:rsidRPr="00310F7F">
        <w:rPr>
          <w:lang w:val="fr-FR"/>
        </w:rPr>
        <w:t>t prévu, sous réserve des discussions qui auront lieu au sein</w:t>
      </w:r>
      <w:r w:rsidR="00FD21CB" w:rsidRPr="00310F7F">
        <w:rPr>
          <w:lang w:val="fr-FR"/>
        </w:rPr>
        <w:t xml:space="preserve"> du CAJ</w:t>
      </w:r>
      <w:r w:rsidR="005753C8" w:rsidRPr="00310F7F">
        <w:rPr>
          <w:lang w:val="fr-FR"/>
        </w:rPr>
        <w:t xml:space="preserve"> et du Comité consultatif, d</w:t>
      </w:r>
      <w:r w:rsidR="00FD21CB" w:rsidRPr="00310F7F">
        <w:rPr>
          <w:lang w:val="fr-FR"/>
        </w:rPr>
        <w:t>’</w:t>
      </w:r>
      <w:r w:rsidR="005753C8" w:rsidRPr="00310F7F">
        <w:rPr>
          <w:lang w:val="fr-FR"/>
        </w:rPr>
        <w:t>étendre le prototype à la pomme de terre, au rosier et au pommier en vue d</w:t>
      </w:r>
      <w:r w:rsidR="00FD21CB" w:rsidRPr="00310F7F">
        <w:rPr>
          <w:lang w:val="fr-FR"/>
        </w:rPr>
        <w:t>’</w:t>
      </w:r>
      <w:r w:rsidR="005753C8" w:rsidRPr="00310F7F">
        <w:rPr>
          <w:lang w:val="fr-FR"/>
        </w:rPr>
        <w:t>examiner les possibilités de renforcement de l</w:t>
      </w:r>
      <w:r w:rsidR="00FD21CB" w:rsidRPr="00310F7F">
        <w:rPr>
          <w:lang w:val="fr-FR"/>
        </w:rPr>
        <w:t>’</w:t>
      </w:r>
      <w:r w:rsidR="005753C8" w:rsidRPr="00310F7F">
        <w:rPr>
          <w:lang w:val="fr-FR"/>
        </w:rPr>
        <w:t>harmonisation et les propositions concernant le lancement du formulaire électronique</w:t>
      </w:r>
      <w:r w:rsidR="003C613E" w:rsidRPr="00310F7F">
        <w:rPr>
          <w:lang w:val="fr-FR"/>
        </w:rPr>
        <w:t xml:space="preserve"> </w:t>
      </w:r>
      <w:r w:rsidR="003C613E" w:rsidRPr="00310F7F">
        <w:rPr>
          <w:kern w:val="28"/>
          <w:lang w:val="fr-FR"/>
        </w:rPr>
        <w:t>(</w:t>
      </w:r>
      <w:r w:rsidR="006E0C69" w:rsidRPr="00310F7F">
        <w:rPr>
          <w:kern w:val="28"/>
          <w:lang w:val="fr-FR"/>
        </w:rPr>
        <w:t>voir le paragraphe 41 du</w:t>
      </w:r>
      <w:r w:rsidR="003C613E" w:rsidRPr="00310F7F">
        <w:rPr>
          <w:kern w:val="28"/>
          <w:lang w:val="fr-FR"/>
        </w:rPr>
        <w:t xml:space="preserve"> document CAJ/71/10 “</w:t>
      </w:r>
      <w:r w:rsidR="006E0C69" w:rsidRPr="00310F7F">
        <w:rPr>
          <w:kern w:val="28"/>
          <w:lang w:val="fr-FR"/>
        </w:rPr>
        <w:t>Compte rendu des c</w:t>
      </w:r>
      <w:r w:rsidR="003C613E" w:rsidRPr="00310F7F">
        <w:rPr>
          <w:kern w:val="28"/>
          <w:lang w:val="fr-FR"/>
        </w:rPr>
        <w:t>onclusions”)</w:t>
      </w:r>
      <w:r w:rsidR="003C613E" w:rsidRPr="00310F7F">
        <w:rPr>
          <w:lang w:val="fr-FR"/>
        </w:rPr>
        <w:t>.</w:t>
      </w:r>
    </w:p>
    <w:p w:rsidR="00BE7D09" w:rsidRPr="00310F7F" w:rsidRDefault="00BE7D09" w:rsidP="00BA5523">
      <w:pPr>
        <w:rPr>
          <w:lang w:val="fr-FR"/>
        </w:rPr>
      </w:pPr>
    </w:p>
    <w:p w:rsidR="00BE7D09" w:rsidRPr="00310F7F" w:rsidRDefault="00BE7D09"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6E0C69" w:rsidRPr="00310F7F">
        <w:rPr>
          <w:lang w:val="fr-FR"/>
        </w:rPr>
        <w:t>Le CAJ a noté que la demande adressée à l</w:t>
      </w:r>
      <w:r w:rsidR="00FD21CB" w:rsidRPr="00310F7F">
        <w:rPr>
          <w:lang w:val="fr-FR"/>
        </w:rPr>
        <w:t>’</w:t>
      </w:r>
      <w:r w:rsidR="006E0C69" w:rsidRPr="00310F7F">
        <w:rPr>
          <w:lang w:val="fr-FR"/>
        </w:rPr>
        <w:t>OMPI concernant un code à deux lettres “XU” représentant le nom de l</w:t>
      </w:r>
      <w:r w:rsidR="00FD21CB" w:rsidRPr="00310F7F">
        <w:rPr>
          <w:lang w:val="fr-FR"/>
        </w:rPr>
        <w:t>’</w:t>
      </w:r>
      <w:r w:rsidR="006E0C69" w:rsidRPr="00310F7F">
        <w:rPr>
          <w:lang w:val="fr-FR"/>
        </w:rPr>
        <w:t>UPOV avait été acceptée et incluse dans la version révisée de la norme ST.3 de l</w:t>
      </w:r>
      <w:r w:rsidR="00FD21CB" w:rsidRPr="00310F7F">
        <w:rPr>
          <w:lang w:val="fr-FR"/>
        </w:rPr>
        <w:t>’</w:t>
      </w:r>
      <w:r w:rsidR="006E0C69" w:rsidRPr="00310F7F">
        <w:rPr>
          <w:lang w:val="fr-FR"/>
        </w:rPr>
        <w:t>OMPI “Norme recommandée concernant les codes à deux lettres pour la représentation des États, autres entités et organisations intergouvernementales”</w:t>
      </w:r>
      <w:r w:rsidR="003C613E" w:rsidRPr="00310F7F">
        <w:rPr>
          <w:lang w:val="fr-FR"/>
        </w:rPr>
        <w:t xml:space="preserve"> </w:t>
      </w:r>
      <w:r w:rsidR="003C613E" w:rsidRPr="00310F7F">
        <w:rPr>
          <w:kern w:val="28"/>
          <w:lang w:val="fr-FR"/>
        </w:rPr>
        <w:t>(</w:t>
      </w:r>
      <w:r w:rsidR="006E0C69" w:rsidRPr="00310F7F">
        <w:rPr>
          <w:kern w:val="28"/>
          <w:lang w:val="fr-FR"/>
        </w:rPr>
        <w:t>voir le paragraphe 42 du</w:t>
      </w:r>
      <w:r w:rsidR="003C613E" w:rsidRPr="00310F7F">
        <w:rPr>
          <w:kern w:val="28"/>
          <w:lang w:val="fr-FR"/>
        </w:rPr>
        <w:t xml:space="preserve"> document CAJ/71/10 “</w:t>
      </w:r>
      <w:r w:rsidR="006E0C69" w:rsidRPr="00310F7F">
        <w:rPr>
          <w:kern w:val="28"/>
          <w:lang w:val="fr-FR"/>
        </w:rPr>
        <w:t>Compte rendu des</w:t>
      </w:r>
      <w:r w:rsidR="003C613E" w:rsidRPr="00310F7F">
        <w:rPr>
          <w:kern w:val="28"/>
          <w:lang w:val="fr-FR"/>
        </w:rPr>
        <w:t xml:space="preserve"> </w:t>
      </w:r>
      <w:r w:rsidR="006E0C69" w:rsidRPr="00310F7F">
        <w:rPr>
          <w:kern w:val="28"/>
          <w:lang w:val="fr-FR"/>
        </w:rPr>
        <w:t>c</w:t>
      </w:r>
      <w:r w:rsidR="003C613E" w:rsidRPr="00310F7F">
        <w:rPr>
          <w:kern w:val="28"/>
          <w:lang w:val="fr-FR"/>
        </w:rPr>
        <w:t>onclusions”)</w:t>
      </w:r>
      <w:r w:rsidR="003C613E" w:rsidRPr="00310F7F">
        <w:rPr>
          <w:lang w:val="fr-FR"/>
        </w:rPr>
        <w:t>.</w:t>
      </w:r>
    </w:p>
    <w:p w:rsidR="00C86975" w:rsidRPr="00310F7F" w:rsidRDefault="00C86975" w:rsidP="00BA5523">
      <w:pPr>
        <w:rPr>
          <w:rFonts w:eastAsia="MS Mincho"/>
          <w:highlight w:val="yellow"/>
          <w:lang w:val="fr-FR"/>
        </w:rPr>
      </w:pPr>
    </w:p>
    <w:p w:rsidR="003C613E" w:rsidRPr="00310F7F" w:rsidRDefault="006E0C69" w:rsidP="00BA5523">
      <w:pPr>
        <w:pStyle w:val="Heading3"/>
        <w:rPr>
          <w:snapToGrid w:val="0"/>
          <w:lang w:val="fr-FR"/>
        </w:rPr>
      </w:pPr>
      <w:bookmarkStart w:id="10" w:name="_Toc431558825"/>
      <w:r w:rsidRPr="00310F7F">
        <w:rPr>
          <w:lang w:val="fr-FR"/>
        </w:rPr>
        <w:t>Bases de données d</w:t>
      </w:r>
      <w:r w:rsidR="00FD21CB" w:rsidRPr="00310F7F">
        <w:rPr>
          <w:lang w:val="fr-FR"/>
        </w:rPr>
        <w:t>’</w:t>
      </w:r>
      <w:r w:rsidR="003C613E" w:rsidRPr="00310F7F">
        <w:rPr>
          <w:snapToGrid w:val="0"/>
          <w:lang w:val="fr-FR"/>
        </w:rPr>
        <w:t>information d</w:t>
      </w:r>
      <w:r w:rsidRPr="00310F7F">
        <w:rPr>
          <w:snapToGrid w:val="0"/>
          <w:lang w:val="fr-FR"/>
        </w:rPr>
        <w:t>e l</w:t>
      </w:r>
      <w:r w:rsidR="00FD21CB" w:rsidRPr="00310F7F">
        <w:rPr>
          <w:snapToGrid w:val="0"/>
          <w:lang w:val="fr-FR"/>
        </w:rPr>
        <w:t>’</w:t>
      </w:r>
      <w:r w:rsidRPr="00310F7F">
        <w:rPr>
          <w:snapToGrid w:val="0"/>
          <w:lang w:val="fr-FR"/>
        </w:rPr>
        <w:t>UPOV</w:t>
      </w:r>
      <w:bookmarkEnd w:id="10"/>
    </w:p>
    <w:p w:rsidR="003C613E" w:rsidRPr="00310F7F" w:rsidRDefault="003C613E" w:rsidP="00BA5523">
      <w:pPr>
        <w:rPr>
          <w:lang w:val="fr-FR"/>
        </w:rPr>
      </w:pPr>
    </w:p>
    <w:p w:rsidR="003C613E" w:rsidRPr="00310F7F" w:rsidRDefault="003C613E"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6E0C69" w:rsidRPr="00310F7F">
        <w:rPr>
          <w:lang w:val="fr-FR"/>
        </w:rPr>
        <w:t>Le CAJ a pris note des informations sur l</w:t>
      </w:r>
      <w:r w:rsidR="00FD21CB" w:rsidRPr="00310F7F">
        <w:rPr>
          <w:lang w:val="fr-FR"/>
        </w:rPr>
        <w:t>’</w:t>
      </w:r>
      <w:r w:rsidR="006E0C69" w:rsidRPr="00310F7F">
        <w:rPr>
          <w:lang w:val="fr-FR"/>
        </w:rPr>
        <w:t>attribution de type(s) de plante aux codes UPOV actuellement utilisés dans la base de données PLUTO</w:t>
      </w:r>
      <w:r w:rsidRPr="00310F7F">
        <w:rPr>
          <w:lang w:val="fr-FR"/>
        </w:rPr>
        <w:t xml:space="preserve"> </w:t>
      </w:r>
      <w:r w:rsidRPr="00310F7F">
        <w:rPr>
          <w:kern w:val="28"/>
          <w:lang w:val="fr-FR"/>
        </w:rPr>
        <w:t>(</w:t>
      </w:r>
      <w:r w:rsidR="006E0C69" w:rsidRPr="00310F7F">
        <w:rPr>
          <w:kern w:val="28"/>
          <w:lang w:val="fr-FR"/>
        </w:rPr>
        <w:t>voir le paragraphe 44 du</w:t>
      </w:r>
      <w:r w:rsidRPr="00310F7F">
        <w:rPr>
          <w:kern w:val="28"/>
          <w:lang w:val="fr-FR"/>
        </w:rPr>
        <w:t xml:space="preserve"> document CAJ/71/10 “</w:t>
      </w:r>
      <w:r w:rsidR="006E0C69" w:rsidRPr="00310F7F">
        <w:rPr>
          <w:kern w:val="28"/>
          <w:lang w:val="fr-FR"/>
        </w:rPr>
        <w:t>Compte rendu d</w:t>
      </w:r>
      <w:r w:rsidRPr="00310F7F">
        <w:rPr>
          <w:kern w:val="28"/>
          <w:lang w:val="fr-FR"/>
        </w:rPr>
        <w:t>e</w:t>
      </w:r>
      <w:r w:rsidR="006E0C69" w:rsidRPr="00310F7F">
        <w:rPr>
          <w:kern w:val="28"/>
          <w:lang w:val="fr-FR"/>
        </w:rPr>
        <w:t>s</w:t>
      </w:r>
      <w:r w:rsidRPr="00310F7F">
        <w:rPr>
          <w:kern w:val="28"/>
          <w:lang w:val="fr-FR"/>
        </w:rPr>
        <w:t xml:space="preserve"> </w:t>
      </w:r>
      <w:r w:rsidR="006E0C69" w:rsidRPr="00310F7F">
        <w:rPr>
          <w:kern w:val="28"/>
          <w:lang w:val="fr-FR"/>
        </w:rPr>
        <w:t>conclusions”</w:t>
      </w:r>
      <w:r w:rsidRPr="00310F7F">
        <w:rPr>
          <w:kern w:val="28"/>
          <w:lang w:val="fr-FR"/>
        </w:rPr>
        <w:t>)</w:t>
      </w:r>
      <w:r w:rsidRPr="00310F7F">
        <w:rPr>
          <w:lang w:val="fr-FR"/>
        </w:rPr>
        <w:t>.</w:t>
      </w:r>
    </w:p>
    <w:p w:rsidR="003C613E" w:rsidRPr="00310F7F" w:rsidRDefault="003C613E" w:rsidP="00BA5523">
      <w:pPr>
        <w:rPr>
          <w:rFonts w:eastAsia="SimSun"/>
          <w:snapToGrid w:val="0"/>
          <w:lang w:val="fr-FR" w:eastAsia="ja-JP"/>
        </w:rPr>
      </w:pPr>
    </w:p>
    <w:p w:rsidR="003C613E" w:rsidRPr="00310F7F" w:rsidRDefault="003C613E" w:rsidP="00BA5523">
      <w:pPr>
        <w:rPr>
          <w:lang w:val="fr-FR"/>
        </w:rPr>
      </w:pPr>
      <w:r w:rsidRPr="00310F7F">
        <w:rPr>
          <w:rFonts w:eastAsia="SimSun"/>
          <w:snapToGrid w:val="0"/>
          <w:lang w:val="fr-FR" w:eastAsia="ja-JP"/>
        </w:rPr>
        <w:fldChar w:fldCharType="begin"/>
      </w:r>
      <w:r w:rsidRPr="00310F7F">
        <w:rPr>
          <w:rFonts w:eastAsia="SimSun"/>
          <w:snapToGrid w:val="0"/>
          <w:lang w:val="fr-FR" w:eastAsia="ja-JP"/>
        </w:rPr>
        <w:instrText xml:space="preserve"> AUTONUM  </w:instrText>
      </w:r>
      <w:r w:rsidRPr="00310F7F">
        <w:rPr>
          <w:rFonts w:eastAsia="SimSun"/>
          <w:snapToGrid w:val="0"/>
          <w:lang w:val="fr-FR" w:eastAsia="ja-JP"/>
        </w:rPr>
        <w:fldChar w:fldCharType="end"/>
      </w:r>
      <w:r w:rsidRPr="00310F7F">
        <w:rPr>
          <w:rFonts w:eastAsia="SimSun"/>
          <w:snapToGrid w:val="0"/>
          <w:lang w:val="fr-FR" w:eastAsia="ja-JP"/>
        </w:rPr>
        <w:tab/>
      </w:r>
      <w:r w:rsidR="006E0C69" w:rsidRPr="00310F7F">
        <w:rPr>
          <w:rFonts w:eastAsia="SimSun"/>
          <w:snapToGrid w:val="0"/>
          <w:lang w:val="fr-FR" w:eastAsia="ja-JP"/>
        </w:rPr>
        <w:t>Le CAJ a noté que les informations relatives aux types de plante seraient introduites dans la base de données GENIE, qui serait modifiée pour indiquer le(s) type(s) de plante pour chaque code UPOV avant la fin du mois de mars 2015</w:t>
      </w:r>
      <w:r w:rsidRPr="00310F7F">
        <w:rPr>
          <w:rFonts w:eastAsia="SimSun"/>
          <w:snapToGrid w:val="0"/>
          <w:lang w:val="fr-FR" w:eastAsia="ja-JP"/>
        </w:rPr>
        <w:t xml:space="preserve"> </w:t>
      </w:r>
      <w:r w:rsidRPr="00310F7F">
        <w:rPr>
          <w:kern w:val="28"/>
          <w:lang w:val="fr-FR"/>
        </w:rPr>
        <w:t>(</w:t>
      </w:r>
      <w:r w:rsidR="006E0C69" w:rsidRPr="00310F7F">
        <w:rPr>
          <w:kern w:val="28"/>
          <w:lang w:val="fr-FR"/>
        </w:rPr>
        <w:t>voir le paragraphe 45 du</w:t>
      </w:r>
      <w:r w:rsidRPr="00310F7F">
        <w:rPr>
          <w:kern w:val="28"/>
          <w:lang w:val="fr-FR"/>
        </w:rPr>
        <w:t xml:space="preserve"> document CAJ/71/10 “</w:t>
      </w:r>
      <w:r w:rsidR="006E0C69" w:rsidRPr="00310F7F">
        <w:rPr>
          <w:kern w:val="28"/>
          <w:lang w:val="fr-FR"/>
        </w:rPr>
        <w:t>Compte rendu des</w:t>
      </w:r>
      <w:r w:rsidRPr="00310F7F">
        <w:rPr>
          <w:kern w:val="28"/>
          <w:lang w:val="fr-FR"/>
        </w:rPr>
        <w:t xml:space="preserve"> </w:t>
      </w:r>
      <w:r w:rsidR="006E0C69" w:rsidRPr="00310F7F">
        <w:rPr>
          <w:kern w:val="28"/>
          <w:lang w:val="fr-FR"/>
        </w:rPr>
        <w:t>c</w:t>
      </w:r>
      <w:r w:rsidRPr="00310F7F">
        <w:rPr>
          <w:kern w:val="28"/>
          <w:lang w:val="fr-FR"/>
        </w:rPr>
        <w:t>onclusions”)</w:t>
      </w:r>
      <w:r w:rsidRPr="00310F7F">
        <w:rPr>
          <w:lang w:val="fr-FR"/>
        </w:rPr>
        <w:t>.</w:t>
      </w:r>
    </w:p>
    <w:p w:rsidR="003C613E" w:rsidRPr="00310F7F" w:rsidRDefault="003C613E" w:rsidP="00BA5523">
      <w:pPr>
        <w:rPr>
          <w:rFonts w:eastAsia="SimSun"/>
          <w:lang w:val="fr-FR"/>
        </w:rPr>
      </w:pPr>
    </w:p>
    <w:p w:rsidR="003C613E" w:rsidRPr="00310F7F" w:rsidRDefault="003C613E" w:rsidP="00BA5523">
      <w:pPr>
        <w:rPr>
          <w:lang w:val="fr-FR"/>
        </w:rPr>
      </w:pPr>
      <w:r w:rsidRPr="00310F7F">
        <w:rPr>
          <w:rFonts w:eastAsia="SimSun"/>
          <w:snapToGrid w:val="0"/>
          <w:lang w:val="fr-FR" w:eastAsia="ja-JP"/>
        </w:rPr>
        <w:fldChar w:fldCharType="begin"/>
      </w:r>
      <w:r w:rsidRPr="00310F7F">
        <w:rPr>
          <w:rFonts w:eastAsia="SimSun"/>
          <w:snapToGrid w:val="0"/>
          <w:lang w:val="fr-FR" w:eastAsia="ja-JP"/>
        </w:rPr>
        <w:instrText xml:space="preserve"> AUTONUM  </w:instrText>
      </w:r>
      <w:r w:rsidRPr="00310F7F">
        <w:rPr>
          <w:rFonts w:eastAsia="SimSun"/>
          <w:snapToGrid w:val="0"/>
          <w:lang w:val="fr-FR" w:eastAsia="ja-JP"/>
        </w:rPr>
        <w:fldChar w:fldCharType="end"/>
      </w:r>
      <w:r w:rsidRPr="00310F7F">
        <w:rPr>
          <w:rFonts w:eastAsia="SimSun"/>
          <w:snapToGrid w:val="0"/>
          <w:lang w:val="fr-FR" w:eastAsia="ja-JP"/>
        </w:rPr>
        <w:tab/>
      </w:r>
      <w:r w:rsidR="006E0C69" w:rsidRPr="00310F7F">
        <w:rPr>
          <w:rFonts w:eastAsia="SimSun"/>
          <w:snapToGrid w:val="0"/>
          <w:lang w:val="fr-FR" w:eastAsia="ja-JP"/>
        </w:rPr>
        <w:t>Le CAJ a noté qu</w:t>
      </w:r>
      <w:r w:rsidR="00FD21CB" w:rsidRPr="00310F7F">
        <w:rPr>
          <w:rFonts w:eastAsia="SimSun"/>
          <w:snapToGrid w:val="0"/>
          <w:lang w:val="fr-FR" w:eastAsia="ja-JP"/>
        </w:rPr>
        <w:t>’</w:t>
      </w:r>
      <w:r w:rsidR="006E0C69" w:rsidRPr="00310F7F">
        <w:rPr>
          <w:rFonts w:eastAsia="SimSun"/>
          <w:snapToGrid w:val="0"/>
          <w:lang w:val="fr-FR" w:eastAsia="ja-JP"/>
        </w:rPr>
        <w:t>un rapport standard sur les attributions des groupes de travail techniques pour les codes UPOV serait aussi publié sur la page Web consacrée à la base de données GENIE avant la fin du mois de mars 2015 (voir le paragraphe 46 du</w:t>
      </w:r>
      <w:r w:rsidRPr="00310F7F">
        <w:rPr>
          <w:kern w:val="28"/>
          <w:lang w:val="fr-FR"/>
        </w:rPr>
        <w:t xml:space="preserve"> document CAJ/71/10 “</w:t>
      </w:r>
      <w:r w:rsidR="006E0C69" w:rsidRPr="00310F7F">
        <w:rPr>
          <w:kern w:val="28"/>
          <w:lang w:val="fr-FR"/>
        </w:rPr>
        <w:t>Compte rendu des co</w:t>
      </w:r>
      <w:r w:rsidRPr="00310F7F">
        <w:rPr>
          <w:kern w:val="28"/>
          <w:lang w:val="fr-FR"/>
        </w:rPr>
        <w:t>nclusions”)</w:t>
      </w:r>
      <w:r w:rsidRPr="00310F7F">
        <w:rPr>
          <w:lang w:val="fr-FR"/>
        </w:rPr>
        <w:t>.</w:t>
      </w:r>
    </w:p>
    <w:p w:rsidR="003C613E" w:rsidRPr="00310F7F" w:rsidRDefault="003C613E" w:rsidP="00BA5523">
      <w:pPr>
        <w:rPr>
          <w:lang w:val="fr-FR"/>
        </w:rPr>
      </w:pPr>
    </w:p>
    <w:p w:rsidR="003C613E" w:rsidRPr="00310F7F" w:rsidRDefault="003C613E" w:rsidP="00BA5523">
      <w:pPr>
        <w:rPr>
          <w:lang w:val="fr-FR"/>
        </w:rPr>
      </w:pPr>
      <w:r w:rsidRPr="00310F7F">
        <w:rPr>
          <w:rFonts w:eastAsia="SimSun"/>
          <w:snapToGrid w:val="0"/>
          <w:lang w:val="fr-FR" w:eastAsia="ja-JP"/>
        </w:rPr>
        <w:fldChar w:fldCharType="begin"/>
      </w:r>
      <w:r w:rsidRPr="00310F7F">
        <w:rPr>
          <w:rFonts w:eastAsia="SimSun"/>
          <w:snapToGrid w:val="0"/>
          <w:lang w:val="fr-FR" w:eastAsia="ja-JP"/>
        </w:rPr>
        <w:instrText xml:space="preserve"> AUTONUM  </w:instrText>
      </w:r>
      <w:r w:rsidRPr="00310F7F">
        <w:rPr>
          <w:rFonts w:eastAsia="SimSun"/>
          <w:snapToGrid w:val="0"/>
          <w:lang w:val="fr-FR" w:eastAsia="ja-JP"/>
        </w:rPr>
        <w:fldChar w:fldCharType="end"/>
      </w:r>
      <w:r w:rsidRPr="00310F7F">
        <w:rPr>
          <w:rFonts w:eastAsia="SimSun"/>
          <w:snapToGrid w:val="0"/>
          <w:lang w:val="fr-FR" w:eastAsia="ja-JP"/>
        </w:rPr>
        <w:tab/>
      </w:r>
      <w:r w:rsidR="006E0C69" w:rsidRPr="00310F7F">
        <w:rPr>
          <w:rFonts w:eastAsia="SimSun"/>
          <w:snapToGrid w:val="0"/>
          <w:lang w:val="fr-FR" w:eastAsia="ja-JP"/>
        </w:rPr>
        <w:t>Le CAJ a noté que l</w:t>
      </w:r>
      <w:r w:rsidR="00FD21CB" w:rsidRPr="00310F7F">
        <w:rPr>
          <w:rFonts w:eastAsia="SimSun"/>
          <w:snapToGrid w:val="0"/>
          <w:lang w:val="fr-FR" w:eastAsia="ja-JP"/>
        </w:rPr>
        <w:t>’</w:t>
      </w:r>
      <w:r w:rsidR="006E0C69" w:rsidRPr="00310F7F">
        <w:rPr>
          <w:rFonts w:eastAsia="SimSun"/>
          <w:snapToGrid w:val="0"/>
          <w:lang w:val="fr-FR" w:eastAsia="ja-JP"/>
        </w:rPr>
        <w:t>attribution de type(s) de plante à d</w:t>
      </w:r>
      <w:r w:rsidR="00FD21CB" w:rsidRPr="00310F7F">
        <w:rPr>
          <w:rFonts w:eastAsia="SimSun"/>
          <w:snapToGrid w:val="0"/>
          <w:lang w:val="fr-FR" w:eastAsia="ja-JP"/>
        </w:rPr>
        <w:t>’</w:t>
      </w:r>
      <w:r w:rsidR="006E0C69" w:rsidRPr="00310F7F">
        <w:rPr>
          <w:rFonts w:eastAsia="SimSun"/>
          <w:snapToGrid w:val="0"/>
          <w:lang w:val="fr-FR" w:eastAsia="ja-JP"/>
        </w:rPr>
        <w:t>autres codes UPOV aurait lieu lorsque ceux</w:t>
      </w:r>
      <w:r w:rsidR="00FF3774" w:rsidRPr="00310F7F">
        <w:rPr>
          <w:rFonts w:eastAsia="SimSun"/>
          <w:snapToGrid w:val="0"/>
          <w:lang w:val="fr-FR" w:eastAsia="ja-JP"/>
        </w:rPr>
        <w:noBreakHyphen/>
      </w:r>
      <w:r w:rsidR="006E0C69" w:rsidRPr="00310F7F">
        <w:rPr>
          <w:rFonts w:eastAsia="SimSun"/>
          <w:snapToGrid w:val="0"/>
          <w:lang w:val="fr-FR" w:eastAsia="ja-JP"/>
        </w:rPr>
        <w:t>ci seraient utilisés dans la base de données PLUTO pour la première fois</w:t>
      </w:r>
      <w:r w:rsidRPr="00310F7F">
        <w:rPr>
          <w:rFonts w:eastAsia="SimSun"/>
          <w:snapToGrid w:val="0"/>
          <w:lang w:val="fr-FR" w:eastAsia="ja-JP"/>
        </w:rPr>
        <w:t xml:space="preserve"> </w:t>
      </w:r>
      <w:r w:rsidRPr="00310F7F">
        <w:rPr>
          <w:kern w:val="28"/>
          <w:lang w:val="fr-FR"/>
        </w:rPr>
        <w:t>(</w:t>
      </w:r>
      <w:r w:rsidR="006E0C69" w:rsidRPr="00310F7F">
        <w:rPr>
          <w:kern w:val="28"/>
          <w:lang w:val="fr-FR"/>
        </w:rPr>
        <w:t>voir le paragraphe 47 du</w:t>
      </w:r>
      <w:r w:rsidRPr="00310F7F">
        <w:rPr>
          <w:kern w:val="28"/>
          <w:lang w:val="fr-FR"/>
        </w:rPr>
        <w:t xml:space="preserve"> document CAJ/71/10 “</w:t>
      </w:r>
      <w:r w:rsidR="006E0C69" w:rsidRPr="00310F7F">
        <w:rPr>
          <w:kern w:val="28"/>
          <w:lang w:val="fr-FR"/>
        </w:rPr>
        <w:t>Compte rendu des</w:t>
      </w:r>
      <w:r w:rsidRPr="00310F7F">
        <w:rPr>
          <w:kern w:val="28"/>
          <w:lang w:val="fr-FR"/>
        </w:rPr>
        <w:t xml:space="preserve"> </w:t>
      </w:r>
      <w:r w:rsidR="006E0C69" w:rsidRPr="00310F7F">
        <w:rPr>
          <w:kern w:val="28"/>
          <w:lang w:val="fr-FR"/>
        </w:rPr>
        <w:t>c</w:t>
      </w:r>
      <w:r w:rsidRPr="00310F7F">
        <w:rPr>
          <w:kern w:val="28"/>
          <w:lang w:val="fr-FR"/>
        </w:rPr>
        <w:t>onclusions”)</w:t>
      </w:r>
      <w:r w:rsidRPr="00310F7F">
        <w:rPr>
          <w:lang w:val="fr-FR"/>
        </w:rPr>
        <w:t>.</w:t>
      </w:r>
    </w:p>
    <w:p w:rsidR="003C613E" w:rsidRPr="00310F7F" w:rsidRDefault="003C613E" w:rsidP="00BA5523">
      <w:pPr>
        <w:rPr>
          <w:rFonts w:eastAsia="SimSun"/>
          <w:snapToGrid w:val="0"/>
          <w:lang w:val="fr-FR" w:eastAsia="ja-JP"/>
        </w:rPr>
      </w:pPr>
    </w:p>
    <w:p w:rsidR="003C613E" w:rsidRPr="00310F7F" w:rsidRDefault="003C613E" w:rsidP="00BA5523">
      <w:pPr>
        <w:rPr>
          <w:lang w:val="fr-FR"/>
        </w:rPr>
      </w:pPr>
      <w:r w:rsidRPr="00310F7F">
        <w:rPr>
          <w:rFonts w:eastAsia="SimSun"/>
          <w:snapToGrid w:val="0"/>
          <w:lang w:val="fr-FR" w:eastAsia="ja-JP"/>
        </w:rPr>
        <w:fldChar w:fldCharType="begin"/>
      </w:r>
      <w:r w:rsidRPr="00310F7F">
        <w:rPr>
          <w:rFonts w:eastAsia="SimSun"/>
          <w:snapToGrid w:val="0"/>
          <w:lang w:val="fr-FR" w:eastAsia="ja-JP"/>
        </w:rPr>
        <w:instrText xml:space="preserve"> AUTONUM  </w:instrText>
      </w:r>
      <w:r w:rsidRPr="00310F7F">
        <w:rPr>
          <w:rFonts w:eastAsia="SimSun"/>
          <w:snapToGrid w:val="0"/>
          <w:lang w:val="fr-FR" w:eastAsia="ja-JP"/>
        </w:rPr>
        <w:fldChar w:fldCharType="end"/>
      </w:r>
      <w:r w:rsidRPr="00310F7F">
        <w:rPr>
          <w:rFonts w:eastAsia="SimSun"/>
          <w:snapToGrid w:val="0"/>
          <w:lang w:val="fr-FR" w:eastAsia="ja-JP"/>
        </w:rPr>
        <w:tab/>
      </w:r>
      <w:r w:rsidR="00493D15" w:rsidRPr="00310F7F">
        <w:rPr>
          <w:rFonts w:eastAsia="SimSun"/>
          <w:snapToGrid w:val="0"/>
          <w:lang w:val="fr-FR" w:eastAsia="ja-JP"/>
        </w:rPr>
        <w:t>Le CAJ a noté que le Bureau de l</w:t>
      </w:r>
      <w:r w:rsidR="00FD21CB" w:rsidRPr="00310F7F">
        <w:rPr>
          <w:rFonts w:eastAsia="SimSun"/>
          <w:snapToGrid w:val="0"/>
          <w:lang w:val="fr-FR" w:eastAsia="ja-JP"/>
        </w:rPr>
        <w:t>’</w:t>
      </w:r>
      <w:r w:rsidR="00493D15" w:rsidRPr="00310F7F">
        <w:rPr>
          <w:rFonts w:eastAsia="SimSun"/>
          <w:snapToGrid w:val="0"/>
          <w:lang w:val="fr-FR" w:eastAsia="ja-JP"/>
        </w:rPr>
        <w:t>Union établirait des tableaux d</w:t>
      </w:r>
      <w:r w:rsidR="00FD21CB" w:rsidRPr="00310F7F">
        <w:rPr>
          <w:rFonts w:eastAsia="SimSun"/>
          <w:snapToGrid w:val="0"/>
          <w:lang w:val="fr-FR" w:eastAsia="ja-JP"/>
        </w:rPr>
        <w:t>’</w:t>
      </w:r>
      <w:r w:rsidR="00493D15" w:rsidRPr="00310F7F">
        <w:rPr>
          <w:rFonts w:eastAsia="SimSun"/>
          <w:snapToGrid w:val="0"/>
          <w:lang w:val="fr-FR" w:eastAsia="ja-JP"/>
        </w:rPr>
        <w:t>attribution de type(s) de plante aux codes UPOV utilisés dans la base de données PLUTO pour la première fois, aux fins de leur vérification par les services compétents, pour chacune des sessions des groupes de travail techniques en 2015</w:t>
      </w:r>
      <w:r w:rsidRPr="00310F7F">
        <w:rPr>
          <w:rFonts w:eastAsia="SimSun"/>
          <w:snapToGrid w:val="0"/>
          <w:lang w:val="fr-FR" w:eastAsia="ja-JP"/>
        </w:rPr>
        <w:t xml:space="preserve"> </w:t>
      </w:r>
      <w:r w:rsidRPr="00310F7F">
        <w:rPr>
          <w:kern w:val="28"/>
          <w:lang w:val="fr-FR"/>
        </w:rPr>
        <w:t>(</w:t>
      </w:r>
      <w:r w:rsidR="00493D15" w:rsidRPr="00310F7F">
        <w:rPr>
          <w:kern w:val="28"/>
          <w:lang w:val="fr-FR"/>
        </w:rPr>
        <w:t>voir le paragraphe 48 du</w:t>
      </w:r>
      <w:r w:rsidRPr="00310F7F">
        <w:rPr>
          <w:kern w:val="28"/>
          <w:lang w:val="fr-FR"/>
        </w:rPr>
        <w:t xml:space="preserve"> document CAJ/71/10 “</w:t>
      </w:r>
      <w:r w:rsidR="00493D15" w:rsidRPr="00310F7F">
        <w:rPr>
          <w:kern w:val="28"/>
          <w:lang w:val="fr-FR"/>
        </w:rPr>
        <w:t>Compte rendu des c</w:t>
      </w:r>
      <w:r w:rsidRPr="00310F7F">
        <w:rPr>
          <w:kern w:val="28"/>
          <w:lang w:val="fr-FR"/>
        </w:rPr>
        <w:t>onclusions”)</w:t>
      </w:r>
      <w:r w:rsidRPr="00310F7F">
        <w:rPr>
          <w:lang w:val="fr-FR"/>
        </w:rPr>
        <w:t>.</w:t>
      </w:r>
    </w:p>
    <w:p w:rsidR="003C613E" w:rsidRPr="00310F7F" w:rsidRDefault="003C613E" w:rsidP="00BA5523">
      <w:pPr>
        <w:rPr>
          <w:rFonts w:eastAsia="MS Mincho" w:cs="Arial"/>
          <w:lang w:val="fr-FR" w:eastAsia="ja-JP"/>
        </w:rPr>
      </w:pPr>
    </w:p>
    <w:p w:rsidR="003C613E" w:rsidRPr="00310F7F" w:rsidRDefault="003C613E" w:rsidP="00BA5523">
      <w:pPr>
        <w:rPr>
          <w:lang w:val="fr-FR"/>
        </w:rPr>
      </w:pPr>
      <w:r w:rsidRPr="00310F7F">
        <w:rPr>
          <w:rFonts w:eastAsia="SimSun"/>
          <w:snapToGrid w:val="0"/>
          <w:lang w:val="fr-FR" w:eastAsia="ja-JP"/>
        </w:rPr>
        <w:fldChar w:fldCharType="begin"/>
      </w:r>
      <w:r w:rsidRPr="00310F7F">
        <w:rPr>
          <w:rFonts w:eastAsia="SimSun"/>
          <w:snapToGrid w:val="0"/>
          <w:lang w:val="fr-FR" w:eastAsia="ja-JP"/>
        </w:rPr>
        <w:instrText xml:space="preserve"> AUTONUM  </w:instrText>
      </w:r>
      <w:r w:rsidRPr="00310F7F">
        <w:rPr>
          <w:rFonts w:eastAsia="SimSun"/>
          <w:snapToGrid w:val="0"/>
          <w:lang w:val="fr-FR" w:eastAsia="ja-JP"/>
        </w:rPr>
        <w:fldChar w:fldCharType="end"/>
      </w:r>
      <w:r w:rsidRPr="00310F7F">
        <w:rPr>
          <w:rFonts w:eastAsia="SimSun"/>
          <w:snapToGrid w:val="0"/>
          <w:lang w:val="fr-FR" w:eastAsia="ja-JP"/>
        </w:rPr>
        <w:tab/>
      </w:r>
      <w:r w:rsidR="00493D15" w:rsidRPr="00310F7F">
        <w:rPr>
          <w:rFonts w:eastAsia="SimSun"/>
          <w:snapToGrid w:val="0"/>
          <w:lang w:val="fr-FR" w:eastAsia="ja-JP"/>
        </w:rPr>
        <w:t>Le CAJ a pris note des faits nouveaux concernant les codes UPOV</w:t>
      </w:r>
      <w:r w:rsidRPr="00310F7F">
        <w:rPr>
          <w:rFonts w:eastAsia="SimSun"/>
          <w:snapToGrid w:val="0"/>
          <w:lang w:val="fr-FR" w:eastAsia="ja-JP"/>
        </w:rPr>
        <w:t xml:space="preserve"> </w:t>
      </w:r>
      <w:r w:rsidRPr="00310F7F">
        <w:rPr>
          <w:kern w:val="28"/>
          <w:lang w:val="fr-FR"/>
        </w:rPr>
        <w:t>(</w:t>
      </w:r>
      <w:r w:rsidR="00493D15" w:rsidRPr="00310F7F">
        <w:rPr>
          <w:kern w:val="28"/>
          <w:lang w:val="fr-FR"/>
        </w:rPr>
        <w:t>voir le paragraphe 49 du</w:t>
      </w:r>
      <w:r w:rsidRPr="00310F7F">
        <w:rPr>
          <w:kern w:val="28"/>
          <w:lang w:val="fr-FR"/>
        </w:rPr>
        <w:t xml:space="preserve"> document CAJ/71/10 “</w:t>
      </w:r>
      <w:r w:rsidR="00493D15" w:rsidRPr="00310F7F">
        <w:rPr>
          <w:kern w:val="28"/>
          <w:lang w:val="fr-FR"/>
        </w:rPr>
        <w:t>Compte rendu des c</w:t>
      </w:r>
      <w:r w:rsidRPr="00310F7F">
        <w:rPr>
          <w:kern w:val="28"/>
          <w:lang w:val="fr-FR"/>
        </w:rPr>
        <w:t>onclusions”)</w:t>
      </w:r>
      <w:r w:rsidRPr="00310F7F">
        <w:rPr>
          <w:lang w:val="fr-FR"/>
        </w:rPr>
        <w:t>.</w:t>
      </w:r>
    </w:p>
    <w:p w:rsidR="003C613E" w:rsidRPr="00310F7F" w:rsidRDefault="003C613E" w:rsidP="00BA5523">
      <w:pPr>
        <w:rPr>
          <w:lang w:val="fr-FR"/>
        </w:rPr>
      </w:pPr>
    </w:p>
    <w:p w:rsidR="003C613E" w:rsidRPr="00310F7F" w:rsidRDefault="003C613E" w:rsidP="00BA5523">
      <w:pPr>
        <w:rPr>
          <w:lang w:val="fr-FR"/>
        </w:rPr>
      </w:pPr>
      <w:r w:rsidRPr="00310F7F">
        <w:rPr>
          <w:rFonts w:eastAsia="SimSun"/>
          <w:snapToGrid w:val="0"/>
          <w:lang w:val="fr-FR" w:eastAsia="ja-JP"/>
        </w:rPr>
        <w:fldChar w:fldCharType="begin"/>
      </w:r>
      <w:r w:rsidRPr="00310F7F">
        <w:rPr>
          <w:rFonts w:eastAsia="SimSun"/>
          <w:snapToGrid w:val="0"/>
          <w:lang w:val="fr-FR" w:eastAsia="ja-JP"/>
        </w:rPr>
        <w:instrText xml:space="preserve"> AUTONUM  </w:instrText>
      </w:r>
      <w:r w:rsidRPr="00310F7F">
        <w:rPr>
          <w:rFonts w:eastAsia="SimSun"/>
          <w:snapToGrid w:val="0"/>
          <w:lang w:val="fr-FR" w:eastAsia="ja-JP"/>
        </w:rPr>
        <w:fldChar w:fldCharType="end"/>
      </w:r>
      <w:r w:rsidRPr="00310F7F">
        <w:rPr>
          <w:rFonts w:eastAsia="SimSun"/>
          <w:snapToGrid w:val="0"/>
          <w:lang w:val="fr-FR" w:eastAsia="ja-JP"/>
        </w:rPr>
        <w:tab/>
      </w:r>
      <w:r w:rsidR="00493D15" w:rsidRPr="00310F7F">
        <w:rPr>
          <w:rFonts w:eastAsia="SimSun"/>
          <w:snapToGrid w:val="0"/>
          <w:lang w:val="fr-FR" w:eastAsia="ja-JP"/>
        </w:rPr>
        <w:t>Le CAJ a pris note de la synthèse des contributions à la base de données PLUTO de 2012 à 2014 et de l</w:t>
      </w:r>
      <w:r w:rsidR="00FD21CB" w:rsidRPr="00310F7F">
        <w:rPr>
          <w:rFonts w:eastAsia="SimSun"/>
          <w:snapToGrid w:val="0"/>
          <w:lang w:val="fr-FR" w:eastAsia="ja-JP"/>
        </w:rPr>
        <w:t>’</w:t>
      </w:r>
      <w:r w:rsidR="00493D15" w:rsidRPr="00310F7F">
        <w:rPr>
          <w:rFonts w:eastAsia="SimSun"/>
          <w:snapToGrid w:val="0"/>
          <w:lang w:val="fr-FR" w:eastAsia="ja-JP"/>
        </w:rPr>
        <w:t>état actuel des apports de données par les membres de l</w:t>
      </w:r>
      <w:r w:rsidR="00FD21CB" w:rsidRPr="00310F7F">
        <w:rPr>
          <w:rFonts w:eastAsia="SimSun"/>
          <w:snapToGrid w:val="0"/>
          <w:lang w:val="fr-FR" w:eastAsia="ja-JP"/>
        </w:rPr>
        <w:t>’</w:t>
      </w:r>
      <w:r w:rsidR="00493D15" w:rsidRPr="00310F7F">
        <w:rPr>
          <w:rFonts w:eastAsia="SimSun"/>
          <w:snapToGrid w:val="0"/>
          <w:lang w:val="fr-FR" w:eastAsia="ja-JP"/>
        </w:rPr>
        <w:t xml:space="preserve">Union </w:t>
      </w:r>
      <w:r w:rsidRPr="00310F7F">
        <w:rPr>
          <w:kern w:val="28"/>
          <w:lang w:val="fr-FR"/>
        </w:rPr>
        <w:t>(</w:t>
      </w:r>
      <w:r w:rsidR="00493D15" w:rsidRPr="00310F7F">
        <w:rPr>
          <w:kern w:val="28"/>
          <w:lang w:val="fr-FR"/>
        </w:rPr>
        <w:t>voir le paragraphe 50 du</w:t>
      </w:r>
      <w:r w:rsidRPr="00310F7F">
        <w:rPr>
          <w:kern w:val="28"/>
          <w:lang w:val="fr-FR"/>
        </w:rPr>
        <w:t xml:space="preserve"> document CAJ/71/10 “</w:t>
      </w:r>
      <w:r w:rsidR="00493D15" w:rsidRPr="00310F7F">
        <w:rPr>
          <w:kern w:val="28"/>
          <w:lang w:val="fr-FR"/>
        </w:rPr>
        <w:t>Compte rendu des c</w:t>
      </w:r>
      <w:r w:rsidRPr="00310F7F">
        <w:rPr>
          <w:kern w:val="28"/>
          <w:lang w:val="fr-FR"/>
        </w:rPr>
        <w:t>onclusions”)</w:t>
      </w:r>
      <w:r w:rsidRPr="00310F7F">
        <w:rPr>
          <w:lang w:val="fr-FR"/>
        </w:rPr>
        <w:t>.</w:t>
      </w:r>
    </w:p>
    <w:p w:rsidR="003C613E" w:rsidRPr="00310F7F" w:rsidRDefault="003C613E" w:rsidP="00BA5523">
      <w:pPr>
        <w:rPr>
          <w:lang w:val="fr-FR"/>
        </w:rPr>
      </w:pPr>
    </w:p>
    <w:p w:rsidR="003C613E" w:rsidRPr="00310F7F" w:rsidRDefault="003C613E"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493D15" w:rsidRPr="00310F7F">
        <w:rPr>
          <w:lang w:val="fr-FR"/>
        </w:rPr>
        <w:t>Le CAJ a noté que le nombre de contributions à la base de données PLUTO indiqué à l</w:t>
      </w:r>
      <w:r w:rsidR="00FD21CB" w:rsidRPr="00310F7F">
        <w:rPr>
          <w:lang w:val="fr-FR"/>
        </w:rPr>
        <w:t>’</w:t>
      </w:r>
      <w:r w:rsidR="00493D15" w:rsidRPr="00310F7F">
        <w:rPr>
          <w:lang w:val="fr-FR"/>
        </w:rPr>
        <w:t>annexe II du document CAJ/71/5 ne prenait pas en considération l</w:t>
      </w:r>
      <w:r w:rsidR="00FD21CB" w:rsidRPr="00310F7F">
        <w:rPr>
          <w:lang w:val="fr-FR"/>
        </w:rPr>
        <w:t>’</w:t>
      </w:r>
      <w:r w:rsidR="00493D15" w:rsidRPr="00310F7F">
        <w:rPr>
          <w:lang w:val="fr-FR"/>
        </w:rPr>
        <w:t>ensemble des données fournies par l</w:t>
      </w:r>
      <w:r w:rsidR="00FD21CB" w:rsidRPr="00310F7F">
        <w:rPr>
          <w:lang w:val="fr-FR"/>
        </w:rPr>
        <w:t>’</w:t>
      </w:r>
      <w:r w:rsidR="00493D15" w:rsidRPr="00310F7F">
        <w:rPr>
          <w:lang w:val="fr-FR"/>
        </w:rPr>
        <w:t>OCVV durant la période de mise en œuvre des dispositions transitoires pour le téléchargement de données en ligne, et que le Bureau fournirait une version corrigée de l</w:t>
      </w:r>
      <w:r w:rsidR="00FD21CB" w:rsidRPr="00310F7F">
        <w:rPr>
          <w:lang w:val="fr-FR"/>
        </w:rPr>
        <w:t>’</w:t>
      </w:r>
      <w:r w:rsidR="00493D15" w:rsidRPr="00310F7F">
        <w:rPr>
          <w:lang w:val="fr-FR"/>
        </w:rPr>
        <w:t>annexe II</w:t>
      </w:r>
      <w:r w:rsidRPr="00310F7F">
        <w:rPr>
          <w:lang w:val="fr-FR"/>
        </w:rPr>
        <w:t xml:space="preserve"> </w:t>
      </w:r>
      <w:r w:rsidRPr="00310F7F">
        <w:rPr>
          <w:kern w:val="28"/>
          <w:lang w:val="fr-FR"/>
        </w:rPr>
        <w:t>(</w:t>
      </w:r>
      <w:r w:rsidR="00493D15" w:rsidRPr="00310F7F">
        <w:rPr>
          <w:kern w:val="28"/>
          <w:lang w:val="fr-FR"/>
        </w:rPr>
        <w:t xml:space="preserve">voir le paragraphe 51 du </w:t>
      </w:r>
      <w:r w:rsidRPr="00310F7F">
        <w:rPr>
          <w:kern w:val="28"/>
          <w:lang w:val="fr-FR"/>
        </w:rPr>
        <w:t>document CAJ/71/10 “</w:t>
      </w:r>
      <w:r w:rsidR="00493D15" w:rsidRPr="00310F7F">
        <w:rPr>
          <w:kern w:val="28"/>
          <w:lang w:val="fr-FR"/>
        </w:rPr>
        <w:t>Compte rendu des c</w:t>
      </w:r>
      <w:r w:rsidRPr="00310F7F">
        <w:rPr>
          <w:kern w:val="28"/>
          <w:lang w:val="fr-FR"/>
        </w:rPr>
        <w:t>onclusions”)</w:t>
      </w:r>
      <w:r w:rsidRPr="00310F7F">
        <w:rPr>
          <w:lang w:val="fr-FR"/>
        </w:rPr>
        <w:t>.</w:t>
      </w:r>
    </w:p>
    <w:p w:rsidR="003C613E" w:rsidRPr="00310F7F" w:rsidRDefault="003C613E" w:rsidP="00BA5523">
      <w:pPr>
        <w:rPr>
          <w:rFonts w:eastAsia="SimSun"/>
          <w:snapToGrid w:val="0"/>
          <w:lang w:val="fr-FR" w:eastAsia="ja-JP"/>
        </w:rPr>
      </w:pPr>
    </w:p>
    <w:p w:rsidR="003C613E" w:rsidRPr="00310F7F" w:rsidRDefault="003C613E" w:rsidP="00BA5523">
      <w:pPr>
        <w:rPr>
          <w:rFonts w:eastAsia="SimSun"/>
          <w:snapToGrid w:val="0"/>
          <w:lang w:val="fr-FR" w:eastAsia="ja-JP"/>
        </w:rPr>
      </w:pPr>
      <w:r w:rsidRPr="00310F7F">
        <w:rPr>
          <w:rFonts w:eastAsia="SimSun"/>
          <w:snapToGrid w:val="0"/>
          <w:lang w:val="fr-FR" w:eastAsia="ja-JP"/>
        </w:rPr>
        <w:fldChar w:fldCharType="begin"/>
      </w:r>
      <w:r w:rsidRPr="00310F7F">
        <w:rPr>
          <w:rFonts w:eastAsia="SimSun"/>
          <w:snapToGrid w:val="0"/>
          <w:lang w:val="fr-FR" w:eastAsia="ja-JP"/>
        </w:rPr>
        <w:instrText xml:space="preserve"> AUTONUM  </w:instrText>
      </w:r>
      <w:r w:rsidRPr="00310F7F">
        <w:rPr>
          <w:rFonts w:eastAsia="SimSun"/>
          <w:snapToGrid w:val="0"/>
          <w:lang w:val="fr-FR" w:eastAsia="ja-JP"/>
        </w:rPr>
        <w:fldChar w:fldCharType="end"/>
      </w:r>
      <w:r w:rsidRPr="00310F7F">
        <w:rPr>
          <w:rFonts w:eastAsia="SimSun"/>
          <w:snapToGrid w:val="0"/>
          <w:lang w:val="fr-FR" w:eastAsia="ja-JP"/>
        </w:rPr>
        <w:tab/>
      </w:r>
      <w:r w:rsidR="00493D15" w:rsidRPr="00310F7F">
        <w:rPr>
          <w:rFonts w:eastAsia="SimSun"/>
          <w:snapToGrid w:val="0"/>
          <w:lang w:val="fr-FR" w:eastAsia="ja-JP"/>
        </w:rPr>
        <w:t>Le CAJ a noté qu</w:t>
      </w:r>
      <w:r w:rsidR="00FD21CB" w:rsidRPr="00310F7F">
        <w:rPr>
          <w:rFonts w:eastAsia="SimSun"/>
          <w:snapToGrid w:val="0"/>
          <w:lang w:val="fr-FR" w:eastAsia="ja-JP"/>
        </w:rPr>
        <w:t>’</w:t>
      </w:r>
      <w:r w:rsidR="00493D15" w:rsidRPr="00310F7F">
        <w:rPr>
          <w:rFonts w:eastAsia="SimSun"/>
          <w:snapToGrid w:val="0"/>
          <w:lang w:val="fr-FR" w:eastAsia="ja-JP"/>
        </w:rPr>
        <w:t>une colonne additionnelle serait introduite dans l</w:t>
      </w:r>
      <w:r w:rsidR="00FD21CB" w:rsidRPr="00310F7F">
        <w:rPr>
          <w:rFonts w:eastAsia="SimSun"/>
          <w:snapToGrid w:val="0"/>
          <w:lang w:val="fr-FR" w:eastAsia="ja-JP"/>
        </w:rPr>
        <w:t>’</w:t>
      </w:r>
      <w:r w:rsidR="00493D15" w:rsidRPr="00310F7F">
        <w:rPr>
          <w:rFonts w:eastAsia="SimSun"/>
          <w:snapToGrid w:val="0"/>
          <w:lang w:val="fr-FR" w:eastAsia="ja-JP"/>
        </w:rPr>
        <w:t>écran de recherche PLUTO avant la fin du mois de mars 2015 pour indiquer la date à laquelle l</w:t>
      </w:r>
      <w:r w:rsidR="00FD21CB" w:rsidRPr="00310F7F">
        <w:rPr>
          <w:rFonts w:eastAsia="SimSun"/>
          <w:snapToGrid w:val="0"/>
          <w:lang w:val="fr-FR" w:eastAsia="ja-JP"/>
        </w:rPr>
        <w:t>’</w:t>
      </w:r>
      <w:r w:rsidR="00493D15" w:rsidRPr="00310F7F">
        <w:rPr>
          <w:rFonts w:eastAsia="SimSun"/>
          <w:snapToGrid w:val="0"/>
          <w:lang w:val="fr-FR" w:eastAsia="ja-JP"/>
        </w:rPr>
        <w:t>information a été fournie</w:t>
      </w:r>
      <w:r w:rsidRPr="00310F7F">
        <w:rPr>
          <w:rFonts w:eastAsia="SimSun"/>
          <w:snapToGrid w:val="0"/>
          <w:lang w:val="fr-FR" w:eastAsia="ja-JP"/>
        </w:rPr>
        <w:t xml:space="preserve"> (</w:t>
      </w:r>
      <w:r w:rsidR="0067491E" w:rsidRPr="00310F7F">
        <w:rPr>
          <w:rFonts w:eastAsia="SimSun"/>
          <w:snapToGrid w:val="0"/>
          <w:lang w:val="fr-FR" w:eastAsia="ja-JP"/>
        </w:rPr>
        <w:t>voir le paragraphe 52 du</w:t>
      </w:r>
      <w:r w:rsidRPr="00310F7F">
        <w:rPr>
          <w:rFonts w:eastAsia="SimSun"/>
          <w:snapToGrid w:val="0"/>
          <w:lang w:val="fr-FR" w:eastAsia="ja-JP"/>
        </w:rPr>
        <w:t xml:space="preserve"> document CAJ/71/10 “</w:t>
      </w:r>
      <w:r w:rsidR="0067491E" w:rsidRPr="00310F7F">
        <w:rPr>
          <w:rFonts w:eastAsia="SimSun"/>
          <w:snapToGrid w:val="0"/>
          <w:lang w:val="fr-FR" w:eastAsia="ja-JP"/>
        </w:rPr>
        <w:t>Compte rendu des c</w:t>
      </w:r>
      <w:r w:rsidRPr="00310F7F">
        <w:rPr>
          <w:rFonts w:eastAsia="SimSun"/>
          <w:snapToGrid w:val="0"/>
          <w:lang w:val="fr-FR" w:eastAsia="ja-JP"/>
        </w:rPr>
        <w:t>onclusions”).</w:t>
      </w:r>
    </w:p>
    <w:p w:rsidR="003C613E" w:rsidRPr="00310F7F" w:rsidRDefault="003C613E" w:rsidP="00BA5523">
      <w:pPr>
        <w:rPr>
          <w:rFonts w:eastAsia="SimSun"/>
          <w:snapToGrid w:val="0"/>
          <w:lang w:val="fr-FR" w:eastAsia="ja-JP"/>
        </w:rPr>
      </w:pPr>
    </w:p>
    <w:p w:rsidR="003C613E" w:rsidRPr="00310F7F" w:rsidRDefault="003C613E" w:rsidP="00BA5523">
      <w:pPr>
        <w:rPr>
          <w:lang w:val="fr-FR"/>
        </w:rPr>
      </w:pPr>
      <w:r w:rsidRPr="00310F7F">
        <w:rPr>
          <w:rFonts w:eastAsia="SimSun"/>
          <w:snapToGrid w:val="0"/>
          <w:lang w:val="fr-FR" w:eastAsia="ja-JP"/>
        </w:rPr>
        <w:fldChar w:fldCharType="begin"/>
      </w:r>
      <w:r w:rsidRPr="00310F7F">
        <w:rPr>
          <w:rFonts w:eastAsia="SimSun"/>
          <w:snapToGrid w:val="0"/>
          <w:lang w:val="fr-FR" w:eastAsia="ja-JP"/>
        </w:rPr>
        <w:instrText xml:space="preserve"> AUTONUM  </w:instrText>
      </w:r>
      <w:r w:rsidRPr="00310F7F">
        <w:rPr>
          <w:rFonts w:eastAsia="SimSun"/>
          <w:snapToGrid w:val="0"/>
          <w:lang w:val="fr-FR" w:eastAsia="ja-JP"/>
        </w:rPr>
        <w:fldChar w:fldCharType="end"/>
      </w:r>
      <w:r w:rsidRPr="00310F7F">
        <w:rPr>
          <w:rFonts w:eastAsia="SimSun"/>
          <w:snapToGrid w:val="0"/>
          <w:lang w:val="fr-FR" w:eastAsia="ja-JP"/>
        </w:rPr>
        <w:tab/>
      </w:r>
      <w:r w:rsidR="0067491E" w:rsidRPr="00310F7F">
        <w:rPr>
          <w:rFonts w:eastAsia="SimSun"/>
          <w:snapToGrid w:val="0"/>
          <w:lang w:val="fr-FR" w:eastAsia="ja-JP"/>
        </w:rPr>
        <w:t xml:space="preserve">Le </w:t>
      </w:r>
      <w:proofErr w:type="gramStart"/>
      <w:r w:rsidR="0067491E" w:rsidRPr="00310F7F">
        <w:rPr>
          <w:rFonts w:eastAsia="SimSun"/>
          <w:snapToGrid w:val="0"/>
          <w:lang w:val="fr-FR" w:eastAsia="ja-JP"/>
        </w:rPr>
        <w:t>CAJ a</w:t>
      </w:r>
      <w:proofErr w:type="gramEnd"/>
      <w:r w:rsidR="0067491E" w:rsidRPr="00310F7F">
        <w:rPr>
          <w:rFonts w:eastAsia="SimSun"/>
          <w:snapToGrid w:val="0"/>
          <w:lang w:val="fr-FR" w:eastAsia="ja-JP"/>
        </w:rPr>
        <w:t xml:space="preserve"> accepté que les champs “Dénomination” et “Référence de l</w:t>
      </w:r>
      <w:r w:rsidR="00FD21CB" w:rsidRPr="00310F7F">
        <w:rPr>
          <w:rFonts w:eastAsia="SimSun"/>
          <w:snapToGrid w:val="0"/>
          <w:lang w:val="fr-FR" w:eastAsia="ja-JP"/>
        </w:rPr>
        <w:t>’</w:t>
      </w:r>
      <w:r w:rsidR="0067491E" w:rsidRPr="00310F7F">
        <w:rPr>
          <w:rFonts w:eastAsia="SimSun"/>
          <w:snapToGrid w:val="0"/>
          <w:lang w:val="fr-FR" w:eastAsia="ja-JP"/>
        </w:rPr>
        <w:t>obtenteur” puissent être consultés, de manière individuelle ou combinée, au moyen des outils de recherche de dénomination sur la page “Recherche de dénomination” de la base de données PLUTO</w:t>
      </w:r>
      <w:r w:rsidRPr="00310F7F">
        <w:rPr>
          <w:rFonts w:eastAsia="SimSun"/>
          <w:snapToGrid w:val="0"/>
          <w:lang w:val="fr-FR" w:eastAsia="ja-JP"/>
        </w:rPr>
        <w:t xml:space="preserve"> </w:t>
      </w:r>
      <w:r w:rsidRPr="00310F7F">
        <w:rPr>
          <w:kern w:val="28"/>
          <w:lang w:val="fr-FR"/>
        </w:rPr>
        <w:t>(</w:t>
      </w:r>
      <w:r w:rsidR="0067491E" w:rsidRPr="00310F7F">
        <w:rPr>
          <w:kern w:val="28"/>
          <w:lang w:val="fr-FR"/>
        </w:rPr>
        <w:t>voir le paragraphe 53 du</w:t>
      </w:r>
      <w:r w:rsidRPr="00310F7F">
        <w:rPr>
          <w:kern w:val="28"/>
          <w:lang w:val="fr-FR"/>
        </w:rPr>
        <w:t xml:space="preserve"> document CAJ/71/10 “</w:t>
      </w:r>
      <w:r w:rsidR="0067491E" w:rsidRPr="00310F7F">
        <w:rPr>
          <w:kern w:val="28"/>
          <w:lang w:val="fr-FR"/>
        </w:rPr>
        <w:t>Compte rendu des c</w:t>
      </w:r>
      <w:r w:rsidRPr="00310F7F">
        <w:rPr>
          <w:kern w:val="28"/>
          <w:lang w:val="fr-FR"/>
        </w:rPr>
        <w:t>onclusions”)</w:t>
      </w:r>
      <w:r w:rsidRPr="00310F7F">
        <w:rPr>
          <w:lang w:val="fr-FR"/>
        </w:rPr>
        <w:t>.</w:t>
      </w:r>
    </w:p>
    <w:p w:rsidR="003C613E" w:rsidRPr="00310F7F" w:rsidRDefault="003C613E" w:rsidP="00BA5523">
      <w:pPr>
        <w:rPr>
          <w:rFonts w:eastAsia="SimSun"/>
          <w:snapToGrid w:val="0"/>
          <w:lang w:val="fr-FR" w:eastAsia="ja-JP"/>
        </w:rPr>
      </w:pPr>
    </w:p>
    <w:p w:rsidR="003C613E" w:rsidRPr="00310F7F" w:rsidRDefault="003C613E" w:rsidP="00BA5523">
      <w:pPr>
        <w:rPr>
          <w:lang w:val="fr-FR"/>
        </w:rPr>
      </w:pPr>
      <w:r w:rsidRPr="00310F7F">
        <w:rPr>
          <w:rFonts w:eastAsia="SimSun"/>
          <w:snapToGrid w:val="0"/>
          <w:lang w:val="fr-FR" w:eastAsia="ja-JP"/>
        </w:rPr>
        <w:fldChar w:fldCharType="begin"/>
      </w:r>
      <w:r w:rsidRPr="00310F7F">
        <w:rPr>
          <w:rFonts w:eastAsia="SimSun"/>
          <w:snapToGrid w:val="0"/>
          <w:lang w:val="fr-FR" w:eastAsia="ja-JP"/>
        </w:rPr>
        <w:instrText xml:space="preserve"> AUTONUM  </w:instrText>
      </w:r>
      <w:r w:rsidRPr="00310F7F">
        <w:rPr>
          <w:rFonts w:eastAsia="SimSun"/>
          <w:snapToGrid w:val="0"/>
          <w:lang w:val="fr-FR" w:eastAsia="ja-JP"/>
        </w:rPr>
        <w:fldChar w:fldCharType="end"/>
      </w:r>
      <w:r w:rsidRPr="00310F7F">
        <w:rPr>
          <w:rFonts w:eastAsia="SimSun"/>
          <w:snapToGrid w:val="0"/>
          <w:lang w:val="fr-FR" w:eastAsia="ja-JP"/>
        </w:rPr>
        <w:tab/>
      </w:r>
      <w:r w:rsidR="0067491E" w:rsidRPr="00310F7F">
        <w:rPr>
          <w:rFonts w:eastAsia="SimSun"/>
          <w:snapToGrid w:val="0"/>
          <w:lang w:val="fr-FR" w:eastAsia="ja-JP"/>
        </w:rPr>
        <w:t>Le CAJ a pris note des informations concernant le cours de formation sur les apports de données à la base de données PLUTO qui s</w:t>
      </w:r>
      <w:r w:rsidR="00FD21CB" w:rsidRPr="00310F7F">
        <w:rPr>
          <w:rFonts w:eastAsia="SimSun"/>
          <w:snapToGrid w:val="0"/>
          <w:lang w:val="fr-FR" w:eastAsia="ja-JP"/>
        </w:rPr>
        <w:t>’</w:t>
      </w:r>
      <w:r w:rsidR="0067491E" w:rsidRPr="00310F7F">
        <w:rPr>
          <w:rFonts w:eastAsia="SimSun"/>
          <w:snapToGrid w:val="0"/>
          <w:lang w:val="fr-FR" w:eastAsia="ja-JP"/>
        </w:rPr>
        <w:t>est tenu à Genève en décembre 2014, comme indiqué aux paragraphes 28 à 30 du document CAJ/71/5, ainsi que des projets d</w:t>
      </w:r>
      <w:r w:rsidR="00FD21CB" w:rsidRPr="00310F7F">
        <w:rPr>
          <w:rFonts w:eastAsia="SimSun"/>
          <w:snapToGrid w:val="0"/>
          <w:lang w:val="fr-FR" w:eastAsia="ja-JP"/>
        </w:rPr>
        <w:t>’</w:t>
      </w:r>
      <w:r w:rsidR="0067491E" w:rsidRPr="00310F7F">
        <w:rPr>
          <w:rFonts w:eastAsia="SimSun"/>
          <w:snapToGrid w:val="0"/>
          <w:lang w:val="fr-FR" w:eastAsia="ja-JP"/>
        </w:rPr>
        <w:t>organisation de trois autres cours, en français, anglais et espagnol, en 2015</w:t>
      </w:r>
      <w:r w:rsidRPr="00310F7F">
        <w:rPr>
          <w:rFonts w:eastAsia="SimSun"/>
          <w:snapToGrid w:val="0"/>
          <w:lang w:val="fr-FR" w:eastAsia="ja-JP"/>
        </w:rPr>
        <w:t xml:space="preserve"> </w:t>
      </w:r>
      <w:r w:rsidRPr="00310F7F">
        <w:rPr>
          <w:kern w:val="28"/>
          <w:lang w:val="fr-FR"/>
        </w:rPr>
        <w:t>(</w:t>
      </w:r>
      <w:r w:rsidR="0067491E" w:rsidRPr="00310F7F">
        <w:rPr>
          <w:kern w:val="28"/>
          <w:lang w:val="fr-FR"/>
        </w:rPr>
        <w:t>voir le paragraphe 54 du</w:t>
      </w:r>
      <w:r w:rsidRPr="00310F7F">
        <w:rPr>
          <w:kern w:val="28"/>
          <w:lang w:val="fr-FR"/>
        </w:rPr>
        <w:t xml:space="preserve"> document CAJ/71/10 “</w:t>
      </w:r>
      <w:r w:rsidR="0067491E" w:rsidRPr="00310F7F">
        <w:rPr>
          <w:kern w:val="28"/>
          <w:lang w:val="fr-FR"/>
        </w:rPr>
        <w:t>Compte rendu des conclusions”</w:t>
      </w:r>
      <w:r w:rsidRPr="00310F7F">
        <w:rPr>
          <w:kern w:val="28"/>
          <w:lang w:val="fr-FR"/>
        </w:rPr>
        <w:t>)</w:t>
      </w:r>
      <w:r w:rsidRPr="00310F7F">
        <w:rPr>
          <w:lang w:val="fr-FR"/>
        </w:rPr>
        <w:t>.</w:t>
      </w:r>
    </w:p>
    <w:p w:rsidR="00A84E3D" w:rsidRPr="00310F7F" w:rsidRDefault="0067491E" w:rsidP="00310F7F">
      <w:pPr>
        <w:pStyle w:val="Heading3"/>
        <w:rPr>
          <w:snapToGrid w:val="0"/>
          <w:lang w:val="fr-FR"/>
        </w:rPr>
      </w:pPr>
      <w:bookmarkStart w:id="11" w:name="_Toc431558826"/>
      <w:r w:rsidRPr="00310F7F">
        <w:rPr>
          <w:lang w:val="fr-FR"/>
        </w:rPr>
        <w:t>Échange et utilisation de logiciels et d</w:t>
      </w:r>
      <w:r w:rsidR="00FD21CB" w:rsidRPr="00310F7F">
        <w:rPr>
          <w:lang w:val="fr-FR"/>
        </w:rPr>
        <w:t>’</w:t>
      </w:r>
      <w:r w:rsidRPr="00310F7F">
        <w:rPr>
          <w:lang w:val="fr-FR"/>
        </w:rPr>
        <w:t>équipements</w:t>
      </w:r>
      <w:bookmarkEnd w:id="11"/>
    </w:p>
    <w:p w:rsidR="00A84E3D" w:rsidRPr="00310F7F" w:rsidRDefault="00A84E3D" w:rsidP="00310F7F">
      <w:pPr>
        <w:keepNext/>
        <w:rPr>
          <w:lang w:val="fr-FR"/>
        </w:rPr>
      </w:pPr>
    </w:p>
    <w:p w:rsidR="00A84E3D" w:rsidRPr="00310F7F" w:rsidRDefault="00A84E3D" w:rsidP="00BA5523">
      <w:pPr>
        <w:rPr>
          <w:rFonts w:eastAsia="SimSun"/>
          <w:snapToGrid w:val="0"/>
          <w:lang w:val="fr-FR" w:eastAsia="ja-JP"/>
        </w:rPr>
      </w:pPr>
      <w:r w:rsidRPr="00310F7F">
        <w:rPr>
          <w:rFonts w:eastAsia="SimSun"/>
          <w:snapToGrid w:val="0"/>
          <w:lang w:val="fr-FR" w:eastAsia="ja-JP"/>
        </w:rPr>
        <w:fldChar w:fldCharType="begin"/>
      </w:r>
      <w:r w:rsidRPr="00310F7F">
        <w:rPr>
          <w:rFonts w:eastAsia="SimSun"/>
          <w:snapToGrid w:val="0"/>
          <w:lang w:val="fr-FR" w:eastAsia="ja-JP"/>
        </w:rPr>
        <w:instrText xml:space="preserve"> AUTONUM  </w:instrText>
      </w:r>
      <w:r w:rsidRPr="00310F7F">
        <w:rPr>
          <w:rFonts w:eastAsia="SimSun"/>
          <w:snapToGrid w:val="0"/>
          <w:lang w:val="fr-FR" w:eastAsia="ja-JP"/>
        </w:rPr>
        <w:fldChar w:fldCharType="end"/>
      </w:r>
      <w:r w:rsidRPr="00310F7F">
        <w:rPr>
          <w:rFonts w:eastAsia="SimSun"/>
          <w:snapToGrid w:val="0"/>
          <w:lang w:val="fr-FR" w:eastAsia="ja-JP"/>
        </w:rPr>
        <w:tab/>
      </w:r>
      <w:r w:rsidR="00164344" w:rsidRPr="00310F7F">
        <w:rPr>
          <w:rFonts w:eastAsia="SimSun"/>
          <w:snapToGrid w:val="0"/>
          <w:lang w:val="fr-FR" w:eastAsia="ja-JP"/>
        </w:rPr>
        <w:t>Le CAJ a noté que le Conseil, à sa quarante</w:t>
      </w:r>
      <w:r w:rsidR="00FF3774" w:rsidRPr="00310F7F">
        <w:rPr>
          <w:rFonts w:eastAsia="SimSun"/>
          <w:snapToGrid w:val="0"/>
          <w:lang w:val="fr-FR" w:eastAsia="ja-JP"/>
        </w:rPr>
        <w:noBreakHyphen/>
      </w:r>
      <w:r w:rsidR="00164344" w:rsidRPr="00310F7F">
        <w:rPr>
          <w:rFonts w:eastAsia="SimSun"/>
          <w:snapToGrid w:val="0"/>
          <w:lang w:val="fr-FR" w:eastAsia="ja-JP"/>
        </w:rPr>
        <w:t>huitième session ordinaire, avait adopté la révision du document UPOV/INF/16 “Logiciels échangeables” (document UPOV/INF/16/4)</w:t>
      </w:r>
      <w:r w:rsidRPr="00310F7F">
        <w:rPr>
          <w:rFonts w:eastAsia="SimSun"/>
          <w:snapToGrid w:val="0"/>
          <w:lang w:val="fr-FR" w:eastAsia="ja-JP"/>
        </w:rPr>
        <w:t xml:space="preserve"> </w:t>
      </w:r>
      <w:r w:rsidRPr="00310F7F">
        <w:rPr>
          <w:kern w:val="28"/>
          <w:lang w:val="fr-FR"/>
        </w:rPr>
        <w:t>(</w:t>
      </w:r>
      <w:r w:rsidR="00164344" w:rsidRPr="00310F7F">
        <w:rPr>
          <w:kern w:val="28"/>
          <w:lang w:val="fr-FR"/>
        </w:rPr>
        <w:t>voir le paragraphe 56 du</w:t>
      </w:r>
      <w:r w:rsidRPr="00310F7F">
        <w:rPr>
          <w:kern w:val="28"/>
          <w:lang w:val="fr-FR"/>
        </w:rPr>
        <w:t xml:space="preserve"> document CAJ/71/10 “</w:t>
      </w:r>
      <w:r w:rsidR="00164344" w:rsidRPr="00310F7F">
        <w:rPr>
          <w:kern w:val="28"/>
          <w:lang w:val="fr-FR"/>
        </w:rPr>
        <w:t>Compte rendu des c</w:t>
      </w:r>
      <w:r w:rsidRPr="00310F7F">
        <w:rPr>
          <w:kern w:val="28"/>
          <w:lang w:val="fr-FR"/>
        </w:rPr>
        <w:t>onclusions”)</w:t>
      </w:r>
      <w:r w:rsidRPr="00310F7F">
        <w:rPr>
          <w:rFonts w:eastAsia="SimSun"/>
          <w:snapToGrid w:val="0"/>
          <w:lang w:val="fr-FR" w:eastAsia="ja-JP"/>
        </w:rPr>
        <w:t>.</w:t>
      </w:r>
    </w:p>
    <w:p w:rsidR="00A84E3D" w:rsidRPr="00310F7F" w:rsidRDefault="00A84E3D" w:rsidP="00BA5523">
      <w:pPr>
        <w:rPr>
          <w:rFonts w:eastAsia="SimSun"/>
          <w:snapToGrid w:val="0"/>
          <w:lang w:val="fr-FR" w:eastAsia="ja-JP"/>
        </w:rPr>
      </w:pPr>
    </w:p>
    <w:p w:rsidR="00A84E3D" w:rsidRPr="00310F7F" w:rsidRDefault="00A84E3D" w:rsidP="00BA5523">
      <w:pPr>
        <w:rPr>
          <w:rFonts w:eastAsia="SimSun"/>
          <w:snapToGrid w:val="0"/>
          <w:lang w:val="fr-FR" w:eastAsia="ja-JP"/>
        </w:rPr>
      </w:pPr>
      <w:r w:rsidRPr="00310F7F">
        <w:rPr>
          <w:rFonts w:eastAsia="SimSun"/>
          <w:snapToGrid w:val="0"/>
          <w:lang w:val="fr-FR" w:eastAsia="ja-JP"/>
        </w:rPr>
        <w:fldChar w:fldCharType="begin"/>
      </w:r>
      <w:r w:rsidRPr="00310F7F">
        <w:rPr>
          <w:rFonts w:eastAsia="SimSun"/>
          <w:snapToGrid w:val="0"/>
          <w:lang w:val="fr-FR" w:eastAsia="ja-JP"/>
        </w:rPr>
        <w:instrText xml:space="preserve"> AUTONUM  </w:instrText>
      </w:r>
      <w:r w:rsidRPr="00310F7F">
        <w:rPr>
          <w:rFonts w:eastAsia="SimSun"/>
          <w:snapToGrid w:val="0"/>
          <w:lang w:val="fr-FR" w:eastAsia="ja-JP"/>
        </w:rPr>
        <w:fldChar w:fldCharType="end"/>
      </w:r>
      <w:r w:rsidRPr="00310F7F">
        <w:rPr>
          <w:rFonts w:eastAsia="SimSun"/>
          <w:snapToGrid w:val="0"/>
          <w:lang w:val="fr-FR" w:eastAsia="ja-JP"/>
        </w:rPr>
        <w:tab/>
      </w:r>
      <w:r w:rsidR="00164344" w:rsidRPr="00310F7F">
        <w:rPr>
          <w:rFonts w:eastAsia="SimSun"/>
          <w:snapToGrid w:val="0"/>
          <w:lang w:val="fr-FR" w:eastAsia="ja-JP"/>
        </w:rPr>
        <w:t>Le CAJ a noté que les débats sur l</w:t>
      </w:r>
      <w:r w:rsidR="00FD21CB" w:rsidRPr="00310F7F">
        <w:rPr>
          <w:rFonts w:eastAsia="SimSun"/>
          <w:snapToGrid w:val="0"/>
          <w:lang w:val="fr-FR" w:eastAsia="ja-JP"/>
        </w:rPr>
        <w:t>’</w:t>
      </w:r>
      <w:r w:rsidR="00164344" w:rsidRPr="00310F7F">
        <w:rPr>
          <w:rFonts w:eastAsia="SimSun"/>
          <w:snapToGrid w:val="0"/>
          <w:lang w:val="fr-FR" w:eastAsia="ja-JP"/>
        </w:rPr>
        <w:t>inclusion du logiciel SISNAVA dans le document UPOV/INF/16 se poursuivraient au sein du Groupe de travail technique sur l</w:t>
      </w:r>
      <w:r w:rsidR="00FD21CB" w:rsidRPr="00310F7F">
        <w:rPr>
          <w:rFonts w:eastAsia="SimSun"/>
          <w:snapToGrid w:val="0"/>
          <w:lang w:val="fr-FR" w:eastAsia="ja-JP"/>
        </w:rPr>
        <w:t>’</w:t>
      </w:r>
      <w:r w:rsidR="00164344" w:rsidRPr="00310F7F">
        <w:rPr>
          <w:rFonts w:eastAsia="SimSun"/>
          <w:snapToGrid w:val="0"/>
          <w:lang w:val="fr-FR" w:eastAsia="ja-JP"/>
        </w:rPr>
        <w:t>automatisation et les programmes d</w:t>
      </w:r>
      <w:r w:rsidR="00FD21CB" w:rsidRPr="00310F7F">
        <w:rPr>
          <w:rFonts w:eastAsia="SimSun"/>
          <w:snapToGrid w:val="0"/>
          <w:lang w:val="fr-FR" w:eastAsia="ja-JP"/>
        </w:rPr>
        <w:t>’</w:t>
      </w:r>
      <w:r w:rsidR="00164344" w:rsidRPr="00310F7F">
        <w:rPr>
          <w:rFonts w:eastAsia="SimSun"/>
          <w:snapToGrid w:val="0"/>
          <w:lang w:val="fr-FR" w:eastAsia="ja-JP"/>
        </w:rPr>
        <w:t>ordinateur (TWC), sous réserve de la conclusion des débats sur la variation des descriptions variétales au fil des ans en différents endroits</w:t>
      </w:r>
      <w:r w:rsidRPr="00310F7F">
        <w:rPr>
          <w:rFonts w:eastAsia="SimSun"/>
          <w:snapToGrid w:val="0"/>
          <w:lang w:val="fr-FR" w:eastAsia="ja-JP"/>
        </w:rPr>
        <w:t xml:space="preserve"> </w:t>
      </w:r>
      <w:r w:rsidRPr="00310F7F">
        <w:rPr>
          <w:kern w:val="28"/>
          <w:lang w:val="fr-FR"/>
        </w:rPr>
        <w:t>(</w:t>
      </w:r>
      <w:r w:rsidR="00413C0C" w:rsidRPr="00310F7F">
        <w:rPr>
          <w:kern w:val="28"/>
          <w:lang w:val="fr-FR"/>
        </w:rPr>
        <w:t>voir le paragraphe 57 du</w:t>
      </w:r>
      <w:r w:rsidRPr="00310F7F">
        <w:rPr>
          <w:kern w:val="28"/>
          <w:lang w:val="fr-FR"/>
        </w:rPr>
        <w:t xml:space="preserve"> document CAJ/71/10 “</w:t>
      </w:r>
      <w:r w:rsidR="00413C0C" w:rsidRPr="00310F7F">
        <w:rPr>
          <w:kern w:val="28"/>
          <w:lang w:val="fr-FR"/>
        </w:rPr>
        <w:t>Compte rendu des c</w:t>
      </w:r>
      <w:r w:rsidRPr="00310F7F">
        <w:rPr>
          <w:kern w:val="28"/>
          <w:lang w:val="fr-FR"/>
        </w:rPr>
        <w:t>onclusions”)</w:t>
      </w:r>
      <w:r w:rsidRPr="00310F7F">
        <w:rPr>
          <w:rFonts w:eastAsia="SimSun"/>
          <w:snapToGrid w:val="0"/>
          <w:lang w:val="fr-FR" w:eastAsia="ja-JP"/>
        </w:rPr>
        <w:t>.</w:t>
      </w:r>
    </w:p>
    <w:p w:rsidR="00A84E3D" w:rsidRPr="00310F7F" w:rsidRDefault="00A84E3D" w:rsidP="00BA5523">
      <w:pPr>
        <w:rPr>
          <w:rFonts w:eastAsia="SimSun"/>
          <w:snapToGrid w:val="0"/>
          <w:lang w:val="fr-FR" w:eastAsia="ja-JP"/>
        </w:rPr>
      </w:pPr>
    </w:p>
    <w:p w:rsidR="00FD21CB" w:rsidRPr="00310F7F" w:rsidRDefault="00A84E3D" w:rsidP="00BA5523">
      <w:pPr>
        <w:rPr>
          <w:rFonts w:eastAsia="SimSun"/>
          <w:snapToGrid w:val="0"/>
          <w:lang w:val="fr-FR" w:eastAsia="ja-JP"/>
        </w:rPr>
      </w:pPr>
      <w:r w:rsidRPr="00310F7F">
        <w:rPr>
          <w:rFonts w:eastAsia="SimSun"/>
          <w:snapToGrid w:val="0"/>
          <w:lang w:val="fr-FR" w:eastAsia="ja-JP"/>
        </w:rPr>
        <w:fldChar w:fldCharType="begin"/>
      </w:r>
      <w:r w:rsidRPr="00310F7F">
        <w:rPr>
          <w:rFonts w:eastAsia="SimSun"/>
          <w:snapToGrid w:val="0"/>
          <w:lang w:val="fr-FR" w:eastAsia="ja-JP"/>
        </w:rPr>
        <w:instrText xml:space="preserve"> AUTONUM  </w:instrText>
      </w:r>
      <w:r w:rsidRPr="00310F7F">
        <w:rPr>
          <w:rFonts w:eastAsia="SimSun"/>
          <w:snapToGrid w:val="0"/>
          <w:lang w:val="fr-FR" w:eastAsia="ja-JP"/>
        </w:rPr>
        <w:fldChar w:fldCharType="end"/>
      </w:r>
      <w:r w:rsidRPr="00310F7F">
        <w:rPr>
          <w:rFonts w:eastAsia="SimSun"/>
          <w:snapToGrid w:val="0"/>
          <w:lang w:val="fr-FR" w:eastAsia="ja-JP"/>
        </w:rPr>
        <w:tab/>
      </w:r>
      <w:r w:rsidR="00413C0C" w:rsidRPr="00310F7F">
        <w:rPr>
          <w:rFonts w:eastAsia="SimSun"/>
          <w:snapToGrid w:val="0"/>
          <w:lang w:val="fr-FR" w:eastAsia="ja-JP"/>
        </w:rPr>
        <w:t>Le CAJ a approuvé la révision proposée du document UPOV/INF/16/4 concernant l</w:t>
      </w:r>
      <w:r w:rsidR="00FD21CB" w:rsidRPr="00310F7F">
        <w:rPr>
          <w:rFonts w:eastAsia="SimSun"/>
          <w:snapToGrid w:val="0"/>
          <w:lang w:val="fr-FR" w:eastAsia="ja-JP"/>
        </w:rPr>
        <w:t>’</w:t>
      </w:r>
      <w:r w:rsidR="00413C0C" w:rsidRPr="00310F7F">
        <w:rPr>
          <w:rFonts w:eastAsia="SimSun"/>
          <w:snapToGrid w:val="0"/>
          <w:lang w:val="fr-FR" w:eastAsia="ja-JP"/>
        </w:rPr>
        <w:t>inclusion d</w:t>
      </w:r>
      <w:r w:rsidR="00FD21CB" w:rsidRPr="00310F7F">
        <w:rPr>
          <w:rFonts w:eastAsia="SimSun"/>
          <w:snapToGrid w:val="0"/>
          <w:lang w:val="fr-FR" w:eastAsia="ja-JP"/>
        </w:rPr>
        <w:t>’</w:t>
      </w:r>
      <w:r w:rsidR="00413C0C" w:rsidRPr="00310F7F">
        <w:rPr>
          <w:rFonts w:eastAsia="SimSun"/>
          <w:snapToGrid w:val="0"/>
          <w:lang w:val="fr-FR" w:eastAsia="ja-JP"/>
        </w:rPr>
        <w:t>informations sur l</w:t>
      </w:r>
      <w:r w:rsidR="00FD21CB" w:rsidRPr="00310F7F">
        <w:rPr>
          <w:rFonts w:eastAsia="SimSun"/>
          <w:snapToGrid w:val="0"/>
          <w:lang w:val="fr-FR" w:eastAsia="ja-JP"/>
        </w:rPr>
        <w:t>’</w:t>
      </w:r>
      <w:r w:rsidR="00413C0C" w:rsidRPr="00310F7F">
        <w:rPr>
          <w:rFonts w:eastAsia="SimSun"/>
          <w:snapToGrid w:val="0"/>
          <w:lang w:val="fr-FR" w:eastAsia="ja-JP"/>
        </w:rPr>
        <w:t>utilisation de logiciels par les membres de l</w:t>
      </w:r>
      <w:r w:rsidR="00FD21CB" w:rsidRPr="00310F7F">
        <w:rPr>
          <w:rFonts w:eastAsia="SimSun"/>
          <w:snapToGrid w:val="0"/>
          <w:lang w:val="fr-FR" w:eastAsia="ja-JP"/>
        </w:rPr>
        <w:t>’</w:t>
      </w:r>
      <w:r w:rsidR="00413C0C" w:rsidRPr="00310F7F">
        <w:rPr>
          <w:rFonts w:eastAsia="SimSun"/>
          <w:snapToGrid w:val="0"/>
          <w:lang w:val="fr-FR" w:eastAsia="ja-JP"/>
        </w:rPr>
        <w:t>Union</w:t>
      </w:r>
      <w:r w:rsidRPr="00310F7F">
        <w:rPr>
          <w:rFonts w:eastAsia="SimSun"/>
          <w:snapToGrid w:val="0"/>
          <w:lang w:val="fr-FR" w:eastAsia="ja-JP"/>
        </w:rPr>
        <w:t xml:space="preserve"> </w:t>
      </w:r>
      <w:r w:rsidRPr="00310F7F">
        <w:rPr>
          <w:kern w:val="28"/>
          <w:lang w:val="fr-FR"/>
        </w:rPr>
        <w:t>(</w:t>
      </w:r>
      <w:r w:rsidR="00413C0C" w:rsidRPr="00310F7F">
        <w:rPr>
          <w:kern w:val="28"/>
          <w:lang w:val="fr-FR"/>
        </w:rPr>
        <w:t xml:space="preserve">voir le paragraphe 58 du </w:t>
      </w:r>
      <w:r w:rsidRPr="00310F7F">
        <w:rPr>
          <w:kern w:val="28"/>
          <w:lang w:val="fr-FR"/>
        </w:rPr>
        <w:t>document CAJ/71/10 “</w:t>
      </w:r>
      <w:r w:rsidR="00413C0C" w:rsidRPr="00310F7F">
        <w:rPr>
          <w:kern w:val="28"/>
          <w:lang w:val="fr-FR"/>
        </w:rPr>
        <w:t>Compte rendu des c</w:t>
      </w:r>
      <w:r w:rsidRPr="00310F7F">
        <w:rPr>
          <w:kern w:val="28"/>
          <w:lang w:val="fr-FR"/>
        </w:rPr>
        <w:t>onclusions”)</w:t>
      </w:r>
      <w:r w:rsidRPr="00310F7F">
        <w:rPr>
          <w:rFonts w:eastAsia="SimSun"/>
          <w:snapToGrid w:val="0"/>
          <w:lang w:val="fr-FR" w:eastAsia="ja-JP"/>
        </w:rPr>
        <w:t>.</w:t>
      </w:r>
    </w:p>
    <w:p w:rsidR="00A84E3D" w:rsidRPr="00310F7F" w:rsidRDefault="00A84E3D" w:rsidP="00BA5523">
      <w:pPr>
        <w:rPr>
          <w:rFonts w:eastAsia="SimSun"/>
          <w:snapToGrid w:val="0"/>
          <w:lang w:val="fr-FR" w:eastAsia="ja-JP"/>
        </w:rPr>
      </w:pPr>
    </w:p>
    <w:p w:rsidR="00A84E3D" w:rsidRPr="00310F7F" w:rsidRDefault="00A84E3D" w:rsidP="00BA5523">
      <w:pPr>
        <w:rPr>
          <w:rFonts w:eastAsia="SimSun"/>
          <w:snapToGrid w:val="0"/>
          <w:lang w:val="fr-FR" w:eastAsia="ja-JP"/>
        </w:rPr>
      </w:pPr>
      <w:r w:rsidRPr="00310F7F">
        <w:rPr>
          <w:rFonts w:eastAsia="SimSun"/>
          <w:snapToGrid w:val="0"/>
          <w:lang w:val="fr-FR" w:eastAsia="ja-JP"/>
        </w:rPr>
        <w:fldChar w:fldCharType="begin"/>
      </w:r>
      <w:r w:rsidRPr="00310F7F">
        <w:rPr>
          <w:rFonts w:eastAsia="SimSun"/>
          <w:snapToGrid w:val="0"/>
          <w:lang w:val="fr-FR" w:eastAsia="ja-JP"/>
        </w:rPr>
        <w:instrText xml:space="preserve"> AUTONUM  </w:instrText>
      </w:r>
      <w:r w:rsidRPr="00310F7F">
        <w:rPr>
          <w:rFonts w:eastAsia="SimSun"/>
          <w:snapToGrid w:val="0"/>
          <w:lang w:val="fr-FR" w:eastAsia="ja-JP"/>
        </w:rPr>
        <w:fldChar w:fldCharType="end"/>
      </w:r>
      <w:r w:rsidRPr="00310F7F">
        <w:rPr>
          <w:rFonts w:eastAsia="SimSun"/>
          <w:snapToGrid w:val="0"/>
          <w:lang w:val="fr-FR" w:eastAsia="ja-JP"/>
        </w:rPr>
        <w:tab/>
      </w:r>
      <w:r w:rsidR="00413C0C" w:rsidRPr="00310F7F">
        <w:rPr>
          <w:rFonts w:eastAsia="SimSun"/>
          <w:snapToGrid w:val="0"/>
          <w:lang w:val="fr-FR" w:eastAsia="ja-JP"/>
        </w:rPr>
        <w:t>Le CAJ a accepté qu</w:t>
      </w:r>
      <w:r w:rsidR="00FD21CB" w:rsidRPr="00310F7F">
        <w:rPr>
          <w:rFonts w:eastAsia="SimSun"/>
          <w:snapToGrid w:val="0"/>
          <w:lang w:val="fr-FR" w:eastAsia="ja-JP"/>
        </w:rPr>
        <w:t>’</w:t>
      </w:r>
      <w:r w:rsidR="00413C0C" w:rsidRPr="00310F7F">
        <w:rPr>
          <w:rFonts w:eastAsia="SimSun"/>
          <w:snapToGrid w:val="0"/>
          <w:lang w:val="fr-FR" w:eastAsia="ja-JP"/>
        </w:rPr>
        <w:t>un projet du document UPOV/INF/16 “Logiciels échangeables” soit soumis au Conseil pour adoption à sa quarante</w:t>
      </w:r>
      <w:r w:rsidR="00FF3774" w:rsidRPr="00310F7F">
        <w:rPr>
          <w:rFonts w:eastAsia="SimSun"/>
          <w:snapToGrid w:val="0"/>
          <w:lang w:val="fr-FR" w:eastAsia="ja-JP"/>
        </w:rPr>
        <w:noBreakHyphen/>
      </w:r>
      <w:r w:rsidR="00413C0C" w:rsidRPr="00310F7F">
        <w:rPr>
          <w:rFonts w:eastAsia="SimSun"/>
          <w:snapToGrid w:val="0"/>
          <w:lang w:val="fr-FR" w:eastAsia="ja-JP"/>
        </w:rPr>
        <w:t>neuvième session ordinaire, qui se tiendra le 29 octobre 2015</w:t>
      </w:r>
      <w:r w:rsidRPr="00310F7F">
        <w:rPr>
          <w:rFonts w:eastAsia="SimSun"/>
          <w:snapToGrid w:val="0"/>
          <w:lang w:val="fr-FR" w:eastAsia="ja-JP"/>
        </w:rPr>
        <w:t xml:space="preserve"> </w:t>
      </w:r>
      <w:r w:rsidR="00411733" w:rsidRPr="00310F7F">
        <w:rPr>
          <w:kern w:val="28"/>
          <w:lang w:val="fr-FR"/>
        </w:rPr>
        <w:t>(</w:t>
      </w:r>
      <w:r w:rsidR="00413C0C" w:rsidRPr="00310F7F">
        <w:rPr>
          <w:kern w:val="28"/>
          <w:lang w:val="fr-FR"/>
        </w:rPr>
        <w:t>voir le paragraphe 59 du</w:t>
      </w:r>
      <w:r w:rsidR="00411733" w:rsidRPr="00310F7F">
        <w:rPr>
          <w:kern w:val="28"/>
          <w:lang w:val="fr-FR"/>
        </w:rPr>
        <w:t xml:space="preserve"> document CAJ/71/10 “</w:t>
      </w:r>
      <w:r w:rsidR="00413C0C" w:rsidRPr="00310F7F">
        <w:rPr>
          <w:kern w:val="28"/>
          <w:lang w:val="fr-FR"/>
        </w:rPr>
        <w:t>Compte rendu des c</w:t>
      </w:r>
      <w:r w:rsidR="00411733" w:rsidRPr="00310F7F">
        <w:rPr>
          <w:kern w:val="28"/>
          <w:lang w:val="fr-FR"/>
        </w:rPr>
        <w:t>onclusions”)</w:t>
      </w:r>
      <w:r w:rsidR="00411733" w:rsidRPr="00310F7F">
        <w:rPr>
          <w:lang w:val="fr-FR"/>
        </w:rPr>
        <w:t>.</w:t>
      </w:r>
    </w:p>
    <w:p w:rsidR="00A84E3D" w:rsidRPr="00310F7F" w:rsidRDefault="00A84E3D" w:rsidP="00BA5523">
      <w:pPr>
        <w:rPr>
          <w:rFonts w:eastAsia="SimSun"/>
          <w:snapToGrid w:val="0"/>
          <w:lang w:val="fr-FR" w:eastAsia="ja-JP"/>
        </w:rPr>
      </w:pPr>
    </w:p>
    <w:p w:rsidR="00A84E3D" w:rsidRPr="00310F7F" w:rsidRDefault="00A84E3D" w:rsidP="00BA5523">
      <w:pPr>
        <w:rPr>
          <w:rFonts w:eastAsia="SimSun"/>
          <w:snapToGrid w:val="0"/>
          <w:lang w:val="fr-FR" w:eastAsia="ja-JP"/>
        </w:rPr>
      </w:pPr>
      <w:r w:rsidRPr="00310F7F">
        <w:rPr>
          <w:rFonts w:eastAsia="SimSun"/>
          <w:snapToGrid w:val="0"/>
          <w:lang w:val="fr-FR" w:eastAsia="ja-JP"/>
        </w:rPr>
        <w:fldChar w:fldCharType="begin"/>
      </w:r>
      <w:r w:rsidRPr="00310F7F">
        <w:rPr>
          <w:rFonts w:eastAsia="SimSun"/>
          <w:snapToGrid w:val="0"/>
          <w:lang w:val="fr-FR" w:eastAsia="ja-JP"/>
        </w:rPr>
        <w:instrText xml:space="preserve"> AUTONUM  </w:instrText>
      </w:r>
      <w:r w:rsidRPr="00310F7F">
        <w:rPr>
          <w:rFonts w:eastAsia="SimSun"/>
          <w:snapToGrid w:val="0"/>
          <w:lang w:val="fr-FR" w:eastAsia="ja-JP"/>
        </w:rPr>
        <w:fldChar w:fldCharType="end"/>
      </w:r>
      <w:r w:rsidRPr="00310F7F">
        <w:rPr>
          <w:rFonts w:eastAsia="SimSun"/>
          <w:snapToGrid w:val="0"/>
          <w:lang w:val="fr-FR" w:eastAsia="ja-JP"/>
        </w:rPr>
        <w:tab/>
      </w:r>
      <w:r w:rsidR="00413C0C" w:rsidRPr="00310F7F">
        <w:rPr>
          <w:rFonts w:eastAsia="SimSun"/>
          <w:snapToGrid w:val="0"/>
          <w:lang w:val="fr-FR" w:eastAsia="ja-JP"/>
        </w:rPr>
        <w:t>Le CAJ a noté que le Conseil, à sa quarante</w:t>
      </w:r>
      <w:r w:rsidR="00FF3774" w:rsidRPr="00310F7F">
        <w:rPr>
          <w:rFonts w:eastAsia="SimSun"/>
          <w:snapToGrid w:val="0"/>
          <w:lang w:val="fr-FR" w:eastAsia="ja-JP"/>
        </w:rPr>
        <w:noBreakHyphen/>
      </w:r>
      <w:r w:rsidR="00413C0C" w:rsidRPr="00310F7F">
        <w:rPr>
          <w:rFonts w:eastAsia="SimSun"/>
          <w:snapToGrid w:val="0"/>
          <w:lang w:val="fr-FR" w:eastAsia="ja-JP"/>
        </w:rPr>
        <w:t>huitième session ordinaire tenue à Genève le 16 octobre 2014, avait adopté le document UPOV/INF/22/1 “Logiciels et équipements utilisés par les membres de l</w:t>
      </w:r>
      <w:r w:rsidR="00FD21CB" w:rsidRPr="00310F7F">
        <w:rPr>
          <w:rFonts w:eastAsia="SimSun"/>
          <w:snapToGrid w:val="0"/>
          <w:lang w:val="fr-FR" w:eastAsia="ja-JP"/>
        </w:rPr>
        <w:t>’</w:t>
      </w:r>
      <w:r w:rsidR="00413C0C" w:rsidRPr="00310F7F">
        <w:rPr>
          <w:rFonts w:eastAsia="SimSun"/>
          <w:snapToGrid w:val="0"/>
          <w:lang w:val="fr-FR" w:eastAsia="ja-JP"/>
        </w:rPr>
        <w:t>Union”</w:t>
      </w:r>
      <w:r w:rsidRPr="00310F7F">
        <w:rPr>
          <w:rFonts w:eastAsia="SimSun"/>
          <w:snapToGrid w:val="0"/>
          <w:lang w:val="fr-FR" w:eastAsia="ja-JP"/>
        </w:rPr>
        <w:t xml:space="preserve"> </w:t>
      </w:r>
      <w:r w:rsidR="00411733" w:rsidRPr="00310F7F">
        <w:rPr>
          <w:kern w:val="28"/>
          <w:lang w:val="fr-FR"/>
        </w:rPr>
        <w:t>(</w:t>
      </w:r>
      <w:r w:rsidR="00413C0C" w:rsidRPr="00310F7F">
        <w:rPr>
          <w:kern w:val="28"/>
          <w:lang w:val="fr-FR"/>
        </w:rPr>
        <w:t>voir le paragraphe 60 du</w:t>
      </w:r>
      <w:r w:rsidR="00411733" w:rsidRPr="00310F7F">
        <w:rPr>
          <w:kern w:val="28"/>
          <w:lang w:val="fr-FR"/>
        </w:rPr>
        <w:t xml:space="preserve"> document CAJ/71/10 “</w:t>
      </w:r>
      <w:r w:rsidR="00413C0C" w:rsidRPr="00310F7F">
        <w:rPr>
          <w:kern w:val="28"/>
          <w:lang w:val="fr-FR"/>
        </w:rPr>
        <w:t>Compte rendu des c</w:t>
      </w:r>
      <w:r w:rsidR="00411733" w:rsidRPr="00310F7F">
        <w:rPr>
          <w:kern w:val="28"/>
          <w:lang w:val="fr-FR"/>
        </w:rPr>
        <w:t>onclusions”)</w:t>
      </w:r>
      <w:r w:rsidRPr="00310F7F">
        <w:rPr>
          <w:rFonts w:eastAsia="SimSun"/>
          <w:snapToGrid w:val="0"/>
          <w:lang w:val="fr-FR" w:eastAsia="ja-JP"/>
        </w:rPr>
        <w:t>.</w:t>
      </w:r>
    </w:p>
    <w:p w:rsidR="00A84E3D" w:rsidRPr="00310F7F" w:rsidRDefault="00A84E3D" w:rsidP="00BA5523">
      <w:pPr>
        <w:rPr>
          <w:rFonts w:eastAsia="SimSun"/>
          <w:snapToGrid w:val="0"/>
          <w:lang w:val="fr-FR" w:eastAsia="ja-JP"/>
        </w:rPr>
      </w:pPr>
    </w:p>
    <w:p w:rsidR="00A84E3D" w:rsidRPr="00310F7F" w:rsidRDefault="00A84E3D"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413C0C" w:rsidRPr="00310F7F">
        <w:rPr>
          <w:lang w:val="fr-FR"/>
        </w:rPr>
        <w:t>Le CAJ a accepté que les informations figurant à l</w:t>
      </w:r>
      <w:r w:rsidR="00FD21CB" w:rsidRPr="00310F7F">
        <w:rPr>
          <w:lang w:val="fr-FR"/>
        </w:rPr>
        <w:t>’</w:t>
      </w:r>
      <w:r w:rsidR="00413C0C" w:rsidRPr="00310F7F">
        <w:rPr>
          <w:lang w:val="fr-FR"/>
        </w:rPr>
        <w:t>annexe II du document CAJ/71/6 soient incluses dans le document UPOV/INF/22, sous réserve des corrections qui seraient indiquées par l</w:t>
      </w:r>
      <w:r w:rsidR="00FD21CB" w:rsidRPr="00310F7F">
        <w:rPr>
          <w:lang w:val="fr-FR"/>
        </w:rPr>
        <w:t>’</w:t>
      </w:r>
      <w:r w:rsidR="00413C0C" w:rsidRPr="00310F7F">
        <w:rPr>
          <w:lang w:val="fr-FR"/>
        </w:rPr>
        <w:t>Allemagne et de la vérification des données par l</w:t>
      </w:r>
      <w:r w:rsidR="00FD21CB" w:rsidRPr="00310F7F">
        <w:rPr>
          <w:lang w:val="fr-FR"/>
        </w:rPr>
        <w:t>’</w:t>
      </w:r>
      <w:r w:rsidR="00413C0C" w:rsidRPr="00310F7F">
        <w:rPr>
          <w:lang w:val="fr-FR"/>
        </w:rPr>
        <w:t>Uruguay</w:t>
      </w:r>
      <w:r w:rsidR="00411733" w:rsidRPr="00310F7F">
        <w:rPr>
          <w:lang w:val="fr-FR"/>
        </w:rPr>
        <w:t xml:space="preserve"> </w:t>
      </w:r>
      <w:r w:rsidR="00411733" w:rsidRPr="00310F7F">
        <w:rPr>
          <w:kern w:val="28"/>
          <w:lang w:val="fr-FR"/>
        </w:rPr>
        <w:t>(</w:t>
      </w:r>
      <w:r w:rsidR="00413C0C" w:rsidRPr="00310F7F">
        <w:rPr>
          <w:kern w:val="28"/>
          <w:lang w:val="fr-FR"/>
        </w:rPr>
        <w:t>voir le paragraphe 61 du</w:t>
      </w:r>
      <w:r w:rsidR="00411733" w:rsidRPr="00310F7F">
        <w:rPr>
          <w:kern w:val="28"/>
          <w:lang w:val="fr-FR"/>
        </w:rPr>
        <w:t xml:space="preserve"> document CAJ/71/10 “</w:t>
      </w:r>
      <w:r w:rsidR="00413C0C" w:rsidRPr="00310F7F">
        <w:rPr>
          <w:kern w:val="28"/>
          <w:lang w:val="fr-FR"/>
        </w:rPr>
        <w:t>Compte rendu des c</w:t>
      </w:r>
      <w:r w:rsidR="00411733" w:rsidRPr="00310F7F">
        <w:rPr>
          <w:kern w:val="28"/>
          <w:lang w:val="fr-FR"/>
        </w:rPr>
        <w:t>onclusions”)</w:t>
      </w:r>
      <w:r w:rsidRPr="00310F7F">
        <w:rPr>
          <w:lang w:val="fr-FR"/>
        </w:rPr>
        <w:t>.</w:t>
      </w:r>
    </w:p>
    <w:p w:rsidR="00A84E3D" w:rsidRPr="00310F7F" w:rsidRDefault="00A84E3D" w:rsidP="00BA5523">
      <w:pPr>
        <w:rPr>
          <w:rFonts w:eastAsia="SimSun"/>
          <w:snapToGrid w:val="0"/>
          <w:lang w:val="fr-FR" w:eastAsia="ja-JP"/>
        </w:rPr>
      </w:pPr>
    </w:p>
    <w:p w:rsidR="00A84E3D" w:rsidRPr="00310F7F" w:rsidRDefault="00A84E3D" w:rsidP="00BA5523">
      <w:pPr>
        <w:rPr>
          <w:rFonts w:eastAsia="SimSun"/>
          <w:snapToGrid w:val="0"/>
          <w:lang w:val="fr-FR" w:eastAsia="ja-JP"/>
        </w:rPr>
      </w:pPr>
      <w:r w:rsidRPr="00310F7F">
        <w:rPr>
          <w:rFonts w:eastAsia="SimSun"/>
          <w:snapToGrid w:val="0"/>
          <w:lang w:val="fr-FR" w:eastAsia="ja-JP"/>
        </w:rPr>
        <w:fldChar w:fldCharType="begin"/>
      </w:r>
      <w:r w:rsidRPr="00310F7F">
        <w:rPr>
          <w:rFonts w:eastAsia="SimSun"/>
          <w:snapToGrid w:val="0"/>
          <w:lang w:val="fr-FR" w:eastAsia="ja-JP"/>
        </w:rPr>
        <w:instrText xml:space="preserve"> AUTONUM  </w:instrText>
      </w:r>
      <w:r w:rsidRPr="00310F7F">
        <w:rPr>
          <w:rFonts w:eastAsia="SimSun"/>
          <w:snapToGrid w:val="0"/>
          <w:lang w:val="fr-FR" w:eastAsia="ja-JP"/>
        </w:rPr>
        <w:fldChar w:fldCharType="end"/>
      </w:r>
      <w:r w:rsidRPr="00310F7F">
        <w:rPr>
          <w:rFonts w:eastAsia="SimSun"/>
          <w:snapToGrid w:val="0"/>
          <w:lang w:val="fr-FR" w:eastAsia="ja-JP"/>
        </w:rPr>
        <w:tab/>
      </w:r>
      <w:r w:rsidR="00413C0C" w:rsidRPr="00310F7F">
        <w:rPr>
          <w:rFonts w:eastAsia="SimSun"/>
          <w:snapToGrid w:val="0"/>
          <w:lang w:val="fr-FR" w:eastAsia="ja-JP"/>
        </w:rPr>
        <w:t>Compte tenu de ce qui précède,</w:t>
      </w:r>
      <w:r w:rsidR="00FD21CB" w:rsidRPr="00310F7F">
        <w:rPr>
          <w:rFonts w:eastAsia="SimSun"/>
          <w:snapToGrid w:val="0"/>
          <w:lang w:val="fr-FR" w:eastAsia="ja-JP"/>
        </w:rPr>
        <w:t xml:space="preserve"> le CAJ</w:t>
      </w:r>
      <w:r w:rsidR="00413C0C" w:rsidRPr="00310F7F">
        <w:rPr>
          <w:rFonts w:eastAsia="SimSun"/>
          <w:snapToGrid w:val="0"/>
          <w:lang w:val="fr-FR" w:eastAsia="ja-JP"/>
        </w:rPr>
        <w:t xml:space="preserve"> est convenu qu</w:t>
      </w:r>
      <w:r w:rsidR="00FD21CB" w:rsidRPr="00310F7F">
        <w:rPr>
          <w:rFonts w:eastAsia="SimSun"/>
          <w:snapToGrid w:val="0"/>
          <w:lang w:val="fr-FR" w:eastAsia="ja-JP"/>
        </w:rPr>
        <w:t>’</w:t>
      </w:r>
      <w:r w:rsidR="00413C0C" w:rsidRPr="00310F7F">
        <w:rPr>
          <w:rFonts w:eastAsia="SimSun"/>
          <w:snapToGrid w:val="0"/>
          <w:lang w:val="fr-FR" w:eastAsia="ja-JP"/>
        </w:rPr>
        <w:t>un projet du document UPOV/INF/22 “Logiciels et équipements utilisés par les membres de l</w:t>
      </w:r>
      <w:r w:rsidR="00FD21CB" w:rsidRPr="00310F7F">
        <w:rPr>
          <w:rFonts w:eastAsia="SimSun"/>
          <w:snapToGrid w:val="0"/>
          <w:lang w:val="fr-FR" w:eastAsia="ja-JP"/>
        </w:rPr>
        <w:t>’</w:t>
      </w:r>
      <w:r w:rsidR="00413C0C" w:rsidRPr="00310F7F">
        <w:rPr>
          <w:rFonts w:eastAsia="SimSun"/>
          <w:snapToGrid w:val="0"/>
          <w:lang w:val="fr-FR" w:eastAsia="ja-JP"/>
        </w:rPr>
        <w:t>Union” soit soumis au Conseil pour adoption à sa quarante</w:t>
      </w:r>
      <w:r w:rsidR="00FF3774" w:rsidRPr="00310F7F">
        <w:rPr>
          <w:rFonts w:eastAsia="SimSun"/>
          <w:snapToGrid w:val="0"/>
          <w:lang w:val="fr-FR" w:eastAsia="ja-JP"/>
        </w:rPr>
        <w:noBreakHyphen/>
      </w:r>
      <w:r w:rsidR="00413C0C" w:rsidRPr="00310F7F">
        <w:rPr>
          <w:rFonts w:eastAsia="SimSun"/>
          <w:snapToGrid w:val="0"/>
          <w:lang w:val="fr-FR" w:eastAsia="ja-JP"/>
        </w:rPr>
        <w:t>neuvième session ordinaire, qui se tiendra le 29 octobre 2015</w:t>
      </w:r>
      <w:r w:rsidR="00411733" w:rsidRPr="00310F7F">
        <w:rPr>
          <w:rFonts w:eastAsia="SimSun"/>
          <w:snapToGrid w:val="0"/>
          <w:lang w:val="fr-FR" w:eastAsia="ja-JP"/>
        </w:rPr>
        <w:t xml:space="preserve"> </w:t>
      </w:r>
      <w:r w:rsidR="00411733" w:rsidRPr="00310F7F">
        <w:rPr>
          <w:kern w:val="28"/>
          <w:lang w:val="fr-FR"/>
        </w:rPr>
        <w:t>(</w:t>
      </w:r>
      <w:r w:rsidR="00413C0C" w:rsidRPr="00310F7F">
        <w:rPr>
          <w:kern w:val="28"/>
          <w:lang w:val="fr-FR"/>
        </w:rPr>
        <w:t>voir le paragraphe 62 du</w:t>
      </w:r>
      <w:r w:rsidR="00411733" w:rsidRPr="00310F7F">
        <w:rPr>
          <w:kern w:val="28"/>
          <w:lang w:val="fr-FR"/>
        </w:rPr>
        <w:t xml:space="preserve"> document CAJ/71/10 “</w:t>
      </w:r>
      <w:r w:rsidR="00413C0C" w:rsidRPr="00310F7F">
        <w:rPr>
          <w:kern w:val="28"/>
          <w:lang w:val="fr-FR"/>
        </w:rPr>
        <w:t>Compte rendu des c</w:t>
      </w:r>
      <w:r w:rsidR="00411733" w:rsidRPr="00310F7F">
        <w:rPr>
          <w:kern w:val="28"/>
          <w:lang w:val="fr-FR"/>
        </w:rPr>
        <w:t>onclusions”)</w:t>
      </w:r>
      <w:r w:rsidRPr="00310F7F">
        <w:rPr>
          <w:rFonts w:eastAsia="SimSun"/>
          <w:snapToGrid w:val="0"/>
          <w:lang w:val="fr-FR" w:eastAsia="ja-JP"/>
        </w:rPr>
        <w:t>.</w:t>
      </w:r>
    </w:p>
    <w:p w:rsidR="00C86975" w:rsidRPr="00310F7F" w:rsidRDefault="00C86975" w:rsidP="00BA5523">
      <w:pPr>
        <w:rPr>
          <w:kern w:val="28"/>
          <w:highlight w:val="yellow"/>
          <w:lang w:val="fr-FR"/>
        </w:rPr>
      </w:pPr>
    </w:p>
    <w:p w:rsidR="002C24EA" w:rsidRPr="00310F7F" w:rsidRDefault="00413C0C" w:rsidP="00BA5523">
      <w:pPr>
        <w:pStyle w:val="Heading3"/>
        <w:rPr>
          <w:snapToGrid w:val="0"/>
          <w:lang w:val="fr-FR"/>
        </w:rPr>
      </w:pPr>
      <w:bookmarkStart w:id="12" w:name="_Toc431558827"/>
      <w:r w:rsidRPr="00310F7F">
        <w:rPr>
          <w:snapToGrid w:val="0"/>
          <w:lang w:val="fr-FR"/>
        </w:rPr>
        <w:t>D</w:t>
      </w:r>
      <w:r w:rsidR="002C24EA" w:rsidRPr="00310F7F">
        <w:rPr>
          <w:snapToGrid w:val="0"/>
          <w:lang w:val="fr-FR"/>
        </w:rPr>
        <w:t>ocuments</w:t>
      </w:r>
      <w:r w:rsidRPr="00310F7F">
        <w:rPr>
          <w:snapToGrid w:val="0"/>
          <w:lang w:val="fr-FR"/>
        </w:rPr>
        <w:t xml:space="preserve"> TGP</w:t>
      </w:r>
      <w:bookmarkEnd w:id="12"/>
    </w:p>
    <w:p w:rsidR="002C24EA" w:rsidRPr="00310F7F" w:rsidRDefault="002C24EA" w:rsidP="00BA5523">
      <w:pPr>
        <w:keepNext/>
        <w:rPr>
          <w:rFonts w:eastAsia="SimSun"/>
          <w:snapToGrid w:val="0"/>
          <w:lang w:val="fr-FR" w:eastAsia="ja-JP"/>
        </w:rPr>
      </w:pPr>
    </w:p>
    <w:p w:rsidR="00FD21CB" w:rsidRPr="00310F7F" w:rsidRDefault="002C24EA"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4C7C14" w:rsidRPr="00310F7F">
        <w:rPr>
          <w:lang w:val="fr-FR"/>
        </w:rPr>
        <w:t>Le CAJ a approuvé la révision du document TGP/9 approuvée antérieurement par le</w:t>
      </w:r>
      <w:r w:rsidR="00FD21CB" w:rsidRPr="00310F7F">
        <w:rPr>
          <w:lang w:val="fr-FR"/>
        </w:rPr>
        <w:t> TC</w:t>
      </w:r>
      <w:r w:rsidRPr="00310F7F">
        <w:rPr>
          <w:lang w:val="fr-FR"/>
        </w:rPr>
        <w:t xml:space="preserve"> </w:t>
      </w:r>
      <w:r w:rsidRPr="00310F7F">
        <w:rPr>
          <w:kern w:val="28"/>
          <w:lang w:val="fr-FR"/>
        </w:rPr>
        <w:t>(</w:t>
      </w:r>
      <w:r w:rsidR="000531BE" w:rsidRPr="00310F7F">
        <w:rPr>
          <w:kern w:val="28"/>
          <w:lang w:val="fr-FR"/>
        </w:rPr>
        <w:t>voir le paragraphe 64 du</w:t>
      </w:r>
      <w:r w:rsidRPr="00310F7F">
        <w:rPr>
          <w:kern w:val="28"/>
          <w:lang w:val="fr-FR"/>
        </w:rPr>
        <w:t xml:space="preserve"> document CAJ/71/10 “</w:t>
      </w:r>
      <w:r w:rsidR="000531BE" w:rsidRPr="00310F7F">
        <w:rPr>
          <w:kern w:val="28"/>
          <w:lang w:val="fr-FR"/>
        </w:rPr>
        <w:t>Compte rendu des c</w:t>
      </w:r>
      <w:r w:rsidRPr="00310F7F">
        <w:rPr>
          <w:kern w:val="28"/>
          <w:lang w:val="fr-FR"/>
        </w:rPr>
        <w:t>onclusions”)</w:t>
      </w:r>
      <w:r w:rsidRPr="00310F7F">
        <w:rPr>
          <w:lang w:val="fr-FR"/>
        </w:rPr>
        <w:t>.</w:t>
      </w:r>
    </w:p>
    <w:p w:rsidR="002C24EA" w:rsidRPr="00310F7F" w:rsidRDefault="002C24EA" w:rsidP="00BA5523">
      <w:pPr>
        <w:rPr>
          <w:lang w:val="fr-FR"/>
        </w:rPr>
      </w:pPr>
    </w:p>
    <w:p w:rsidR="00FD21CB" w:rsidRPr="00310F7F" w:rsidRDefault="002C24EA"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0531BE" w:rsidRPr="00310F7F">
        <w:rPr>
          <w:lang w:val="fr-FR"/>
        </w:rPr>
        <w:t xml:space="preserve">Le CAJ a approuvé les propositions de révision du diagramme de la section 1.6 “Élaboration du contenu des documents TGP sur la distinction” du document TGP/9, pour adoption en 2015 </w:t>
      </w:r>
      <w:r w:rsidRPr="00310F7F">
        <w:rPr>
          <w:kern w:val="28"/>
          <w:lang w:val="fr-FR"/>
        </w:rPr>
        <w:t>(</w:t>
      </w:r>
      <w:r w:rsidR="000531BE" w:rsidRPr="00310F7F">
        <w:rPr>
          <w:kern w:val="28"/>
          <w:lang w:val="fr-FR"/>
        </w:rPr>
        <w:t>voir le paragraphe 65 du</w:t>
      </w:r>
      <w:r w:rsidRPr="00310F7F">
        <w:rPr>
          <w:kern w:val="28"/>
          <w:lang w:val="fr-FR"/>
        </w:rPr>
        <w:t xml:space="preserve"> document CAJ/71/10 “</w:t>
      </w:r>
      <w:r w:rsidR="000531BE" w:rsidRPr="00310F7F">
        <w:rPr>
          <w:kern w:val="28"/>
          <w:lang w:val="fr-FR"/>
        </w:rPr>
        <w:t>Compte rendu des c</w:t>
      </w:r>
      <w:r w:rsidRPr="00310F7F">
        <w:rPr>
          <w:kern w:val="28"/>
          <w:lang w:val="fr-FR"/>
        </w:rPr>
        <w:t>onclusions”)</w:t>
      </w:r>
      <w:r w:rsidRPr="00310F7F">
        <w:rPr>
          <w:lang w:val="fr-FR"/>
        </w:rPr>
        <w:t>.</w:t>
      </w:r>
    </w:p>
    <w:p w:rsidR="002C24EA" w:rsidRPr="00310F7F" w:rsidRDefault="002C24EA" w:rsidP="00BA5523">
      <w:pPr>
        <w:rPr>
          <w:lang w:val="fr-FR"/>
        </w:rPr>
      </w:pPr>
    </w:p>
    <w:p w:rsidR="002C24EA" w:rsidRPr="00310F7F" w:rsidRDefault="002C24EA"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0531BE" w:rsidRPr="00310F7F">
        <w:rPr>
          <w:lang w:val="fr-FR"/>
        </w:rPr>
        <w:t>Le CAJ a accepté les propositions de conseils concernant les photographies, pour inclusion dans la section 2.5 “Photographies” du document TGP/9</w:t>
      </w:r>
      <w:r w:rsidRPr="00310F7F">
        <w:rPr>
          <w:lang w:val="fr-FR"/>
        </w:rPr>
        <w:t xml:space="preserve"> </w:t>
      </w:r>
      <w:r w:rsidRPr="00310F7F">
        <w:rPr>
          <w:kern w:val="28"/>
          <w:lang w:val="fr-FR"/>
        </w:rPr>
        <w:t>(</w:t>
      </w:r>
      <w:r w:rsidR="000531BE" w:rsidRPr="00310F7F">
        <w:rPr>
          <w:kern w:val="28"/>
          <w:lang w:val="fr-FR"/>
        </w:rPr>
        <w:t>voir le paragraphe 66 du</w:t>
      </w:r>
      <w:r w:rsidRPr="00310F7F">
        <w:rPr>
          <w:kern w:val="28"/>
          <w:lang w:val="fr-FR"/>
        </w:rPr>
        <w:t xml:space="preserve"> document CAJ/71/10 “</w:t>
      </w:r>
      <w:r w:rsidR="000531BE" w:rsidRPr="00310F7F">
        <w:rPr>
          <w:kern w:val="28"/>
          <w:lang w:val="fr-FR"/>
        </w:rPr>
        <w:t>Compte rendu des c</w:t>
      </w:r>
      <w:r w:rsidRPr="00310F7F">
        <w:rPr>
          <w:kern w:val="28"/>
          <w:lang w:val="fr-FR"/>
        </w:rPr>
        <w:t>onclusions”)</w:t>
      </w:r>
      <w:r w:rsidR="004979B5" w:rsidRPr="00310F7F">
        <w:rPr>
          <w:lang w:val="fr-FR"/>
        </w:rPr>
        <w:t>.</w:t>
      </w:r>
    </w:p>
    <w:p w:rsidR="002C24EA" w:rsidRPr="00310F7F" w:rsidRDefault="002C24EA" w:rsidP="00BA5523">
      <w:pPr>
        <w:rPr>
          <w:lang w:val="fr-FR"/>
        </w:rPr>
      </w:pPr>
    </w:p>
    <w:p w:rsidR="002C24EA" w:rsidRPr="00310F7F" w:rsidRDefault="002C24EA"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0531BE" w:rsidRPr="00310F7F">
        <w:rPr>
          <w:lang w:val="fr-FR"/>
        </w:rPr>
        <w:t>Le CAJ a noté que des modifications rédactionnelles devaient être apportées au projet de texte en allemand et a rappelé que les experts linguistiques du Comité de rédaction seraient invités à vérifier les traductions française, allemande et espagnole de tous les documents techniques avant leur établissement pour adoption par le Conseil</w:t>
      </w:r>
      <w:r w:rsidRPr="00310F7F">
        <w:rPr>
          <w:lang w:val="fr-FR"/>
        </w:rPr>
        <w:t xml:space="preserve"> </w:t>
      </w:r>
      <w:r w:rsidRPr="00310F7F">
        <w:rPr>
          <w:kern w:val="28"/>
          <w:lang w:val="fr-FR"/>
        </w:rPr>
        <w:t>(</w:t>
      </w:r>
      <w:r w:rsidR="000531BE" w:rsidRPr="00310F7F">
        <w:rPr>
          <w:kern w:val="28"/>
          <w:lang w:val="fr-FR"/>
        </w:rPr>
        <w:t>voir le paragraphe 67 du</w:t>
      </w:r>
      <w:r w:rsidRPr="00310F7F">
        <w:rPr>
          <w:kern w:val="28"/>
          <w:lang w:val="fr-FR"/>
        </w:rPr>
        <w:t xml:space="preserve"> document CAJ/71/10 “</w:t>
      </w:r>
      <w:r w:rsidR="000531BE" w:rsidRPr="00310F7F">
        <w:rPr>
          <w:kern w:val="28"/>
          <w:lang w:val="fr-FR"/>
        </w:rPr>
        <w:t>Compte rendu des c</w:t>
      </w:r>
      <w:r w:rsidRPr="00310F7F">
        <w:rPr>
          <w:kern w:val="28"/>
          <w:lang w:val="fr-FR"/>
        </w:rPr>
        <w:t>onclusions”)</w:t>
      </w:r>
      <w:r w:rsidRPr="00310F7F">
        <w:rPr>
          <w:lang w:val="fr-FR"/>
        </w:rPr>
        <w:t>.</w:t>
      </w:r>
    </w:p>
    <w:p w:rsidR="002C24EA" w:rsidRPr="00310F7F" w:rsidRDefault="002C24EA" w:rsidP="00BA5523">
      <w:pPr>
        <w:rPr>
          <w:lang w:val="fr-FR"/>
        </w:rPr>
      </w:pPr>
    </w:p>
    <w:p w:rsidR="002C24EA" w:rsidRPr="00310F7F" w:rsidRDefault="002C24EA"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0531BE" w:rsidRPr="00310F7F">
        <w:rPr>
          <w:lang w:val="fr-FR"/>
        </w:rPr>
        <w:t>Le CAJ a approuvé la proposition d</w:t>
      </w:r>
      <w:r w:rsidR="00FD21CB" w:rsidRPr="00310F7F">
        <w:rPr>
          <w:lang w:val="fr-FR"/>
        </w:rPr>
        <w:t>’</w:t>
      </w:r>
      <w:r w:rsidR="000531BE" w:rsidRPr="00310F7F">
        <w:rPr>
          <w:lang w:val="fr-FR"/>
        </w:rPr>
        <w:t>exemple de notation globale pour un groupe de plantes (MG) effectuée sur des parties de plantes, pour inclusion dans les sections 4.3.2 “Notation globale pour un groupe de plantes ou parties de plantes (G)” et 4.3.4 “Résumé analytique” du document TGP/9</w:t>
      </w:r>
      <w:r w:rsidRPr="00310F7F">
        <w:rPr>
          <w:lang w:val="fr-FR"/>
        </w:rPr>
        <w:t xml:space="preserve"> </w:t>
      </w:r>
      <w:r w:rsidR="00CF25AC" w:rsidRPr="00310F7F">
        <w:rPr>
          <w:kern w:val="28"/>
          <w:lang w:val="fr-FR"/>
        </w:rPr>
        <w:t>(</w:t>
      </w:r>
      <w:r w:rsidR="000531BE" w:rsidRPr="00310F7F">
        <w:rPr>
          <w:kern w:val="28"/>
          <w:lang w:val="fr-FR"/>
        </w:rPr>
        <w:t>voir le paragraphe 68 du</w:t>
      </w:r>
      <w:r w:rsidR="00CF25AC" w:rsidRPr="00310F7F">
        <w:rPr>
          <w:kern w:val="28"/>
          <w:lang w:val="fr-FR"/>
        </w:rPr>
        <w:t xml:space="preserve"> document CAJ/71/10 “</w:t>
      </w:r>
      <w:r w:rsidR="001F71EF" w:rsidRPr="00310F7F">
        <w:rPr>
          <w:kern w:val="28"/>
          <w:lang w:val="fr-FR"/>
        </w:rPr>
        <w:t>C</w:t>
      </w:r>
      <w:r w:rsidR="000531BE" w:rsidRPr="00310F7F">
        <w:rPr>
          <w:kern w:val="28"/>
          <w:lang w:val="fr-FR"/>
        </w:rPr>
        <w:t>ompte rendu des c</w:t>
      </w:r>
      <w:r w:rsidR="00CF25AC" w:rsidRPr="00310F7F">
        <w:rPr>
          <w:kern w:val="28"/>
          <w:lang w:val="fr-FR"/>
        </w:rPr>
        <w:t>onclusions”)</w:t>
      </w:r>
      <w:r w:rsidR="004979B5" w:rsidRPr="00310F7F">
        <w:rPr>
          <w:lang w:val="fr-FR"/>
        </w:rPr>
        <w:t>.</w:t>
      </w:r>
    </w:p>
    <w:p w:rsidR="002C24EA" w:rsidRPr="00310F7F" w:rsidRDefault="002C24EA" w:rsidP="00BA5523">
      <w:pPr>
        <w:rPr>
          <w:lang w:val="fr-FR"/>
        </w:rPr>
      </w:pPr>
    </w:p>
    <w:p w:rsidR="002C24EA" w:rsidRPr="00310F7F" w:rsidRDefault="002C24EA"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E54789" w:rsidRPr="00310F7F">
        <w:rPr>
          <w:lang w:val="fr-FR"/>
        </w:rPr>
        <w:t>Le CAJ est convenu d</w:t>
      </w:r>
      <w:r w:rsidR="00FD21CB" w:rsidRPr="00310F7F">
        <w:rPr>
          <w:lang w:val="fr-FR"/>
        </w:rPr>
        <w:t>’</w:t>
      </w:r>
      <w:r w:rsidR="00E54789" w:rsidRPr="00310F7F">
        <w:rPr>
          <w:lang w:val="fr-FR"/>
        </w:rPr>
        <w:t>inclure une illustration dans la section 4.3.4</w:t>
      </w:r>
      <w:r w:rsidR="006F1CB9">
        <w:rPr>
          <w:lang w:val="fr-FR"/>
        </w:rPr>
        <w:t xml:space="preserve"> </w:t>
      </w:r>
      <w:r w:rsidR="006F1CB9" w:rsidRPr="00310F7F">
        <w:rPr>
          <w:lang w:val="fr-FR"/>
        </w:rPr>
        <w:t>du document TGP/9</w:t>
      </w:r>
      <w:r w:rsidR="00E54789" w:rsidRPr="00310F7F">
        <w:rPr>
          <w:lang w:val="fr-FR"/>
        </w:rPr>
        <w:t xml:space="preserve"> </w:t>
      </w:r>
      <w:r w:rsidR="00CF25AC" w:rsidRPr="00310F7F">
        <w:rPr>
          <w:kern w:val="28"/>
          <w:lang w:val="fr-FR"/>
        </w:rPr>
        <w:t>(</w:t>
      </w:r>
      <w:r w:rsidR="00E54789" w:rsidRPr="00310F7F">
        <w:rPr>
          <w:kern w:val="28"/>
          <w:lang w:val="fr-FR"/>
        </w:rPr>
        <w:t>voir le paragraphe 69 du</w:t>
      </w:r>
      <w:r w:rsidR="00CF25AC" w:rsidRPr="00310F7F">
        <w:rPr>
          <w:kern w:val="28"/>
          <w:lang w:val="fr-FR"/>
        </w:rPr>
        <w:t xml:space="preserve"> document CAJ/71/10 “</w:t>
      </w:r>
      <w:r w:rsidR="00E54789" w:rsidRPr="00310F7F">
        <w:rPr>
          <w:kern w:val="28"/>
          <w:lang w:val="fr-FR"/>
        </w:rPr>
        <w:t>Compte rendu des c</w:t>
      </w:r>
      <w:r w:rsidR="00CF25AC" w:rsidRPr="00310F7F">
        <w:rPr>
          <w:kern w:val="28"/>
          <w:lang w:val="fr-FR"/>
        </w:rPr>
        <w:t>onclusions”)</w:t>
      </w:r>
      <w:r w:rsidR="00E54789" w:rsidRPr="00310F7F">
        <w:rPr>
          <w:kern w:val="28"/>
          <w:lang w:val="fr-FR"/>
        </w:rPr>
        <w:t>.</w:t>
      </w:r>
    </w:p>
    <w:p w:rsidR="003D2117" w:rsidRPr="00310F7F" w:rsidRDefault="003D2117" w:rsidP="00BA5523">
      <w:pPr>
        <w:rPr>
          <w:lang w:val="fr-FR"/>
        </w:rPr>
      </w:pPr>
    </w:p>
    <w:p w:rsidR="002C24EA" w:rsidRPr="00310F7F" w:rsidRDefault="002C24EA" w:rsidP="00BA5523">
      <w:pPr>
        <w:keepNext/>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D27F3D" w:rsidRPr="00310F7F">
        <w:rPr>
          <w:lang w:val="fr-FR"/>
        </w:rPr>
        <w:t xml:space="preserve">Le CAJ a approuvé la révision de la section 2.4 du document TGP/14 </w:t>
      </w:r>
      <w:r w:rsidR="004979B5" w:rsidRPr="00310F7F">
        <w:rPr>
          <w:lang w:val="fr-FR"/>
        </w:rPr>
        <w:t>“</w:t>
      </w:r>
      <w:r w:rsidR="00D27F3D" w:rsidRPr="00310F7F">
        <w:rPr>
          <w:lang w:val="fr-FR"/>
        </w:rPr>
        <w:t>Caractères liés à la forme de l</w:t>
      </w:r>
      <w:r w:rsidR="00FD21CB" w:rsidRPr="00310F7F">
        <w:rPr>
          <w:lang w:val="fr-FR"/>
        </w:rPr>
        <w:t>’</w:t>
      </w:r>
      <w:r w:rsidR="00D27F3D" w:rsidRPr="00310F7F">
        <w:rPr>
          <w:lang w:val="fr-FR"/>
        </w:rPr>
        <w:t>apex ou de l</w:t>
      </w:r>
      <w:r w:rsidR="00FD21CB" w:rsidRPr="00310F7F">
        <w:rPr>
          <w:lang w:val="fr-FR"/>
        </w:rPr>
        <w:t>’</w:t>
      </w:r>
      <w:r w:rsidR="00D27F3D" w:rsidRPr="00310F7F">
        <w:rPr>
          <w:lang w:val="fr-FR"/>
        </w:rPr>
        <w:t>extrémité</w:t>
      </w:r>
      <w:r w:rsidR="004979B5" w:rsidRPr="00310F7F">
        <w:rPr>
          <w:lang w:val="fr-FR"/>
        </w:rPr>
        <w:t>”</w:t>
      </w:r>
      <w:r w:rsidRPr="00310F7F">
        <w:rPr>
          <w:lang w:val="fr-FR"/>
        </w:rPr>
        <w:t xml:space="preserve"> </w:t>
      </w:r>
      <w:r w:rsidR="00CF25AC" w:rsidRPr="00310F7F">
        <w:rPr>
          <w:kern w:val="28"/>
          <w:lang w:val="fr-FR"/>
        </w:rPr>
        <w:t>(</w:t>
      </w:r>
      <w:r w:rsidR="00D27F3D" w:rsidRPr="00310F7F">
        <w:rPr>
          <w:kern w:val="28"/>
          <w:lang w:val="fr-FR"/>
        </w:rPr>
        <w:t>voir le paragraphe 70 du</w:t>
      </w:r>
      <w:r w:rsidR="00CF25AC" w:rsidRPr="00310F7F">
        <w:rPr>
          <w:kern w:val="28"/>
          <w:lang w:val="fr-FR"/>
        </w:rPr>
        <w:t xml:space="preserve"> document CAJ/71/10 “</w:t>
      </w:r>
      <w:r w:rsidR="00D27F3D" w:rsidRPr="00310F7F">
        <w:rPr>
          <w:kern w:val="28"/>
          <w:lang w:val="fr-FR"/>
        </w:rPr>
        <w:t>Compte rendu des c</w:t>
      </w:r>
      <w:r w:rsidR="00CF25AC" w:rsidRPr="00310F7F">
        <w:rPr>
          <w:kern w:val="28"/>
          <w:lang w:val="fr-FR"/>
        </w:rPr>
        <w:t>onclusions”)</w:t>
      </w:r>
      <w:r w:rsidR="00D27F3D" w:rsidRPr="00310F7F">
        <w:rPr>
          <w:kern w:val="28"/>
          <w:lang w:val="fr-FR"/>
        </w:rPr>
        <w:t>.</w:t>
      </w:r>
    </w:p>
    <w:p w:rsidR="002C24EA" w:rsidRPr="00310F7F" w:rsidRDefault="002C24EA" w:rsidP="00BA5523">
      <w:pPr>
        <w:rPr>
          <w:lang w:val="fr-FR"/>
        </w:rPr>
      </w:pPr>
    </w:p>
    <w:p w:rsidR="002C24EA" w:rsidRPr="00310F7F" w:rsidRDefault="002C24EA"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D27F3D" w:rsidRPr="00310F7F">
        <w:rPr>
          <w:lang w:val="fr-FR"/>
        </w:rPr>
        <w:t>Le CAJ a noté que des modifications rédactionnelles devaient être apportées au projet de texte en allemand et a rappelé que les experts linguistiques du Comité de rédaction seraient invités à vérifier les traductions française, allemande et espagnole de tous les documents techniques avant leur établissement pour adoption par le Conseil</w:t>
      </w:r>
      <w:r w:rsidRPr="00310F7F">
        <w:rPr>
          <w:lang w:val="fr-FR"/>
        </w:rPr>
        <w:t xml:space="preserve"> </w:t>
      </w:r>
      <w:r w:rsidR="00CF25AC" w:rsidRPr="00310F7F">
        <w:rPr>
          <w:kern w:val="28"/>
          <w:lang w:val="fr-FR"/>
        </w:rPr>
        <w:t>(</w:t>
      </w:r>
      <w:r w:rsidR="00D27F3D" w:rsidRPr="00310F7F">
        <w:rPr>
          <w:kern w:val="28"/>
          <w:lang w:val="fr-FR"/>
        </w:rPr>
        <w:t xml:space="preserve">voir le paragraphe 71 du </w:t>
      </w:r>
      <w:r w:rsidR="00CF25AC" w:rsidRPr="00310F7F">
        <w:rPr>
          <w:kern w:val="28"/>
          <w:lang w:val="fr-FR"/>
        </w:rPr>
        <w:t>document CAJ/71/10 “</w:t>
      </w:r>
      <w:r w:rsidR="00D27F3D" w:rsidRPr="00310F7F">
        <w:rPr>
          <w:kern w:val="28"/>
          <w:lang w:val="fr-FR"/>
        </w:rPr>
        <w:t>Compte rendu des c</w:t>
      </w:r>
      <w:r w:rsidR="00CF25AC" w:rsidRPr="00310F7F">
        <w:rPr>
          <w:kern w:val="28"/>
          <w:lang w:val="fr-FR"/>
        </w:rPr>
        <w:t>onclusions”)</w:t>
      </w:r>
      <w:r w:rsidRPr="00310F7F">
        <w:rPr>
          <w:lang w:val="fr-FR"/>
        </w:rPr>
        <w:t>.</w:t>
      </w:r>
    </w:p>
    <w:p w:rsidR="002C24EA" w:rsidRPr="00310F7F" w:rsidRDefault="002C24EA" w:rsidP="00BA5523">
      <w:pPr>
        <w:rPr>
          <w:lang w:val="fr-FR"/>
        </w:rPr>
      </w:pPr>
    </w:p>
    <w:p w:rsidR="00FD21CB" w:rsidRPr="00310F7F" w:rsidRDefault="002C24EA"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D27F3D" w:rsidRPr="00310F7F">
        <w:rPr>
          <w:lang w:val="fr-FR"/>
        </w:rPr>
        <w:t>Le CAJ a pris note de la correction apportée à la traduction française du terme anglais désignant le groupe de couleur “</w:t>
      </w:r>
      <w:proofErr w:type="spellStart"/>
      <w:r w:rsidR="00D27F3D" w:rsidRPr="00310F7F">
        <w:rPr>
          <w:lang w:val="fr-FR"/>
        </w:rPr>
        <w:t>dark</w:t>
      </w:r>
      <w:proofErr w:type="spellEnd"/>
      <w:r w:rsidR="00D27F3D" w:rsidRPr="00310F7F">
        <w:rPr>
          <w:lang w:val="fr-FR"/>
        </w:rPr>
        <w:t xml:space="preserve"> </w:t>
      </w:r>
      <w:proofErr w:type="spellStart"/>
      <w:r w:rsidR="00D27F3D" w:rsidRPr="00310F7F">
        <w:rPr>
          <w:lang w:val="fr-FR"/>
        </w:rPr>
        <w:t>purple</w:t>
      </w:r>
      <w:proofErr w:type="spellEnd"/>
      <w:r w:rsidR="00D27F3D" w:rsidRPr="00310F7F">
        <w:rPr>
          <w:lang w:val="fr-FR"/>
        </w:rPr>
        <w:t xml:space="preserve"> </w:t>
      </w:r>
      <w:proofErr w:type="spellStart"/>
      <w:r w:rsidR="00D27F3D" w:rsidRPr="00310F7F">
        <w:rPr>
          <w:lang w:val="fr-FR"/>
        </w:rPr>
        <w:t>red</w:t>
      </w:r>
      <w:proofErr w:type="spellEnd"/>
      <w:r w:rsidR="00D27F3D" w:rsidRPr="00310F7F">
        <w:rPr>
          <w:lang w:val="fr-FR"/>
        </w:rPr>
        <w:t>” qui devient “rouge pourpre foncé” dans la sous</w:t>
      </w:r>
      <w:r w:rsidR="00FF3774" w:rsidRPr="00310F7F">
        <w:rPr>
          <w:lang w:val="fr-FR"/>
        </w:rPr>
        <w:noBreakHyphen/>
      </w:r>
      <w:r w:rsidR="00D27F3D" w:rsidRPr="00310F7F">
        <w:rPr>
          <w:lang w:val="fr-FR"/>
        </w:rPr>
        <w:t>section 3 “Couleur” du document TGP/14</w:t>
      </w:r>
      <w:r w:rsidR="00CF25AC" w:rsidRPr="00310F7F">
        <w:rPr>
          <w:lang w:val="fr-FR"/>
        </w:rPr>
        <w:t xml:space="preserve"> </w:t>
      </w:r>
      <w:r w:rsidR="00CF25AC" w:rsidRPr="00310F7F">
        <w:rPr>
          <w:kern w:val="28"/>
          <w:lang w:val="fr-FR"/>
        </w:rPr>
        <w:t>(</w:t>
      </w:r>
      <w:r w:rsidR="00D27F3D" w:rsidRPr="00310F7F">
        <w:rPr>
          <w:kern w:val="28"/>
          <w:lang w:val="fr-FR"/>
        </w:rPr>
        <w:t>voir le paragraphe 72 du</w:t>
      </w:r>
      <w:r w:rsidR="00CF25AC" w:rsidRPr="00310F7F">
        <w:rPr>
          <w:kern w:val="28"/>
          <w:lang w:val="fr-FR"/>
        </w:rPr>
        <w:t xml:space="preserve"> document CAJ/71/10 “</w:t>
      </w:r>
      <w:r w:rsidR="00D27F3D" w:rsidRPr="00310F7F">
        <w:rPr>
          <w:kern w:val="28"/>
          <w:lang w:val="fr-FR"/>
        </w:rPr>
        <w:t>Compte rendu des c</w:t>
      </w:r>
      <w:r w:rsidR="00CF25AC" w:rsidRPr="00310F7F">
        <w:rPr>
          <w:kern w:val="28"/>
          <w:lang w:val="fr-FR"/>
        </w:rPr>
        <w:t>onclusions”)</w:t>
      </w:r>
      <w:r w:rsidRPr="00310F7F">
        <w:rPr>
          <w:lang w:val="fr-FR"/>
        </w:rPr>
        <w:t>.</w:t>
      </w:r>
    </w:p>
    <w:p w:rsidR="002C24EA" w:rsidRPr="00310F7F" w:rsidRDefault="002C24EA" w:rsidP="00BA5523">
      <w:pPr>
        <w:rPr>
          <w:lang w:val="fr-FR"/>
        </w:rPr>
      </w:pPr>
    </w:p>
    <w:p w:rsidR="002C24EA" w:rsidRPr="00310F7F" w:rsidRDefault="002C24EA"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D27F3D" w:rsidRPr="00310F7F">
        <w:rPr>
          <w:lang w:val="fr-FR"/>
        </w:rPr>
        <w:t>Le CAJ est convenu que la section 3 du document TGP/5 devrait être libellée comme suit</w:t>
      </w:r>
      <w:r w:rsidR="00CF25AC" w:rsidRPr="00310F7F">
        <w:rPr>
          <w:lang w:val="fr-FR"/>
        </w:rPr>
        <w:t xml:space="preserve"> </w:t>
      </w:r>
      <w:r w:rsidR="00CF25AC" w:rsidRPr="00310F7F">
        <w:rPr>
          <w:kern w:val="28"/>
          <w:lang w:val="fr-FR"/>
        </w:rPr>
        <w:t>(</w:t>
      </w:r>
      <w:r w:rsidR="00D27F3D" w:rsidRPr="00310F7F">
        <w:rPr>
          <w:kern w:val="28"/>
          <w:lang w:val="fr-FR"/>
        </w:rPr>
        <w:t>voir le paragraphe 74 du</w:t>
      </w:r>
      <w:r w:rsidR="00CF25AC" w:rsidRPr="00310F7F">
        <w:rPr>
          <w:kern w:val="28"/>
          <w:lang w:val="fr-FR"/>
        </w:rPr>
        <w:t xml:space="preserve"> document CAJ/71/10 “</w:t>
      </w:r>
      <w:r w:rsidR="00D27F3D" w:rsidRPr="00310F7F">
        <w:rPr>
          <w:kern w:val="28"/>
          <w:lang w:val="fr-FR"/>
        </w:rPr>
        <w:t>Compte rendu des c</w:t>
      </w:r>
      <w:r w:rsidR="00CF25AC" w:rsidRPr="00310F7F">
        <w:rPr>
          <w:kern w:val="28"/>
          <w:lang w:val="fr-FR"/>
        </w:rPr>
        <w:t>onclusions”)</w:t>
      </w:r>
      <w:r w:rsidR="00D27F3D" w:rsidRPr="00310F7F">
        <w:rPr>
          <w:kern w:val="28"/>
          <w:lang w:val="fr-FR"/>
        </w:rPr>
        <w:t> </w:t>
      </w:r>
      <w:r w:rsidRPr="00310F7F">
        <w:rPr>
          <w:kern w:val="28"/>
          <w:lang w:val="fr-FR"/>
        </w:rPr>
        <w:t>:</w:t>
      </w:r>
    </w:p>
    <w:p w:rsidR="002C24EA" w:rsidRPr="00310F7F" w:rsidRDefault="002C24EA" w:rsidP="00BA5523">
      <w:pPr>
        <w:rPr>
          <w:lang w:val="fr-FR"/>
        </w:rPr>
      </w:pPr>
    </w:p>
    <w:p w:rsidR="002C24EA" w:rsidRPr="00310F7F" w:rsidRDefault="002C24EA" w:rsidP="00BA5523">
      <w:pPr>
        <w:ind w:left="567" w:right="567" w:firstLine="567"/>
        <w:rPr>
          <w:sz w:val="18"/>
          <w:lang w:val="fr-FR"/>
        </w:rPr>
      </w:pPr>
      <w:r w:rsidRPr="00310F7F">
        <w:rPr>
          <w:sz w:val="18"/>
          <w:lang w:val="fr-FR"/>
        </w:rPr>
        <w:t>“</w:t>
      </w:r>
      <w:r w:rsidR="00AB1E34" w:rsidRPr="00310F7F">
        <w:rPr>
          <w:sz w:val="18"/>
          <w:lang w:val="fr-FR"/>
        </w:rPr>
        <w:t>On trouvera un questionnaire technique type dans le document TGP/7, intitulé “Élaboration des principes directeurs d</w:t>
      </w:r>
      <w:r w:rsidR="00FD21CB" w:rsidRPr="00310F7F">
        <w:rPr>
          <w:sz w:val="18"/>
          <w:lang w:val="fr-FR"/>
        </w:rPr>
        <w:t>’</w:t>
      </w:r>
      <w:r w:rsidR="00AB1E34" w:rsidRPr="00310F7F">
        <w:rPr>
          <w:sz w:val="18"/>
          <w:lang w:val="fr-FR"/>
        </w:rPr>
        <w:t>examen” : annexe 1 : modèle de principes directeurs d</w:t>
      </w:r>
      <w:r w:rsidR="00FD21CB" w:rsidRPr="00310F7F">
        <w:rPr>
          <w:sz w:val="18"/>
          <w:lang w:val="fr-FR"/>
        </w:rPr>
        <w:t>’</w:t>
      </w:r>
      <w:r w:rsidR="00AB1E34" w:rsidRPr="00310F7F">
        <w:rPr>
          <w:sz w:val="18"/>
          <w:lang w:val="fr-FR"/>
        </w:rPr>
        <w:t>examen : chapitre 10.</w:t>
      </w:r>
      <w:r w:rsidRPr="00310F7F">
        <w:rPr>
          <w:sz w:val="18"/>
          <w:lang w:val="fr-FR"/>
        </w:rPr>
        <w:t xml:space="preserve">  </w:t>
      </w:r>
      <w:r w:rsidR="00AB1E34" w:rsidRPr="00310F7F">
        <w:rPr>
          <w:sz w:val="18"/>
          <w:lang w:val="fr-FR"/>
        </w:rPr>
        <w:t>Les principes directeurs d</w:t>
      </w:r>
      <w:r w:rsidR="00FD21CB" w:rsidRPr="00310F7F">
        <w:rPr>
          <w:sz w:val="18"/>
          <w:lang w:val="fr-FR"/>
        </w:rPr>
        <w:t>’</w:t>
      </w:r>
      <w:r w:rsidR="00AB1E34" w:rsidRPr="00310F7F">
        <w:rPr>
          <w:sz w:val="18"/>
          <w:lang w:val="fr-FR"/>
        </w:rPr>
        <w:t>examen de l</w:t>
      </w:r>
      <w:r w:rsidR="00FD21CB" w:rsidRPr="00310F7F">
        <w:rPr>
          <w:sz w:val="18"/>
          <w:lang w:val="fr-FR"/>
        </w:rPr>
        <w:t>’</w:t>
      </w:r>
      <w:r w:rsidRPr="00310F7F">
        <w:rPr>
          <w:sz w:val="18"/>
          <w:lang w:val="fr-FR"/>
        </w:rPr>
        <w:t>UPOV (</w:t>
      </w:r>
      <w:hyperlink r:id="rId9" w:history="1">
        <w:r w:rsidR="00AB1E34" w:rsidRPr="00310F7F">
          <w:rPr>
            <w:rStyle w:val="Hyperlink"/>
            <w:sz w:val="18"/>
            <w:lang w:val="fr-FR"/>
          </w:rPr>
          <w:t>http://www.upov.int/edocs/tgpdocs/fr/tgp_7.pdf</w:t>
        </w:r>
      </w:hyperlink>
      <w:r w:rsidRPr="00310F7F">
        <w:rPr>
          <w:sz w:val="18"/>
          <w:lang w:val="fr-FR"/>
        </w:rPr>
        <w:t>) conti</w:t>
      </w:r>
      <w:r w:rsidR="00AB1E34" w:rsidRPr="00310F7F">
        <w:rPr>
          <w:sz w:val="18"/>
          <w:lang w:val="fr-FR"/>
        </w:rPr>
        <w:t>e</w:t>
      </w:r>
      <w:r w:rsidRPr="00310F7F">
        <w:rPr>
          <w:sz w:val="18"/>
          <w:lang w:val="fr-FR"/>
        </w:rPr>
        <w:t>n</w:t>
      </w:r>
      <w:r w:rsidR="00AB1E34" w:rsidRPr="00310F7F">
        <w:rPr>
          <w:sz w:val="18"/>
          <w:lang w:val="fr-FR"/>
        </w:rPr>
        <w:t>nent</w:t>
      </w:r>
      <w:r w:rsidRPr="00310F7F">
        <w:rPr>
          <w:sz w:val="18"/>
          <w:lang w:val="fr-FR"/>
        </w:rPr>
        <w:t xml:space="preserve">, </w:t>
      </w:r>
      <w:r w:rsidR="00AB1E34" w:rsidRPr="00310F7F">
        <w:rPr>
          <w:sz w:val="18"/>
          <w:lang w:val="fr-FR"/>
        </w:rPr>
        <w:t>au chapitre </w:t>
      </w:r>
      <w:r w:rsidRPr="00310F7F">
        <w:rPr>
          <w:sz w:val="18"/>
          <w:lang w:val="fr-FR"/>
        </w:rPr>
        <w:t xml:space="preserve">10, </w:t>
      </w:r>
      <w:r w:rsidR="00AB1E34" w:rsidRPr="00310F7F">
        <w:rPr>
          <w:sz w:val="18"/>
          <w:lang w:val="fr-FR"/>
        </w:rPr>
        <w:t>un questionnaire technique particulier pour les variétés sur lesquelles ils portent.”</w:t>
      </w:r>
    </w:p>
    <w:p w:rsidR="002C24EA" w:rsidRPr="00310F7F" w:rsidRDefault="002C24EA" w:rsidP="00BA5523">
      <w:pPr>
        <w:rPr>
          <w:lang w:val="fr-FR"/>
        </w:rPr>
      </w:pPr>
    </w:p>
    <w:p w:rsidR="002C24EA" w:rsidRPr="00310F7F" w:rsidRDefault="002C24EA"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b/>
          <w:lang w:val="fr-FR"/>
        </w:rPr>
        <w:tab/>
      </w:r>
      <w:r w:rsidR="002A7BAC" w:rsidRPr="00310F7F">
        <w:rPr>
          <w:lang w:val="fr-FR"/>
        </w:rPr>
        <w:t>Le CAJ est convenu que la section 8 du document TGP/5 devrait être libellée comme suit</w:t>
      </w:r>
      <w:r w:rsidR="00CF25AC" w:rsidRPr="00310F7F">
        <w:rPr>
          <w:lang w:val="fr-FR"/>
        </w:rPr>
        <w:t xml:space="preserve"> </w:t>
      </w:r>
      <w:r w:rsidR="00CF25AC" w:rsidRPr="00310F7F">
        <w:rPr>
          <w:kern w:val="28"/>
          <w:lang w:val="fr-FR"/>
        </w:rPr>
        <w:t>(</w:t>
      </w:r>
      <w:r w:rsidR="002A7BAC" w:rsidRPr="00310F7F">
        <w:rPr>
          <w:kern w:val="28"/>
          <w:lang w:val="fr-FR"/>
        </w:rPr>
        <w:t>voir le paragraphe 75 du</w:t>
      </w:r>
      <w:r w:rsidR="00CF25AC" w:rsidRPr="00310F7F">
        <w:rPr>
          <w:kern w:val="28"/>
          <w:lang w:val="fr-FR"/>
        </w:rPr>
        <w:t xml:space="preserve"> document CAJ/71/10 “</w:t>
      </w:r>
      <w:r w:rsidR="002A7BAC" w:rsidRPr="00310F7F">
        <w:rPr>
          <w:kern w:val="28"/>
          <w:lang w:val="fr-FR"/>
        </w:rPr>
        <w:t>Compte rendu des c</w:t>
      </w:r>
      <w:r w:rsidR="00CF25AC" w:rsidRPr="00310F7F">
        <w:rPr>
          <w:kern w:val="28"/>
          <w:lang w:val="fr-FR"/>
        </w:rPr>
        <w:t>onclusions”)</w:t>
      </w:r>
      <w:r w:rsidR="002A7BAC" w:rsidRPr="00310F7F">
        <w:rPr>
          <w:kern w:val="28"/>
          <w:lang w:val="fr-FR"/>
        </w:rPr>
        <w:t> </w:t>
      </w:r>
      <w:r w:rsidRPr="00310F7F">
        <w:rPr>
          <w:kern w:val="28"/>
          <w:lang w:val="fr-FR"/>
        </w:rPr>
        <w:t>:</w:t>
      </w:r>
    </w:p>
    <w:p w:rsidR="002C24EA" w:rsidRPr="00310F7F" w:rsidRDefault="002C24EA" w:rsidP="00BA5523">
      <w:pPr>
        <w:rPr>
          <w:lang w:val="fr-FR"/>
        </w:rPr>
      </w:pPr>
    </w:p>
    <w:p w:rsidR="002C24EA" w:rsidRPr="00310F7F" w:rsidRDefault="002C24EA" w:rsidP="00BA5523">
      <w:pPr>
        <w:ind w:left="567" w:right="567"/>
        <w:rPr>
          <w:sz w:val="18"/>
          <w:lang w:val="fr-FR"/>
        </w:rPr>
      </w:pPr>
      <w:r w:rsidRPr="00310F7F">
        <w:rPr>
          <w:sz w:val="18"/>
          <w:lang w:val="fr-FR"/>
        </w:rPr>
        <w:tab/>
        <w:t>“</w:t>
      </w:r>
      <w:r w:rsidR="002A7BAC" w:rsidRPr="00310F7F">
        <w:rPr>
          <w:sz w:val="18"/>
          <w:lang w:val="fr-FR"/>
        </w:rPr>
        <w:t>Une synthèse de la coopération en matière d</w:t>
      </w:r>
      <w:r w:rsidR="00FD21CB" w:rsidRPr="00310F7F">
        <w:rPr>
          <w:sz w:val="18"/>
          <w:lang w:val="fr-FR"/>
        </w:rPr>
        <w:t>’</w:t>
      </w:r>
      <w:r w:rsidR="002A7BAC" w:rsidRPr="00310F7F">
        <w:rPr>
          <w:sz w:val="18"/>
          <w:lang w:val="fr-FR"/>
        </w:rPr>
        <w:t>examen entre les différents services est publiée sous couvert d</w:t>
      </w:r>
      <w:r w:rsidR="00FD21CB" w:rsidRPr="00310F7F">
        <w:rPr>
          <w:sz w:val="18"/>
          <w:lang w:val="fr-FR"/>
        </w:rPr>
        <w:t>’</w:t>
      </w:r>
      <w:r w:rsidR="002A7BAC" w:rsidRPr="00310F7F">
        <w:rPr>
          <w:sz w:val="18"/>
          <w:lang w:val="fr-FR"/>
        </w:rPr>
        <w:t>un document du Conseil </w:t>
      </w:r>
      <w:r w:rsidRPr="00310F7F">
        <w:rPr>
          <w:sz w:val="18"/>
          <w:lang w:val="fr-FR"/>
        </w:rPr>
        <w:t>:</w:t>
      </w:r>
    </w:p>
    <w:p w:rsidR="002C24EA" w:rsidRPr="00310F7F" w:rsidRDefault="002C24EA" w:rsidP="00BA5523">
      <w:pPr>
        <w:ind w:left="567" w:right="567"/>
        <w:rPr>
          <w:sz w:val="18"/>
          <w:lang w:val="fr-FR"/>
        </w:rPr>
      </w:pPr>
    </w:p>
    <w:p w:rsidR="002C24EA" w:rsidRPr="00310F7F" w:rsidRDefault="002C24EA" w:rsidP="00BA5523">
      <w:pPr>
        <w:ind w:left="567" w:right="567" w:firstLine="567"/>
        <w:rPr>
          <w:sz w:val="18"/>
          <w:lang w:val="fr-FR"/>
        </w:rPr>
      </w:pPr>
      <w:r w:rsidRPr="00310F7F">
        <w:rPr>
          <w:sz w:val="18"/>
          <w:lang w:val="fr-FR"/>
        </w:rPr>
        <w:t>“C</w:t>
      </w:r>
      <w:proofErr w:type="gramStart"/>
      <w:r w:rsidRPr="00310F7F">
        <w:rPr>
          <w:sz w:val="18"/>
          <w:lang w:val="fr-FR"/>
        </w:rPr>
        <w:t>/[</w:t>
      </w:r>
      <w:proofErr w:type="gramEnd"/>
      <w:r w:rsidRPr="00310F7F">
        <w:rPr>
          <w:sz w:val="18"/>
          <w:lang w:val="fr-FR"/>
        </w:rPr>
        <w:t>session]/5 (</w:t>
      </w:r>
      <w:r w:rsidR="002A7BAC" w:rsidRPr="00310F7F">
        <w:rPr>
          <w:sz w:val="18"/>
          <w:lang w:val="fr-FR"/>
        </w:rPr>
        <w:t>p</w:t>
      </w:r>
      <w:r w:rsidRPr="00310F7F">
        <w:rPr>
          <w:sz w:val="18"/>
          <w:lang w:val="fr-FR"/>
        </w:rPr>
        <w:t>.</w:t>
      </w:r>
      <w:r w:rsidR="003B2AC4" w:rsidRPr="00310F7F">
        <w:rPr>
          <w:sz w:val="18"/>
          <w:lang w:val="fr-FR"/>
        </w:rPr>
        <w:t> </w:t>
      </w:r>
      <w:r w:rsidR="002A7BAC" w:rsidRPr="00310F7F">
        <w:rPr>
          <w:sz w:val="18"/>
          <w:lang w:val="fr-FR"/>
        </w:rPr>
        <w:t>ex</w:t>
      </w:r>
      <w:r w:rsidRPr="00310F7F">
        <w:rPr>
          <w:sz w:val="18"/>
          <w:lang w:val="fr-FR"/>
        </w:rPr>
        <w:t>. C/49/5) (</w:t>
      </w:r>
      <w:r w:rsidR="000A743E">
        <w:fldChar w:fldCharType="begin"/>
      </w:r>
      <w:r w:rsidR="000A743E">
        <w:instrText xml:space="preserve"> HYPERLINK "http://www.upov.int/meetings/fr/topic.jsp?group_id=251" </w:instrText>
      </w:r>
      <w:r w:rsidR="000A743E">
        <w:fldChar w:fldCharType="separate"/>
      </w:r>
      <w:r w:rsidR="002A7BAC" w:rsidRPr="00310F7F">
        <w:rPr>
          <w:rStyle w:val="Hyperlink"/>
          <w:sz w:val="18"/>
          <w:lang w:val="fr-FR"/>
        </w:rPr>
        <w:t>http://www.upov.int/meetings/fr/topic.jsp?group_id=251</w:t>
      </w:r>
      <w:r w:rsidR="000A743E">
        <w:rPr>
          <w:rStyle w:val="Hyperlink"/>
          <w:sz w:val="18"/>
          <w:lang w:val="fr-FR"/>
        </w:rPr>
        <w:fldChar w:fldCharType="end"/>
      </w:r>
      <w:r w:rsidRPr="00310F7F">
        <w:rPr>
          <w:sz w:val="18"/>
          <w:lang w:val="fr-FR"/>
        </w:rPr>
        <w:t>).”</w:t>
      </w:r>
    </w:p>
    <w:p w:rsidR="002C24EA" w:rsidRPr="00310F7F" w:rsidRDefault="002C24EA" w:rsidP="00BA5523">
      <w:pPr>
        <w:rPr>
          <w:lang w:val="fr-FR"/>
        </w:rPr>
      </w:pPr>
    </w:p>
    <w:p w:rsidR="002C24EA" w:rsidRPr="00310F7F" w:rsidRDefault="002C24EA"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2A7BAC" w:rsidRPr="00310F7F">
        <w:rPr>
          <w:lang w:val="fr-FR"/>
        </w:rPr>
        <w:t>Le CAJ est convenu que la section 9 du document TGP/5 devrait être libellée comme suit</w:t>
      </w:r>
      <w:r w:rsidR="00CF25AC" w:rsidRPr="00310F7F">
        <w:rPr>
          <w:lang w:val="fr-FR"/>
        </w:rPr>
        <w:t xml:space="preserve"> </w:t>
      </w:r>
      <w:r w:rsidR="00CF25AC" w:rsidRPr="00310F7F">
        <w:rPr>
          <w:kern w:val="28"/>
          <w:lang w:val="fr-FR"/>
        </w:rPr>
        <w:t>(</w:t>
      </w:r>
      <w:r w:rsidR="002A7BAC" w:rsidRPr="00310F7F">
        <w:rPr>
          <w:kern w:val="28"/>
          <w:lang w:val="fr-FR"/>
        </w:rPr>
        <w:t>voir le paragraphe 76 du</w:t>
      </w:r>
      <w:r w:rsidR="00CF25AC" w:rsidRPr="00310F7F">
        <w:rPr>
          <w:kern w:val="28"/>
          <w:lang w:val="fr-FR"/>
        </w:rPr>
        <w:t xml:space="preserve"> document CAJ/71/10 “</w:t>
      </w:r>
      <w:r w:rsidR="002A7BAC" w:rsidRPr="00310F7F">
        <w:rPr>
          <w:kern w:val="28"/>
          <w:lang w:val="fr-FR"/>
        </w:rPr>
        <w:t>Compte rendu des conclusions”</w:t>
      </w:r>
      <w:r w:rsidR="00CF25AC" w:rsidRPr="00310F7F">
        <w:rPr>
          <w:kern w:val="28"/>
          <w:lang w:val="fr-FR"/>
        </w:rPr>
        <w:t>)</w:t>
      </w:r>
      <w:r w:rsidR="002A7BAC" w:rsidRPr="00310F7F">
        <w:rPr>
          <w:kern w:val="28"/>
          <w:lang w:val="fr-FR"/>
        </w:rPr>
        <w:t> </w:t>
      </w:r>
      <w:r w:rsidRPr="00310F7F">
        <w:rPr>
          <w:kern w:val="28"/>
          <w:lang w:val="fr-FR"/>
        </w:rPr>
        <w:t>:</w:t>
      </w:r>
    </w:p>
    <w:p w:rsidR="002C24EA" w:rsidRPr="00310F7F" w:rsidRDefault="002C24EA" w:rsidP="00BA5523">
      <w:pPr>
        <w:rPr>
          <w:lang w:val="fr-FR"/>
        </w:rPr>
      </w:pPr>
    </w:p>
    <w:p w:rsidR="002C24EA" w:rsidRPr="00310F7F" w:rsidRDefault="002C24EA" w:rsidP="00BA5523">
      <w:pPr>
        <w:ind w:left="567" w:right="567" w:firstLine="567"/>
        <w:rPr>
          <w:sz w:val="18"/>
          <w:lang w:val="fr-FR"/>
        </w:rPr>
      </w:pPr>
      <w:r w:rsidRPr="00310F7F">
        <w:rPr>
          <w:sz w:val="18"/>
          <w:lang w:val="fr-FR"/>
        </w:rPr>
        <w:t>“</w:t>
      </w:r>
      <w:r w:rsidR="002A7BAC" w:rsidRPr="00310F7F">
        <w:rPr>
          <w:sz w:val="18"/>
          <w:lang w:val="fr-FR"/>
        </w:rPr>
        <w:t>Une liste des genres et espèces sur lesquels des connaissances pratiques ont été acquises ou pour lesquels des principes directeurs nationaux ont été établis a été publiée sous couvert d</w:t>
      </w:r>
      <w:r w:rsidR="00FD21CB" w:rsidRPr="00310F7F">
        <w:rPr>
          <w:sz w:val="18"/>
          <w:lang w:val="fr-FR"/>
        </w:rPr>
        <w:t>’</w:t>
      </w:r>
      <w:r w:rsidR="002A7BAC" w:rsidRPr="00310F7F">
        <w:rPr>
          <w:sz w:val="18"/>
          <w:lang w:val="fr-FR"/>
        </w:rPr>
        <w:t>un document du Comité technique </w:t>
      </w:r>
      <w:r w:rsidRPr="00310F7F">
        <w:rPr>
          <w:sz w:val="18"/>
          <w:lang w:val="fr-FR"/>
        </w:rPr>
        <w:t>:</w:t>
      </w:r>
    </w:p>
    <w:p w:rsidR="002C24EA" w:rsidRPr="00310F7F" w:rsidRDefault="002C24EA" w:rsidP="00BA5523">
      <w:pPr>
        <w:ind w:left="567" w:right="567"/>
        <w:rPr>
          <w:sz w:val="18"/>
          <w:lang w:val="fr-FR"/>
        </w:rPr>
      </w:pPr>
    </w:p>
    <w:p w:rsidR="002C24EA" w:rsidRPr="00310F7F" w:rsidRDefault="002C24EA" w:rsidP="00BA5523">
      <w:pPr>
        <w:ind w:left="567" w:right="567" w:firstLine="567"/>
        <w:rPr>
          <w:sz w:val="18"/>
          <w:lang w:val="fr-FR"/>
        </w:rPr>
      </w:pPr>
      <w:r w:rsidRPr="00310F7F">
        <w:rPr>
          <w:sz w:val="18"/>
          <w:lang w:val="fr-FR"/>
        </w:rPr>
        <w:t>“TC</w:t>
      </w:r>
      <w:proofErr w:type="gramStart"/>
      <w:r w:rsidRPr="00310F7F">
        <w:rPr>
          <w:sz w:val="18"/>
          <w:lang w:val="fr-FR"/>
        </w:rPr>
        <w:t>/[</w:t>
      </w:r>
      <w:proofErr w:type="gramEnd"/>
      <w:r w:rsidRPr="00310F7F">
        <w:rPr>
          <w:sz w:val="18"/>
          <w:lang w:val="fr-FR"/>
        </w:rPr>
        <w:t>session]/4 (</w:t>
      </w:r>
      <w:r w:rsidR="002A7BAC" w:rsidRPr="00310F7F">
        <w:rPr>
          <w:sz w:val="18"/>
          <w:lang w:val="fr-FR"/>
        </w:rPr>
        <w:t>p.</w:t>
      </w:r>
      <w:r w:rsidR="003B2AC4" w:rsidRPr="00310F7F">
        <w:rPr>
          <w:sz w:val="18"/>
          <w:lang w:val="fr-FR"/>
        </w:rPr>
        <w:t> </w:t>
      </w:r>
      <w:r w:rsidRPr="00310F7F">
        <w:rPr>
          <w:sz w:val="18"/>
          <w:lang w:val="fr-FR"/>
        </w:rPr>
        <w:t>e</w:t>
      </w:r>
      <w:r w:rsidR="002A7BAC" w:rsidRPr="00310F7F">
        <w:rPr>
          <w:sz w:val="18"/>
          <w:lang w:val="fr-FR"/>
        </w:rPr>
        <w:t>x</w:t>
      </w:r>
      <w:r w:rsidRPr="00310F7F">
        <w:rPr>
          <w:sz w:val="18"/>
          <w:lang w:val="fr-FR"/>
        </w:rPr>
        <w:t>.</w:t>
      </w:r>
      <w:r w:rsidR="003B2AC4" w:rsidRPr="00310F7F">
        <w:rPr>
          <w:sz w:val="18"/>
          <w:lang w:val="fr-FR"/>
        </w:rPr>
        <w:t xml:space="preserve"> </w:t>
      </w:r>
      <w:r w:rsidR="00FD21CB" w:rsidRPr="00310F7F">
        <w:rPr>
          <w:sz w:val="18"/>
          <w:lang w:val="fr-FR"/>
        </w:rPr>
        <w:t>TC</w:t>
      </w:r>
      <w:r w:rsidRPr="00310F7F">
        <w:rPr>
          <w:sz w:val="18"/>
          <w:lang w:val="fr-FR"/>
        </w:rPr>
        <w:t>/51/4) (</w:t>
      </w:r>
      <w:hyperlink r:id="rId10" w:history="1">
        <w:r w:rsidR="002A7BAC" w:rsidRPr="00310F7F">
          <w:rPr>
            <w:rStyle w:val="Hyperlink"/>
            <w:sz w:val="18"/>
            <w:lang w:val="fr-FR"/>
          </w:rPr>
          <w:t>http://www.upov.int/meetings/fr/topic.jsp?group_id=254</w:t>
        </w:r>
      </w:hyperlink>
      <w:r w:rsidRPr="00310F7F">
        <w:rPr>
          <w:sz w:val="18"/>
          <w:lang w:val="fr-FR"/>
        </w:rPr>
        <w:t>).”</w:t>
      </w:r>
    </w:p>
    <w:p w:rsidR="002C24EA" w:rsidRPr="00310F7F" w:rsidRDefault="002C24EA" w:rsidP="00BA5523">
      <w:pPr>
        <w:rPr>
          <w:lang w:val="fr-FR"/>
        </w:rPr>
      </w:pPr>
    </w:p>
    <w:p w:rsidR="00FD21CB" w:rsidRPr="00310F7F" w:rsidRDefault="002C24EA"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2A7BAC" w:rsidRPr="00310F7F">
        <w:rPr>
          <w:lang w:val="fr-FR"/>
        </w:rPr>
        <w:t>Le CAJ a noté que le Conseil serait invité à adopter le document TGP/0/8 pour rendre compte des révisions des documents TGP</w:t>
      </w:r>
      <w:r w:rsidR="00BC2BB5" w:rsidRPr="00310F7F">
        <w:rPr>
          <w:lang w:val="fr-FR"/>
        </w:rPr>
        <w:t xml:space="preserve"> </w:t>
      </w:r>
      <w:r w:rsidR="00BC2BB5" w:rsidRPr="00310F7F">
        <w:rPr>
          <w:kern w:val="28"/>
          <w:lang w:val="fr-FR"/>
        </w:rPr>
        <w:t>(</w:t>
      </w:r>
      <w:r w:rsidR="002A7BAC" w:rsidRPr="00310F7F">
        <w:rPr>
          <w:kern w:val="28"/>
          <w:lang w:val="fr-FR"/>
        </w:rPr>
        <w:t>voir le paragraphe 77 du</w:t>
      </w:r>
      <w:r w:rsidR="00BC2BB5" w:rsidRPr="00310F7F">
        <w:rPr>
          <w:kern w:val="28"/>
          <w:lang w:val="fr-FR"/>
        </w:rPr>
        <w:t xml:space="preserve"> document CAJ/71/10 “</w:t>
      </w:r>
      <w:r w:rsidR="002A7BAC" w:rsidRPr="00310F7F">
        <w:rPr>
          <w:kern w:val="28"/>
          <w:lang w:val="fr-FR"/>
        </w:rPr>
        <w:t>Compte rendu des c</w:t>
      </w:r>
      <w:r w:rsidR="00BC2BB5" w:rsidRPr="00310F7F">
        <w:rPr>
          <w:kern w:val="28"/>
          <w:lang w:val="fr-FR"/>
        </w:rPr>
        <w:t>onclusions”)</w:t>
      </w:r>
      <w:r w:rsidRPr="00310F7F">
        <w:rPr>
          <w:lang w:val="fr-FR"/>
        </w:rPr>
        <w:t>.</w:t>
      </w:r>
    </w:p>
    <w:p w:rsidR="002C24EA" w:rsidRPr="00310F7F" w:rsidRDefault="002C24EA" w:rsidP="00BA5523">
      <w:pPr>
        <w:rPr>
          <w:lang w:val="fr-FR"/>
        </w:rPr>
      </w:pPr>
    </w:p>
    <w:p w:rsidR="002C24EA" w:rsidRPr="00310F7F" w:rsidRDefault="002C24EA"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2A7BAC" w:rsidRPr="00310F7F">
        <w:rPr>
          <w:lang w:val="fr-FR"/>
        </w:rPr>
        <w:t>Le CAJ a approuvé le programme d</w:t>
      </w:r>
      <w:r w:rsidR="00FD21CB" w:rsidRPr="00310F7F">
        <w:rPr>
          <w:lang w:val="fr-FR"/>
        </w:rPr>
        <w:t>’</w:t>
      </w:r>
      <w:r w:rsidR="002A7BAC" w:rsidRPr="00310F7F">
        <w:rPr>
          <w:lang w:val="fr-FR"/>
        </w:rPr>
        <w:t xml:space="preserve">élaboration des documents TGP </w:t>
      </w:r>
      <w:r w:rsidR="00BC2BB5" w:rsidRPr="00310F7F">
        <w:rPr>
          <w:kern w:val="28"/>
          <w:lang w:val="fr-FR"/>
        </w:rPr>
        <w:t>(</w:t>
      </w:r>
      <w:r w:rsidR="002A7BAC" w:rsidRPr="00310F7F">
        <w:rPr>
          <w:kern w:val="28"/>
          <w:lang w:val="fr-FR"/>
        </w:rPr>
        <w:t>voir le paragraphe 78</w:t>
      </w:r>
      <w:r w:rsidR="00BC2BB5" w:rsidRPr="00310F7F">
        <w:rPr>
          <w:kern w:val="28"/>
          <w:lang w:val="fr-FR"/>
        </w:rPr>
        <w:t xml:space="preserve"> </w:t>
      </w:r>
      <w:r w:rsidR="002A7BAC" w:rsidRPr="00310F7F">
        <w:rPr>
          <w:kern w:val="28"/>
          <w:lang w:val="fr-FR"/>
        </w:rPr>
        <w:t xml:space="preserve">du </w:t>
      </w:r>
      <w:r w:rsidR="00BC2BB5" w:rsidRPr="00310F7F">
        <w:rPr>
          <w:kern w:val="28"/>
          <w:lang w:val="fr-FR"/>
        </w:rPr>
        <w:t>document CAJ/71/10 “</w:t>
      </w:r>
      <w:r w:rsidR="002A7BAC" w:rsidRPr="00310F7F">
        <w:rPr>
          <w:kern w:val="28"/>
          <w:lang w:val="fr-FR"/>
        </w:rPr>
        <w:t>Compte rendu des c</w:t>
      </w:r>
      <w:r w:rsidR="00BC2BB5" w:rsidRPr="00310F7F">
        <w:rPr>
          <w:kern w:val="28"/>
          <w:lang w:val="fr-FR"/>
        </w:rPr>
        <w:t>onclusions”)</w:t>
      </w:r>
      <w:r w:rsidRPr="00310F7F">
        <w:rPr>
          <w:lang w:val="fr-FR"/>
        </w:rPr>
        <w:t>.</w:t>
      </w:r>
    </w:p>
    <w:p w:rsidR="002C24EA" w:rsidRPr="00310F7F" w:rsidRDefault="002C24EA" w:rsidP="00BA5523">
      <w:pPr>
        <w:rPr>
          <w:lang w:val="fr-FR"/>
        </w:rPr>
      </w:pPr>
    </w:p>
    <w:p w:rsidR="00B732F6" w:rsidRPr="00310F7F" w:rsidRDefault="002A7BAC" w:rsidP="00BA5523">
      <w:pPr>
        <w:pStyle w:val="Heading3"/>
        <w:rPr>
          <w:snapToGrid w:val="0"/>
          <w:lang w:val="fr-FR"/>
        </w:rPr>
      </w:pPr>
      <w:bookmarkStart w:id="13" w:name="_Toc431558828"/>
      <w:r w:rsidRPr="00310F7F">
        <w:rPr>
          <w:snapToGrid w:val="0"/>
          <w:lang w:val="fr-FR"/>
        </w:rPr>
        <w:t>Techniques moléculaire</w:t>
      </w:r>
      <w:r w:rsidR="00B732F6" w:rsidRPr="00310F7F">
        <w:rPr>
          <w:snapToGrid w:val="0"/>
          <w:lang w:val="fr-FR"/>
        </w:rPr>
        <w:t>s</w:t>
      </w:r>
      <w:bookmarkEnd w:id="13"/>
    </w:p>
    <w:p w:rsidR="00B732F6" w:rsidRPr="00310F7F" w:rsidRDefault="00B732F6" w:rsidP="00BA5523">
      <w:pPr>
        <w:rPr>
          <w:lang w:val="fr-FR"/>
        </w:rPr>
      </w:pPr>
    </w:p>
    <w:p w:rsidR="00B732F6" w:rsidRPr="00310F7F" w:rsidRDefault="00B732F6"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D01A00" w:rsidRPr="00310F7F">
        <w:rPr>
          <w:lang w:val="fr-FR"/>
        </w:rPr>
        <w:t>Le CAJ a pris note du compte rendu des faits nouveaux survenus au sein du Groupe de travail sur les techniques biochimiques et moléculaires, notamment les profils d</w:t>
      </w:r>
      <w:r w:rsidR="00FD21CB" w:rsidRPr="00310F7F">
        <w:rPr>
          <w:lang w:val="fr-FR"/>
        </w:rPr>
        <w:t>’</w:t>
      </w:r>
      <w:r w:rsidR="00D01A00" w:rsidRPr="00310F7F">
        <w:rPr>
          <w:lang w:val="fr-FR"/>
        </w:rPr>
        <w:t>ADN (BMT)</w:t>
      </w:r>
      <w:r w:rsidRPr="00310F7F">
        <w:rPr>
          <w:lang w:val="fr-FR"/>
        </w:rPr>
        <w:t xml:space="preserve"> </w:t>
      </w:r>
      <w:r w:rsidRPr="00310F7F">
        <w:rPr>
          <w:kern w:val="28"/>
          <w:lang w:val="fr-FR"/>
        </w:rPr>
        <w:t>(</w:t>
      </w:r>
      <w:r w:rsidR="00D01A00" w:rsidRPr="00310F7F">
        <w:rPr>
          <w:kern w:val="28"/>
          <w:lang w:val="fr-FR"/>
        </w:rPr>
        <w:t>voir le paragraphe 80 du</w:t>
      </w:r>
      <w:r w:rsidRPr="00310F7F">
        <w:rPr>
          <w:kern w:val="28"/>
          <w:lang w:val="fr-FR"/>
        </w:rPr>
        <w:t xml:space="preserve"> document CAJ/71/10 “</w:t>
      </w:r>
      <w:r w:rsidR="00D01A00" w:rsidRPr="00310F7F">
        <w:rPr>
          <w:kern w:val="28"/>
          <w:lang w:val="fr-FR"/>
        </w:rPr>
        <w:t>Compte rendu des c</w:t>
      </w:r>
      <w:r w:rsidRPr="00310F7F">
        <w:rPr>
          <w:kern w:val="28"/>
          <w:lang w:val="fr-FR"/>
        </w:rPr>
        <w:t>onclusions”)</w:t>
      </w:r>
      <w:r w:rsidRPr="00310F7F">
        <w:rPr>
          <w:lang w:val="fr-FR"/>
        </w:rPr>
        <w:t>.</w:t>
      </w:r>
    </w:p>
    <w:p w:rsidR="00B732F6" w:rsidRPr="00310F7F" w:rsidRDefault="00B732F6" w:rsidP="00BA5523">
      <w:pPr>
        <w:rPr>
          <w:lang w:val="fr-FR"/>
        </w:rPr>
      </w:pPr>
    </w:p>
    <w:p w:rsidR="00B732F6" w:rsidRPr="00310F7F" w:rsidRDefault="00B732F6"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D01A00" w:rsidRPr="00310F7F">
        <w:rPr>
          <w:lang w:val="fr-FR"/>
        </w:rPr>
        <w:t>Le CAJ a noté qu</w:t>
      </w:r>
      <w:r w:rsidR="00FD21CB" w:rsidRPr="00310F7F">
        <w:rPr>
          <w:lang w:val="fr-FR"/>
        </w:rPr>
        <w:t>’</w:t>
      </w:r>
      <w:r w:rsidR="00D01A00" w:rsidRPr="00310F7F">
        <w:rPr>
          <w:lang w:val="fr-FR"/>
        </w:rPr>
        <w:t>il a</w:t>
      </w:r>
      <w:r w:rsidR="00692817" w:rsidRPr="00310F7F">
        <w:rPr>
          <w:lang w:val="fr-FR"/>
        </w:rPr>
        <w:t>vait</w:t>
      </w:r>
      <w:r w:rsidR="00D01A00" w:rsidRPr="00310F7F">
        <w:rPr>
          <w:lang w:val="fr-FR"/>
        </w:rPr>
        <w:t xml:space="preserve"> été convenu, lors de l</w:t>
      </w:r>
      <w:r w:rsidR="00FD21CB" w:rsidRPr="00310F7F">
        <w:rPr>
          <w:lang w:val="fr-FR"/>
        </w:rPr>
        <w:t>’</w:t>
      </w:r>
      <w:r w:rsidR="00D01A00" w:rsidRPr="00310F7F">
        <w:rPr>
          <w:lang w:val="fr-FR"/>
        </w:rPr>
        <w:t>atelier conjoint de l</w:t>
      </w:r>
      <w:r w:rsidR="00FD21CB" w:rsidRPr="00310F7F">
        <w:rPr>
          <w:lang w:val="fr-FR"/>
        </w:rPr>
        <w:t>’</w:t>
      </w:r>
      <w:r w:rsidR="00D01A00" w:rsidRPr="00310F7F">
        <w:rPr>
          <w:lang w:val="fr-FR"/>
        </w:rPr>
        <w:t>OCDE, de l</w:t>
      </w:r>
      <w:r w:rsidR="00FD21CB" w:rsidRPr="00310F7F">
        <w:rPr>
          <w:lang w:val="fr-FR"/>
        </w:rPr>
        <w:t>’</w:t>
      </w:r>
      <w:r w:rsidR="00D01A00" w:rsidRPr="00310F7F">
        <w:rPr>
          <w:lang w:val="fr-FR"/>
        </w:rPr>
        <w:t>UPOV et de l</w:t>
      </w:r>
      <w:r w:rsidR="00FD21CB" w:rsidRPr="00310F7F">
        <w:rPr>
          <w:lang w:val="fr-FR"/>
        </w:rPr>
        <w:t>’</w:t>
      </w:r>
      <w:r w:rsidR="00D01A00" w:rsidRPr="00310F7F">
        <w:rPr>
          <w:lang w:val="fr-FR"/>
        </w:rPr>
        <w:t>ISTA sur les techniques moléculaires tenu à Séoul (République de Corée) le 12</w:t>
      </w:r>
      <w:r w:rsidR="00692817" w:rsidRPr="00310F7F">
        <w:rPr>
          <w:lang w:val="fr-FR"/>
        </w:rPr>
        <w:t> </w:t>
      </w:r>
      <w:r w:rsidR="00D01A00" w:rsidRPr="00310F7F">
        <w:rPr>
          <w:lang w:val="fr-FR"/>
        </w:rPr>
        <w:t>novembre</w:t>
      </w:r>
      <w:r w:rsidR="00692817" w:rsidRPr="00310F7F">
        <w:rPr>
          <w:lang w:val="fr-FR"/>
        </w:rPr>
        <w:t> </w:t>
      </w:r>
      <w:r w:rsidR="00D01A00" w:rsidRPr="00310F7F">
        <w:rPr>
          <w:lang w:val="fr-FR"/>
        </w:rPr>
        <w:t>2014, qu</w:t>
      </w:r>
      <w:r w:rsidR="00FD21CB" w:rsidRPr="00310F7F">
        <w:rPr>
          <w:lang w:val="fr-FR"/>
        </w:rPr>
        <w:t>’</w:t>
      </w:r>
      <w:r w:rsidR="00D01A00" w:rsidRPr="00310F7F">
        <w:rPr>
          <w:lang w:val="fr-FR"/>
        </w:rPr>
        <w:t>il serait utile d</w:t>
      </w:r>
      <w:r w:rsidR="00FD21CB" w:rsidRPr="00310F7F">
        <w:rPr>
          <w:lang w:val="fr-FR"/>
        </w:rPr>
        <w:t>’</w:t>
      </w:r>
      <w:r w:rsidR="00D01A00" w:rsidRPr="00310F7F">
        <w:rPr>
          <w:lang w:val="fr-FR"/>
        </w:rPr>
        <w:t>organiser un autre atelier conjoint dans le cadre des réunions pertinentes de l</w:t>
      </w:r>
      <w:r w:rsidR="00FD21CB" w:rsidRPr="00310F7F">
        <w:rPr>
          <w:lang w:val="fr-FR"/>
        </w:rPr>
        <w:t>’</w:t>
      </w:r>
      <w:r w:rsidR="00D01A00" w:rsidRPr="00310F7F">
        <w:rPr>
          <w:lang w:val="fr-FR"/>
        </w:rPr>
        <w:t>OCDE et de l</w:t>
      </w:r>
      <w:r w:rsidR="00FD21CB" w:rsidRPr="00310F7F">
        <w:rPr>
          <w:lang w:val="fr-FR"/>
        </w:rPr>
        <w:t>’</w:t>
      </w:r>
      <w:r w:rsidR="00D01A00" w:rsidRPr="00310F7F">
        <w:rPr>
          <w:lang w:val="fr-FR"/>
        </w:rPr>
        <w:t>ISTA et qu</w:t>
      </w:r>
      <w:r w:rsidR="00FD21CB" w:rsidRPr="00310F7F">
        <w:rPr>
          <w:lang w:val="fr-FR"/>
        </w:rPr>
        <w:t>’</w:t>
      </w:r>
      <w:r w:rsidR="00D01A00" w:rsidRPr="00310F7F">
        <w:rPr>
          <w:lang w:val="fr-FR"/>
        </w:rPr>
        <w:t>il a</w:t>
      </w:r>
      <w:r w:rsidR="00692817" w:rsidRPr="00310F7F">
        <w:rPr>
          <w:lang w:val="fr-FR"/>
        </w:rPr>
        <w:t>vait</w:t>
      </w:r>
      <w:r w:rsidR="00D01A00" w:rsidRPr="00310F7F">
        <w:rPr>
          <w:lang w:val="fr-FR"/>
        </w:rPr>
        <w:t xml:space="preserve"> été convenu à cet égard, lors de la réunion du Groupe de travail technique sur les systèmes de semences de l</w:t>
      </w:r>
      <w:r w:rsidR="00FD21CB" w:rsidRPr="00310F7F">
        <w:rPr>
          <w:lang w:val="fr-FR"/>
        </w:rPr>
        <w:t>’</w:t>
      </w:r>
      <w:r w:rsidR="00D01A00" w:rsidRPr="00310F7F">
        <w:rPr>
          <w:lang w:val="fr-FR"/>
        </w:rPr>
        <w:t>OCDE, qu</w:t>
      </w:r>
      <w:r w:rsidR="00FD21CB" w:rsidRPr="00310F7F">
        <w:rPr>
          <w:lang w:val="fr-FR"/>
        </w:rPr>
        <w:t>’</w:t>
      </w:r>
      <w:r w:rsidR="00D01A00" w:rsidRPr="00310F7F">
        <w:rPr>
          <w:lang w:val="fr-FR"/>
        </w:rPr>
        <w:t>un autre atelier conjoint de l</w:t>
      </w:r>
      <w:r w:rsidR="00FD21CB" w:rsidRPr="00310F7F">
        <w:rPr>
          <w:lang w:val="fr-FR"/>
        </w:rPr>
        <w:t>’</w:t>
      </w:r>
      <w:r w:rsidR="00D01A00" w:rsidRPr="00310F7F">
        <w:rPr>
          <w:lang w:val="fr-FR"/>
        </w:rPr>
        <w:t>OCDE, de l</w:t>
      </w:r>
      <w:r w:rsidR="00FD21CB" w:rsidRPr="00310F7F">
        <w:rPr>
          <w:lang w:val="fr-FR"/>
        </w:rPr>
        <w:t>’</w:t>
      </w:r>
      <w:r w:rsidR="00D01A00" w:rsidRPr="00310F7F">
        <w:rPr>
          <w:lang w:val="fr-FR"/>
        </w:rPr>
        <w:t>UPOV et de l</w:t>
      </w:r>
      <w:r w:rsidR="00FD21CB" w:rsidRPr="00310F7F">
        <w:rPr>
          <w:lang w:val="fr-FR"/>
        </w:rPr>
        <w:t>’</w:t>
      </w:r>
      <w:r w:rsidR="00D01A00" w:rsidRPr="00310F7F">
        <w:rPr>
          <w:lang w:val="fr-FR"/>
        </w:rPr>
        <w:t>ISTA sur les techniques moléculaires devrait être organisé soit immédiatement avant ou après la réunion annuelle des systèmes de semences de l</w:t>
      </w:r>
      <w:r w:rsidR="00FD21CB" w:rsidRPr="00310F7F">
        <w:rPr>
          <w:lang w:val="fr-FR"/>
        </w:rPr>
        <w:t>’</w:t>
      </w:r>
      <w:r w:rsidR="00D01A00" w:rsidRPr="00310F7F">
        <w:rPr>
          <w:lang w:val="fr-FR"/>
        </w:rPr>
        <w:t>OCDE qui se tiendra</w:t>
      </w:r>
      <w:r w:rsidR="00692817" w:rsidRPr="00310F7F">
        <w:rPr>
          <w:lang w:val="fr-FR"/>
        </w:rPr>
        <w:t>it</w:t>
      </w:r>
      <w:r w:rsidR="00D01A00" w:rsidRPr="00310F7F">
        <w:rPr>
          <w:lang w:val="fr-FR"/>
        </w:rPr>
        <w:t xml:space="preserve"> à Paris en juin</w:t>
      </w:r>
      <w:r w:rsidR="00692817" w:rsidRPr="00310F7F">
        <w:rPr>
          <w:lang w:val="fr-FR"/>
        </w:rPr>
        <w:t> </w:t>
      </w:r>
      <w:r w:rsidR="00D01A00" w:rsidRPr="00310F7F">
        <w:rPr>
          <w:lang w:val="fr-FR"/>
        </w:rPr>
        <w:t>2015, soit en même temps que la réunion du groupe de travail technique qui se tiendra</w:t>
      </w:r>
      <w:r w:rsidR="00692817" w:rsidRPr="00310F7F">
        <w:rPr>
          <w:lang w:val="fr-FR"/>
        </w:rPr>
        <w:t>it</w:t>
      </w:r>
      <w:r w:rsidR="00D01A00" w:rsidRPr="00310F7F">
        <w:rPr>
          <w:lang w:val="fr-FR"/>
        </w:rPr>
        <w:t xml:space="preserve"> en janvier</w:t>
      </w:r>
      <w:r w:rsidR="00692817" w:rsidRPr="00310F7F">
        <w:rPr>
          <w:lang w:val="fr-FR"/>
        </w:rPr>
        <w:t> </w:t>
      </w:r>
      <w:r w:rsidR="00D01A00" w:rsidRPr="00310F7F">
        <w:rPr>
          <w:lang w:val="fr-FR"/>
        </w:rPr>
        <w:t>2016</w:t>
      </w:r>
      <w:r w:rsidR="00692817" w:rsidRPr="00310F7F">
        <w:rPr>
          <w:lang w:val="fr-FR"/>
        </w:rPr>
        <w:t xml:space="preserve"> (voir le paragraphe 81 du</w:t>
      </w:r>
      <w:r w:rsidRPr="00310F7F">
        <w:rPr>
          <w:kern w:val="28"/>
          <w:lang w:val="fr-FR"/>
        </w:rPr>
        <w:t xml:space="preserve"> document CAJ/71/10 “</w:t>
      </w:r>
      <w:r w:rsidR="00692817" w:rsidRPr="00310F7F">
        <w:rPr>
          <w:kern w:val="28"/>
          <w:lang w:val="fr-FR"/>
        </w:rPr>
        <w:t>Compte rendu des c</w:t>
      </w:r>
      <w:r w:rsidRPr="00310F7F">
        <w:rPr>
          <w:kern w:val="28"/>
          <w:lang w:val="fr-FR"/>
        </w:rPr>
        <w:t>onclusions”)</w:t>
      </w:r>
      <w:r w:rsidRPr="00310F7F">
        <w:rPr>
          <w:lang w:val="fr-FR"/>
        </w:rPr>
        <w:t>.</w:t>
      </w:r>
    </w:p>
    <w:p w:rsidR="00B732F6" w:rsidRPr="00310F7F" w:rsidRDefault="00B732F6" w:rsidP="00BA5523">
      <w:pPr>
        <w:rPr>
          <w:lang w:val="fr-FR"/>
        </w:rPr>
      </w:pPr>
    </w:p>
    <w:p w:rsidR="00B732F6" w:rsidRPr="00310F7F" w:rsidRDefault="00B732F6"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692817" w:rsidRPr="00310F7F">
        <w:rPr>
          <w:lang w:val="fr-FR"/>
        </w:rPr>
        <w:t>Le CAJ a noté que le</w:t>
      </w:r>
      <w:r w:rsidR="00FD21CB" w:rsidRPr="00310F7F">
        <w:rPr>
          <w:lang w:val="fr-FR"/>
        </w:rPr>
        <w:t> TC</w:t>
      </w:r>
      <w:r w:rsidR="00692817" w:rsidRPr="00310F7F">
        <w:rPr>
          <w:lang w:val="fr-FR"/>
        </w:rPr>
        <w:t xml:space="preserve"> avait approuvé, à sa cinquante</w:t>
      </w:r>
      <w:r w:rsidR="003B2AC4" w:rsidRPr="00310F7F">
        <w:rPr>
          <w:lang w:val="fr-FR"/>
        </w:rPr>
        <w:t> </w:t>
      </w:r>
      <w:r w:rsidR="00692817" w:rsidRPr="00310F7F">
        <w:rPr>
          <w:lang w:val="fr-FR"/>
        </w:rPr>
        <w:t>et</w:t>
      </w:r>
      <w:r w:rsidR="003B2AC4" w:rsidRPr="00310F7F">
        <w:rPr>
          <w:lang w:val="fr-FR"/>
        </w:rPr>
        <w:t> </w:t>
      </w:r>
      <w:r w:rsidR="00692817" w:rsidRPr="00310F7F">
        <w:rPr>
          <w:lang w:val="fr-FR"/>
        </w:rPr>
        <w:t>unième session, le programme de la quinzième session</w:t>
      </w:r>
      <w:r w:rsidR="00FD21CB" w:rsidRPr="00310F7F">
        <w:rPr>
          <w:lang w:val="fr-FR"/>
        </w:rPr>
        <w:t xml:space="preserve"> du BMT</w:t>
      </w:r>
      <w:r w:rsidR="00692817" w:rsidRPr="00310F7F">
        <w:rPr>
          <w:lang w:val="fr-FR"/>
        </w:rPr>
        <w:t xml:space="preserve"> prévue en 2016, </w:t>
      </w:r>
      <w:r w:rsidR="00FD21CB" w:rsidRPr="00310F7F">
        <w:rPr>
          <w:lang w:val="fr-FR"/>
        </w:rPr>
        <w:t>y compris</w:t>
      </w:r>
      <w:r w:rsidR="00692817" w:rsidRPr="00310F7F">
        <w:rPr>
          <w:lang w:val="fr-FR"/>
        </w:rPr>
        <w:t xml:space="preserve"> la tenue d</w:t>
      </w:r>
      <w:r w:rsidR="00FD21CB" w:rsidRPr="00310F7F">
        <w:rPr>
          <w:lang w:val="fr-FR"/>
        </w:rPr>
        <w:t>’</w:t>
      </w:r>
      <w:r w:rsidR="00692817" w:rsidRPr="00310F7F">
        <w:rPr>
          <w:lang w:val="fr-FR"/>
        </w:rPr>
        <w:t>une journée spéciale (“Journée des obtenteurs”), consacrée aux points de l</w:t>
      </w:r>
      <w:r w:rsidR="00FD21CB" w:rsidRPr="00310F7F">
        <w:rPr>
          <w:lang w:val="fr-FR"/>
        </w:rPr>
        <w:t>’</w:t>
      </w:r>
      <w:r w:rsidR="00692817" w:rsidRPr="00310F7F">
        <w:rPr>
          <w:lang w:val="fr-FR"/>
        </w:rPr>
        <w:t>ordre du jour relatifs à l</w:t>
      </w:r>
      <w:r w:rsidR="00FD21CB" w:rsidRPr="00310F7F">
        <w:rPr>
          <w:lang w:val="fr-FR"/>
        </w:rPr>
        <w:t>’</w:t>
      </w:r>
      <w:r w:rsidR="00692817" w:rsidRPr="00310F7F">
        <w:rPr>
          <w:lang w:val="fr-FR"/>
        </w:rPr>
        <w:t>utilisation de techniques moléculaires pour l</w:t>
      </w:r>
      <w:r w:rsidR="00FD21CB" w:rsidRPr="00310F7F">
        <w:rPr>
          <w:lang w:val="fr-FR"/>
        </w:rPr>
        <w:t>’</w:t>
      </w:r>
      <w:r w:rsidR="00692817" w:rsidRPr="00310F7F">
        <w:rPr>
          <w:lang w:val="fr-FR"/>
        </w:rPr>
        <w:t>appréciation de la notion de variété essentiellement dérivée et l</w:t>
      </w:r>
      <w:r w:rsidR="00FD21CB" w:rsidRPr="00310F7F">
        <w:rPr>
          <w:lang w:val="fr-FR"/>
        </w:rPr>
        <w:t>’</w:t>
      </w:r>
      <w:r w:rsidR="00692817" w:rsidRPr="00310F7F">
        <w:rPr>
          <w:lang w:val="fr-FR"/>
        </w:rPr>
        <w:t>identification des variétés</w:t>
      </w:r>
      <w:r w:rsidRPr="00310F7F">
        <w:rPr>
          <w:lang w:val="fr-FR"/>
        </w:rPr>
        <w:t xml:space="preserve"> </w:t>
      </w:r>
      <w:r w:rsidRPr="00310F7F">
        <w:rPr>
          <w:kern w:val="28"/>
          <w:lang w:val="fr-FR"/>
        </w:rPr>
        <w:t>(</w:t>
      </w:r>
      <w:r w:rsidR="00692817" w:rsidRPr="00310F7F">
        <w:rPr>
          <w:kern w:val="28"/>
          <w:lang w:val="fr-FR"/>
        </w:rPr>
        <w:t>voir le paragraphe 82 du</w:t>
      </w:r>
      <w:r w:rsidRPr="00310F7F">
        <w:rPr>
          <w:kern w:val="28"/>
          <w:lang w:val="fr-FR"/>
        </w:rPr>
        <w:t xml:space="preserve"> document CAJ/71/10 “</w:t>
      </w:r>
      <w:r w:rsidR="00692817" w:rsidRPr="00310F7F">
        <w:rPr>
          <w:kern w:val="28"/>
          <w:lang w:val="fr-FR"/>
        </w:rPr>
        <w:t>Compte rendu des c</w:t>
      </w:r>
      <w:r w:rsidRPr="00310F7F">
        <w:rPr>
          <w:kern w:val="28"/>
          <w:lang w:val="fr-FR"/>
        </w:rPr>
        <w:t>onclusions”)</w:t>
      </w:r>
      <w:r w:rsidRPr="00310F7F">
        <w:rPr>
          <w:lang w:val="fr-FR"/>
        </w:rPr>
        <w:t>.</w:t>
      </w:r>
    </w:p>
    <w:p w:rsidR="00B732F6" w:rsidRPr="00310F7F" w:rsidRDefault="00B732F6" w:rsidP="00BA5523">
      <w:pPr>
        <w:rPr>
          <w:lang w:val="fr-FR"/>
        </w:rPr>
      </w:pPr>
    </w:p>
    <w:p w:rsidR="00B732F6" w:rsidRPr="00310F7F" w:rsidRDefault="00B732F6"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692817" w:rsidRPr="00310F7F">
        <w:rPr>
          <w:lang w:val="fr-FR"/>
        </w:rPr>
        <w:t>Le CAJ a noté que le</w:t>
      </w:r>
      <w:r w:rsidR="00FD21CB" w:rsidRPr="00310F7F">
        <w:rPr>
          <w:lang w:val="fr-FR"/>
        </w:rPr>
        <w:t> TC</w:t>
      </w:r>
      <w:r w:rsidR="00692817" w:rsidRPr="00310F7F">
        <w:rPr>
          <w:lang w:val="fr-FR"/>
        </w:rPr>
        <w:t xml:space="preserve"> était convenu d</w:t>
      </w:r>
      <w:r w:rsidR="00FD21CB" w:rsidRPr="00310F7F">
        <w:rPr>
          <w:lang w:val="fr-FR"/>
        </w:rPr>
        <w:t>’</w:t>
      </w:r>
      <w:r w:rsidR="00692817" w:rsidRPr="00310F7F">
        <w:rPr>
          <w:lang w:val="fr-FR"/>
        </w:rPr>
        <w:t>élaborer un document commun présentant les particularités des systèmes de l</w:t>
      </w:r>
      <w:r w:rsidR="00FD21CB" w:rsidRPr="00310F7F">
        <w:rPr>
          <w:lang w:val="fr-FR"/>
        </w:rPr>
        <w:t>’</w:t>
      </w:r>
      <w:r w:rsidR="00692817" w:rsidRPr="00310F7F">
        <w:rPr>
          <w:lang w:val="fr-FR"/>
        </w:rPr>
        <w:t>OCDE, de l</w:t>
      </w:r>
      <w:r w:rsidR="00FD21CB" w:rsidRPr="00310F7F">
        <w:rPr>
          <w:lang w:val="fr-FR"/>
        </w:rPr>
        <w:t>’</w:t>
      </w:r>
      <w:r w:rsidR="00692817" w:rsidRPr="00310F7F">
        <w:rPr>
          <w:lang w:val="fr-FR"/>
        </w:rPr>
        <w:t>UPOV et de l</w:t>
      </w:r>
      <w:r w:rsidR="00FD21CB" w:rsidRPr="00310F7F">
        <w:rPr>
          <w:lang w:val="fr-FR"/>
        </w:rPr>
        <w:t>’</w:t>
      </w:r>
      <w:r w:rsidR="00692817" w:rsidRPr="00310F7F">
        <w:rPr>
          <w:lang w:val="fr-FR"/>
        </w:rPr>
        <w:t>ISTA (p. ex. en matière d</w:t>
      </w:r>
      <w:r w:rsidR="00FD21CB" w:rsidRPr="00310F7F">
        <w:rPr>
          <w:lang w:val="fr-FR"/>
        </w:rPr>
        <w:t>’</w:t>
      </w:r>
      <w:r w:rsidR="00692817" w:rsidRPr="00310F7F">
        <w:rPr>
          <w:lang w:val="fr-FR"/>
        </w:rPr>
        <w:t>examen</w:t>
      </w:r>
      <w:r w:rsidR="003B2AC4" w:rsidRPr="00310F7F">
        <w:rPr>
          <w:lang w:val="fr-FR"/>
        </w:rPr>
        <w:t> </w:t>
      </w:r>
      <w:r w:rsidR="00692817" w:rsidRPr="00310F7F">
        <w:rPr>
          <w:lang w:val="fr-FR"/>
        </w:rPr>
        <w:t>DHS, d</w:t>
      </w:r>
      <w:r w:rsidR="00FD21CB" w:rsidRPr="00310F7F">
        <w:rPr>
          <w:lang w:val="fr-FR"/>
        </w:rPr>
        <w:t>’</w:t>
      </w:r>
      <w:r w:rsidR="00692817" w:rsidRPr="00310F7F">
        <w:rPr>
          <w:lang w:val="fr-FR"/>
        </w:rPr>
        <w:t>identification des variétés, de pureté des variétés, etc.), sous réserve de l</w:t>
      </w:r>
      <w:r w:rsidR="00FD21CB" w:rsidRPr="00310F7F">
        <w:rPr>
          <w:lang w:val="fr-FR"/>
        </w:rPr>
        <w:t>’</w:t>
      </w:r>
      <w:r w:rsidR="00692817" w:rsidRPr="00310F7F">
        <w:rPr>
          <w:lang w:val="fr-FR"/>
        </w:rPr>
        <w:t>approbation du Conseil et en coordination avec l</w:t>
      </w:r>
      <w:r w:rsidR="00FD21CB" w:rsidRPr="00310F7F">
        <w:rPr>
          <w:lang w:val="fr-FR"/>
        </w:rPr>
        <w:t>’</w:t>
      </w:r>
      <w:r w:rsidR="00692817" w:rsidRPr="00310F7F">
        <w:rPr>
          <w:lang w:val="fr-FR"/>
        </w:rPr>
        <w:t>OCDE et l</w:t>
      </w:r>
      <w:r w:rsidR="00FD21CB" w:rsidRPr="00310F7F">
        <w:rPr>
          <w:lang w:val="fr-FR"/>
        </w:rPr>
        <w:t>’</w:t>
      </w:r>
      <w:r w:rsidR="00692817" w:rsidRPr="00310F7F">
        <w:rPr>
          <w:lang w:val="fr-FR"/>
        </w:rPr>
        <w:t>ISTA</w:t>
      </w:r>
      <w:r w:rsidRPr="00310F7F">
        <w:rPr>
          <w:lang w:val="fr-FR"/>
        </w:rPr>
        <w:t xml:space="preserve"> </w:t>
      </w:r>
      <w:r w:rsidRPr="00310F7F">
        <w:rPr>
          <w:kern w:val="28"/>
          <w:lang w:val="fr-FR"/>
        </w:rPr>
        <w:t>(</w:t>
      </w:r>
      <w:r w:rsidR="00692817" w:rsidRPr="00310F7F">
        <w:rPr>
          <w:kern w:val="28"/>
          <w:lang w:val="fr-FR"/>
        </w:rPr>
        <w:t xml:space="preserve">voir le paragraphe 83 du </w:t>
      </w:r>
      <w:r w:rsidRPr="00310F7F">
        <w:rPr>
          <w:kern w:val="28"/>
          <w:lang w:val="fr-FR"/>
        </w:rPr>
        <w:t>document CAJ/71/10 “</w:t>
      </w:r>
      <w:r w:rsidR="00692817" w:rsidRPr="00310F7F">
        <w:rPr>
          <w:kern w:val="28"/>
          <w:lang w:val="fr-FR"/>
        </w:rPr>
        <w:t>Compte rendu des c</w:t>
      </w:r>
      <w:r w:rsidRPr="00310F7F">
        <w:rPr>
          <w:kern w:val="28"/>
          <w:lang w:val="fr-FR"/>
        </w:rPr>
        <w:t>onclusions”)</w:t>
      </w:r>
      <w:r w:rsidRPr="00310F7F">
        <w:rPr>
          <w:lang w:val="fr-FR"/>
        </w:rPr>
        <w:t>.</w:t>
      </w:r>
    </w:p>
    <w:p w:rsidR="00B732F6" w:rsidRPr="00310F7F" w:rsidRDefault="00B732F6" w:rsidP="00BA5523">
      <w:pPr>
        <w:rPr>
          <w:lang w:val="fr-FR"/>
        </w:rPr>
      </w:pPr>
    </w:p>
    <w:p w:rsidR="00B732F6" w:rsidRPr="00310F7F" w:rsidRDefault="00B732F6"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692817" w:rsidRPr="00310F7F">
        <w:rPr>
          <w:lang w:val="fr-FR"/>
        </w:rPr>
        <w:t>Le CAJ a noté que le</w:t>
      </w:r>
      <w:r w:rsidR="00FD21CB" w:rsidRPr="00310F7F">
        <w:rPr>
          <w:lang w:val="fr-FR"/>
        </w:rPr>
        <w:t> TC</w:t>
      </w:r>
      <w:r w:rsidR="00692817" w:rsidRPr="00310F7F">
        <w:rPr>
          <w:lang w:val="fr-FR"/>
        </w:rPr>
        <w:t xml:space="preserve"> était convenu de dresser un inventaire, par plante, de l</w:t>
      </w:r>
      <w:r w:rsidR="00FD21CB" w:rsidRPr="00310F7F">
        <w:rPr>
          <w:lang w:val="fr-FR"/>
        </w:rPr>
        <w:t>’</w:t>
      </w:r>
      <w:r w:rsidR="00692817" w:rsidRPr="00310F7F">
        <w:rPr>
          <w:lang w:val="fr-FR"/>
        </w:rPr>
        <w:t>utilisation qui était faite par l</w:t>
      </w:r>
      <w:r w:rsidR="00FD21CB" w:rsidRPr="00310F7F">
        <w:rPr>
          <w:lang w:val="fr-FR"/>
        </w:rPr>
        <w:t>’</w:t>
      </w:r>
      <w:r w:rsidR="00692817" w:rsidRPr="00310F7F">
        <w:rPr>
          <w:lang w:val="fr-FR"/>
        </w:rPr>
        <w:t>UPOV des techniques faisant intervenir des marqueurs moléculaires, en vue de l</w:t>
      </w:r>
      <w:r w:rsidR="00FD21CB" w:rsidRPr="00310F7F">
        <w:rPr>
          <w:lang w:val="fr-FR"/>
        </w:rPr>
        <w:t>’</w:t>
      </w:r>
      <w:r w:rsidR="00692817" w:rsidRPr="00310F7F">
        <w:rPr>
          <w:lang w:val="fr-FR"/>
        </w:rPr>
        <w:t>élaboration d</w:t>
      </w:r>
      <w:r w:rsidR="00FD21CB" w:rsidRPr="00310F7F">
        <w:rPr>
          <w:lang w:val="fr-FR"/>
        </w:rPr>
        <w:t>’</w:t>
      </w:r>
      <w:r w:rsidR="00692817" w:rsidRPr="00310F7F">
        <w:rPr>
          <w:lang w:val="fr-FR"/>
        </w:rPr>
        <w:t>un document commun à l</w:t>
      </w:r>
      <w:r w:rsidR="00FD21CB" w:rsidRPr="00310F7F">
        <w:rPr>
          <w:lang w:val="fr-FR"/>
        </w:rPr>
        <w:t>’</w:t>
      </w:r>
      <w:r w:rsidR="00692817" w:rsidRPr="00310F7F">
        <w:rPr>
          <w:lang w:val="fr-FR"/>
        </w:rPr>
        <w:t>OCDE, à l</w:t>
      </w:r>
      <w:r w:rsidR="00FD21CB" w:rsidRPr="00310F7F">
        <w:rPr>
          <w:lang w:val="fr-FR"/>
        </w:rPr>
        <w:t>’</w:t>
      </w:r>
      <w:r w:rsidR="00692817" w:rsidRPr="00310F7F">
        <w:rPr>
          <w:lang w:val="fr-FR"/>
        </w:rPr>
        <w:t>UPOV et à l</w:t>
      </w:r>
      <w:r w:rsidR="00FD21CB" w:rsidRPr="00310F7F">
        <w:rPr>
          <w:lang w:val="fr-FR"/>
        </w:rPr>
        <w:t>’</w:t>
      </w:r>
      <w:r w:rsidR="00692817" w:rsidRPr="00310F7F">
        <w:rPr>
          <w:lang w:val="fr-FR"/>
        </w:rPr>
        <w:t>ISTA contenant ces informations, dans un format semblable à celui du document UPOV/INF/16 “Logiciels échangeables”, sous réserve de l</w:t>
      </w:r>
      <w:r w:rsidR="00FD21CB" w:rsidRPr="00310F7F">
        <w:rPr>
          <w:lang w:val="fr-FR"/>
        </w:rPr>
        <w:t>’</w:t>
      </w:r>
      <w:r w:rsidR="00692817" w:rsidRPr="00310F7F">
        <w:rPr>
          <w:lang w:val="fr-FR"/>
        </w:rPr>
        <w:t>approbation du Conseil et en coordination avec l</w:t>
      </w:r>
      <w:r w:rsidR="00FD21CB" w:rsidRPr="00310F7F">
        <w:rPr>
          <w:lang w:val="fr-FR"/>
        </w:rPr>
        <w:t>’</w:t>
      </w:r>
      <w:r w:rsidR="00692817" w:rsidRPr="00310F7F">
        <w:rPr>
          <w:lang w:val="fr-FR"/>
        </w:rPr>
        <w:t>OCDE et l</w:t>
      </w:r>
      <w:r w:rsidR="00FD21CB" w:rsidRPr="00310F7F">
        <w:rPr>
          <w:lang w:val="fr-FR"/>
        </w:rPr>
        <w:t>’</w:t>
      </w:r>
      <w:r w:rsidR="00692817" w:rsidRPr="00310F7F">
        <w:rPr>
          <w:lang w:val="fr-FR"/>
        </w:rPr>
        <w:t>ISTA</w:t>
      </w:r>
      <w:r w:rsidRPr="00310F7F">
        <w:rPr>
          <w:lang w:val="fr-FR"/>
        </w:rPr>
        <w:t xml:space="preserve">.  </w:t>
      </w:r>
      <w:r w:rsidR="00692817" w:rsidRPr="00310F7F">
        <w:rPr>
          <w:lang w:val="fr-FR"/>
        </w:rPr>
        <w:t>Il est convenu qu</w:t>
      </w:r>
      <w:r w:rsidR="00FD21CB" w:rsidRPr="00310F7F">
        <w:rPr>
          <w:lang w:val="fr-FR"/>
        </w:rPr>
        <w:t>’</w:t>
      </w:r>
      <w:r w:rsidR="00692817" w:rsidRPr="00310F7F">
        <w:rPr>
          <w:lang w:val="fr-FR"/>
        </w:rPr>
        <w:t>il serait nécessaire d</w:t>
      </w:r>
      <w:r w:rsidR="00FD21CB" w:rsidRPr="00310F7F">
        <w:rPr>
          <w:lang w:val="fr-FR"/>
        </w:rPr>
        <w:t>’</w:t>
      </w:r>
      <w:r w:rsidR="00692817" w:rsidRPr="00310F7F">
        <w:rPr>
          <w:lang w:val="fr-FR"/>
        </w:rPr>
        <w:t>établir des critères et une procédure permettant d</w:t>
      </w:r>
      <w:r w:rsidR="00FD21CB" w:rsidRPr="00310F7F">
        <w:rPr>
          <w:lang w:val="fr-FR"/>
        </w:rPr>
        <w:t>’</w:t>
      </w:r>
      <w:r w:rsidR="00692817" w:rsidRPr="00310F7F">
        <w:rPr>
          <w:lang w:val="fr-FR"/>
        </w:rPr>
        <w:t>ajouter des informations au document</w:t>
      </w:r>
      <w:r w:rsidRPr="00310F7F">
        <w:rPr>
          <w:lang w:val="fr-FR"/>
        </w:rPr>
        <w:t xml:space="preserve"> </w:t>
      </w:r>
      <w:r w:rsidRPr="00310F7F">
        <w:rPr>
          <w:kern w:val="28"/>
          <w:lang w:val="fr-FR"/>
        </w:rPr>
        <w:t>(</w:t>
      </w:r>
      <w:r w:rsidR="00995598" w:rsidRPr="00310F7F">
        <w:rPr>
          <w:kern w:val="28"/>
          <w:lang w:val="fr-FR"/>
        </w:rPr>
        <w:t>voir le paragraphe 84 du</w:t>
      </w:r>
      <w:r w:rsidRPr="00310F7F">
        <w:rPr>
          <w:kern w:val="28"/>
          <w:lang w:val="fr-FR"/>
        </w:rPr>
        <w:t xml:space="preserve"> document CAJ/71/10 “</w:t>
      </w:r>
      <w:r w:rsidR="00995598" w:rsidRPr="00310F7F">
        <w:rPr>
          <w:kern w:val="28"/>
          <w:lang w:val="fr-FR"/>
        </w:rPr>
        <w:t>Compte rendu des c</w:t>
      </w:r>
      <w:r w:rsidRPr="00310F7F">
        <w:rPr>
          <w:kern w:val="28"/>
          <w:lang w:val="fr-FR"/>
        </w:rPr>
        <w:t>onclusions”)</w:t>
      </w:r>
      <w:r w:rsidRPr="00310F7F">
        <w:rPr>
          <w:lang w:val="fr-FR"/>
        </w:rPr>
        <w:t>.</w:t>
      </w:r>
    </w:p>
    <w:p w:rsidR="00B732F6" w:rsidRPr="00310F7F" w:rsidRDefault="00B732F6" w:rsidP="00BA5523">
      <w:pPr>
        <w:rPr>
          <w:lang w:val="fr-FR"/>
        </w:rPr>
      </w:pPr>
    </w:p>
    <w:p w:rsidR="00B732F6" w:rsidRPr="00310F7F" w:rsidRDefault="00B732F6"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995598" w:rsidRPr="00310F7F">
        <w:rPr>
          <w:lang w:val="fr-FR"/>
        </w:rPr>
        <w:t>Le CAJ a noté que le</w:t>
      </w:r>
      <w:r w:rsidR="00FD21CB" w:rsidRPr="00310F7F">
        <w:rPr>
          <w:lang w:val="fr-FR"/>
        </w:rPr>
        <w:t> TC</w:t>
      </w:r>
      <w:r w:rsidR="00995598" w:rsidRPr="00310F7F">
        <w:rPr>
          <w:lang w:val="fr-FR"/>
        </w:rPr>
        <w:t xml:space="preserve"> était convenu que</w:t>
      </w:r>
      <w:r w:rsidR="00FD21CB" w:rsidRPr="00310F7F">
        <w:rPr>
          <w:lang w:val="fr-FR"/>
        </w:rPr>
        <w:t xml:space="preserve"> le BMT</w:t>
      </w:r>
      <w:r w:rsidR="00995598" w:rsidRPr="00310F7F">
        <w:rPr>
          <w:lang w:val="fr-FR"/>
        </w:rPr>
        <w:t>, à sa quinzième session, devrait dresser des listes d</w:t>
      </w:r>
      <w:r w:rsidR="00FD21CB" w:rsidRPr="00310F7F">
        <w:rPr>
          <w:lang w:val="fr-FR"/>
        </w:rPr>
        <w:t>’</w:t>
      </w:r>
      <w:r w:rsidR="00995598" w:rsidRPr="00310F7F">
        <w:rPr>
          <w:lang w:val="fr-FR"/>
        </w:rPr>
        <w:t>initiatives conjointes possibles avec l</w:t>
      </w:r>
      <w:r w:rsidR="00FD21CB" w:rsidRPr="00310F7F">
        <w:rPr>
          <w:lang w:val="fr-FR"/>
        </w:rPr>
        <w:t>’</w:t>
      </w:r>
      <w:r w:rsidR="00995598" w:rsidRPr="00310F7F">
        <w:rPr>
          <w:lang w:val="fr-FR"/>
        </w:rPr>
        <w:t>OCDE et l</w:t>
      </w:r>
      <w:r w:rsidR="00FD21CB" w:rsidRPr="00310F7F">
        <w:rPr>
          <w:lang w:val="fr-FR"/>
        </w:rPr>
        <w:t>’</w:t>
      </w:r>
      <w:r w:rsidR="00995598" w:rsidRPr="00310F7F">
        <w:rPr>
          <w:lang w:val="fr-FR"/>
        </w:rPr>
        <w:t>ISTA dans le domaine des techniques moléculaires</w:t>
      </w:r>
      <w:r w:rsidRPr="00310F7F">
        <w:rPr>
          <w:lang w:val="fr-FR"/>
        </w:rPr>
        <w:t xml:space="preserve"> </w:t>
      </w:r>
      <w:r w:rsidRPr="00310F7F">
        <w:rPr>
          <w:kern w:val="28"/>
          <w:lang w:val="fr-FR"/>
        </w:rPr>
        <w:t>(</w:t>
      </w:r>
      <w:r w:rsidR="00995598" w:rsidRPr="00310F7F">
        <w:rPr>
          <w:kern w:val="28"/>
          <w:lang w:val="fr-FR"/>
        </w:rPr>
        <w:t>voir le paragraphe 85 du</w:t>
      </w:r>
      <w:r w:rsidRPr="00310F7F">
        <w:rPr>
          <w:kern w:val="28"/>
          <w:lang w:val="fr-FR"/>
        </w:rPr>
        <w:t xml:space="preserve"> document CAJ/71/10 “</w:t>
      </w:r>
      <w:r w:rsidR="00995598" w:rsidRPr="00310F7F">
        <w:rPr>
          <w:kern w:val="28"/>
          <w:lang w:val="fr-FR"/>
        </w:rPr>
        <w:t>Compte rendu des</w:t>
      </w:r>
      <w:r w:rsidRPr="00310F7F">
        <w:rPr>
          <w:kern w:val="28"/>
          <w:lang w:val="fr-FR"/>
        </w:rPr>
        <w:t xml:space="preserve"> </w:t>
      </w:r>
      <w:r w:rsidR="00995598" w:rsidRPr="00310F7F">
        <w:rPr>
          <w:kern w:val="28"/>
          <w:lang w:val="fr-FR"/>
        </w:rPr>
        <w:t>c</w:t>
      </w:r>
      <w:r w:rsidRPr="00310F7F">
        <w:rPr>
          <w:kern w:val="28"/>
          <w:lang w:val="fr-FR"/>
        </w:rPr>
        <w:t>onclusions”)</w:t>
      </w:r>
      <w:r w:rsidRPr="00310F7F">
        <w:rPr>
          <w:lang w:val="fr-FR"/>
        </w:rPr>
        <w:t>.</w:t>
      </w:r>
    </w:p>
    <w:p w:rsidR="00B732F6" w:rsidRPr="00310F7F" w:rsidRDefault="00B732F6" w:rsidP="00BA5523">
      <w:pPr>
        <w:rPr>
          <w:lang w:val="fr-FR"/>
        </w:rPr>
      </w:pPr>
    </w:p>
    <w:p w:rsidR="00B732F6" w:rsidRPr="00310F7F" w:rsidRDefault="00B732F6"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995598" w:rsidRPr="00310F7F">
        <w:rPr>
          <w:lang w:val="fr-FR"/>
        </w:rPr>
        <w:t>Le CAJ a noté que le</w:t>
      </w:r>
      <w:r w:rsidR="00FD21CB" w:rsidRPr="00310F7F">
        <w:rPr>
          <w:lang w:val="fr-FR"/>
        </w:rPr>
        <w:t> TC</w:t>
      </w:r>
      <w:r w:rsidR="00995598" w:rsidRPr="00310F7F">
        <w:rPr>
          <w:lang w:val="fr-FR"/>
        </w:rPr>
        <w:t xml:space="preserve"> avait examiné la possibilité d</w:t>
      </w:r>
      <w:r w:rsidR="00FD21CB" w:rsidRPr="00310F7F">
        <w:rPr>
          <w:lang w:val="fr-FR"/>
        </w:rPr>
        <w:t>’</w:t>
      </w:r>
      <w:r w:rsidR="00995598" w:rsidRPr="00310F7F">
        <w:rPr>
          <w:lang w:val="fr-FR"/>
        </w:rPr>
        <w:t>élaborer un projet de questions et réponses concernant la diffusion d</w:t>
      </w:r>
      <w:r w:rsidR="00FD21CB" w:rsidRPr="00310F7F">
        <w:rPr>
          <w:lang w:val="fr-FR"/>
        </w:rPr>
        <w:t>’</w:t>
      </w:r>
      <w:r w:rsidR="00995598" w:rsidRPr="00310F7F">
        <w:rPr>
          <w:lang w:val="fr-FR"/>
        </w:rPr>
        <w:t xml:space="preserve">informations à un large public, </w:t>
      </w:r>
      <w:r w:rsidR="00FD21CB" w:rsidRPr="00310F7F">
        <w:rPr>
          <w:lang w:val="fr-FR"/>
        </w:rPr>
        <w:t>y compris</w:t>
      </w:r>
      <w:r w:rsidR="00995598" w:rsidRPr="00310F7F">
        <w:rPr>
          <w:lang w:val="fr-FR"/>
        </w:rPr>
        <w:t xml:space="preserve"> le public en général, sur la situation à l</w:t>
      </w:r>
      <w:r w:rsidR="00FD21CB" w:rsidRPr="00310F7F">
        <w:rPr>
          <w:lang w:val="fr-FR"/>
        </w:rPr>
        <w:t>’</w:t>
      </w:r>
      <w:r w:rsidR="00995598" w:rsidRPr="00310F7F">
        <w:rPr>
          <w:lang w:val="fr-FR"/>
        </w:rPr>
        <w:t>UPOV concernant l</w:t>
      </w:r>
      <w:r w:rsidR="00FD21CB" w:rsidRPr="00310F7F">
        <w:rPr>
          <w:lang w:val="fr-FR"/>
        </w:rPr>
        <w:t>’</w:t>
      </w:r>
      <w:r w:rsidR="00995598" w:rsidRPr="00310F7F">
        <w:rPr>
          <w:lang w:val="fr-FR"/>
        </w:rPr>
        <w:t>utilisation de techniques moléculaires</w:t>
      </w:r>
      <w:r w:rsidRPr="00310F7F">
        <w:rPr>
          <w:lang w:val="fr-FR"/>
        </w:rPr>
        <w:t xml:space="preserve">.  </w:t>
      </w:r>
      <w:r w:rsidR="00995598" w:rsidRPr="00310F7F">
        <w:rPr>
          <w:lang w:val="fr-FR"/>
        </w:rPr>
        <w:t>Le</w:t>
      </w:r>
      <w:r w:rsidR="00FD21CB" w:rsidRPr="00310F7F">
        <w:rPr>
          <w:lang w:val="fr-FR"/>
        </w:rPr>
        <w:t> TC</w:t>
      </w:r>
      <w:r w:rsidR="00995598" w:rsidRPr="00310F7F">
        <w:rPr>
          <w:lang w:val="fr-FR"/>
        </w:rPr>
        <w:t xml:space="preserve"> était convenu de demander aux groupes de travail techniques, à leurs sessions de 2015, d</w:t>
      </w:r>
      <w:r w:rsidR="00FD21CB" w:rsidRPr="00310F7F">
        <w:rPr>
          <w:lang w:val="fr-FR"/>
        </w:rPr>
        <w:t>’</w:t>
      </w:r>
      <w:r w:rsidR="00995598" w:rsidRPr="00310F7F">
        <w:rPr>
          <w:lang w:val="fr-FR"/>
        </w:rPr>
        <w:t>examiner le projet initial suivant qui avait été discuté à la session du</w:t>
      </w:r>
      <w:r w:rsidR="00FD21CB" w:rsidRPr="00310F7F">
        <w:rPr>
          <w:lang w:val="fr-FR"/>
        </w:rPr>
        <w:t> TC</w:t>
      </w:r>
      <w:r w:rsidRPr="00310F7F">
        <w:rPr>
          <w:lang w:val="fr-FR"/>
        </w:rPr>
        <w:t xml:space="preserve"> </w:t>
      </w:r>
      <w:r w:rsidRPr="00310F7F">
        <w:rPr>
          <w:kern w:val="28"/>
          <w:lang w:val="fr-FR"/>
        </w:rPr>
        <w:t>(</w:t>
      </w:r>
      <w:r w:rsidR="00995598" w:rsidRPr="00310F7F">
        <w:rPr>
          <w:kern w:val="28"/>
          <w:lang w:val="fr-FR"/>
        </w:rPr>
        <w:t>voir le paragraphe 86 du</w:t>
      </w:r>
      <w:r w:rsidRPr="00310F7F">
        <w:rPr>
          <w:kern w:val="28"/>
          <w:lang w:val="fr-FR"/>
        </w:rPr>
        <w:t xml:space="preserve"> document CAJ/71/10 “</w:t>
      </w:r>
      <w:r w:rsidR="00995598" w:rsidRPr="00310F7F">
        <w:rPr>
          <w:kern w:val="28"/>
          <w:lang w:val="fr-FR"/>
        </w:rPr>
        <w:t>Compte rendu des c</w:t>
      </w:r>
      <w:r w:rsidRPr="00310F7F">
        <w:rPr>
          <w:kern w:val="28"/>
          <w:lang w:val="fr-FR"/>
        </w:rPr>
        <w:t>onclusions”)</w:t>
      </w:r>
      <w:r w:rsidR="00995598" w:rsidRPr="00310F7F">
        <w:rPr>
          <w:kern w:val="28"/>
          <w:lang w:val="fr-FR"/>
        </w:rPr>
        <w:t> </w:t>
      </w:r>
      <w:r w:rsidR="00E36CE1" w:rsidRPr="00310F7F">
        <w:rPr>
          <w:kern w:val="28"/>
          <w:lang w:val="fr-FR"/>
        </w:rPr>
        <w:t>:</w:t>
      </w:r>
    </w:p>
    <w:p w:rsidR="00B732F6" w:rsidRPr="00310F7F" w:rsidRDefault="00B732F6" w:rsidP="00BA5523">
      <w:pPr>
        <w:rPr>
          <w:lang w:val="fr-FR"/>
        </w:rPr>
      </w:pPr>
    </w:p>
    <w:p w:rsidR="00B732F6" w:rsidRPr="00310F7F" w:rsidRDefault="00B732F6" w:rsidP="00BA5523">
      <w:pPr>
        <w:keepNext/>
        <w:ind w:left="567" w:right="567"/>
        <w:rPr>
          <w:sz w:val="18"/>
          <w:lang w:val="fr-FR"/>
        </w:rPr>
      </w:pPr>
      <w:r w:rsidRPr="00310F7F">
        <w:rPr>
          <w:sz w:val="18"/>
          <w:lang w:val="fr-FR"/>
        </w:rPr>
        <w:t>“</w:t>
      </w:r>
      <w:r w:rsidR="00995598" w:rsidRPr="00310F7F">
        <w:rPr>
          <w:sz w:val="18"/>
          <w:lang w:val="fr-FR"/>
        </w:rPr>
        <w:t>Est</w:t>
      </w:r>
      <w:r w:rsidR="00FF3774" w:rsidRPr="00310F7F">
        <w:rPr>
          <w:sz w:val="18"/>
          <w:lang w:val="fr-FR"/>
        </w:rPr>
        <w:noBreakHyphen/>
      </w:r>
      <w:r w:rsidR="00995598" w:rsidRPr="00310F7F">
        <w:rPr>
          <w:sz w:val="18"/>
          <w:lang w:val="fr-FR"/>
        </w:rPr>
        <w:t>il possible d</w:t>
      </w:r>
      <w:r w:rsidR="00FD21CB" w:rsidRPr="00310F7F">
        <w:rPr>
          <w:sz w:val="18"/>
          <w:lang w:val="fr-FR"/>
        </w:rPr>
        <w:t>’</w:t>
      </w:r>
      <w:r w:rsidR="00995598" w:rsidRPr="00310F7F">
        <w:rPr>
          <w:sz w:val="18"/>
          <w:lang w:val="fr-FR"/>
        </w:rPr>
        <w:t>obtenir la protection d</w:t>
      </w:r>
      <w:r w:rsidR="00FD21CB" w:rsidRPr="00310F7F">
        <w:rPr>
          <w:sz w:val="18"/>
          <w:lang w:val="fr-FR"/>
        </w:rPr>
        <w:t>’</w:t>
      </w:r>
      <w:r w:rsidR="00995598" w:rsidRPr="00310F7F">
        <w:rPr>
          <w:sz w:val="18"/>
          <w:lang w:val="fr-FR"/>
        </w:rPr>
        <w:t>une variété sur la base de son profil d</w:t>
      </w:r>
      <w:r w:rsidR="00FD21CB" w:rsidRPr="00310F7F">
        <w:rPr>
          <w:sz w:val="18"/>
          <w:lang w:val="fr-FR"/>
        </w:rPr>
        <w:t>’</w:t>
      </w:r>
      <w:r w:rsidR="00995598" w:rsidRPr="00310F7F">
        <w:rPr>
          <w:sz w:val="18"/>
          <w:lang w:val="fr-FR"/>
        </w:rPr>
        <w:t>ADN?</w:t>
      </w:r>
    </w:p>
    <w:p w:rsidR="00B732F6" w:rsidRPr="00310F7F" w:rsidRDefault="00B732F6" w:rsidP="00BA5523">
      <w:pPr>
        <w:keepNext/>
        <w:ind w:left="567" w:right="567"/>
        <w:rPr>
          <w:sz w:val="18"/>
          <w:lang w:val="fr-FR"/>
        </w:rPr>
      </w:pPr>
    </w:p>
    <w:p w:rsidR="00B732F6" w:rsidRPr="00310F7F" w:rsidRDefault="00B732F6" w:rsidP="00BA5523">
      <w:pPr>
        <w:keepNext/>
        <w:ind w:left="567" w:right="567"/>
        <w:rPr>
          <w:sz w:val="18"/>
          <w:lang w:val="fr-FR"/>
        </w:rPr>
      </w:pPr>
      <w:r w:rsidRPr="00310F7F">
        <w:rPr>
          <w:sz w:val="18"/>
          <w:lang w:val="fr-FR"/>
        </w:rPr>
        <w:t>“</w:t>
      </w:r>
      <w:r w:rsidR="00995598" w:rsidRPr="00310F7F">
        <w:rPr>
          <w:sz w:val="18"/>
          <w:lang w:val="fr-FR"/>
        </w:rPr>
        <w:t>Pour pouvoir bénéficier d</w:t>
      </w:r>
      <w:r w:rsidR="00FD21CB" w:rsidRPr="00310F7F">
        <w:rPr>
          <w:sz w:val="18"/>
          <w:lang w:val="fr-FR"/>
        </w:rPr>
        <w:t>’</w:t>
      </w:r>
      <w:r w:rsidR="00995598" w:rsidRPr="00310F7F">
        <w:rPr>
          <w:sz w:val="18"/>
          <w:lang w:val="fr-FR"/>
        </w:rPr>
        <w:t>une protection, une variété doit pouvoir être nettement distinguée de toute autre variété existante par des caractères exprimés physiquement, par exemple, la hauteur de la plante, l</w:t>
      </w:r>
      <w:r w:rsidR="00FD21CB" w:rsidRPr="00310F7F">
        <w:rPr>
          <w:sz w:val="18"/>
          <w:lang w:val="fr-FR"/>
        </w:rPr>
        <w:t>’</w:t>
      </w:r>
      <w:r w:rsidR="00995598" w:rsidRPr="00310F7F">
        <w:rPr>
          <w:sz w:val="18"/>
          <w:lang w:val="fr-FR"/>
        </w:rPr>
        <w:t>époque de floraison, la couleur des fruits, la résistance aux maladies, etc.</w:t>
      </w:r>
      <w:r w:rsidRPr="00310F7F">
        <w:rPr>
          <w:sz w:val="18"/>
          <w:lang w:val="fr-FR"/>
        </w:rPr>
        <w:t xml:space="preserve">  [</w:t>
      </w:r>
      <w:r w:rsidR="00995598" w:rsidRPr="00310F7F">
        <w:rPr>
          <w:sz w:val="18"/>
          <w:lang w:val="fr-FR"/>
        </w:rPr>
        <w:t>Les techniques moléculaires (les profils d</w:t>
      </w:r>
      <w:r w:rsidR="00FD21CB" w:rsidRPr="00310F7F">
        <w:rPr>
          <w:sz w:val="18"/>
          <w:lang w:val="fr-FR"/>
        </w:rPr>
        <w:t>’</w:t>
      </w:r>
      <w:r w:rsidR="00995598" w:rsidRPr="00310F7F">
        <w:rPr>
          <w:sz w:val="18"/>
          <w:lang w:val="fr-FR"/>
        </w:rPr>
        <w:t>ADN) peuvent être utilisées en tant qu</w:t>
      </w:r>
      <w:r w:rsidR="00FD21CB" w:rsidRPr="00310F7F">
        <w:rPr>
          <w:sz w:val="18"/>
          <w:lang w:val="fr-FR"/>
        </w:rPr>
        <w:t>’</w:t>
      </w:r>
      <w:r w:rsidR="00995598" w:rsidRPr="00310F7F">
        <w:rPr>
          <w:sz w:val="18"/>
          <w:lang w:val="fr-FR"/>
        </w:rPr>
        <w:t>informations complémentaires</w:t>
      </w:r>
      <w:r w:rsidRPr="00310F7F">
        <w:rPr>
          <w:sz w:val="18"/>
          <w:lang w:val="fr-FR"/>
        </w:rPr>
        <w:t>].</w:t>
      </w:r>
    </w:p>
    <w:p w:rsidR="00B732F6" w:rsidRPr="00310F7F" w:rsidRDefault="00B732F6" w:rsidP="00BA5523">
      <w:pPr>
        <w:keepNext/>
        <w:ind w:left="567" w:right="567"/>
        <w:rPr>
          <w:sz w:val="18"/>
          <w:lang w:val="fr-FR"/>
        </w:rPr>
      </w:pPr>
    </w:p>
    <w:p w:rsidR="00FD21CB" w:rsidRPr="00310F7F" w:rsidRDefault="00B732F6" w:rsidP="00BA5523">
      <w:pPr>
        <w:keepNext/>
        <w:ind w:left="567" w:right="567"/>
        <w:rPr>
          <w:sz w:val="18"/>
          <w:lang w:val="fr-FR"/>
        </w:rPr>
      </w:pPr>
      <w:r w:rsidRPr="00310F7F">
        <w:rPr>
          <w:sz w:val="18"/>
          <w:lang w:val="fr-FR"/>
        </w:rPr>
        <w:t>“</w:t>
      </w:r>
      <w:r w:rsidR="00995598" w:rsidRPr="00310F7F">
        <w:rPr>
          <w:sz w:val="18"/>
          <w:lang w:val="fr-FR"/>
        </w:rPr>
        <w:t xml:space="preserve">Des explications plus détaillées sont fournies dans les réponses aux questions fréquemment posées </w:t>
      </w:r>
      <w:r w:rsidR="00FD21CB" w:rsidRPr="00310F7F">
        <w:rPr>
          <w:sz w:val="18"/>
          <w:lang w:val="fr-FR"/>
        </w:rPr>
        <w:t>‘</w:t>
      </w:r>
      <w:r w:rsidR="00995598" w:rsidRPr="00310F7F">
        <w:rPr>
          <w:sz w:val="18"/>
          <w:lang w:val="fr-FR"/>
        </w:rPr>
        <w:t>L</w:t>
      </w:r>
      <w:r w:rsidR="00FD21CB" w:rsidRPr="00310F7F">
        <w:rPr>
          <w:sz w:val="18"/>
          <w:lang w:val="fr-FR"/>
        </w:rPr>
        <w:t>’</w:t>
      </w:r>
      <w:r w:rsidR="00995598" w:rsidRPr="00310F7F">
        <w:rPr>
          <w:sz w:val="18"/>
          <w:lang w:val="fr-FR"/>
        </w:rPr>
        <w:t>UPOV permet</w:t>
      </w:r>
      <w:r w:rsidR="00FF3774" w:rsidRPr="00310F7F">
        <w:rPr>
          <w:sz w:val="18"/>
          <w:lang w:val="fr-FR"/>
        </w:rPr>
        <w:noBreakHyphen/>
      </w:r>
      <w:r w:rsidR="00995598" w:rsidRPr="00310F7F">
        <w:rPr>
          <w:sz w:val="18"/>
          <w:lang w:val="fr-FR"/>
        </w:rPr>
        <w:t>elle de recourir à des techniques moléculaires (profils d</w:t>
      </w:r>
      <w:r w:rsidR="00FD21CB" w:rsidRPr="00310F7F">
        <w:rPr>
          <w:sz w:val="18"/>
          <w:lang w:val="fr-FR"/>
        </w:rPr>
        <w:t>’</w:t>
      </w:r>
      <w:r w:rsidR="00995598" w:rsidRPr="00310F7F">
        <w:rPr>
          <w:sz w:val="18"/>
          <w:lang w:val="fr-FR"/>
        </w:rPr>
        <w:t>ADN) dans l</w:t>
      </w:r>
      <w:r w:rsidR="00FD21CB" w:rsidRPr="00310F7F">
        <w:rPr>
          <w:sz w:val="18"/>
          <w:lang w:val="fr-FR"/>
        </w:rPr>
        <w:t>’</w:t>
      </w:r>
      <w:r w:rsidR="00995598" w:rsidRPr="00310F7F">
        <w:rPr>
          <w:sz w:val="18"/>
          <w:lang w:val="fr-FR"/>
        </w:rPr>
        <w:t>examen de la distinction, de l</w:t>
      </w:r>
      <w:r w:rsidR="00FD21CB" w:rsidRPr="00310F7F">
        <w:rPr>
          <w:sz w:val="18"/>
          <w:lang w:val="fr-FR"/>
        </w:rPr>
        <w:t>’</w:t>
      </w:r>
      <w:r w:rsidR="00995598" w:rsidRPr="00310F7F">
        <w:rPr>
          <w:sz w:val="18"/>
          <w:lang w:val="fr-FR"/>
        </w:rPr>
        <w:t>homogénéité et de la stabilité (examen</w:t>
      </w:r>
      <w:r w:rsidR="003B2AC4" w:rsidRPr="00310F7F">
        <w:rPr>
          <w:sz w:val="18"/>
          <w:lang w:val="fr-FR"/>
        </w:rPr>
        <w:t> </w:t>
      </w:r>
      <w:r w:rsidR="00995598" w:rsidRPr="00310F7F">
        <w:rPr>
          <w:sz w:val="18"/>
          <w:lang w:val="fr-FR"/>
        </w:rPr>
        <w:t>DHS)?</w:t>
      </w:r>
    </w:p>
    <w:p w:rsidR="00B732F6" w:rsidRPr="00310F7F" w:rsidRDefault="00B732F6" w:rsidP="00BA5523">
      <w:pPr>
        <w:keepNext/>
        <w:ind w:left="567" w:right="567"/>
        <w:rPr>
          <w:sz w:val="18"/>
          <w:lang w:val="fr-FR"/>
        </w:rPr>
      </w:pPr>
    </w:p>
    <w:p w:rsidR="00B732F6" w:rsidRPr="00310F7F" w:rsidRDefault="00B732F6" w:rsidP="00BA5523">
      <w:pPr>
        <w:ind w:left="567" w:right="567"/>
        <w:rPr>
          <w:sz w:val="18"/>
          <w:lang w:val="fr-FR"/>
        </w:rPr>
      </w:pPr>
      <w:r w:rsidRPr="00310F7F">
        <w:rPr>
          <w:sz w:val="18"/>
          <w:lang w:val="fr-FR"/>
        </w:rPr>
        <w:t>“</w:t>
      </w:r>
      <w:r w:rsidR="00995598" w:rsidRPr="00310F7F">
        <w:rPr>
          <w:sz w:val="18"/>
          <w:lang w:val="fr-FR"/>
        </w:rPr>
        <w:t>Voir également </w:t>
      </w:r>
      <w:r w:rsidRPr="00310F7F">
        <w:rPr>
          <w:sz w:val="18"/>
          <w:lang w:val="fr-FR"/>
        </w:rPr>
        <w:t>:</w:t>
      </w:r>
    </w:p>
    <w:p w:rsidR="00B732F6" w:rsidRPr="00310F7F" w:rsidRDefault="00B732F6" w:rsidP="00BA5523">
      <w:pPr>
        <w:ind w:left="567" w:right="567"/>
        <w:rPr>
          <w:sz w:val="18"/>
          <w:lang w:val="fr-FR"/>
        </w:rPr>
      </w:pPr>
      <w:r w:rsidRPr="00310F7F">
        <w:rPr>
          <w:sz w:val="18"/>
          <w:lang w:val="fr-FR"/>
        </w:rPr>
        <w:t>“</w:t>
      </w:r>
      <w:r w:rsidR="00995598" w:rsidRPr="00310F7F">
        <w:rPr>
          <w:sz w:val="18"/>
          <w:lang w:val="fr-FR"/>
        </w:rPr>
        <w:t>Quelles sont les conditions à remplir pour pouvoir protéger une nouvelle variété végétale?</w:t>
      </w:r>
      <w:r w:rsidRPr="00310F7F">
        <w:rPr>
          <w:sz w:val="18"/>
          <w:lang w:val="fr-FR"/>
        </w:rPr>
        <w:t>”</w:t>
      </w:r>
    </w:p>
    <w:p w:rsidR="00B732F6" w:rsidRPr="00310F7F" w:rsidRDefault="00B732F6" w:rsidP="00BA5523">
      <w:pPr>
        <w:rPr>
          <w:lang w:val="fr-FR"/>
        </w:rPr>
      </w:pPr>
    </w:p>
    <w:p w:rsidR="00B732F6" w:rsidRPr="00310F7F" w:rsidRDefault="00B732F6" w:rsidP="00BA5523">
      <w:pPr>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995598" w:rsidRPr="00310F7F">
        <w:rPr>
          <w:lang w:val="fr-FR"/>
        </w:rPr>
        <w:t>Le CAJ a pris note de l</w:t>
      </w:r>
      <w:r w:rsidR="00FD21CB" w:rsidRPr="00310F7F">
        <w:rPr>
          <w:lang w:val="fr-FR"/>
        </w:rPr>
        <w:t>’</w:t>
      </w:r>
      <w:r w:rsidR="00995598" w:rsidRPr="00310F7F">
        <w:rPr>
          <w:lang w:val="fr-FR"/>
        </w:rPr>
        <w:t>intervention du représentant de l</w:t>
      </w:r>
      <w:r w:rsidR="00FD21CB" w:rsidRPr="00310F7F">
        <w:rPr>
          <w:lang w:val="fr-FR"/>
        </w:rPr>
        <w:t>’</w:t>
      </w:r>
      <w:r w:rsidR="00995598" w:rsidRPr="00310F7F">
        <w:rPr>
          <w:i/>
          <w:lang w:val="fr-FR"/>
        </w:rPr>
        <w:t xml:space="preserve">Association for Plant </w:t>
      </w:r>
      <w:proofErr w:type="spellStart"/>
      <w:r w:rsidR="00995598" w:rsidRPr="00310F7F">
        <w:rPr>
          <w:i/>
          <w:lang w:val="fr-FR"/>
        </w:rPr>
        <w:t>Breeding</w:t>
      </w:r>
      <w:proofErr w:type="spellEnd"/>
      <w:r w:rsidR="00995598" w:rsidRPr="00310F7F">
        <w:rPr>
          <w:i/>
          <w:lang w:val="fr-FR"/>
        </w:rPr>
        <w:t xml:space="preserve"> for the </w:t>
      </w:r>
      <w:proofErr w:type="spellStart"/>
      <w:r w:rsidR="00995598" w:rsidRPr="00310F7F">
        <w:rPr>
          <w:i/>
          <w:lang w:val="fr-FR"/>
        </w:rPr>
        <w:t>Benefit</w:t>
      </w:r>
      <w:proofErr w:type="spellEnd"/>
      <w:r w:rsidR="00995598" w:rsidRPr="00310F7F">
        <w:rPr>
          <w:i/>
          <w:lang w:val="fr-FR"/>
        </w:rPr>
        <w:t xml:space="preserve"> of Society</w:t>
      </w:r>
      <w:r w:rsidR="00995598" w:rsidRPr="00310F7F">
        <w:rPr>
          <w:lang w:val="fr-FR"/>
        </w:rPr>
        <w:t xml:space="preserve"> (APBREBES)</w:t>
      </w:r>
      <w:r w:rsidRPr="00310F7F">
        <w:rPr>
          <w:lang w:val="fr-FR"/>
        </w:rPr>
        <w:t xml:space="preserve"> </w:t>
      </w:r>
      <w:r w:rsidRPr="00310F7F">
        <w:rPr>
          <w:kern w:val="28"/>
          <w:lang w:val="fr-FR"/>
        </w:rPr>
        <w:t>(</w:t>
      </w:r>
      <w:r w:rsidR="00F87A71" w:rsidRPr="00310F7F">
        <w:rPr>
          <w:kern w:val="28"/>
          <w:lang w:val="fr-FR"/>
        </w:rPr>
        <w:t>voir le paragraphe 87 du</w:t>
      </w:r>
      <w:r w:rsidRPr="00310F7F">
        <w:rPr>
          <w:kern w:val="28"/>
          <w:lang w:val="fr-FR"/>
        </w:rPr>
        <w:t xml:space="preserve"> document CAJ/71/10 “</w:t>
      </w:r>
      <w:r w:rsidR="00F87A71" w:rsidRPr="00310F7F">
        <w:rPr>
          <w:kern w:val="28"/>
          <w:lang w:val="fr-FR"/>
        </w:rPr>
        <w:t>Compte rendu des c</w:t>
      </w:r>
      <w:r w:rsidRPr="00310F7F">
        <w:rPr>
          <w:kern w:val="28"/>
          <w:lang w:val="fr-FR"/>
        </w:rPr>
        <w:t>onclusions”)</w:t>
      </w:r>
      <w:r w:rsidRPr="00310F7F">
        <w:rPr>
          <w:lang w:val="fr-FR"/>
        </w:rPr>
        <w:t>.</w:t>
      </w:r>
    </w:p>
    <w:p w:rsidR="00C86975" w:rsidRPr="00310F7F" w:rsidRDefault="00C86975" w:rsidP="00BA5523">
      <w:pPr>
        <w:rPr>
          <w:lang w:val="fr-FR"/>
        </w:rPr>
      </w:pPr>
    </w:p>
    <w:p w:rsidR="0094239D" w:rsidRPr="00310F7F" w:rsidRDefault="0094239D" w:rsidP="00BA5523">
      <w:pPr>
        <w:rPr>
          <w:lang w:val="fr-FR"/>
        </w:rPr>
      </w:pPr>
    </w:p>
    <w:p w:rsidR="00C24200" w:rsidRPr="00310F7F" w:rsidRDefault="00A855AE" w:rsidP="00BA5523">
      <w:pPr>
        <w:pStyle w:val="Heading1"/>
        <w:rPr>
          <w:snapToGrid w:val="0"/>
          <w:lang w:val="fr-FR"/>
        </w:rPr>
      </w:pPr>
      <w:bookmarkStart w:id="14" w:name="_Toc431558829"/>
      <w:r w:rsidRPr="00310F7F">
        <w:rPr>
          <w:snapToGrid w:val="0"/>
          <w:lang w:val="fr-FR"/>
        </w:rPr>
        <w:t>Programme de la soixante</w:t>
      </w:r>
      <w:r w:rsidR="00FF3774" w:rsidRPr="00310F7F">
        <w:rPr>
          <w:snapToGrid w:val="0"/>
          <w:lang w:val="fr-FR"/>
        </w:rPr>
        <w:noBreakHyphen/>
      </w:r>
      <w:r w:rsidRPr="00310F7F">
        <w:rPr>
          <w:snapToGrid w:val="0"/>
          <w:lang w:val="fr-FR"/>
        </w:rPr>
        <w:t>douzième</w:t>
      </w:r>
      <w:r w:rsidR="003B2AC4" w:rsidRPr="00310F7F">
        <w:rPr>
          <w:snapToGrid w:val="0"/>
          <w:lang w:val="fr-FR"/>
        </w:rPr>
        <w:t> </w:t>
      </w:r>
      <w:r w:rsidRPr="00310F7F">
        <w:rPr>
          <w:snapToGrid w:val="0"/>
          <w:lang w:val="fr-FR"/>
        </w:rPr>
        <w:t>session</w:t>
      </w:r>
      <w:bookmarkEnd w:id="14"/>
    </w:p>
    <w:p w:rsidR="00C24200" w:rsidRPr="00310F7F" w:rsidRDefault="00C24200" w:rsidP="00BA5523">
      <w:pPr>
        <w:rPr>
          <w:lang w:val="fr-FR"/>
        </w:rPr>
      </w:pPr>
    </w:p>
    <w:p w:rsidR="00F531FC" w:rsidRPr="00310F7F" w:rsidRDefault="00C24200" w:rsidP="00BA5523">
      <w:pPr>
        <w:keepNext/>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A855AE" w:rsidRPr="00310F7F">
        <w:rPr>
          <w:lang w:val="fr-FR"/>
        </w:rPr>
        <w:t>Le programme ci</w:t>
      </w:r>
      <w:r w:rsidR="00FF3774" w:rsidRPr="00310F7F">
        <w:rPr>
          <w:lang w:val="fr-FR"/>
        </w:rPr>
        <w:noBreakHyphen/>
      </w:r>
      <w:r w:rsidR="00A855AE" w:rsidRPr="00310F7F">
        <w:rPr>
          <w:lang w:val="fr-FR"/>
        </w:rPr>
        <w:t>après est approuvé pour la soixante</w:t>
      </w:r>
      <w:r w:rsidR="00FF3774" w:rsidRPr="00310F7F">
        <w:rPr>
          <w:lang w:val="fr-FR"/>
        </w:rPr>
        <w:noBreakHyphen/>
      </w:r>
      <w:r w:rsidR="00A855AE" w:rsidRPr="00310F7F">
        <w:rPr>
          <w:lang w:val="fr-FR"/>
        </w:rPr>
        <w:t>douzième session</w:t>
      </w:r>
      <w:r w:rsidR="00FD21CB" w:rsidRPr="00310F7F">
        <w:rPr>
          <w:lang w:val="fr-FR"/>
        </w:rPr>
        <w:t xml:space="preserve"> du CAJ</w:t>
      </w:r>
      <w:r w:rsidR="00A855AE" w:rsidRPr="00310F7F">
        <w:rPr>
          <w:lang w:val="fr-FR"/>
        </w:rPr>
        <w:t xml:space="preserve"> qui se tiendra à Genève les 26</w:t>
      </w:r>
      <w:r w:rsidR="00BB2969" w:rsidRPr="00310F7F">
        <w:rPr>
          <w:lang w:val="fr-FR"/>
        </w:rPr>
        <w:t> </w:t>
      </w:r>
      <w:r w:rsidR="00A855AE" w:rsidRPr="00310F7F">
        <w:rPr>
          <w:lang w:val="fr-FR"/>
        </w:rPr>
        <w:t>et 27 o</w:t>
      </w:r>
      <w:r w:rsidR="00F531FC" w:rsidRPr="00310F7F">
        <w:rPr>
          <w:lang w:val="fr-FR"/>
        </w:rPr>
        <w:t>ctobr</w:t>
      </w:r>
      <w:r w:rsidR="00A855AE" w:rsidRPr="00310F7F">
        <w:rPr>
          <w:lang w:val="fr-FR"/>
        </w:rPr>
        <w:t>e </w:t>
      </w:r>
      <w:r w:rsidR="00F531FC" w:rsidRPr="00310F7F">
        <w:rPr>
          <w:lang w:val="fr-FR"/>
        </w:rPr>
        <w:t>2015</w:t>
      </w:r>
      <w:r w:rsidR="00BB2969" w:rsidRPr="00310F7F">
        <w:rPr>
          <w:lang w:val="fr-FR"/>
        </w:rPr>
        <w:t> </w:t>
      </w:r>
      <w:r w:rsidRPr="00310F7F">
        <w:rPr>
          <w:lang w:val="fr-FR"/>
        </w:rPr>
        <w:t>:</w:t>
      </w:r>
      <w:r w:rsidR="00F531FC" w:rsidRPr="00310F7F">
        <w:rPr>
          <w:lang w:val="fr-FR"/>
        </w:rPr>
        <w:t xml:space="preserve"> </w:t>
      </w:r>
      <w:r w:rsidR="00A855AE" w:rsidRPr="00310F7F">
        <w:rPr>
          <w:lang w:val="fr-FR"/>
        </w:rPr>
        <w:t xml:space="preserve">Ouverture de la </w:t>
      </w:r>
      <w:r w:rsidRPr="00310F7F">
        <w:rPr>
          <w:lang w:val="fr-FR"/>
        </w:rPr>
        <w:t>session</w:t>
      </w:r>
      <w:r w:rsidR="00F531FC" w:rsidRPr="00310F7F">
        <w:rPr>
          <w:lang w:val="fr-FR"/>
        </w:rPr>
        <w:t xml:space="preserve">; </w:t>
      </w:r>
      <w:r w:rsidR="00E36CE1" w:rsidRPr="00310F7F">
        <w:rPr>
          <w:lang w:val="fr-FR"/>
        </w:rPr>
        <w:t xml:space="preserve"> </w:t>
      </w:r>
      <w:r w:rsidRPr="00310F7F">
        <w:rPr>
          <w:lang w:val="fr-FR"/>
        </w:rPr>
        <w:t xml:space="preserve">Adoption </w:t>
      </w:r>
      <w:r w:rsidR="00A855AE" w:rsidRPr="00310F7F">
        <w:rPr>
          <w:lang w:val="fr-FR"/>
        </w:rPr>
        <w:t>de l</w:t>
      </w:r>
      <w:r w:rsidR="00FD21CB" w:rsidRPr="00310F7F">
        <w:rPr>
          <w:lang w:val="fr-FR"/>
        </w:rPr>
        <w:t>’</w:t>
      </w:r>
      <w:r w:rsidR="00A855AE" w:rsidRPr="00310F7F">
        <w:rPr>
          <w:lang w:val="fr-FR"/>
        </w:rPr>
        <w:t>ordre du jour;</w:t>
      </w:r>
      <w:r w:rsidR="00F531FC" w:rsidRPr="00310F7F">
        <w:rPr>
          <w:lang w:val="fr-FR"/>
        </w:rPr>
        <w:t xml:space="preserve"> </w:t>
      </w:r>
      <w:r w:rsidR="00E36CE1" w:rsidRPr="00310F7F">
        <w:rPr>
          <w:lang w:val="fr-FR"/>
        </w:rPr>
        <w:t xml:space="preserve"> </w:t>
      </w:r>
      <w:r w:rsidR="00A855AE" w:rsidRPr="00310F7F">
        <w:rPr>
          <w:lang w:val="fr-FR"/>
        </w:rPr>
        <w:t>Élaboration de matériel d</w:t>
      </w:r>
      <w:r w:rsidR="00FD21CB" w:rsidRPr="00310F7F">
        <w:rPr>
          <w:lang w:val="fr-FR"/>
        </w:rPr>
        <w:t>’</w:t>
      </w:r>
      <w:r w:rsidR="00A855AE" w:rsidRPr="00310F7F">
        <w:rPr>
          <w:lang w:val="fr-FR"/>
        </w:rPr>
        <w:t xml:space="preserve">information concernant la </w:t>
      </w:r>
      <w:r w:rsidR="00FD21CB" w:rsidRPr="00310F7F">
        <w:rPr>
          <w:lang w:val="fr-FR"/>
        </w:rPr>
        <w:t>Convention UPOV</w:t>
      </w:r>
      <w:r w:rsidRPr="00310F7F">
        <w:rPr>
          <w:lang w:val="fr-FR"/>
        </w:rPr>
        <w:t xml:space="preserve"> </w:t>
      </w:r>
      <w:r w:rsidR="00A855AE" w:rsidRPr="00310F7F">
        <w:rPr>
          <w:lang w:val="fr-FR"/>
        </w:rPr>
        <w:t>a</w:t>
      </w:r>
      <w:r w:rsidRPr="00310F7F">
        <w:rPr>
          <w:lang w:val="fr-FR"/>
        </w:rPr>
        <w:t>)</w:t>
      </w:r>
      <w:r w:rsidR="00E36CE1" w:rsidRPr="00310F7F">
        <w:rPr>
          <w:lang w:val="fr-FR"/>
        </w:rPr>
        <w:t xml:space="preserve"> </w:t>
      </w:r>
      <w:r w:rsidR="00A855AE" w:rsidRPr="00310F7F">
        <w:rPr>
          <w:lang w:val="fr-FR"/>
        </w:rPr>
        <w:t>Notes explicatives sur les variétés essentiellement dérivées selon l</w:t>
      </w:r>
      <w:r w:rsidR="00FD21CB" w:rsidRPr="00310F7F">
        <w:rPr>
          <w:lang w:val="fr-FR"/>
        </w:rPr>
        <w:t>’</w:t>
      </w:r>
      <w:r w:rsidR="00A855AE" w:rsidRPr="00310F7F">
        <w:rPr>
          <w:lang w:val="fr-FR"/>
        </w:rPr>
        <w:t>Acte de</w:t>
      </w:r>
      <w:r w:rsidR="00BB2969" w:rsidRPr="00310F7F">
        <w:rPr>
          <w:lang w:val="fr-FR"/>
        </w:rPr>
        <w:t> </w:t>
      </w:r>
      <w:r w:rsidR="00A855AE" w:rsidRPr="00310F7F">
        <w:rPr>
          <w:lang w:val="fr-FR"/>
        </w:rPr>
        <w:t xml:space="preserve">1991 de la </w:t>
      </w:r>
      <w:r w:rsidR="00FD21CB" w:rsidRPr="00310F7F">
        <w:rPr>
          <w:lang w:val="fr-FR"/>
        </w:rPr>
        <w:t>Convention UPOV</w:t>
      </w:r>
      <w:r w:rsidR="00A855AE" w:rsidRPr="00310F7F">
        <w:rPr>
          <w:lang w:val="fr-FR"/>
        </w:rPr>
        <w:t xml:space="preserve"> (révision)</w:t>
      </w:r>
      <w:r w:rsidRPr="00310F7F">
        <w:rPr>
          <w:lang w:val="fr-FR"/>
        </w:rPr>
        <w:t xml:space="preserve"> (document UPOV/EXN/EDV/2</w:t>
      </w:r>
      <w:r w:rsidR="00A855AE" w:rsidRPr="00310F7F">
        <w:rPr>
          <w:lang w:val="fr-FR"/>
        </w:rPr>
        <w:t> </w:t>
      </w:r>
      <w:proofErr w:type="spellStart"/>
      <w:r w:rsidRPr="00310F7F">
        <w:rPr>
          <w:lang w:val="fr-FR"/>
        </w:rPr>
        <w:t>Draft</w:t>
      </w:r>
      <w:proofErr w:type="spellEnd"/>
      <w:r w:rsidRPr="00310F7F">
        <w:rPr>
          <w:lang w:val="fr-FR"/>
        </w:rPr>
        <w:t xml:space="preserve"> 6)</w:t>
      </w:r>
      <w:r w:rsidR="00F531FC" w:rsidRPr="00310F7F">
        <w:rPr>
          <w:lang w:val="fr-FR"/>
        </w:rPr>
        <w:t xml:space="preserve"> </w:t>
      </w:r>
      <w:r w:rsidR="00A855AE" w:rsidRPr="00310F7F">
        <w:rPr>
          <w:lang w:val="fr-FR"/>
        </w:rPr>
        <w:t>et</w:t>
      </w:r>
      <w:r w:rsidR="00F531FC" w:rsidRPr="00310F7F">
        <w:rPr>
          <w:lang w:val="fr-FR"/>
        </w:rPr>
        <w:t xml:space="preserve"> </w:t>
      </w:r>
      <w:r w:rsidRPr="00310F7F">
        <w:rPr>
          <w:lang w:val="fr-FR"/>
        </w:rPr>
        <w:t>b)</w:t>
      </w:r>
      <w:r w:rsidR="003B2AC4" w:rsidRPr="00310F7F">
        <w:rPr>
          <w:lang w:val="fr-FR"/>
        </w:rPr>
        <w:t> </w:t>
      </w:r>
      <w:r w:rsidR="00A855AE" w:rsidRPr="00310F7F">
        <w:rPr>
          <w:lang w:val="fr-FR"/>
        </w:rPr>
        <w:t xml:space="preserve">Notes explicatives sur le matériel de reproduction ou de multiplication selon la </w:t>
      </w:r>
      <w:r w:rsidR="00FD21CB" w:rsidRPr="00310F7F">
        <w:rPr>
          <w:lang w:val="fr-FR"/>
        </w:rPr>
        <w:t>Convention UPOV</w:t>
      </w:r>
      <w:r w:rsidR="00E36CE1" w:rsidRPr="00310F7F">
        <w:rPr>
          <w:lang w:val="fr-FR"/>
        </w:rPr>
        <w:t xml:space="preserve"> (document UPOV/EXN/PPM/1 </w:t>
      </w:r>
      <w:proofErr w:type="spellStart"/>
      <w:r w:rsidR="00E36CE1" w:rsidRPr="00310F7F">
        <w:rPr>
          <w:lang w:val="fr-FR"/>
        </w:rPr>
        <w:t>Draft</w:t>
      </w:r>
      <w:proofErr w:type="spellEnd"/>
      <w:r w:rsidR="00E36CE1" w:rsidRPr="00310F7F">
        <w:rPr>
          <w:lang w:val="fr-FR"/>
        </w:rPr>
        <w:t> </w:t>
      </w:r>
      <w:r w:rsidRPr="00310F7F">
        <w:rPr>
          <w:lang w:val="fr-FR"/>
        </w:rPr>
        <w:t>5)</w:t>
      </w:r>
      <w:r w:rsidR="00E36CE1" w:rsidRPr="00310F7F">
        <w:rPr>
          <w:lang w:val="fr-FR"/>
        </w:rPr>
        <w:t>)</w:t>
      </w:r>
      <w:r w:rsidR="00F531FC" w:rsidRPr="00310F7F">
        <w:rPr>
          <w:lang w:val="fr-FR"/>
        </w:rPr>
        <w:t xml:space="preserve">; </w:t>
      </w:r>
      <w:r w:rsidR="00E36CE1" w:rsidRPr="00310F7F">
        <w:rPr>
          <w:lang w:val="fr-FR"/>
        </w:rPr>
        <w:t xml:space="preserve"> </w:t>
      </w:r>
      <w:r w:rsidR="00A855AE" w:rsidRPr="00310F7F">
        <w:rPr>
          <w:lang w:val="fr-FR"/>
        </w:rPr>
        <w:t>Dé</w:t>
      </w:r>
      <w:r w:rsidRPr="00310F7F">
        <w:rPr>
          <w:lang w:val="fr-FR"/>
        </w:rPr>
        <w:t>nominations</w:t>
      </w:r>
      <w:r w:rsidR="00A855AE" w:rsidRPr="00310F7F">
        <w:rPr>
          <w:lang w:val="fr-FR"/>
        </w:rPr>
        <w:t xml:space="preserve"> variétales</w:t>
      </w:r>
      <w:r w:rsidR="00F531FC" w:rsidRPr="00310F7F">
        <w:rPr>
          <w:lang w:val="fr-FR"/>
        </w:rPr>
        <w:t xml:space="preserve">; </w:t>
      </w:r>
      <w:r w:rsidR="00E36CE1" w:rsidRPr="00310F7F">
        <w:rPr>
          <w:lang w:val="fr-FR"/>
        </w:rPr>
        <w:t xml:space="preserve"> </w:t>
      </w:r>
      <w:r w:rsidR="00A855AE" w:rsidRPr="00310F7F">
        <w:rPr>
          <w:lang w:val="fr-FR"/>
        </w:rPr>
        <w:t>Produit de la récolte;</w:t>
      </w:r>
      <w:r w:rsidR="00F531FC" w:rsidRPr="00310F7F">
        <w:rPr>
          <w:lang w:val="fr-FR"/>
        </w:rPr>
        <w:t xml:space="preserve"> </w:t>
      </w:r>
      <w:r w:rsidR="00E36CE1" w:rsidRPr="00310F7F">
        <w:rPr>
          <w:lang w:val="fr-FR"/>
        </w:rPr>
        <w:t xml:space="preserve"> </w:t>
      </w:r>
      <w:r w:rsidR="00A855AE" w:rsidRPr="00310F7F">
        <w:rPr>
          <w:lang w:val="fr-FR"/>
        </w:rPr>
        <w:t>Systèmes de dépôt électronique des demandes</w:t>
      </w:r>
      <w:r w:rsidR="0094239D" w:rsidRPr="00310F7F">
        <w:rPr>
          <w:lang w:val="fr-FR"/>
        </w:rPr>
        <w:t xml:space="preserve">; </w:t>
      </w:r>
      <w:r w:rsidR="00E36CE1" w:rsidRPr="00310F7F">
        <w:rPr>
          <w:lang w:val="fr-FR"/>
        </w:rPr>
        <w:t xml:space="preserve"> </w:t>
      </w:r>
      <w:r w:rsidR="00A855AE" w:rsidRPr="00310F7F">
        <w:rPr>
          <w:lang w:val="fr-FR"/>
        </w:rPr>
        <w:t>Bases de données d</w:t>
      </w:r>
      <w:r w:rsidR="00FD21CB" w:rsidRPr="00310F7F">
        <w:rPr>
          <w:lang w:val="fr-FR"/>
        </w:rPr>
        <w:t>’</w:t>
      </w:r>
      <w:r w:rsidR="00A855AE" w:rsidRPr="00310F7F">
        <w:rPr>
          <w:lang w:val="fr-FR"/>
        </w:rPr>
        <w:t>information de l</w:t>
      </w:r>
      <w:r w:rsidR="00FD21CB" w:rsidRPr="00310F7F">
        <w:rPr>
          <w:lang w:val="fr-FR"/>
        </w:rPr>
        <w:t>’</w:t>
      </w:r>
      <w:r w:rsidR="00A855AE" w:rsidRPr="00310F7F">
        <w:rPr>
          <w:lang w:val="fr-FR"/>
        </w:rPr>
        <w:t>UPOV</w:t>
      </w:r>
      <w:r w:rsidR="0094239D" w:rsidRPr="00310F7F">
        <w:rPr>
          <w:lang w:val="fr-FR"/>
        </w:rPr>
        <w:t xml:space="preserve">; </w:t>
      </w:r>
      <w:r w:rsidR="00E36CE1" w:rsidRPr="00310F7F">
        <w:rPr>
          <w:lang w:val="fr-FR"/>
        </w:rPr>
        <w:t xml:space="preserve"> </w:t>
      </w:r>
      <w:r w:rsidR="00A855AE" w:rsidRPr="00310F7F">
        <w:rPr>
          <w:lang w:val="fr-FR"/>
        </w:rPr>
        <w:t>Échange et utilisation de logiciels et d</w:t>
      </w:r>
      <w:r w:rsidR="00FD21CB" w:rsidRPr="00310F7F">
        <w:rPr>
          <w:lang w:val="fr-FR"/>
        </w:rPr>
        <w:t>’</w:t>
      </w:r>
      <w:r w:rsidR="00A855AE" w:rsidRPr="00310F7F">
        <w:rPr>
          <w:lang w:val="fr-FR"/>
        </w:rPr>
        <w:t>équipements</w:t>
      </w:r>
      <w:r w:rsidR="0094239D" w:rsidRPr="00310F7F">
        <w:rPr>
          <w:lang w:val="fr-FR"/>
        </w:rPr>
        <w:t xml:space="preserve">; </w:t>
      </w:r>
      <w:r w:rsidR="00A855AE" w:rsidRPr="00310F7F">
        <w:rPr>
          <w:lang w:val="fr-FR"/>
        </w:rPr>
        <w:t xml:space="preserve"> Programme de la soixante</w:t>
      </w:r>
      <w:r w:rsidR="00FF3774" w:rsidRPr="00310F7F">
        <w:rPr>
          <w:lang w:val="fr-FR"/>
        </w:rPr>
        <w:noBreakHyphen/>
      </w:r>
      <w:r w:rsidR="00A855AE" w:rsidRPr="00310F7F">
        <w:rPr>
          <w:lang w:val="fr-FR"/>
        </w:rPr>
        <w:t>treizième session</w:t>
      </w:r>
      <w:r w:rsidR="0094239D" w:rsidRPr="00310F7F">
        <w:rPr>
          <w:lang w:val="fr-FR"/>
        </w:rPr>
        <w:t xml:space="preserve">; </w:t>
      </w:r>
      <w:r w:rsidR="00E36CE1" w:rsidRPr="00310F7F">
        <w:rPr>
          <w:lang w:val="fr-FR"/>
        </w:rPr>
        <w:t xml:space="preserve"> </w:t>
      </w:r>
      <w:r w:rsidRPr="00310F7F">
        <w:rPr>
          <w:lang w:val="fr-FR"/>
        </w:rPr>
        <w:t xml:space="preserve">Adoption </w:t>
      </w:r>
      <w:r w:rsidR="00A855AE" w:rsidRPr="00310F7F">
        <w:rPr>
          <w:lang w:val="fr-FR"/>
        </w:rPr>
        <w:t>du compte rendu des</w:t>
      </w:r>
      <w:r w:rsidRPr="00310F7F">
        <w:rPr>
          <w:lang w:val="fr-FR"/>
        </w:rPr>
        <w:t xml:space="preserve"> conclusions (</w:t>
      </w:r>
      <w:r w:rsidR="00A855AE" w:rsidRPr="00310F7F">
        <w:rPr>
          <w:lang w:val="fr-FR"/>
        </w:rPr>
        <w:t>selon le temps disponible</w:t>
      </w:r>
      <w:r w:rsidRPr="00310F7F">
        <w:rPr>
          <w:lang w:val="fr-FR"/>
        </w:rPr>
        <w:t>)</w:t>
      </w:r>
      <w:r w:rsidR="0094239D" w:rsidRPr="00310F7F">
        <w:rPr>
          <w:lang w:val="fr-FR"/>
        </w:rPr>
        <w:t xml:space="preserve">; </w:t>
      </w:r>
      <w:r w:rsidR="00E36CE1" w:rsidRPr="00310F7F">
        <w:rPr>
          <w:lang w:val="fr-FR"/>
        </w:rPr>
        <w:t xml:space="preserve"> </w:t>
      </w:r>
      <w:r w:rsidRPr="00310F7F">
        <w:rPr>
          <w:lang w:val="fr-FR"/>
        </w:rPr>
        <w:t>Cl</w:t>
      </w:r>
      <w:r w:rsidR="00A855AE" w:rsidRPr="00310F7F">
        <w:rPr>
          <w:lang w:val="fr-FR"/>
        </w:rPr>
        <w:t xml:space="preserve">ôture de la </w:t>
      </w:r>
      <w:r w:rsidRPr="00310F7F">
        <w:rPr>
          <w:lang w:val="fr-FR"/>
        </w:rPr>
        <w:t>session</w:t>
      </w:r>
      <w:r w:rsidR="0094239D" w:rsidRPr="00310F7F">
        <w:rPr>
          <w:lang w:val="fr-FR"/>
        </w:rPr>
        <w:t xml:space="preserve"> </w:t>
      </w:r>
      <w:r w:rsidR="0094239D" w:rsidRPr="00310F7F">
        <w:rPr>
          <w:kern w:val="28"/>
          <w:lang w:val="fr-FR"/>
        </w:rPr>
        <w:t>(</w:t>
      </w:r>
      <w:r w:rsidR="00A855AE" w:rsidRPr="00310F7F">
        <w:rPr>
          <w:kern w:val="28"/>
          <w:lang w:val="fr-FR"/>
        </w:rPr>
        <w:t>voir le paragraphe 88 du</w:t>
      </w:r>
      <w:r w:rsidR="0094239D" w:rsidRPr="00310F7F">
        <w:rPr>
          <w:kern w:val="28"/>
          <w:lang w:val="fr-FR"/>
        </w:rPr>
        <w:t xml:space="preserve"> document CAJ/71/10 “</w:t>
      </w:r>
      <w:r w:rsidR="00A855AE" w:rsidRPr="00310F7F">
        <w:rPr>
          <w:kern w:val="28"/>
          <w:lang w:val="fr-FR"/>
        </w:rPr>
        <w:t>Compte rendu des c</w:t>
      </w:r>
      <w:r w:rsidR="0094239D" w:rsidRPr="00310F7F">
        <w:rPr>
          <w:kern w:val="28"/>
          <w:lang w:val="fr-FR"/>
        </w:rPr>
        <w:t>onclusions”)</w:t>
      </w:r>
      <w:r w:rsidR="00E36CE1" w:rsidRPr="00310F7F">
        <w:rPr>
          <w:kern w:val="28"/>
          <w:lang w:val="fr-FR"/>
        </w:rPr>
        <w:t>.</w:t>
      </w:r>
    </w:p>
    <w:p w:rsidR="00F531FC" w:rsidRPr="00310F7F" w:rsidRDefault="00F531FC" w:rsidP="00BA5523">
      <w:pPr>
        <w:rPr>
          <w:lang w:val="fr-FR"/>
        </w:rPr>
      </w:pPr>
    </w:p>
    <w:p w:rsidR="00310F7F" w:rsidRDefault="00310F7F">
      <w:pPr>
        <w:jc w:val="left"/>
        <w:rPr>
          <w:i/>
          <w:lang w:val="fr-FR"/>
        </w:rPr>
      </w:pPr>
      <w:r>
        <w:rPr>
          <w:lang w:val="fr-FR"/>
        </w:rPr>
        <w:br w:type="page"/>
      </w:r>
    </w:p>
    <w:p w:rsidR="00F531FC" w:rsidRPr="00310F7F" w:rsidRDefault="00F531FC" w:rsidP="00BA5523">
      <w:pPr>
        <w:pStyle w:val="DecisionParagraphs"/>
        <w:tabs>
          <w:tab w:val="left" w:pos="5954"/>
        </w:tabs>
        <w:rPr>
          <w:lang w:val="fr-FR"/>
        </w:rPr>
      </w:pPr>
      <w:r w:rsidRPr="00310F7F">
        <w:rPr>
          <w:lang w:val="fr-FR"/>
        </w:rPr>
        <w:fldChar w:fldCharType="begin"/>
      </w:r>
      <w:r w:rsidRPr="00310F7F">
        <w:rPr>
          <w:lang w:val="fr-FR"/>
        </w:rPr>
        <w:instrText xml:space="preserve"> AUTONUM  </w:instrText>
      </w:r>
      <w:r w:rsidRPr="00310F7F">
        <w:rPr>
          <w:lang w:val="fr-FR"/>
        </w:rPr>
        <w:fldChar w:fldCharType="end"/>
      </w:r>
      <w:r w:rsidRPr="00310F7F">
        <w:rPr>
          <w:lang w:val="fr-FR"/>
        </w:rPr>
        <w:tab/>
      </w:r>
      <w:r w:rsidR="00A855AE" w:rsidRPr="00310F7F">
        <w:rPr>
          <w:lang w:val="fr-FR"/>
        </w:rPr>
        <w:t>L</w:t>
      </w:r>
      <w:r w:rsidRPr="00310F7F">
        <w:rPr>
          <w:lang w:val="fr-FR"/>
        </w:rPr>
        <w:t>e Con</w:t>
      </w:r>
      <w:r w:rsidR="00A855AE" w:rsidRPr="00310F7F">
        <w:rPr>
          <w:lang w:val="fr-FR"/>
        </w:rPr>
        <w:t>se</w:t>
      </w:r>
      <w:r w:rsidRPr="00310F7F">
        <w:rPr>
          <w:lang w:val="fr-FR"/>
        </w:rPr>
        <w:t xml:space="preserve">il </w:t>
      </w:r>
      <w:r w:rsidR="00A855AE" w:rsidRPr="00310F7F">
        <w:rPr>
          <w:lang w:val="fr-FR"/>
        </w:rPr>
        <w:t>est</w:t>
      </w:r>
      <w:r w:rsidRPr="00310F7F">
        <w:rPr>
          <w:lang w:val="fr-FR"/>
        </w:rPr>
        <w:t xml:space="preserve"> </w:t>
      </w:r>
      <w:r w:rsidR="00FF3774" w:rsidRPr="00310F7F">
        <w:rPr>
          <w:lang w:val="fr-FR"/>
        </w:rPr>
        <w:t>invité</w:t>
      </w:r>
      <w:r w:rsidR="00310F7F">
        <w:rPr>
          <w:lang w:val="fr-FR"/>
        </w:rPr>
        <w:t xml:space="preserve"> à :</w:t>
      </w:r>
    </w:p>
    <w:p w:rsidR="00F531FC" w:rsidRPr="00310F7F" w:rsidRDefault="00F531FC" w:rsidP="00BA5523">
      <w:pPr>
        <w:pStyle w:val="DecisionParagraphs"/>
        <w:tabs>
          <w:tab w:val="left" w:pos="5954"/>
        </w:tabs>
        <w:rPr>
          <w:lang w:val="fr-FR"/>
        </w:rPr>
      </w:pPr>
    </w:p>
    <w:p w:rsidR="00F531FC" w:rsidRPr="00310F7F" w:rsidRDefault="00F531FC" w:rsidP="00BA5523">
      <w:pPr>
        <w:pStyle w:val="DecisionParagraphs"/>
        <w:tabs>
          <w:tab w:val="left" w:pos="5954"/>
        </w:tabs>
        <w:rPr>
          <w:lang w:val="fr-FR"/>
        </w:rPr>
      </w:pPr>
      <w:r w:rsidRPr="00310F7F">
        <w:rPr>
          <w:lang w:val="fr-FR"/>
        </w:rPr>
        <w:tab/>
        <w:t>a)</w:t>
      </w:r>
      <w:r w:rsidRPr="00310F7F">
        <w:rPr>
          <w:lang w:val="fr-FR"/>
        </w:rPr>
        <w:tab/>
      </w:r>
      <w:r w:rsidR="00A855AE" w:rsidRPr="00310F7F">
        <w:rPr>
          <w:spacing w:val="-2"/>
          <w:lang w:val="fr-FR"/>
        </w:rPr>
        <w:t xml:space="preserve">prendre </w:t>
      </w:r>
      <w:r w:rsidRPr="00310F7F">
        <w:rPr>
          <w:spacing w:val="-2"/>
          <w:lang w:val="fr-FR"/>
        </w:rPr>
        <w:t xml:space="preserve">note </w:t>
      </w:r>
      <w:r w:rsidR="00A855AE" w:rsidRPr="00310F7F">
        <w:rPr>
          <w:spacing w:val="-2"/>
          <w:lang w:val="fr-FR"/>
        </w:rPr>
        <w:t>des travaux</w:t>
      </w:r>
      <w:r w:rsidR="00FD21CB" w:rsidRPr="00310F7F">
        <w:rPr>
          <w:spacing w:val="-2"/>
          <w:lang w:val="fr-FR"/>
        </w:rPr>
        <w:t xml:space="preserve"> du</w:t>
      </w:r>
      <w:r w:rsidR="00310F7F" w:rsidRPr="00310F7F">
        <w:rPr>
          <w:spacing w:val="-2"/>
          <w:lang w:val="fr-FR"/>
        </w:rPr>
        <w:t xml:space="preserve"> </w:t>
      </w:r>
      <w:r w:rsidR="00FD21CB" w:rsidRPr="00310F7F">
        <w:rPr>
          <w:spacing w:val="-2"/>
          <w:lang w:val="fr-FR"/>
        </w:rPr>
        <w:t>CAJ</w:t>
      </w:r>
      <w:r w:rsidR="00A855AE" w:rsidRPr="00310F7F">
        <w:rPr>
          <w:spacing w:val="-2"/>
          <w:lang w:val="fr-FR"/>
        </w:rPr>
        <w:t xml:space="preserve"> indiqués</w:t>
      </w:r>
      <w:r w:rsidR="00A855AE" w:rsidRPr="00310F7F">
        <w:rPr>
          <w:lang w:val="fr-FR"/>
        </w:rPr>
        <w:t xml:space="preserve"> dans le présent </w:t>
      </w:r>
      <w:r w:rsidRPr="00310F7F">
        <w:rPr>
          <w:lang w:val="fr-FR"/>
        </w:rPr>
        <w:t xml:space="preserve">document </w:t>
      </w:r>
      <w:r w:rsidR="00A855AE" w:rsidRPr="00310F7F">
        <w:rPr>
          <w:lang w:val="fr-FR"/>
        </w:rPr>
        <w:t>et dans le rapport verb</w:t>
      </w:r>
      <w:r w:rsidRPr="00310F7F">
        <w:rPr>
          <w:lang w:val="fr-FR"/>
        </w:rPr>
        <w:t xml:space="preserve">al </w:t>
      </w:r>
      <w:r w:rsidR="00A855AE" w:rsidRPr="00310F7F">
        <w:rPr>
          <w:lang w:val="fr-FR"/>
        </w:rPr>
        <w:t>qui doit être présenté par le président</w:t>
      </w:r>
      <w:r w:rsidR="00FD21CB" w:rsidRPr="00310F7F">
        <w:rPr>
          <w:lang w:val="fr-FR"/>
        </w:rPr>
        <w:t xml:space="preserve"> du CAJ</w:t>
      </w:r>
      <w:r w:rsidR="00FF3774" w:rsidRPr="00310F7F">
        <w:rPr>
          <w:lang w:val="fr-FR"/>
        </w:rPr>
        <w:t xml:space="preserve">, </w:t>
      </w:r>
      <w:r w:rsidR="00A855AE" w:rsidRPr="00310F7F">
        <w:rPr>
          <w:lang w:val="fr-FR"/>
        </w:rPr>
        <w:t>et</w:t>
      </w:r>
    </w:p>
    <w:p w:rsidR="00F531FC" w:rsidRPr="00310F7F" w:rsidRDefault="00F531FC" w:rsidP="00BA5523">
      <w:pPr>
        <w:pStyle w:val="DecisionParagraphs"/>
        <w:tabs>
          <w:tab w:val="left" w:pos="5954"/>
        </w:tabs>
        <w:rPr>
          <w:lang w:val="fr-FR"/>
        </w:rPr>
      </w:pPr>
    </w:p>
    <w:p w:rsidR="00F531FC" w:rsidRPr="00310F7F" w:rsidRDefault="00F531FC" w:rsidP="00BA5523">
      <w:pPr>
        <w:pStyle w:val="DecisionParagraphs"/>
        <w:tabs>
          <w:tab w:val="left" w:pos="5954"/>
        </w:tabs>
        <w:rPr>
          <w:lang w:val="fr-FR"/>
        </w:rPr>
      </w:pPr>
      <w:r w:rsidRPr="00310F7F">
        <w:rPr>
          <w:lang w:val="fr-FR"/>
        </w:rPr>
        <w:tab/>
        <w:t>b)</w:t>
      </w:r>
      <w:r w:rsidRPr="00310F7F">
        <w:rPr>
          <w:lang w:val="fr-FR"/>
        </w:rPr>
        <w:tab/>
        <w:t>appro</w:t>
      </w:r>
      <w:r w:rsidR="00A855AE" w:rsidRPr="00310F7F">
        <w:rPr>
          <w:lang w:val="fr-FR"/>
        </w:rPr>
        <w:t>u</w:t>
      </w:r>
      <w:r w:rsidRPr="00310F7F">
        <w:rPr>
          <w:lang w:val="fr-FR"/>
        </w:rPr>
        <w:t>ve</w:t>
      </w:r>
      <w:r w:rsidR="00A855AE" w:rsidRPr="00310F7F">
        <w:rPr>
          <w:lang w:val="fr-FR"/>
        </w:rPr>
        <w:t>r</w:t>
      </w:r>
      <w:r w:rsidRPr="00310F7F">
        <w:rPr>
          <w:lang w:val="fr-FR"/>
        </w:rPr>
        <w:t xml:space="preserve"> </w:t>
      </w:r>
      <w:r w:rsidR="00A855AE" w:rsidRPr="00310F7F">
        <w:rPr>
          <w:lang w:val="fr-FR"/>
        </w:rPr>
        <w:t xml:space="preserve">le </w:t>
      </w:r>
      <w:r w:rsidRPr="00310F7F">
        <w:rPr>
          <w:lang w:val="fr-FR"/>
        </w:rPr>
        <w:t>program</w:t>
      </w:r>
      <w:r w:rsidR="00A855AE" w:rsidRPr="00310F7F">
        <w:rPr>
          <w:lang w:val="fr-FR"/>
        </w:rPr>
        <w:t>me de travail de la soixante</w:t>
      </w:r>
      <w:r w:rsidR="00FF3774" w:rsidRPr="00310F7F">
        <w:rPr>
          <w:lang w:val="fr-FR"/>
        </w:rPr>
        <w:noBreakHyphen/>
      </w:r>
      <w:r w:rsidR="00A855AE" w:rsidRPr="00310F7F">
        <w:rPr>
          <w:lang w:val="fr-FR"/>
        </w:rPr>
        <w:t>tre</w:t>
      </w:r>
      <w:r w:rsidR="00274CCC" w:rsidRPr="00310F7F">
        <w:rPr>
          <w:lang w:val="fr-FR"/>
        </w:rPr>
        <w:t>i</w:t>
      </w:r>
      <w:r w:rsidR="00A855AE" w:rsidRPr="00310F7F">
        <w:rPr>
          <w:lang w:val="fr-FR"/>
        </w:rPr>
        <w:t>zi</w:t>
      </w:r>
      <w:r w:rsidR="00274CCC" w:rsidRPr="00310F7F">
        <w:rPr>
          <w:lang w:val="fr-FR"/>
        </w:rPr>
        <w:t>ème </w:t>
      </w:r>
      <w:r w:rsidRPr="00310F7F">
        <w:rPr>
          <w:lang w:val="fr-FR"/>
        </w:rPr>
        <w:t>session</w:t>
      </w:r>
      <w:r w:rsidR="00FD21CB" w:rsidRPr="00310F7F">
        <w:rPr>
          <w:lang w:val="fr-FR"/>
        </w:rPr>
        <w:t xml:space="preserve"> du CAJ</w:t>
      </w:r>
      <w:r w:rsidR="00274CCC" w:rsidRPr="00310F7F">
        <w:rPr>
          <w:lang w:val="fr-FR"/>
        </w:rPr>
        <w:t>, présenté par le président</w:t>
      </w:r>
      <w:r w:rsidR="00FD21CB" w:rsidRPr="00310F7F">
        <w:rPr>
          <w:lang w:val="fr-FR"/>
        </w:rPr>
        <w:t xml:space="preserve"> du CAJ</w:t>
      </w:r>
      <w:r w:rsidR="00274CCC" w:rsidRPr="00310F7F">
        <w:rPr>
          <w:lang w:val="fr-FR"/>
        </w:rPr>
        <w:t xml:space="preserve"> dans son rapport verbal </w:t>
      </w:r>
      <w:r w:rsidR="00E36CE1" w:rsidRPr="00310F7F">
        <w:rPr>
          <w:lang w:val="fr-FR"/>
        </w:rPr>
        <w:t>(</w:t>
      </w:r>
      <w:r w:rsidR="00274CCC" w:rsidRPr="00310F7F">
        <w:rPr>
          <w:lang w:val="fr-FR"/>
        </w:rPr>
        <w:t>voir l</w:t>
      </w:r>
      <w:r w:rsidR="00E36CE1" w:rsidRPr="00310F7F">
        <w:rPr>
          <w:lang w:val="fr-FR"/>
        </w:rPr>
        <w:t>e document CAJ/72/9 “</w:t>
      </w:r>
      <w:r w:rsidR="00274CCC" w:rsidRPr="00310F7F">
        <w:rPr>
          <w:lang w:val="fr-FR"/>
        </w:rPr>
        <w:t>Compte rendu des</w:t>
      </w:r>
      <w:r w:rsidR="00E36CE1" w:rsidRPr="00310F7F">
        <w:rPr>
          <w:lang w:val="fr-FR"/>
        </w:rPr>
        <w:t xml:space="preserve"> </w:t>
      </w:r>
      <w:r w:rsidR="00274CCC" w:rsidRPr="00310F7F">
        <w:rPr>
          <w:lang w:val="fr-FR"/>
        </w:rPr>
        <w:t>c</w:t>
      </w:r>
      <w:r w:rsidR="00E36CE1" w:rsidRPr="00310F7F">
        <w:rPr>
          <w:lang w:val="fr-FR"/>
        </w:rPr>
        <w:t>onclusions”)</w:t>
      </w:r>
      <w:r w:rsidRPr="00310F7F">
        <w:rPr>
          <w:lang w:val="fr-FR"/>
        </w:rPr>
        <w:t>.</w:t>
      </w:r>
    </w:p>
    <w:p w:rsidR="00F531FC" w:rsidRPr="00310F7F" w:rsidRDefault="00F531FC" w:rsidP="00BA5523">
      <w:pPr>
        <w:rPr>
          <w:lang w:val="fr-FR"/>
        </w:rPr>
      </w:pPr>
    </w:p>
    <w:p w:rsidR="00E36CE1" w:rsidRPr="00310F7F" w:rsidRDefault="00E36CE1" w:rsidP="00BA5523">
      <w:pPr>
        <w:rPr>
          <w:lang w:val="fr-FR"/>
        </w:rPr>
      </w:pPr>
    </w:p>
    <w:p w:rsidR="00C86975" w:rsidRPr="00310F7F" w:rsidRDefault="00C86975" w:rsidP="00BA5523">
      <w:pPr>
        <w:rPr>
          <w:highlight w:val="yellow"/>
          <w:lang w:val="fr-FR"/>
        </w:rPr>
      </w:pPr>
      <w:bookmarkStart w:id="15" w:name="_GoBack"/>
      <w:bookmarkEnd w:id="15"/>
    </w:p>
    <w:p w:rsidR="0067078A" w:rsidRPr="00310F7F" w:rsidRDefault="0061555F" w:rsidP="00BA5523">
      <w:pPr>
        <w:jc w:val="right"/>
        <w:rPr>
          <w:lang w:val="fr-FR"/>
        </w:rPr>
      </w:pPr>
      <w:r w:rsidRPr="00310F7F">
        <w:rPr>
          <w:lang w:val="fr-FR"/>
        </w:rPr>
        <w:t>[</w:t>
      </w:r>
      <w:r w:rsidR="00274CCC" w:rsidRPr="00310F7F">
        <w:rPr>
          <w:lang w:val="fr-FR"/>
        </w:rPr>
        <w:t>Fi</w:t>
      </w:r>
      <w:r w:rsidRPr="00310F7F">
        <w:rPr>
          <w:lang w:val="fr-FR"/>
        </w:rPr>
        <w:t>n</w:t>
      </w:r>
      <w:r w:rsidR="00274CCC" w:rsidRPr="00310F7F">
        <w:rPr>
          <w:lang w:val="fr-FR"/>
        </w:rPr>
        <w:t xml:space="preserve"> </w:t>
      </w:r>
      <w:r w:rsidRPr="00310F7F">
        <w:rPr>
          <w:lang w:val="fr-FR"/>
        </w:rPr>
        <w:t>d</w:t>
      </w:r>
      <w:r w:rsidR="00274CCC" w:rsidRPr="00310F7F">
        <w:rPr>
          <w:lang w:val="fr-FR"/>
        </w:rPr>
        <w:t>u</w:t>
      </w:r>
      <w:r w:rsidRPr="00310F7F">
        <w:rPr>
          <w:lang w:val="fr-FR"/>
        </w:rPr>
        <w:t xml:space="preserve"> document]</w:t>
      </w:r>
    </w:p>
    <w:p w:rsidR="006B17D2" w:rsidRPr="00310F7F" w:rsidRDefault="006B17D2" w:rsidP="00BA5523">
      <w:pPr>
        <w:jc w:val="left"/>
        <w:rPr>
          <w:lang w:val="fr-FR"/>
        </w:rPr>
      </w:pPr>
    </w:p>
    <w:sectPr w:rsidR="006B17D2" w:rsidRPr="00310F7F" w:rsidSect="00FD21CB">
      <w:headerReference w:type="default" r:id="rId11"/>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14" w:rsidRDefault="004C7C14" w:rsidP="006655D3">
      <w:r>
        <w:separator/>
      </w:r>
    </w:p>
    <w:p w:rsidR="004C7C14" w:rsidRDefault="004C7C14" w:rsidP="006655D3"/>
    <w:p w:rsidR="004C7C14" w:rsidRDefault="004C7C14" w:rsidP="006655D3"/>
  </w:endnote>
  <w:endnote w:type="continuationSeparator" w:id="0">
    <w:p w:rsidR="004C7C14" w:rsidRDefault="004C7C14" w:rsidP="006655D3">
      <w:r>
        <w:separator/>
      </w:r>
    </w:p>
    <w:p w:rsidR="004C7C14" w:rsidRPr="00560A6D" w:rsidRDefault="004C7C14">
      <w:pPr>
        <w:pStyle w:val="Footer"/>
        <w:spacing w:after="60"/>
        <w:rPr>
          <w:sz w:val="18"/>
          <w:lang w:val="fr-FR"/>
        </w:rPr>
      </w:pPr>
      <w:r w:rsidRPr="00560A6D">
        <w:rPr>
          <w:sz w:val="18"/>
          <w:lang w:val="fr-FR"/>
        </w:rPr>
        <w:t>[Suite de la note de la page précédente]</w:t>
      </w:r>
    </w:p>
    <w:p w:rsidR="004C7C14" w:rsidRPr="00560A6D" w:rsidRDefault="004C7C14" w:rsidP="006655D3">
      <w:pPr>
        <w:rPr>
          <w:lang w:val="fr-FR"/>
        </w:rPr>
      </w:pPr>
    </w:p>
    <w:p w:rsidR="004C7C14" w:rsidRPr="00560A6D" w:rsidRDefault="004C7C14" w:rsidP="006655D3">
      <w:pPr>
        <w:rPr>
          <w:lang w:val="fr-FR"/>
        </w:rPr>
      </w:pPr>
    </w:p>
  </w:endnote>
  <w:endnote w:type="continuationNotice" w:id="1">
    <w:p w:rsidR="004C7C14" w:rsidRPr="00560A6D" w:rsidRDefault="004C7C14" w:rsidP="006655D3">
      <w:pPr>
        <w:rPr>
          <w:lang w:val="fr-FR"/>
        </w:rPr>
      </w:pPr>
      <w:r w:rsidRPr="00560A6D">
        <w:rPr>
          <w:lang w:val="fr-FR"/>
        </w:rPr>
        <w:t>[Suite de la note page suivante]</w:t>
      </w:r>
    </w:p>
    <w:p w:rsidR="004C7C14" w:rsidRPr="00560A6D" w:rsidRDefault="004C7C14" w:rsidP="006655D3">
      <w:pPr>
        <w:rPr>
          <w:lang w:val="fr-FR"/>
        </w:rPr>
      </w:pPr>
    </w:p>
    <w:p w:rsidR="004C7C14" w:rsidRPr="00560A6D" w:rsidRDefault="004C7C1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14" w:rsidRDefault="004C7C14" w:rsidP="00C95616">
      <w:pPr>
        <w:spacing w:before="120"/>
      </w:pPr>
      <w:r>
        <w:separator/>
      </w:r>
    </w:p>
  </w:footnote>
  <w:footnote w:type="continuationSeparator" w:id="0">
    <w:p w:rsidR="004C7C14" w:rsidRDefault="004C7C14" w:rsidP="006655D3">
      <w:r>
        <w:separator/>
      </w:r>
    </w:p>
  </w:footnote>
  <w:footnote w:type="continuationNotice" w:id="1">
    <w:p w:rsidR="004C7C14" w:rsidRPr="00A56FAA" w:rsidRDefault="004C7C14"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14" w:rsidRPr="00C5280D" w:rsidRDefault="004C7C14" w:rsidP="00EB048E">
    <w:pPr>
      <w:pStyle w:val="Header"/>
      <w:rPr>
        <w:rStyle w:val="PageNumber"/>
        <w:lang w:val="en-US"/>
      </w:rPr>
    </w:pPr>
    <w:r>
      <w:rPr>
        <w:rStyle w:val="PageNumber"/>
        <w:lang w:val="en-US"/>
      </w:rPr>
      <w:t>C/49/9</w:t>
    </w:r>
  </w:p>
  <w:p w:rsidR="004C7C14" w:rsidRPr="00C5280D" w:rsidRDefault="004C7C14"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A743E">
      <w:rPr>
        <w:rStyle w:val="PageNumber"/>
        <w:noProof/>
        <w:lang w:val="en-US"/>
      </w:rPr>
      <w:t>9</w:t>
    </w:r>
    <w:r w:rsidRPr="00C5280D">
      <w:rPr>
        <w:rStyle w:val="PageNumber"/>
        <w:lang w:val="en-US"/>
      </w:rPr>
      <w:fldChar w:fldCharType="end"/>
    </w:r>
  </w:p>
  <w:p w:rsidR="004C7C14" w:rsidRPr="00C5280D" w:rsidRDefault="004C7C14"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078A4"/>
    <w:multiLevelType w:val="hybridMultilevel"/>
    <w:tmpl w:val="0A02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D511F9"/>
    <w:multiLevelType w:val="hybridMultilevel"/>
    <w:tmpl w:val="83FA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5B"/>
    <w:rsid w:val="00010CF3"/>
    <w:rsid w:val="00011E27"/>
    <w:rsid w:val="000148BC"/>
    <w:rsid w:val="000244B5"/>
    <w:rsid w:val="00024AB8"/>
    <w:rsid w:val="00026667"/>
    <w:rsid w:val="0003053A"/>
    <w:rsid w:val="00030854"/>
    <w:rsid w:val="00036028"/>
    <w:rsid w:val="00044642"/>
    <w:rsid w:val="000446B9"/>
    <w:rsid w:val="00047E21"/>
    <w:rsid w:val="000531BE"/>
    <w:rsid w:val="00060EE4"/>
    <w:rsid w:val="00085505"/>
    <w:rsid w:val="000A68B4"/>
    <w:rsid w:val="000A743E"/>
    <w:rsid w:val="000A7962"/>
    <w:rsid w:val="000C7021"/>
    <w:rsid w:val="000D6BBC"/>
    <w:rsid w:val="000D7780"/>
    <w:rsid w:val="0010094F"/>
    <w:rsid w:val="00105477"/>
    <w:rsid w:val="00105929"/>
    <w:rsid w:val="001131D5"/>
    <w:rsid w:val="00141DB8"/>
    <w:rsid w:val="00151B5D"/>
    <w:rsid w:val="00156027"/>
    <w:rsid w:val="00164344"/>
    <w:rsid w:val="0017474A"/>
    <w:rsid w:val="001758C6"/>
    <w:rsid w:val="00182B99"/>
    <w:rsid w:val="00183D59"/>
    <w:rsid w:val="001A0080"/>
    <w:rsid w:val="001E0CF9"/>
    <w:rsid w:val="001F71EF"/>
    <w:rsid w:val="00205023"/>
    <w:rsid w:val="0021332C"/>
    <w:rsid w:val="00213982"/>
    <w:rsid w:val="0024416D"/>
    <w:rsid w:val="002521B6"/>
    <w:rsid w:val="00274CCC"/>
    <w:rsid w:val="002800A0"/>
    <w:rsid w:val="002801B3"/>
    <w:rsid w:val="0028098F"/>
    <w:rsid w:val="00281060"/>
    <w:rsid w:val="002940E8"/>
    <w:rsid w:val="002A6E50"/>
    <w:rsid w:val="002A7BAC"/>
    <w:rsid w:val="002B0ECD"/>
    <w:rsid w:val="002C24EA"/>
    <w:rsid w:val="002C256A"/>
    <w:rsid w:val="00305A7F"/>
    <w:rsid w:val="00310F7F"/>
    <w:rsid w:val="00315280"/>
    <w:rsid w:val="003152FE"/>
    <w:rsid w:val="00327436"/>
    <w:rsid w:val="00330611"/>
    <w:rsid w:val="0033507D"/>
    <w:rsid w:val="00344BD6"/>
    <w:rsid w:val="0035528D"/>
    <w:rsid w:val="00361821"/>
    <w:rsid w:val="003B2AC4"/>
    <w:rsid w:val="003C1402"/>
    <w:rsid w:val="003C613E"/>
    <w:rsid w:val="003D2117"/>
    <w:rsid w:val="003D227C"/>
    <w:rsid w:val="003D2B4D"/>
    <w:rsid w:val="004044DA"/>
    <w:rsid w:val="00411733"/>
    <w:rsid w:val="00413C0C"/>
    <w:rsid w:val="00444A88"/>
    <w:rsid w:val="00467586"/>
    <w:rsid w:val="00474DA4"/>
    <w:rsid w:val="00476B4D"/>
    <w:rsid w:val="004805FA"/>
    <w:rsid w:val="00493D15"/>
    <w:rsid w:val="004979B5"/>
    <w:rsid w:val="004C7C14"/>
    <w:rsid w:val="004D047D"/>
    <w:rsid w:val="004F305A"/>
    <w:rsid w:val="00512164"/>
    <w:rsid w:val="00520297"/>
    <w:rsid w:val="005338F9"/>
    <w:rsid w:val="0054281C"/>
    <w:rsid w:val="0055268D"/>
    <w:rsid w:val="00560A6D"/>
    <w:rsid w:val="005753C8"/>
    <w:rsid w:val="00576BE4"/>
    <w:rsid w:val="005A34B4"/>
    <w:rsid w:val="005A400A"/>
    <w:rsid w:val="005F05B6"/>
    <w:rsid w:val="00612379"/>
    <w:rsid w:val="0061555F"/>
    <w:rsid w:val="00641200"/>
    <w:rsid w:val="006422CF"/>
    <w:rsid w:val="006466DC"/>
    <w:rsid w:val="00647D6D"/>
    <w:rsid w:val="00663239"/>
    <w:rsid w:val="006655D3"/>
    <w:rsid w:val="0067078A"/>
    <w:rsid w:val="0067491E"/>
    <w:rsid w:val="006758D4"/>
    <w:rsid w:val="0068429E"/>
    <w:rsid w:val="00687EB4"/>
    <w:rsid w:val="00692817"/>
    <w:rsid w:val="006A0D7D"/>
    <w:rsid w:val="006B17D2"/>
    <w:rsid w:val="006C224E"/>
    <w:rsid w:val="006C2AC6"/>
    <w:rsid w:val="006D2179"/>
    <w:rsid w:val="006D2AE1"/>
    <w:rsid w:val="006D51F0"/>
    <w:rsid w:val="006D7691"/>
    <w:rsid w:val="006D780A"/>
    <w:rsid w:val="006E0C69"/>
    <w:rsid w:val="006E7712"/>
    <w:rsid w:val="006F1CB9"/>
    <w:rsid w:val="0070583D"/>
    <w:rsid w:val="00707DDB"/>
    <w:rsid w:val="00732DEC"/>
    <w:rsid w:val="00735BD5"/>
    <w:rsid w:val="007469CC"/>
    <w:rsid w:val="007556F6"/>
    <w:rsid w:val="00760EEF"/>
    <w:rsid w:val="007726FE"/>
    <w:rsid w:val="00777EE5"/>
    <w:rsid w:val="00784836"/>
    <w:rsid w:val="0079023E"/>
    <w:rsid w:val="00797A7F"/>
    <w:rsid w:val="007A2854"/>
    <w:rsid w:val="007D0B9D"/>
    <w:rsid w:val="007D19B0"/>
    <w:rsid w:val="007F498F"/>
    <w:rsid w:val="0080679D"/>
    <w:rsid w:val="008108B0"/>
    <w:rsid w:val="00811471"/>
    <w:rsid w:val="00811B20"/>
    <w:rsid w:val="0082296E"/>
    <w:rsid w:val="00824099"/>
    <w:rsid w:val="00842389"/>
    <w:rsid w:val="00867AC1"/>
    <w:rsid w:val="008A3C6D"/>
    <w:rsid w:val="008A743F"/>
    <w:rsid w:val="008C0970"/>
    <w:rsid w:val="008C5B8A"/>
    <w:rsid w:val="008D2CF7"/>
    <w:rsid w:val="00900C26"/>
    <w:rsid w:val="0090197F"/>
    <w:rsid w:val="00901A3F"/>
    <w:rsid w:val="00906DDC"/>
    <w:rsid w:val="009209DB"/>
    <w:rsid w:val="00921109"/>
    <w:rsid w:val="00933ED9"/>
    <w:rsid w:val="00934E09"/>
    <w:rsid w:val="00936253"/>
    <w:rsid w:val="0094239D"/>
    <w:rsid w:val="00947760"/>
    <w:rsid w:val="00952DD4"/>
    <w:rsid w:val="0096340B"/>
    <w:rsid w:val="00970FED"/>
    <w:rsid w:val="00995598"/>
    <w:rsid w:val="00997029"/>
    <w:rsid w:val="00997DE8"/>
    <w:rsid w:val="009C3B4B"/>
    <w:rsid w:val="009D690D"/>
    <w:rsid w:val="009E65B6"/>
    <w:rsid w:val="009F7D0F"/>
    <w:rsid w:val="00A32F78"/>
    <w:rsid w:val="00A42AC3"/>
    <w:rsid w:val="00A430CF"/>
    <w:rsid w:val="00A54309"/>
    <w:rsid w:val="00A56FAA"/>
    <w:rsid w:val="00A572EB"/>
    <w:rsid w:val="00A703A7"/>
    <w:rsid w:val="00A84E3D"/>
    <w:rsid w:val="00A855AE"/>
    <w:rsid w:val="00AA2C39"/>
    <w:rsid w:val="00AB1E34"/>
    <w:rsid w:val="00AB2B93"/>
    <w:rsid w:val="00AB7E5B"/>
    <w:rsid w:val="00AE0EF1"/>
    <w:rsid w:val="00AE2937"/>
    <w:rsid w:val="00B07301"/>
    <w:rsid w:val="00B224DE"/>
    <w:rsid w:val="00B46575"/>
    <w:rsid w:val="00B508F7"/>
    <w:rsid w:val="00B732F6"/>
    <w:rsid w:val="00B84BBD"/>
    <w:rsid w:val="00BA43FB"/>
    <w:rsid w:val="00BA5523"/>
    <w:rsid w:val="00BB207B"/>
    <w:rsid w:val="00BB2969"/>
    <w:rsid w:val="00BC127D"/>
    <w:rsid w:val="00BC1FE6"/>
    <w:rsid w:val="00BC267F"/>
    <w:rsid w:val="00BC2BB5"/>
    <w:rsid w:val="00BE7D09"/>
    <w:rsid w:val="00BF0721"/>
    <w:rsid w:val="00C042E6"/>
    <w:rsid w:val="00C061B6"/>
    <w:rsid w:val="00C24200"/>
    <w:rsid w:val="00C2446C"/>
    <w:rsid w:val="00C36AE5"/>
    <w:rsid w:val="00C41F17"/>
    <w:rsid w:val="00C4286E"/>
    <w:rsid w:val="00C51D44"/>
    <w:rsid w:val="00C5280D"/>
    <w:rsid w:val="00C5791C"/>
    <w:rsid w:val="00C651CE"/>
    <w:rsid w:val="00C66290"/>
    <w:rsid w:val="00C72B7A"/>
    <w:rsid w:val="00C86975"/>
    <w:rsid w:val="00C95616"/>
    <w:rsid w:val="00C973F2"/>
    <w:rsid w:val="00CA304C"/>
    <w:rsid w:val="00CA7242"/>
    <w:rsid w:val="00CA774A"/>
    <w:rsid w:val="00CC11B0"/>
    <w:rsid w:val="00CE38BE"/>
    <w:rsid w:val="00CF25AC"/>
    <w:rsid w:val="00CF7E36"/>
    <w:rsid w:val="00D01A00"/>
    <w:rsid w:val="00D27F3D"/>
    <w:rsid w:val="00D3708D"/>
    <w:rsid w:val="00D40426"/>
    <w:rsid w:val="00D57C96"/>
    <w:rsid w:val="00D65D5B"/>
    <w:rsid w:val="00D91203"/>
    <w:rsid w:val="00D95174"/>
    <w:rsid w:val="00DA14EE"/>
    <w:rsid w:val="00DA6F36"/>
    <w:rsid w:val="00DB596E"/>
    <w:rsid w:val="00DC00EA"/>
    <w:rsid w:val="00DD4B63"/>
    <w:rsid w:val="00E32F7E"/>
    <w:rsid w:val="00E36CE1"/>
    <w:rsid w:val="00E4549C"/>
    <w:rsid w:val="00E54789"/>
    <w:rsid w:val="00E72D49"/>
    <w:rsid w:val="00E7593C"/>
    <w:rsid w:val="00E7678A"/>
    <w:rsid w:val="00E935F1"/>
    <w:rsid w:val="00E94A81"/>
    <w:rsid w:val="00E95FF6"/>
    <w:rsid w:val="00EA1FFB"/>
    <w:rsid w:val="00EB048E"/>
    <w:rsid w:val="00EC757B"/>
    <w:rsid w:val="00ED1B40"/>
    <w:rsid w:val="00EE34DF"/>
    <w:rsid w:val="00EF2F89"/>
    <w:rsid w:val="00F1237A"/>
    <w:rsid w:val="00F17CF0"/>
    <w:rsid w:val="00F22CBD"/>
    <w:rsid w:val="00F45372"/>
    <w:rsid w:val="00F46C41"/>
    <w:rsid w:val="00F531FC"/>
    <w:rsid w:val="00F560F7"/>
    <w:rsid w:val="00F56C99"/>
    <w:rsid w:val="00F6334D"/>
    <w:rsid w:val="00F80602"/>
    <w:rsid w:val="00F87A71"/>
    <w:rsid w:val="00F91574"/>
    <w:rsid w:val="00FA460E"/>
    <w:rsid w:val="00FA49AB"/>
    <w:rsid w:val="00FD21CB"/>
    <w:rsid w:val="00FE39C7"/>
    <w:rsid w:val="00FF3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721"/>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11471"/>
    <w:pPr>
      <w:tabs>
        <w:tab w:val="right" w:leader="dot" w:pos="9639"/>
      </w:tabs>
      <w:snapToGrid w:val="0"/>
      <w:spacing w:before="120"/>
      <w:ind w:left="288" w:right="288" w:hanging="288"/>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C86975"/>
    <w:pPr>
      <w:ind w:left="720"/>
      <w:contextualSpacing/>
    </w:pPr>
  </w:style>
  <w:style w:type="table" w:styleId="TableGrid">
    <w:name w:val="Table Grid"/>
    <w:basedOn w:val="TableNormal"/>
    <w:rsid w:val="00C8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3C1402"/>
    <w:rPr>
      <w:rFonts w:ascii="Arial" w:hAnsi="Arial"/>
      <w:sz w:val="16"/>
    </w:rPr>
  </w:style>
  <w:style w:type="character" w:customStyle="1" w:styleId="Heading3Char">
    <w:name w:val="Heading 3 Char"/>
    <w:basedOn w:val="DefaultParagraphFont"/>
    <w:link w:val="Heading3"/>
    <w:rsid w:val="00BE7D09"/>
    <w:rPr>
      <w:rFonts w:ascii="Arial" w:hAnsi="Arial"/>
      <w:i/>
    </w:rPr>
  </w:style>
  <w:style w:type="character" w:customStyle="1" w:styleId="DecisionParagraphsChar">
    <w:name w:val="DecisionParagraphs Char"/>
    <w:link w:val="DecisionParagraphs"/>
    <w:rsid w:val="00F531FC"/>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721"/>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11471"/>
    <w:pPr>
      <w:tabs>
        <w:tab w:val="right" w:leader="dot" w:pos="9639"/>
      </w:tabs>
      <w:snapToGrid w:val="0"/>
      <w:spacing w:before="120"/>
      <w:ind w:left="288" w:right="288" w:hanging="288"/>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C86975"/>
    <w:pPr>
      <w:ind w:left="720"/>
      <w:contextualSpacing/>
    </w:pPr>
  </w:style>
  <w:style w:type="table" w:styleId="TableGrid">
    <w:name w:val="Table Grid"/>
    <w:basedOn w:val="TableNormal"/>
    <w:rsid w:val="00C8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3C1402"/>
    <w:rPr>
      <w:rFonts w:ascii="Arial" w:hAnsi="Arial"/>
      <w:sz w:val="16"/>
    </w:rPr>
  </w:style>
  <w:style w:type="character" w:customStyle="1" w:styleId="Heading3Char">
    <w:name w:val="Heading 3 Char"/>
    <w:basedOn w:val="DefaultParagraphFont"/>
    <w:link w:val="Heading3"/>
    <w:rsid w:val="00BE7D09"/>
    <w:rPr>
      <w:rFonts w:ascii="Arial" w:hAnsi="Arial"/>
      <w:i/>
    </w:rPr>
  </w:style>
  <w:style w:type="character" w:customStyle="1" w:styleId="DecisionParagraphsChar">
    <w:name w:val="DecisionParagraphs Char"/>
    <w:link w:val="DecisionParagraphs"/>
    <w:rsid w:val="00F531FC"/>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meetings/fr/topic.jsp?group_id=254" TargetMode="External"/><Relationship Id="rId4" Type="http://schemas.openxmlformats.org/officeDocument/2006/relationships/settings" Target="settings.xml"/><Relationship Id="rId9" Type="http://schemas.openxmlformats.org/officeDocument/2006/relationships/hyperlink" Target="http://www.upov.int/edocs/tgpdocs/fr/tgp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9</Pages>
  <Words>4832</Words>
  <Characters>27980</Characters>
  <Application>Microsoft Office Word</Application>
  <DocSecurity>0</DocSecurity>
  <Lines>1472</Lines>
  <Paragraphs>669</Paragraphs>
  <ScaleCrop>false</ScaleCrop>
  <HeadingPairs>
    <vt:vector size="2" baseType="variant">
      <vt:variant>
        <vt:lpstr>Title</vt:lpstr>
      </vt:variant>
      <vt:variant>
        <vt:i4>1</vt:i4>
      </vt:variant>
    </vt:vector>
  </HeadingPairs>
  <TitlesOfParts>
    <vt:vector size="1" baseType="lpstr">
      <vt:lpstr>C/49/9</vt:lpstr>
    </vt:vector>
  </TitlesOfParts>
  <Company>UPOV</Company>
  <LinksUpToDate>false</LinksUpToDate>
  <CharactersWithSpaces>32143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C/49/9</dc:title>
  <dc:creator>Christine Blulle</dc:creator>
  <cp:keywords>CB/mhf</cp:keywords>
  <cp:lastModifiedBy>SANCHEZ-VIZCAINO GOMEZ Rosa Maria</cp:lastModifiedBy>
  <cp:revision>31</cp:revision>
  <cp:lastPrinted>2015-10-05T16:11:00Z</cp:lastPrinted>
  <dcterms:created xsi:type="dcterms:W3CDTF">2015-09-29T15:19:00Z</dcterms:created>
  <dcterms:modified xsi:type="dcterms:W3CDTF">2015-10-05T16:11:00Z</dcterms:modified>
</cp:coreProperties>
</file>