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8272FF" w:rsidRPr="00EE54E3" w:rsidTr="00C2539A">
        <w:trPr>
          <w:trHeight w:val="1760"/>
        </w:trPr>
        <w:tc>
          <w:tcPr>
            <w:tcW w:w="4243" w:type="dxa"/>
          </w:tcPr>
          <w:p w:rsidR="008272FF" w:rsidRPr="00EE54E3" w:rsidRDefault="008272FF" w:rsidP="00C2539A">
            <w:pPr>
              <w:rPr>
                <w:lang w:val="fr-FR"/>
              </w:rPr>
            </w:pPr>
            <w:bookmarkStart w:id="0" w:name="Prepared"/>
            <w:bookmarkEnd w:id="0"/>
          </w:p>
        </w:tc>
        <w:tc>
          <w:tcPr>
            <w:tcW w:w="1646" w:type="dxa"/>
            <w:vAlign w:val="center"/>
          </w:tcPr>
          <w:p w:rsidR="008272FF" w:rsidRPr="008D7B1F" w:rsidRDefault="008272FF" w:rsidP="00C2539A">
            <w:pPr>
              <w:pStyle w:val="LogoUPOV"/>
              <w:rPr>
                <w:lang w:val="fr-FR"/>
              </w:rPr>
            </w:pPr>
            <w:r w:rsidRPr="008D7B1F">
              <w:rPr>
                <w:noProof/>
              </w:rPr>
              <w:drawing>
                <wp:inline distT="0" distB="0" distL="0" distR="0" wp14:anchorId="64F6EC2E" wp14:editId="6FCF9B4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272FF" w:rsidRPr="008D7B1F" w:rsidRDefault="008272FF" w:rsidP="00C2539A">
            <w:pPr>
              <w:pStyle w:val="Lettrine"/>
              <w:rPr>
                <w:lang w:val="fr-FR"/>
              </w:rPr>
            </w:pPr>
            <w:r w:rsidRPr="008D7B1F">
              <w:rPr>
                <w:lang w:val="fr-FR"/>
              </w:rPr>
              <w:t>F</w:t>
            </w:r>
          </w:p>
          <w:p w:rsidR="008272FF" w:rsidRPr="008D7B1F" w:rsidRDefault="008272FF" w:rsidP="00C2539A">
            <w:pPr>
              <w:pStyle w:val="Docoriginal"/>
              <w:rPr>
                <w:lang w:val="fr-FR"/>
              </w:rPr>
            </w:pPr>
            <w:r w:rsidRPr="008D7B1F">
              <w:rPr>
                <w:lang w:val="fr-FR"/>
              </w:rPr>
              <w:t>C/49/</w:t>
            </w:r>
            <w:bookmarkStart w:id="1" w:name="Code"/>
            <w:bookmarkEnd w:id="1"/>
            <w:r w:rsidRPr="008D7B1F">
              <w:rPr>
                <w:lang w:val="fr-FR"/>
              </w:rPr>
              <w:t>1</w:t>
            </w:r>
            <w:r w:rsidR="00B10D43" w:rsidRPr="008D7B1F">
              <w:rPr>
                <w:lang w:val="fr-FR"/>
              </w:rPr>
              <w:t xml:space="preserve"> </w:t>
            </w:r>
            <w:proofErr w:type="spellStart"/>
            <w:r w:rsidR="00B10D43" w:rsidRPr="008D7B1F">
              <w:rPr>
                <w:lang w:val="fr-FR"/>
              </w:rPr>
              <w:t>Rev</w:t>
            </w:r>
            <w:proofErr w:type="spellEnd"/>
            <w:r w:rsidR="00B10D43" w:rsidRPr="008D7B1F">
              <w:rPr>
                <w:lang w:val="fr-FR"/>
              </w:rPr>
              <w:t>.</w:t>
            </w:r>
          </w:p>
          <w:p w:rsidR="008272FF" w:rsidRPr="008D7B1F" w:rsidRDefault="008272FF" w:rsidP="00C2539A">
            <w:pPr>
              <w:pStyle w:val="Docoriginal"/>
              <w:rPr>
                <w:b w:val="0"/>
                <w:spacing w:val="0"/>
                <w:lang w:val="fr-FR"/>
              </w:rPr>
            </w:pPr>
            <w:r w:rsidRPr="008D7B1F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8F5CB7" w:rsidRPr="008D7B1F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8D7B1F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8D7B1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8D7B1F">
              <w:rPr>
                <w:b w:val="0"/>
                <w:spacing w:val="0"/>
                <w:lang w:val="fr-FR"/>
              </w:rPr>
              <w:t>anglais</w:t>
            </w:r>
          </w:p>
          <w:p w:rsidR="008272FF" w:rsidRPr="00EE54E3" w:rsidRDefault="008272FF" w:rsidP="008D7B1F">
            <w:pPr>
              <w:pStyle w:val="Docoriginal"/>
              <w:rPr>
                <w:lang w:val="fr-FR"/>
              </w:rPr>
            </w:pPr>
            <w:r w:rsidRPr="008D7B1F">
              <w:rPr>
                <w:spacing w:val="0"/>
                <w:lang w:val="fr-FR"/>
              </w:rPr>
              <w:t>DATE</w:t>
            </w:r>
            <w:r w:rsidR="008F5CB7" w:rsidRPr="008D7B1F">
              <w:rPr>
                <w:spacing w:val="0"/>
                <w:lang w:val="fr-FR"/>
              </w:rPr>
              <w:t> </w:t>
            </w:r>
            <w:r w:rsidRPr="008D7B1F">
              <w:rPr>
                <w:spacing w:val="0"/>
                <w:lang w:val="fr-FR"/>
              </w:rPr>
              <w:t>:</w:t>
            </w:r>
            <w:r w:rsidRPr="008D7B1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B10D43" w:rsidRPr="008D7B1F">
              <w:rPr>
                <w:b w:val="0"/>
                <w:bCs w:val="0"/>
                <w:spacing w:val="0"/>
              </w:rPr>
              <w:t xml:space="preserve">2 </w:t>
            </w:r>
            <w:proofErr w:type="spellStart"/>
            <w:r w:rsidR="008D7B1F" w:rsidRPr="008D7B1F">
              <w:rPr>
                <w:b w:val="0"/>
                <w:bCs w:val="0"/>
                <w:spacing w:val="0"/>
              </w:rPr>
              <w:t>octobre</w:t>
            </w:r>
            <w:proofErr w:type="spellEnd"/>
            <w:r w:rsidR="008D7B1F" w:rsidRPr="008D7B1F">
              <w:rPr>
                <w:b w:val="0"/>
                <w:bCs w:val="0"/>
                <w:spacing w:val="0"/>
              </w:rPr>
              <w:t xml:space="preserve"> </w:t>
            </w:r>
            <w:r w:rsidRPr="008D7B1F">
              <w:rPr>
                <w:b w:val="0"/>
                <w:bCs w:val="0"/>
                <w:spacing w:val="0"/>
              </w:rPr>
              <w:t>2015</w:t>
            </w:r>
            <w:bookmarkStart w:id="4" w:name="_GoBack"/>
            <w:bookmarkEnd w:id="4"/>
          </w:p>
        </w:tc>
      </w:tr>
      <w:tr w:rsidR="008272FF" w:rsidRPr="00EE54E3" w:rsidTr="00C2539A">
        <w:tc>
          <w:tcPr>
            <w:tcW w:w="10131" w:type="dxa"/>
            <w:gridSpan w:val="3"/>
          </w:tcPr>
          <w:p w:rsidR="008272FF" w:rsidRPr="00EE54E3" w:rsidRDefault="008272FF" w:rsidP="00C2539A">
            <w:pPr>
              <w:pStyle w:val="upove"/>
              <w:rPr>
                <w:sz w:val="28"/>
                <w:lang w:val="fr-FR"/>
              </w:rPr>
            </w:pPr>
            <w:r w:rsidRPr="00EE54E3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8272FF" w:rsidRPr="00EE54E3" w:rsidTr="00C2539A">
        <w:tc>
          <w:tcPr>
            <w:tcW w:w="10131" w:type="dxa"/>
            <w:gridSpan w:val="3"/>
          </w:tcPr>
          <w:p w:rsidR="008272FF" w:rsidRPr="00EE54E3" w:rsidRDefault="008272FF" w:rsidP="00C2539A">
            <w:pPr>
              <w:pStyle w:val="Country"/>
              <w:rPr>
                <w:lang w:val="fr-FR"/>
              </w:rPr>
            </w:pPr>
            <w:r w:rsidRPr="00EE54E3">
              <w:rPr>
                <w:lang w:val="fr-FR"/>
              </w:rPr>
              <w:t>Genève</w:t>
            </w:r>
          </w:p>
        </w:tc>
      </w:tr>
    </w:tbl>
    <w:p w:rsidR="008272FF" w:rsidRPr="00EE54E3" w:rsidRDefault="008272FF" w:rsidP="008272FF">
      <w:pPr>
        <w:pStyle w:val="Sessiontc"/>
        <w:rPr>
          <w:lang w:val="fr-FR"/>
        </w:rPr>
      </w:pPr>
      <w:r w:rsidRPr="00EE54E3">
        <w:rPr>
          <w:lang w:val="fr-FR"/>
        </w:rPr>
        <w:t>CONSEIL</w:t>
      </w:r>
    </w:p>
    <w:p w:rsidR="008272FF" w:rsidRPr="00EE54E3" w:rsidRDefault="008272FF" w:rsidP="008272FF">
      <w:pPr>
        <w:pStyle w:val="Sessiontcplacedate"/>
        <w:rPr>
          <w:lang w:val="fr-FR"/>
        </w:rPr>
      </w:pPr>
      <w:bookmarkStart w:id="5" w:name="TitleOfDoc"/>
      <w:bookmarkEnd w:id="5"/>
      <w:r w:rsidRPr="00EE54E3">
        <w:rPr>
          <w:lang w:val="fr-FR"/>
        </w:rPr>
        <w:t>Quarante</w:t>
      </w:r>
      <w:r w:rsidR="00EE54E3" w:rsidRPr="00EE54E3">
        <w:rPr>
          <w:lang w:val="fr-FR"/>
        </w:rPr>
        <w:noBreakHyphen/>
      </w:r>
      <w:r w:rsidRPr="00EE54E3">
        <w:rPr>
          <w:lang w:val="fr-FR"/>
        </w:rPr>
        <w:t>neuvième</w:t>
      </w:r>
      <w:r w:rsidR="008F5CB7" w:rsidRPr="00EE54E3">
        <w:rPr>
          <w:lang w:val="fr-FR"/>
        </w:rPr>
        <w:t> </w:t>
      </w:r>
      <w:r w:rsidRPr="00EE54E3">
        <w:rPr>
          <w:lang w:val="fr-FR"/>
        </w:rPr>
        <w:t>session ordinaire</w:t>
      </w:r>
      <w:r w:rsidRPr="00EE54E3">
        <w:rPr>
          <w:lang w:val="fr-FR"/>
        </w:rPr>
        <w:br/>
        <w:t>Genève, 29 octobre 2015</w:t>
      </w:r>
    </w:p>
    <w:p w:rsidR="003B2F75" w:rsidRPr="00EE54E3" w:rsidRDefault="003B2F75" w:rsidP="008272FF">
      <w:pPr>
        <w:pStyle w:val="Titleofdoc0"/>
        <w:rPr>
          <w:lang w:val="fr-FR"/>
        </w:rPr>
      </w:pPr>
      <w:r w:rsidRPr="00EE54E3">
        <w:rPr>
          <w:lang w:val="fr-FR"/>
        </w:rPr>
        <w:t>PROJET D</w:t>
      </w:r>
      <w:r w:rsidR="008272FF" w:rsidRPr="00EE54E3">
        <w:rPr>
          <w:lang w:val="fr-FR"/>
        </w:rPr>
        <w:t>’</w:t>
      </w:r>
      <w:r w:rsidRPr="00EE54E3">
        <w:rPr>
          <w:lang w:val="fr-FR"/>
        </w:rPr>
        <w:t>ORDRE DU JOUR</w:t>
      </w:r>
      <w:r w:rsidR="00B10D43">
        <w:rPr>
          <w:lang w:val="fr-FR"/>
        </w:rPr>
        <w:t xml:space="preserve"> révisé</w:t>
      </w:r>
    </w:p>
    <w:p w:rsidR="000D7780" w:rsidRPr="00EE54E3" w:rsidRDefault="003B2F75" w:rsidP="006655D3">
      <w:pPr>
        <w:pStyle w:val="preparedby1"/>
        <w:rPr>
          <w:highlight w:val="lightGray"/>
          <w:lang w:val="fr-FR"/>
        </w:rPr>
      </w:pPr>
      <w:r w:rsidRPr="00EE54E3">
        <w:rPr>
          <w:lang w:val="fr-FR"/>
        </w:rPr>
        <w:t>Document établi par le Bureau de l</w:t>
      </w:r>
      <w:r w:rsidR="008272FF" w:rsidRPr="00EE54E3">
        <w:rPr>
          <w:lang w:val="fr-FR"/>
        </w:rPr>
        <w:t>’</w:t>
      </w:r>
      <w:r w:rsidRPr="00EE54E3">
        <w:rPr>
          <w:lang w:val="fr-FR"/>
        </w:rPr>
        <w:t>Union</w:t>
      </w:r>
      <w:r w:rsidR="00560A6D" w:rsidRPr="00EE54E3">
        <w:rPr>
          <w:highlight w:val="lightGray"/>
          <w:lang w:val="fr-FR"/>
        </w:rPr>
        <w:br/>
      </w:r>
      <w:r w:rsidR="00560A6D" w:rsidRPr="00EE54E3">
        <w:rPr>
          <w:highlight w:val="lightGray"/>
          <w:lang w:val="fr-FR"/>
        </w:rPr>
        <w:br/>
      </w:r>
      <w:r w:rsidRPr="00EE54E3">
        <w:rPr>
          <w:color w:val="A6A6A6" w:themeColor="background1" w:themeShade="A6"/>
          <w:lang w:val="fr-FR"/>
        </w:rPr>
        <w:t>Avertissement</w:t>
      </w:r>
      <w:r w:rsidR="008F5CB7" w:rsidRPr="00EE54E3">
        <w:rPr>
          <w:color w:val="A6A6A6" w:themeColor="background1" w:themeShade="A6"/>
          <w:lang w:val="fr-FR"/>
        </w:rPr>
        <w:t> </w:t>
      </w:r>
      <w:r w:rsidRPr="00EE54E3">
        <w:rPr>
          <w:color w:val="A6A6A6" w:themeColor="background1" w:themeShade="A6"/>
          <w:lang w:val="fr-FR"/>
        </w:rPr>
        <w:t>: le présent document ne représente pas les principes ou les orientations de l</w:t>
      </w:r>
      <w:r w:rsidR="008272FF" w:rsidRPr="00EE54E3">
        <w:rPr>
          <w:color w:val="A6A6A6" w:themeColor="background1" w:themeShade="A6"/>
          <w:lang w:val="fr-FR"/>
        </w:rPr>
        <w:t>’</w:t>
      </w:r>
      <w:r w:rsidRPr="00EE54E3">
        <w:rPr>
          <w:color w:val="A6A6A6" w:themeColor="background1" w:themeShade="A6"/>
          <w:lang w:val="fr-FR"/>
        </w:rPr>
        <w:t>UPOV</w:t>
      </w:r>
    </w:p>
    <w:p w:rsidR="0079538F" w:rsidRPr="00EE54E3" w:rsidRDefault="0079538F" w:rsidP="00C63D62">
      <w:pPr>
        <w:ind w:left="567" w:hanging="567"/>
        <w:rPr>
          <w:snapToGrid w:val="0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3B2F75" w:rsidRPr="00EE54E3">
        <w:rPr>
          <w:snapToGrid w:val="0"/>
          <w:lang w:val="fr-FR"/>
        </w:rPr>
        <w:t>Ouverture de la session</w:t>
      </w:r>
    </w:p>
    <w:p w:rsidR="0079538F" w:rsidRPr="00EE54E3" w:rsidRDefault="0079538F" w:rsidP="00C63D62">
      <w:pPr>
        <w:ind w:left="567" w:hanging="567"/>
        <w:rPr>
          <w:rFonts w:cs="Arial"/>
          <w:snapToGrid w:val="0"/>
          <w:lang w:val="fr-FR"/>
        </w:rPr>
      </w:pPr>
    </w:p>
    <w:p w:rsidR="0079538F" w:rsidRPr="00EE54E3" w:rsidRDefault="0079538F" w:rsidP="00C63D62">
      <w:pPr>
        <w:ind w:left="567" w:hanging="567"/>
        <w:rPr>
          <w:rFonts w:cs="Arial"/>
          <w:snapToGrid w:val="0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3B2F75" w:rsidRPr="00EE54E3">
        <w:rPr>
          <w:rFonts w:cs="Arial"/>
          <w:snapToGrid w:val="0"/>
          <w:lang w:val="fr-FR"/>
        </w:rPr>
        <w:t>Adoption de l</w:t>
      </w:r>
      <w:r w:rsidR="008272FF" w:rsidRPr="00EE54E3">
        <w:rPr>
          <w:rFonts w:cs="Arial"/>
          <w:snapToGrid w:val="0"/>
          <w:lang w:val="fr-FR"/>
        </w:rPr>
        <w:t>’</w:t>
      </w:r>
      <w:r w:rsidR="003B2F75" w:rsidRPr="00EE54E3">
        <w:rPr>
          <w:rFonts w:cs="Arial"/>
          <w:snapToGrid w:val="0"/>
          <w:lang w:val="fr-FR"/>
        </w:rPr>
        <w:t>ordre du jour</w:t>
      </w:r>
    </w:p>
    <w:p w:rsidR="0079538F" w:rsidRPr="00EE54E3" w:rsidRDefault="0079538F" w:rsidP="00C63D62">
      <w:pPr>
        <w:ind w:left="567" w:hanging="567"/>
        <w:rPr>
          <w:rFonts w:cs="Arial"/>
          <w:snapToGrid w:val="0"/>
          <w:lang w:val="fr-FR"/>
        </w:rPr>
      </w:pPr>
    </w:p>
    <w:p w:rsidR="0079538F" w:rsidRPr="00EE54E3" w:rsidRDefault="0079538F" w:rsidP="00C63D62">
      <w:pPr>
        <w:ind w:left="567" w:hanging="567"/>
        <w:rPr>
          <w:snapToGrid w:val="0"/>
          <w:lang w:val="fr-FR"/>
        </w:rPr>
      </w:pPr>
      <w:r w:rsidRPr="00EE54E3">
        <w:rPr>
          <w:rFonts w:cs="Arial"/>
          <w:snapToGrid w:val="0"/>
          <w:lang w:val="fr-FR"/>
        </w:rPr>
        <w:fldChar w:fldCharType="begin"/>
      </w:r>
      <w:r w:rsidRPr="00EE54E3">
        <w:rPr>
          <w:rFonts w:cs="Arial"/>
          <w:snapToGrid w:val="0"/>
          <w:lang w:val="fr-FR"/>
        </w:rPr>
        <w:instrText xml:space="preserve"> AUTONUM  </w:instrText>
      </w:r>
      <w:r w:rsidRPr="00EE54E3">
        <w:rPr>
          <w:rFonts w:cs="Arial"/>
          <w:snapToGrid w:val="0"/>
          <w:lang w:val="fr-FR"/>
        </w:rPr>
        <w:fldChar w:fldCharType="end"/>
      </w:r>
      <w:r w:rsidRPr="00EE54E3">
        <w:rPr>
          <w:rFonts w:cs="Arial"/>
          <w:snapToGrid w:val="0"/>
          <w:lang w:val="fr-FR"/>
        </w:rPr>
        <w:tab/>
      </w:r>
      <w:r w:rsidR="003B2F75" w:rsidRPr="00EE54E3">
        <w:rPr>
          <w:lang w:val="fr-FR"/>
        </w:rPr>
        <w:t>Examen de la conformité de la “Loi sur l</w:t>
      </w:r>
      <w:r w:rsidR="008272FF" w:rsidRPr="00EE54E3">
        <w:rPr>
          <w:lang w:val="fr-FR"/>
        </w:rPr>
        <w:t>’</w:t>
      </w:r>
      <w:r w:rsidR="003B2F75" w:rsidRPr="00EE54E3">
        <w:rPr>
          <w:lang w:val="fr-FR"/>
        </w:rPr>
        <w:t>enregistrement des obtentions végétales et le contrôle et la certification des semences et du matériel végétal de</w:t>
      </w:r>
      <w:r w:rsidR="008F5CB7" w:rsidRPr="00EE54E3">
        <w:rPr>
          <w:lang w:val="fr-FR"/>
        </w:rPr>
        <w:t> </w:t>
      </w:r>
      <w:r w:rsidR="003B2F75" w:rsidRPr="00EE54E3">
        <w:rPr>
          <w:lang w:val="fr-FR"/>
        </w:rPr>
        <w:t>2003” de la République islamique d</w:t>
      </w:r>
      <w:r w:rsidR="008272FF" w:rsidRPr="00EE54E3">
        <w:rPr>
          <w:lang w:val="fr-FR"/>
        </w:rPr>
        <w:t>’</w:t>
      </w:r>
      <w:r w:rsidR="003B2F75" w:rsidRPr="00EE54E3">
        <w:rPr>
          <w:lang w:val="fr-FR"/>
        </w:rPr>
        <w:t>Iran avec l</w:t>
      </w:r>
      <w:r w:rsidR="008272FF" w:rsidRPr="00EE54E3">
        <w:rPr>
          <w:lang w:val="fr-FR"/>
        </w:rPr>
        <w:t>’</w:t>
      </w:r>
      <w:r w:rsidR="003B2F75" w:rsidRPr="00EE54E3">
        <w:rPr>
          <w:lang w:val="fr-FR"/>
        </w:rPr>
        <w:t>Acte de</w:t>
      </w:r>
      <w:r w:rsidR="008F5CB7" w:rsidRPr="00EE54E3">
        <w:rPr>
          <w:lang w:val="fr-FR"/>
        </w:rPr>
        <w:t> </w:t>
      </w:r>
      <w:r w:rsidR="003B2F75" w:rsidRPr="00EE54E3">
        <w:rPr>
          <w:lang w:val="fr-FR"/>
        </w:rPr>
        <w:t xml:space="preserve">1991 de la </w:t>
      </w:r>
      <w:r w:rsidR="008272FF" w:rsidRPr="00EE54E3">
        <w:rPr>
          <w:lang w:val="fr-FR"/>
        </w:rPr>
        <w:t>Convention UPOV</w:t>
      </w:r>
      <w:r w:rsidR="003B2F75" w:rsidRPr="00EE54E3">
        <w:rPr>
          <w:lang w:val="fr-FR"/>
        </w:rPr>
        <w:t xml:space="preserve"> (document C(</w:t>
      </w:r>
      <w:proofErr w:type="spellStart"/>
      <w:r w:rsidR="003B2F75" w:rsidRPr="00EE54E3">
        <w:rPr>
          <w:lang w:val="fr-FR"/>
        </w:rPr>
        <w:t>Extr</w:t>
      </w:r>
      <w:proofErr w:type="spellEnd"/>
      <w:r w:rsidR="003B2F75" w:rsidRPr="00EE54E3">
        <w:rPr>
          <w:lang w:val="fr-FR"/>
        </w:rPr>
        <w:t>)/32/8)</w:t>
      </w:r>
    </w:p>
    <w:p w:rsidR="0079538F" w:rsidRPr="00EE54E3" w:rsidRDefault="0079538F" w:rsidP="00C63D62">
      <w:pPr>
        <w:ind w:left="567" w:hanging="567"/>
        <w:rPr>
          <w:lang w:val="fr-FR"/>
        </w:rPr>
      </w:pPr>
    </w:p>
    <w:p w:rsidR="008272FF" w:rsidRPr="00EE54E3" w:rsidRDefault="0079538F" w:rsidP="00C63D62">
      <w:pPr>
        <w:ind w:left="567" w:hanging="567"/>
        <w:rPr>
          <w:snapToGrid w:val="0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7A47DD" w:rsidRPr="00EE54E3">
        <w:rPr>
          <w:snapToGrid w:val="0"/>
          <w:lang w:val="fr-FR"/>
        </w:rPr>
        <w:t>Rapport de la présidente sur les travaux de la quatre</w:t>
      </w:r>
      <w:r w:rsidR="00EE54E3" w:rsidRPr="00EE54E3">
        <w:rPr>
          <w:snapToGrid w:val="0"/>
          <w:lang w:val="fr-FR"/>
        </w:rPr>
        <w:noBreakHyphen/>
      </w:r>
      <w:r w:rsidR="007A47DD" w:rsidRPr="00EE54E3">
        <w:rPr>
          <w:snapToGrid w:val="0"/>
          <w:lang w:val="fr-FR"/>
        </w:rPr>
        <w:t>vingt</w:t>
      </w:r>
      <w:r w:rsidR="00EE54E3" w:rsidRPr="00EE54E3">
        <w:rPr>
          <w:snapToGrid w:val="0"/>
          <w:lang w:val="fr-FR"/>
        </w:rPr>
        <w:noBreakHyphen/>
      </w:r>
      <w:r w:rsidR="007A47DD" w:rsidRPr="00EE54E3">
        <w:rPr>
          <w:snapToGrid w:val="0"/>
          <w:lang w:val="fr-FR"/>
        </w:rPr>
        <w:t>dixième</w:t>
      </w:r>
      <w:r w:rsidR="008F5CB7" w:rsidRPr="00EE54E3">
        <w:rPr>
          <w:snapToGrid w:val="0"/>
          <w:lang w:val="fr-FR"/>
        </w:rPr>
        <w:t> </w:t>
      </w:r>
      <w:r w:rsidR="007A47DD" w:rsidRPr="00EE54E3">
        <w:rPr>
          <w:snapToGrid w:val="0"/>
          <w:lang w:val="fr-FR"/>
        </w:rPr>
        <w:t>session du Comité consultatif;  adoption, le cas échéant, des recommandations élaborées par ce comité (document C/49/16)</w:t>
      </w:r>
    </w:p>
    <w:p w:rsidR="0079538F" w:rsidRPr="00EE54E3" w:rsidRDefault="0079538F" w:rsidP="00C63D62">
      <w:pPr>
        <w:ind w:left="567" w:hanging="567"/>
        <w:rPr>
          <w:lang w:val="fr-FR"/>
        </w:rPr>
      </w:pPr>
    </w:p>
    <w:p w:rsidR="008272FF" w:rsidRPr="00EE54E3" w:rsidRDefault="0079538F" w:rsidP="00C63D62">
      <w:pPr>
        <w:ind w:left="567" w:hanging="567"/>
        <w:rPr>
          <w:bCs/>
          <w:snapToGrid w:val="0"/>
          <w:szCs w:val="24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7A47DD" w:rsidRPr="00EE54E3">
        <w:rPr>
          <w:bCs/>
          <w:snapToGrid w:val="0"/>
          <w:szCs w:val="24"/>
          <w:lang w:val="fr-FR"/>
        </w:rPr>
        <w:t>Adoption de documents</w:t>
      </w:r>
      <w:r w:rsidRPr="00EE54E3">
        <w:rPr>
          <w:bCs/>
          <w:snapToGrid w:val="0"/>
          <w:szCs w:val="24"/>
          <w:lang w:val="fr-FR"/>
        </w:rPr>
        <w:t xml:space="preserve"> (document C/49/1</w:t>
      </w:r>
      <w:r w:rsidR="0083615F" w:rsidRPr="00EE54E3">
        <w:rPr>
          <w:bCs/>
          <w:snapToGrid w:val="0"/>
          <w:szCs w:val="24"/>
          <w:lang w:val="fr-FR"/>
        </w:rPr>
        <w:t>4</w:t>
      </w:r>
      <w:r w:rsidRPr="00EE54E3">
        <w:rPr>
          <w:bCs/>
          <w:snapToGrid w:val="0"/>
          <w:szCs w:val="24"/>
          <w:lang w:val="fr-FR"/>
        </w:rPr>
        <w:t>)</w:t>
      </w:r>
    </w:p>
    <w:p w:rsidR="0079538F" w:rsidRPr="00EE54E3" w:rsidRDefault="0079538F" w:rsidP="00C63D62">
      <w:pPr>
        <w:ind w:left="567" w:hanging="567"/>
        <w:rPr>
          <w:bCs/>
          <w:snapToGrid w:val="0"/>
          <w:szCs w:val="24"/>
          <w:lang w:val="fr-FR"/>
        </w:rPr>
      </w:pPr>
    </w:p>
    <w:p w:rsidR="0079538F" w:rsidRPr="00EE54E3" w:rsidRDefault="0079538F" w:rsidP="00C63D62">
      <w:pPr>
        <w:ind w:left="567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>a)</w:t>
      </w:r>
      <w:r w:rsidRPr="00EE54E3">
        <w:rPr>
          <w:bCs/>
          <w:snapToGrid w:val="0"/>
          <w:szCs w:val="24"/>
          <w:lang w:val="fr-FR"/>
        </w:rPr>
        <w:tab/>
      </w:r>
      <w:r w:rsidR="007A47DD" w:rsidRPr="00EE54E3">
        <w:rPr>
          <w:bCs/>
          <w:snapToGrid w:val="0"/>
          <w:szCs w:val="24"/>
          <w:lang w:val="fr-FR"/>
        </w:rPr>
        <w:t>Documents TGP</w:t>
      </w:r>
      <w:r w:rsidR="008F5CB7" w:rsidRPr="00EE54E3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>:</w:t>
      </w:r>
    </w:p>
    <w:p w:rsidR="0079538F" w:rsidRPr="00EE54E3" w:rsidRDefault="0079538F" w:rsidP="00C63D62">
      <w:pPr>
        <w:ind w:left="2268" w:hanging="1701"/>
        <w:rPr>
          <w:bCs/>
          <w:snapToGrid w:val="0"/>
          <w:szCs w:val="24"/>
          <w:lang w:val="fr-FR"/>
        </w:rPr>
      </w:pPr>
    </w:p>
    <w:p w:rsidR="0079538F" w:rsidRPr="00EE54E3" w:rsidRDefault="007A47DD" w:rsidP="00C63D62">
      <w:pPr>
        <w:ind w:left="2268" w:hanging="1134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 xml:space="preserve">TGP/5 </w:t>
      </w:r>
      <w:r w:rsidR="00F36B0A">
        <w:rPr>
          <w:bCs/>
          <w:snapToGrid w:val="0"/>
          <w:szCs w:val="24"/>
          <w:lang w:val="fr-FR"/>
        </w:rPr>
        <w:tab/>
      </w:r>
      <w:r w:rsidRPr="00EE54E3">
        <w:rPr>
          <w:bCs/>
          <w:snapToGrid w:val="0"/>
          <w:szCs w:val="24"/>
          <w:lang w:val="fr-FR"/>
        </w:rPr>
        <w:t>Expérience et coopération en matière d</w:t>
      </w:r>
      <w:r w:rsidR="008272FF" w:rsidRPr="00EE54E3">
        <w:rPr>
          <w:bCs/>
          <w:snapToGrid w:val="0"/>
          <w:szCs w:val="24"/>
          <w:lang w:val="fr-FR"/>
        </w:rPr>
        <w:t>’</w:t>
      </w:r>
      <w:r w:rsidRPr="00EE54E3">
        <w:rPr>
          <w:bCs/>
          <w:snapToGrid w:val="0"/>
          <w:szCs w:val="24"/>
          <w:lang w:val="fr-FR"/>
        </w:rPr>
        <w:t>examen</w:t>
      </w:r>
      <w:r w:rsidR="008F5CB7" w:rsidRPr="00EE54E3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>DHS (révision</w:t>
      </w:r>
      <w:r w:rsidR="0079538F" w:rsidRPr="00EE54E3">
        <w:rPr>
          <w:bCs/>
          <w:snapToGrid w:val="0"/>
          <w:szCs w:val="24"/>
          <w:lang w:val="fr-FR"/>
        </w:rPr>
        <w:t>)</w:t>
      </w:r>
    </w:p>
    <w:p w:rsidR="008272FF" w:rsidRPr="00EE54E3" w:rsidRDefault="0079538F" w:rsidP="00C63D62">
      <w:pPr>
        <w:ind w:left="2268" w:hanging="1134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ab/>
        <w:t>(</w:t>
      </w:r>
      <w:proofErr w:type="gramStart"/>
      <w:r w:rsidRPr="00EE54E3">
        <w:rPr>
          <w:bCs/>
          <w:snapToGrid w:val="0"/>
          <w:szCs w:val="24"/>
          <w:lang w:val="fr-FR"/>
        </w:rPr>
        <w:t>document</w:t>
      </w:r>
      <w:proofErr w:type="gramEnd"/>
      <w:r w:rsidRPr="00EE54E3">
        <w:rPr>
          <w:bCs/>
          <w:snapToGrid w:val="0"/>
          <w:szCs w:val="24"/>
          <w:lang w:val="fr-FR"/>
        </w:rPr>
        <w:t xml:space="preserve"> C/49/1</w:t>
      </w:r>
      <w:r w:rsidR="0083615F" w:rsidRPr="00EE54E3">
        <w:rPr>
          <w:bCs/>
          <w:snapToGrid w:val="0"/>
          <w:szCs w:val="24"/>
          <w:lang w:val="fr-FR"/>
        </w:rPr>
        <w:t>4</w:t>
      </w:r>
      <w:r w:rsidR="00C23BF3" w:rsidRPr="00EE54E3">
        <w:rPr>
          <w:bCs/>
          <w:snapToGrid w:val="0"/>
          <w:szCs w:val="24"/>
          <w:lang w:val="fr-FR"/>
        </w:rPr>
        <w:t>, a</w:t>
      </w:r>
      <w:r w:rsidRPr="00EE54E3">
        <w:rPr>
          <w:bCs/>
          <w:snapToGrid w:val="0"/>
          <w:szCs w:val="24"/>
          <w:lang w:val="fr-FR"/>
        </w:rPr>
        <w:t>nnex</w:t>
      </w:r>
      <w:r w:rsidR="007A47DD" w:rsidRPr="00EE54E3">
        <w:rPr>
          <w:bCs/>
          <w:snapToGrid w:val="0"/>
          <w:szCs w:val="24"/>
          <w:lang w:val="fr-FR"/>
        </w:rPr>
        <w:t>e</w:t>
      </w:r>
      <w:r w:rsidR="008F5CB7" w:rsidRPr="00EE54E3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>I)</w:t>
      </w:r>
    </w:p>
    <w:p w:rsidR="0079538F" w:rsidRPr="00EE54E3" w:rsidRDefault="0079538F" w:rsidP="00C63D62">
      <w:pPr>
        <w:ind w:left="3402" w:hanging="1134"/>
        <w:rPr>
          <w:bCs/>
          <w:snapToGrid w:val="0"/>
          <w:szCs w:val="24"/>
          <w:lang w:val="fr-FR"/>
        </w:rPr>
      </w:pPr>
    </w:p>
    <w:p w:rsidR="0079538F" w:rsidRPr="00EE54E3" w:rsidRDefault="007A47DD" w:rsidP="00C63D62">
      <w:pPr>
        <w:spacing w:after="120"/>
        <w:ind w:left="3402" w:hanging="1134"/>
        <w:rPr>
          <w:bCs/>
          <w:snapToGrid w:val="0"/>
          <w:szCs w:val="24"/>
          <w:highlight w:val="yellow"/>
          <w:lang w:val="fr-FR"/>
        </w:rPr>
      </w:pPr>
      <w:r w:rsidRPr="00EE54E3">
        <w:rPr>
          <w:bCs/>
          <w:snapToGrid w:val="0"/>
          <w:szCs w:val="24"/>
          <w:lang w:val="fr-FR"/>
        </w:rPr>
        <w:t>Section</w:t>
      </w:r>
      <w:r w:rsidR="008F5CB7" w:rsidRPr="00EE54E3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>3</w:t>
      </w:r>
      <w:r w:rsidR="008F5CB7" w:rsidRPr="00EE54E3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 xml:space="preserve">: </w:t>
      </w:r>
      <w:r w:rsidR="00F36B0A">
        <w:rPr>
          <w:bCs/>
          <w:snapToGrid w:val="0"/>
          <w:szCs w:val="24"/>
          <w:lang w:val="fr-FR"/>
        </w:rPr>
        <w:tab/>
      </w:r>
      <w:r w:rsidRPr="00EE54E3">
        <w:rPr>
          <w:bCs/>
          <w:snapToGrid w:val="0"/>
          <w:szCs w:val="24"/>
          <w:lang w:val="fr-FR"/>
        </w:rPr>
        <w:t>Questionnaire technique à remplir en relation avec une demande de certificat d</w:t>
      </w:r>
      <w:r w:rsidR="008272FF" w:rsidRPr="00EE54E3">
        <w:rPr>
          <w:bCs/>
          <w:snapToGrid w:val="0"/>
          <w:szCs w:val="24"/>
          <w:lang w:val="fr-FR"/>
        </w:rPr>
        <w:t>’</w:t>
      </w:r>
      <w:r w:rsidRPr="00EE54E3">
        <w:rPr>
          <w:bCs/>
          <w:snapToGrid w:val="0"/>
          <w:szCs w:val="24"/>
          <w:lang w:val="fr-FR"/>
        </w:rPr>
        <w:t>obtention végétale</w:t>
      </w:r>
    </w:p>
    <w:p w:rsidR="0079538F" w:rsidRPr="00EE54E3" w:rsidRDefault="007A47DD" w:rsidP="00C63D62">
      <w:pPr>
        <w:spacing w:after="120"/>
        <w:ind w:left="3402" w:hanging="1134"/>
        <w:rPr>
          <w:bCs/>
          <w:snapToGrid w:val="0"/>
          <w:szCs w:val="24"/>
          <w:highlight w:val="lightGray"/>
          <w:lang w:val="fr-FR"/>
        </w:rPr>
      </w:pPr>
      <w:r w:rsidRPr="00EE54E3">
        <w:rPr>
          <w:bCs/>
          <w:snapToGrid w:val="0"/>
          <w:szCs w:val="24"/>
          <w:lang w:val="fr-FR"/>
        </w:rPr>
        <w:t>Section</w:t>
      </w:r>
      <w:r w:rsidR="008F5CB7" w:rsidRPr="00EE54E3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>8</w:t>
      </w:r>
      <w:r w:rsidR="008F5CB7" w:rsidRPr="00EE54E3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 xml:space="preserve">: </w:t>
      </w:r>
      <w:r w:rsidR="00F36B0A">
        <w:rPr>
          <w:bCs/>
          <w:snapToGrid w:val="0"/>
          <w:szCs w:val="24"/>
          <w:lang w:val="fr-FR"/>
        </w:rPr>
        <w:tab/>
      </w:r>
      <w:r w:rsidRPr="00EE54E3">
        <w:rPr>
          <w:bCs/>
          <w:snapToGrid w:val="0"/>
          <w:szCs w:val="24"/>
          <w:lang w:val="fr-FR"/>
        </w:rPr>
        <w:t>Coopération en matière d</w:t>
      </w:r>
      <w:r w:rsidR="008272FF" w:rsidRPr="00EE54E3">
        <w:rPr>
          <w:bCs/>
          <w:snapToGrid w:val="0"/>
          <w:szCs w:val="24"/>
          <w:lang w:val="fr-FR"/>
        </w:rPr>
        <w:t>’</w:t>
      </w:r>
      <w:r w:rsidRPr="00EE54E3">
        <w:rPr>
          <w:bCs/>
          <w:snapToGrid w:val="0"/>
          <w:szCs w:val="24"/>
          <w:lang w:val="fr-FR"/>
        </w:rPr>
        <w:t>examen</w:t>
      </w:r>
    </w:p>
    <w:p w:rsidR="0079538F" w:rsidRPr="00EE54E3" w:rsidRDefault="007A47DD" w:rsidP="00C63D62">
      <w:pPr>
        <w:ind w:left="3402" w:hanging="1134"/>
        <w:rPr>
          <w:bCs/>
          <w:snapToGrid w:val="0"/>
          <w:szCs w:val="24"/>
          <w:highlight w:val="yellow"/>
          <w:lang w:val="fr-FR"/>
        </w:rPr>
      </w:pPr>
      <w:r w:rsidRPr="00EE54E3">
        <w:rPr>
          <w:bCs/>
          <w:snapToGrid w:val="0"/>
          <w:szCs w:val="24"/>
          <w:lang w:val="fr-FR"/>
        </w:rPr>
        <w:t>Section</w:t>
      </w:r>
      <w:r w:rsidR="008F5CB7" w:rsidRPr="00EE54E3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>9</w:t>
      </w:r>
      <w:r w:rsidR="008F5CB7" w:rsidRPr="00EE54E3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 xml:space="preserve">: </w:t>
      </w:r>
      <w:r w:rsidR="00F36B0A">
        <w:rPr>
          <w:bCs/>
          <w:snapToGrid w:val="0"/>
          <w:szCs w:val="24"/>
          <w:lang w:val="fr-FR"/>
        </w:rPr>
        <w:tab/>
      </w:r>
      <w:r w:rsidRPr="00EE54E3">
        <w:rPr>
          <w:bCs/>
          <w:snapToGrid w:val="0"/>
          <w:szCs w:val="24"/>
          <w:lang w:val="fr-FR"/>
        </w:rPr>
        <w:t>Liste des espèces sur lesquelles des connaissances pratiques ont été acquises ou pour lesquelles des principes directeurs d</w:t>
      </w:r>
      <w:r w:rsidR="008272FF" w:rsidRPr="00EE54E3">
        <w:rPr>
          <w:bCs/>
          <w:snapToGrid w:val="0"/>
          <w:szCs w:val="24"/>
          <w:lang w:val="fr-FR"/>
        </w:rPr>
        <w:t>’</w:t>
      </w:r>
      <w:r w:rsidRPr="00EE54E3">
        <w:rPr>
          <w:bCs/>
          <w:snapToGrid w:val="0"/>
          <w:szCs w:val="24"/>
          <w:lang w:val="fr-FR"/>
        </w:rPr>
        <w:t>examen nationaux ont été établis</w:t>
      </w:r>
    </w:p>
    <w:p w:rsidR="0079538F" w:rsidRPr="00EE54E3" w:rsidRDefault="0079538F" w:rsidP="00C63D62">
      <w:pPr>
        <w:ind w:left="2268" w:hanging="1134"/>
        <w:rPr>
          <w:bCs/>
          <w:snapToGrid w:val="0"/>
          <w:szCs w:val="24"/>
          <w:lang w:val="fr-FR"/>
        </w:rPr>
      </w:pPr>
    </w:p>
    <w:p w:rsidR="0079538F" w:rsidRPr="00EE54E3" w:rsidRDefault="0079538F" w:rsidP="00C63D62">
      <w:pPr>
        <w:ind w:left="2268" w:hanging="1134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>TGP/9</w:t>
      </w:r>
      <w:r w:rsidRPr="00EE54E3">
        <w:rPr>
          <w:bCs/>
          <w:snapToGrid w:val="0"/>
          <w:szCs w:val="24"/>
          <w:lang w:val="fr-FR"/>
        </w:rPr>
        <w:tab/>
      </w:r>
      <w:r w:rsidR="00CC40A8" w:rsidRPr="00EE54E3">
        <w:rPr>
          <w:bCs/>
          <w:snapToGrid w:val="0"/>
          <w:szCs w:val="24"/>
          <w:lang w:val="fr-FR"/>
        </w:rPr>
        <w:t>Examen de la disti</w:t>
      </w:r>
      <w:r w:rsidR="00C23BF3" w:rsidRPr="00EE54E3">
        <w:rPr>
          <w:bCs/>
          <w:snapToGrid w:val="0"/>
          <w:szCs w:val="24"/>
          <w:lang w:val="fr-FR"/>
        </w:rPr>
        <w:t>n</w:t>
      </w:r>
      <w:r w:rsidR="00CC40A8" w:rsidRPr="00EE54E3">
        <w:rPr>
          <w:bCs/>
          <w:snapToGrid w:val="0"/>
          <w:szCs w:val="24"/>
          <w:lang w:val="fr-FR"/>
        </w:rPr>
        <w:t>ction (ré</w:t>
      </w:r>
      <w:r w:rsidRPr="00EE54E3">
        <w:rPr>
          <w:bCs/>
          <w:snapToGrid w:val="0"/>
          <w:szCs w:val="24"/>
          <w:lang w:val="fr-FR"/>
        </w:rPr>
        <w:t>vision)</w:t>
      </w:r>
    </w:p>
    <w:p w:rsidR="008272FF" w:rsidRPr="00EE54E3" w:rsidRDefault="0079538F" w:rsidP="00C63D62">
      <w:pPr>
        <w:ind w:left="2268" w:hanging="1134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ab/>
        <w:t>(</w:t>
      </w:r>
      <w:proofErr w:type="gramStart"/>
      <w:r w:rsidRPr="00EE54E3">
        <w:rPr>
          <w:bCs/>
          <w:snapToGrid w:val="0"/>
          <w:szCs w:val="24"/>
          <w:lang w:val="fr-FR"/>
        </w:rPr>
        <w:t>document</w:t>
      </w:r>
      <w:proofErr w:type="gramEnd"/>
      <w:r w:rsidRPr="00EE54E3">
        <w:rPr>
          <w:bCs/>
          <w:snapToGrid w:val="0"/>
          <w:szCs w:val="24"/>
          <w:lang w:val="fr-FR"/>
        </w:rPr>
        <w:t xml:space="preserve"> </w:t>
      </w:r>
      <w:r w:rsidR="00F36B0A">
        <w:rPr>
          <w:bCs/>
          <w:snapToGrid w:val="0"/>
          <w:szCs w:val="24"/>
          <w:lang w:val="fr-FR"/>
        </w:rPr>
        <w:t>TGP/9/2 </w:t>
      </w:r>
      <w:proofErr w:type="spellStart"/>
      <w:r w:rsidR="00F36B0A">
        <w:rPr>
          <w:bCs/>
          <w:snapToGrid w:val="0"/>
          <w:szCs w:val="24"/>
          <w:lang w:val="fr-FR"/>
        </w:rPr>
        <w:t>Draft</w:t>
      </w:r>
      <w:proofErr w:type="spellEnd"/>
      <w:r w:rsidR="00F36B0A">
        <w:rPr>
          <w:bCs/>
          <w:snapToGrid w:val="0"/>
          <w:szCs w:val="24"/>
          <w:lang w:val="fr-FR"/>
        </w:rPr>
        <w:t> </w:t>
      </w:r>
      <w:r w:rsidRPr="00EE54E3">
        <w:rPr>
          <w:bCs/>
          <w:snapToGrid w:val="0"/>
          <w:szCs w:val="24"/>
          <w:lang w:val="fr-FR"/>
        </w:rPr>
        <w:t>1)</w:t>
      </w:r>
    </w:p>
    <w:p w:rsidR="0079538F" w:rsidRPr="00EE54E3" w:rsidRDefault="0079538F" w:rsidP="00C63D62">
      <w:pPr>
        <w:ind w:left="2268" w:hanging="1134"/>
        <w:rPr>
          <w:bCs/>
          <w:snapToGrid w:val="0"/>
          <w:szCs w:val="24"/>
          <w:lang w:val="fr-FR"/>
        </w:rPr>
      </w:pPr>
    </w:p>
    <w:p w:rsidR="0079538F" w:rsidRPr="00EE54E3" w:rsidRDefault="00C23BF3" w:rsidP="00C63D62">
      <w:pPr>
        <w:ind w:left="2268" w:hanging="1134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 xml:space="preserve">TGP/14 </w:t>
      </w:r>
      <w:r w:rsidR="00F36B0A">
        <w:rPr>
          <w:bCs/>
          <w:snapToGrid w:val="0"/>
          <w:szCs w:val="24"/>
          <w:lang w:val="fr-FR"/>
        </w:rPr>
        <w:tab/>
      </w:r>
      <w:r w:rsidRPr="00EE54E3">
        <w:rPr>
          <w:bCs/>
          <w:snapToGrid w:val="0"/>
          <w:szCs w:val="24"/>
          <w:lang w:val="fr-FR"/>
        </w:rPr>
        <w:t>Glossaire de termes utilisés dans les documents de l</w:t>
      </w:r>
      <w:r w:rsidR="008272FF" w:rsidRPr="00EE54E3">
        <w:rPr>
          <w:bCs/>
          <w:snapToGrid w:val="0"/>
          <w:szCs w:val="24"/>
          <w:lang w:val="fr-FR"/>
        </w:rPr>
        <w:t>’</w:t>
      </w:r>
      <w:r w:rsidRPr="00EE54E3">
        <w:rPr>
          <w:bCs/>
          <w:snapToGrid w:val="0"/>
          <w:szCs w:val="24"/>
          <w:lang w:val="fr-FR"/>
        </w:rPr>
        <w:t>UPOV (révision)</w:t>
      </w:r>
    </w:p>
    <w:p w:rsidR="008272FF" w:rsidRPr="00EE54E3" w:rsidRDefault="0083615F" w:rsidP="00C63D62">
      <w:pPr>
        <w:ind w:left="2268" w:hanging="1134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ab/>
        <w:t>(</w:t>
      </w:r>
      <w:proofErr w:type="gramStart"/>
      <w:r w:rsidRPr="00EE54E3">
        <w:rPr>
          <w:bCs/>
          <w:snapToGrid w:val="0"/>
          <w:szCs w:val="24"/>
          <w:lang w:val="fr-FR"/>
        </w:rPr>
        <w:t>document</w:t>
      </w:r>
      <w:proofErr w:type="gramEnd"/>
      <w:r w:rsidRPr="00EE54E3">
        <w:rPr>
          <w:bCs/>
          <w:snapToGrid w:val="0"/>
          <w:szCs w:val="24"/>
          <w:lang w:val="fr-FR"/>
        </w:rPr>
        <w:t xml:space="preserve"> C/49/14</w:t>
      </w:r>
      <w:r w:rsidR="0079538F" w:rsidRPr="00EE54E3">
        <w:rPr>
          <w:bCs/>
          <w:snapToGrid w:val="0"/>
          <w:szCs w:val="24"/>
          <w:lang w:val="fr-FR"/>
        </w:rPr>
        <w:t xml:space="preserve">, </w:t>
      </w:r>
      <w:r w:rsidR="00C23BF3" w:rsidRPr="00EE54E3">
        <w:rPr>
          <w:bCs/>
          <w:snapToGrid w:val="0"/>
          <w:szCs w:val="24"/>
          <w:lang w:val="fr-FR"/>
        </w:rPr>
        <w:t>a</w:t>
      </w:r>
      <w:r w:rsidR="0079538F" w:rsidRPr="00EE54E3">
        <w:rPr>
          <w:bCs/>
          <w:snapToGrid w:val="0"/>
          <w:szCs w:val="24"/>
          <w:lang w:val="fr-FR"/>
        </w:rPr>
        <w:t>nnex</w:t>
      </w:r>
      <w:r w:rsidR="00C23BF3" w:rsidRPr="00EE54E3">
        <w:rPr>
          <w:bCs/>
          <w:snapToGrid w:val="0"/>
          <w:szCs w:val="24"/>
          <w:lang w:val="fr-FR"/>
        </w:rPr>
        <w:t>e</w:t>
      </w:r>
      <w:r w:rsidR="008F5CB7" w:rsidRPr="00EE54E3">
        <w:rPr>
          <w:bCs/>
          <w:snapToGrid w:val="0"/>
          <w:szCs w:val="24"/>
          <w:lang w:val="fr-FR"/>
        </w:rPr>
        <w:t> </w:t>
      </w:r>
      <w:r w:rsidR="0079538F" w:rsidRPr="00EE54E3">
        <w:rPr>
          <w:bCs/>
          <w:snapToGrid w:val="0"/>
          <w:szCs w:val="24"/>
          <w:lang w:val="fr-FR"/>
        </w:rPr>
        <w:t>II)</w:t>
      </w:r>
    </w:p>
    <w:p w:rsidR="00B10D43" w:rsidRDefault="00B10D43">
      <w:pPr>
        <w:jc w:val="left"/>
        <w:rPr>
          <w:bCs/>
          <w:snapToGrid w:val="0"/>
          <w:szCs w:val="24"/>
          <w:lang w:val="fr-FR"/>
        </w:rPr>
      </w:pPr>
    </w:p>
    <w:p w:rsidR="008272FF" w:rsidRDefault="004D0F1A" w:rsidP="00C63D62">
      <w:pPr>
        <w:ind w:left="2268" w:hanging="1134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 xml:space="preserve">TGP/0 </w:t>
      </w:r>
      <w:r w:rsidRPr="00EE54E3">
        <w:rPr>
          <w:bCs/>
          <w:snapToGrid w:val="0"/>
          <w:szCs w:val="24"/>
          <w:lang w:val="fr-FR"/>
        </w:rPr>
        <w:tab/>
        <w:t>Liste des documents TGP et date de la version la plus récente de ces documents (révision</w:t>
      </w:r>
      <w:r w:rsidR="0079538F" w:rsidRPr="00EE54E3">
        <w:rPr>
          <w:bCs/>
          <w:snapToGrid w:val="0"/>
          <w:szCs w:val="24"/>
          <w:lang w:val="fr-FR"/>
        </w:rPr>
        <w:t>)</w:t>
      </w:r>
      <w:r w:rsidR="00D61CDD">
        <w:rPr>
          <w:bCs/>
          <w:snapToGrid w:val="0"/>
          <w:szCs w:val="24"/>
          <w:lang w:val="fr-FR"/>
        </w:rPr>
        <w:t xml:space="preserve"> </w:t>
      </w:r>
      <w:r w:rsidR="0079538F" w:rsidRPr="00EE54E3">
        <w:rPr>
          <w:bCs/>
          <w:snapToGrid w:val="0"/>
          <w:szCs w:val="24"/>
          <w:lang w:val="fr-FR"/>
        </w:rPr>
        <w:t>(</w:t>
      </w:r>
      <w:r w:rsidR="008272FF" w:rsidRPr="00EE54E3">
        <w:rPr>
          <w:bCs/>
          <w:snapToGrid w:val="0"/>
          <w:szCs w:val="24"/>
          <w:lang w:val="fr-FR"/>
        </w:rPr>
        <w:t>document TG</w:t>
      </w:r>
      <w:r w:rsidR="0079538F" w:rsidRPr="00EE54E3">
        <w:rPr>
          <w:bCs/>
          <w:snapToGrid w:val="0"/>
          <w:szCs w:val="24"/>
          <w:lang w:val="fr-FR"/>
        </w:rPr>
        <w:t>P/0/8</w:t>
      </w:r>
      <w:r w:rsidR="00F36B0A">
        <w:rPr>
          <w:bCs/>
          <w:snapToGrid w:val="0"/>
          <w:szCs w:val="24"/>
          <w:lang w:val="fr-FR"/>
        </w:rPr>
        <w:t> </w:t>
      </w:r>
      <w:proofErr w:type="spellStart"/>
      <w:r w:rsidR="0079538F" w:rsidRPr="00EE54E3">
        <w:rPr>
          <w:bCs/>
          <w:snapToGrid w:val="0"/>
          <w:szCs w:val="24"/>
          <w:lang w:val="fr-FR"/>
        </w:rPr>
        <w:t>Draft</w:t>
      </w:r>
      <w:proofErr w:type="spellEnd"/>
      <w:r w:rsidR="0079538F" w:rsidRPr="00EE54E3">
        <w:rPr>
          <w:bCs/>
          <w:snapToGrid w:val="0"/>
          <w:szCs w:val="24"/>
          <w:lang w:val="fr-FR"/>
        </w:rPr>
        <w:t> 1)</w:t>
      </w:r>
    </w:p>
    <w:p w:rsidR="00F36B0A" w:rsidRPr="00EE54E3" w:rsidRDefault="00F36B0A" w:rsidP="00C63D62">
      <w:pPr>
        <w:ind w:left="2268" w:hanging="1134"/>
        <w:rPr>
          <w:bCs/>
          <w:snapToGrid w:val="0"/>
          <w:szCs w:val="24"/>
          <w:lang w:val="fr-FR"/>
        </w:rPr>
      </w:pPr>
    </w:p>
    <w:p w:rsidR="00B10D43" w:rsidRDefault="00B10D43">
      <w:pPr>
        <w:jc w:val="left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br w:type="page"/>
      </w:r>
    </w:p>
    <w:p w:rsidR="0079538F" w:rsidRPr="00EE54E3" w:rsidRDefault="004D0F1A" w:rsidP="00C63D62">
      <w:pPr>
        <w:ind w:left="567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lastRenderedPageBreak/>
        <w:t>b)</w:t>
      </w:r>
      <w:r w:rsidRPr="00EE54E3">
        <w:rPr>
          <w:bCs/>
          <w:snapToGrid w:val="0"/>
          <w:szCs w:val="24"/>
          <w:lang w:val="fr-FR"/>
        </w:rPr>
        <w:tab/>
        <w:t>Notes explicatives</w:t>
      </w:r>
      <w:r w:rsidR="008F5CB7" w:rsidRPr="00EE54E3">
        <w:rPr>
          <w:bCs/>
          <w:snapToGrid w:val="0"/>
          <w:szCs w:val="24"/>
          <w:lang w:val="fr-FR"/>
        </w:rPr>
        <w:t> </w:t>
      </w:r>
      <w:r w:rsidR="0079538F" w:rsidRPr="00EE54E3">
        <w:rPr>
          <w:bCs/>
          <w:snapToGrid w:val="0"/>
          <w:szCs w:val="24"/>
          <w:lang w:val="fr-FR"/>
        </w:rPr>
        <w:t>:</w:t>
      </w:r>
    </w:p>
    <w:p w:rsidR="0079538F" w:rsidRPr="00EE54E3" w:rsidRDefault="0079538F" w:rsidP="00C63D62">
      <w:pPr>
        <w:ind w:left="567"/>
        <w:rPr>
          <w:bCs/>
          <w:snapToGrid w:val="0"/>
          <w:szCs w:val="24"/>
          <w:lang w:val="fr-FR"/>
        </w:rPr>
      </w:pPr>
    </w:p>
    <w:p w:rsidR="008272FF" w:rsidRPr="00EE54E3" w:rsidRDefault="004D0F1A" w:rsidP="00C63D62">
      <w:pPr>
        <w:ind w:left="2835" w:hanging="1701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 xml:space="preserve">UPOV/EXN/CAN </w:t>
      </w:r>
      <w:r w:rsidRPr="00EE54E3">
        <w:rPr>
          <w:bCs/>
          <w:snapToGrid w:val="0"/>
          <w:szCs w:val="24"/>
          <w:lang w:val="fr-FR"/>
        </w:rPr>
        <w:tab/>
        <w:t>Notes explicatives sur la déchéance de l</w:t>
      </w:r>
      <w:r w:rsidR="008272FF" w:rsidRPr="00EE54E3">
        <w:rPr>
          <w:bCs/>
          <w:snapToGrid w:val="0"/>
          <w:szCs w:val="24"/>
          <w:lang w:val="fr-FR"/>
        </w:rPr>
        <w:t>’</w:t>
      </w:r>
      <w:r w:rsidRPr="00EE54E3">
        <w:rPr>
          <w:bCs/>
          <w:snapToGrid w:val="0"/>
          <w:szCs w:val="24"/>
          <w:lang w:val="fr-FR"/>
        </w:rPr>
        <w:t>obtenteur selon la </w:t>
      </w:r>
      <w:r w:rsidR="008272FF" w:rsidRPr="00EE54E3">
        <w:rPr>
          <w:bCs/>
          <w:snapToGrid w:val="0"/>
          <w:szCs w:val="24"/>
          <w:lang w:val="fr-FR"/>
        </w:rPr>
        <w:t>Convention UPOV</w:t>
      </w:r>
      <w:r w:rsidR="0079538F" w:rsidRPr="00EE54E3">
        <w:rPr>
          <w:bCs/>
          <w:snapToGrid w:val="0"/>
          <w:szCs w:val="24"/>
          <w:lang w:val="fr-FR"/>
        </w:rPr>
        <w:t xml:space="preserve"> (</w:t>
      </w:r>
      <w:r w:rsidRPr="00EE54E3">
        <w:rPr>
          <w:bCs/>
          <w:snapToGrid w:val="0"/>
          <w:szCs w:val="24"/>
          <w:lang w:val="fr-FR"/>
        </w:rPr>
        <w:t>ré</w:t>
      </w:r>
      <w:r w:rsidR="0079538F" w:rsidRPr="00EE54E3">
        <w:rPr>
          <w:bCs/>
          <w:snapToGrid w:val="0"/>
          <w:szCs w:val="24"/>
          <w:lang w:val="fr-FR"/>
        </w:rPr>
        <w:t xml:space="preserve">vision) (document </w:t>
      </w:r>
      <w:r w:rsidR="00F36B0A">
        <w:rPr>
          <w:bCs/>
          <w:snapToGrid w:val="0"/>
          <w:szCs w:val="24"/>
          <w:lang w:val="fr-FR"/>
        </w:rPr>
        <w:t>UPOV/EXN/CAN/2 </w:t>
      </w:r>
      <w:proofErr w:type="spellStart"/>
      <w:r w:rsidR="00F36B0A">
        <w:rPr>
          <w:bCs/>
          <w:snapToGrid w:val="0"/>
          <w:szCs w:val="24"/>
          <w:lang w:val="fr-FR"/>
        </w:rPr>
        <w:t>Draft</w:t>
      </w:r>
      <w:proofErr w:type="spellEnd"/>
      <w:r w:rsidR="00F36B0A">
        <w:rPr>
          <w:bCs/>
          <w:snapToGrid w:val="0"/>
          <w:szCs w:val="24"/>
          <w:lang w:val="fr-FR"/>
        </w:rPr>
        <w:t> </w:t>
      </w:r>
      <w:r w:rsidR="0079538F" w:rsidRPr="00EE54E3">
        <w:rPr>
          <w:bCs/>
          <w:snapToGrid w:val="0"/>
          <w:szCs w:val="24"/>
          <w:lang w:val="fr-FR"/>
        </w:rPr>
        <w:t>4)</w:t>
      </w:r>
    </w:p>
    <w:p w:rsidR="0079538F" w:rsidRPr="00EE54E3" w:rsidRDefault="0079538F" w:rsidP="00C63D62">
      <w:pPr>
        <w:ind w:left="2835" w:hanging="1701"/>
        <w:rPr>
          <w:bCs/>
          <w:snapToGrid w:val="0"/>
          <w:szCs w:val="24"/>
          <w:lang w:val="fr-FR"/>
        </w:rPr>
      </w:pPr>
    </w:p>
    <w:p w:rsidR="008272FF" w:rsidRPr="00EE54E3" w:rsidRDefault="004D0F1A" w:rsidP="00C63D62">
      <w:pPr>
        <w:ind w:left="2835" w:hanging="1701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 xml:space="preserve">UPOV/EXN/NUL </w:t>
      </w:r>
      <w:r w:rsidR="00EA69A0" w:rsidRPr="00EE54E3">
        <w:rPr>
          <w:bCs/>
          <w:snapToGrid w:val="0"/>
          <w:szCs w:val="24"/>
          <w:lang w:val="fr-FR"/>
        </w:rPr>
        <w:tab/>
      </w:r>
      <w:r w:rsidRPr="00EE54E3">
        <w:rPr>
          <w:bCs/>
          <w:snapToGrid w:val="0"/>
          <w:szCs w:val="24"/>
          <w:lang w:val="fr-FR"/>
        </w:rPr>
        <w:t>Notes explicatives sur la nullité du droit d</w:t>
      </w:r>
      <w:r w:rsidR="008272FF" w:rsidRPr="00EE54E3">
        <w:rPr>
          <w:bCs/>
          <w:snapToGrid w:val="0"/>
          <w:szCs w:val="24"/>
          <w:lang w:val="fr-FR"/>
        </w:rPr>
        <w:t>’</w:t>
      </w:r>
      <w:r w:rsidRPr="00EE54E3">
        <w:rPr>
          <w:bCs/>
          <w:snapToGrid w:val="0"/>
          <w:szCs w:val="24"/>
          <w:lang w:val="fr-FR"/>
        </w:rPr>
        <w:t xml:space="preserve">obtenteur selon la </w:t>
      </w:r>
      <w:r w:rsidR="008272FF" w:rsidRPr="00EE54E3">
        <w:rPr>
          <w:bCs/>
          <w:snapToGrid w:val="0"/>
          <w:szCs w:val="24"/>
          <w:lang w:val="fr-FR"/>
        </w:rPr>
        <w:t>Convention UPOV</w:t>
      </w:r>
      <w:r w:rsidRPr="00EE54E3">
        <w:rPr>
          <w:bCs/>
          <w:snapToGrid w:val="0"/>
          <w:szCs w:val="24"/>
          <w:lang w:val="fr-FR"/>
        </w:rPr>
        <w:t xml:space="preserve"> (ré</w:t>
      </w:r>
      <w:r w:rsidR="0079538F" w:rsidRPr="00EE54E3">
        <w:rPr>
          <w:bCs/>
          <w:snapToGrid w:val="0"/>
          <w:szCs w:val="24"/>
          <w:lang w:val="fr-FR"/>
        </w:rPr>
        <w:t xml:space="preserve">vision) (document </w:t>
      </w:r>
      <w:r w:rsidR="00F36B0A">
        <w:rPr>
          <w:bCs/>
          <w:snapToGrid w:val="0"/>
          <w:szCs w:val="24"/>
          <w:lang w:val="fr-FR"/>
        </w:rPr>
        <w:t>UPOV/EXN/NUL/2 </w:t>
      </w:r>
      <w:proofErr w:type="spellStart"/>
      <w:r w:rsidR="00F36B0A">
        <w:rPr>
          <w:bCs/>
          <w:snapToGrid w:val="0"/>
          <w:szCs w:val="24"/>
          <w:lang w:val="fr-FR"/>
        </w:rPr>
        <w:t>Draft</w:t>
      </w:r>
      <w:proofErr w:type="spellEnd"/>
      <w:r w:rsidR="00F36B0A">
        <w:rPr>
          <w:bCs/>
          <w:snapToGrid w:val="0"/>
          <w:szCs w:val="24"/>
          <w:lang w:val="fr-FR"/>
        </w:rPr>
        <w:t> </w:t>
      </w:r>
      <w:r w:rsidR="0079538F" w:rsidRPr="00EE54E3">
        <w:rPr>
          <w:bCs/>
          <w:snapToGrid w:val="0"/>
          <w:szCs w:val="24"/>
          <w:lang w:val="fr-FR"/>
        </w:rPr>
        <w:t>4)</w:t>
      </w:r>
    </w:p>
    <w:p w:rsidR="0079538F" w:rsidRPr="00EE54E3" w:rsidRDefault="0079538F" w:rsidP="00C63D62">
      <w:pPr>
        <w:ind w:left="2835" w:hanging="1701"/>
        <w:rPr>
          <w:bCs/>
          <w:snapToGrid w:val="0"/>
          <w:szCs w:val="24"/>
          <w:lang w:val="fr-FR"/>
        </w:rPr>
      </w:pPr>
    </w:p>
    <w:p w:rsidR="008272FF" w:rsidRPr="00EE54E3" w:rsidRDefault="004D0F1A" w:rsidP="00C63D62">
      <w:pPr>
        <w:ind w:left="2835" w:hanging="1701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 xml:space="preserve">UPOV/EXN/PRP </w:t>
      </w:r>
      <w:r w:rsidR="00EA69A0" w:rsidRPr="00EE54E3">
        <w:rPr>
          <w:bCs/>
          <w:snapToGrid w:val="0"/>
          <w:szCs w:val="24"/>
          <w:lang w:val="fr-FR"/>
        </w:rPr>
        <w:tab/>
      </w:r>
      <w:r w:rsidRPr="00EE54E3">
        <w:rPr>
          <w:bCs/>
          <w:snapToGrid w:val="0"/>
          <w:szCs w:val="24"/>
          <w:lang w:val="fr-FR"/>
        </w:rPr>
        <w:t xml:space="preserve">Notes explicatives sur la protection provisoire selon la </w:t>
      </w:r>
      <w:r w:rsidR="008272FF" w:rsidRPr="00EE54E3">
        <w:rPr>
          <w:bCs/>
          <w:snapToGrid w:val="0"/>
          <w:szCs w:val="24"/>
          <w:lang w:val="fr-FR"/>
        </w:rPr>
        <w:t>Convention UPOV</w:t>
      </w:r>
      <w:r w:rsidR="0079538F" w:rsidRPr="00EE54E3">
        <w:rPr>
          <w:bCs/>
          <w:snapToGrid w:val="0"/>
          <w:szCs w:val="24"/>
          <w:lang w:val="fr-FR"/>
        </w:rPr>
        <w:t xml:space="preserve"> (</w:t>
      </w:r>
      <w:r w:rsidRPr="00EE54E3">
        <w:rPr>
          <w:bCs/>
          <w:snapToGrid w:val="0"/>
          <w:szCs w:val="24"/>
          <w:lang w:val="fr-FR"/>
        </w:rPr>
        <w:t>ré</w:t>
      </w:r>
      <w:r w:rsidR="0079538F" w:rsidRPr="00EE54E3">
        <w:rPr>
          <w:bCs/>
          <w:snapToGrid w:val="0"/>
          <w:szCs w:val="24"/>
          <w:lang w:val="fr-FR"/>
        </w:rPr>
        <w:t xml:space="preserve">vision) (document </w:t>
      </w:r>
      <w:r w:rsidR="00F36B0A">
        <w:rPr>
          <w:bCs/>
          <w:snapToGrid w:val="0"/>
          <w:szCs w:val="24"/>
          <w:lang w:val="fr-FR"/>
        </w:rPr>
        <w:t>UPOV/EXN/PRP/2 </w:t>
      </w:r>
      <w:proofErr w:type="spellStart"/>
      <w:r w:rsidR="00F36B0A">
        <w:rPr>
          <w:bCs/>
          <w:snapToGrid w:val="0"/>
          <w:szCs w:val="24"/>
          <w:lang w:val="fr-FR"/>
        </w:rPr>
        <w:t>Draft</w:t>
      </w:r>
      <w:proofErr w:type="spellEnd"/>
      <w:r w:rsidR="00F36B0A">
        <w:rPr>
          <w:bCs/>
          <w:snapToGrid w:val="0"/>
          <w:szCs w:val="24"/>
          <w:lang w:val="fr-FR"/>
        </w:rPr>
        <w:t> </w:t>
      </w:r>
      <w:r w:rsidR="0079538F" w:rsidRPr="00EE54E3">
        <w:rPr>
          <w:bCs/>
          <w:snapToGrid w:val="0"/>
          <w:szCs w:val="24"/>
          <w:lang w:val="fr-FR"/>
        </w:rPr>
        <w:t>4)</w:t>
      </w:r>
    </w:p>
    <w:p w:rsidR="0079538F" w:rsidRPr="00EE54E3" w:rsidRDefault="0079538F" w:rsidP="00C63D62">
      <w:pPr>
        <w:ind w:left="2835" w:hanging="1701"/>
        <w:rPr>
          <w:bCs/>
          <w:snapToGrid w:val="0"/>
          <w:szCs w:val="24"/>
          <w:lang w:val="fr-FR"/>
        </w:rPr>
      </w:pPr>
    </w:p>
    <w:p w:rsidR="0079538F" w:rsidRPr="00EE54E3" w:rsidRDefault="00EE54E3" w:rsidP="00C63D62">
      <w:pPr>
        <w:keepNext/>
        <w:ind w:left="567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>c)</w:t>
      </w:r>
      <w:r w:rsidRPr="00EE54E3">
        <w:rPr>
          <w:bCs/>
          <w:snapToGrid w:val="0"/>
          <w:szCs w:val="24"/>
          <w:lang w:val="fr-FR"/>
        </w:rPr>
        <w:tab/>
      </w:r>
      <w:r w:rsidR="004D0F1A" w:rsidRPr="00EE54E3">
        <w:rPr>
          <w:bCs/>
          <w:snapToGrid w:val="0"/>
          <w:szCs w:val="24"/>
          <w:lang w:val="fr-FR"/>
        </w:rPr>
        <w:t>Documents d</w:t>
      </w:r>
      <w:r w:rsidR="008272FF" w:rsidRPr="00EE54E3">
        <w:rPr>
          <w:bCs/>
          <w:snapToGrid w:val="0"/>
          <w:szCs w:val="24"/>
          <w:lang w:val="fr-FR"/>
        </w:rPr>
        <w:t>’</w:t>
      </w:r>
      <w:r w:rsidR="004D0F1A" w:rsidRPr="00EE54E3">
        <w:rPr>
          <w:bCs/>
          <w:snapToGrid w:val="0"/>
          <w:szCs w:val="24"/>
          <w:lang w:val="fr-FR"/>
        </w:rPr>
        <w:t>information </w:t>
      </w:r>
      <w:r w:rsidR="0079538F" w:rsidRPr="00EE54E3">
        <w:rPr>
          <w:bCs/>
          <w:snapToGrid w:val="0"/>
          <w:szCs w:val="24"/>
          <w:lang w:val="fr-FR"/>
        </w:rPr>
        <w:t>:</w:t>
      </w:r>
    </w:p>
    <w:p w:rsidR="0079538F" w:rsidRPr="00EE54E3" w:rsidRDefault="0079538F" w:rsidP="00C63D62">
      <w:pPr>
        <w:keepNext/>
        <w:ind w:left="2268" w:hanging="1701"/>
        <w:rPr>
          <w:bCs/>
          <w:snapToGrid w:val="0"/>
          <w:szCs w:val="24"/>
          <w:lang w:val="fr-FR"/>
        </w:rPr>
      </w:pPr>
    </w:p>
    <w:p w:rsidR="008272FF" w:rsidRPr="00EE54E3" w:rsidRDefault="00E24566" w:rsidP="00C63D62">
      <w:pPr>
        <w:ind w:left="2835" w:hanging="1701"/>
        <w:rPr>
          <w:bCs/>
          <w:snapToGrid w:val="0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 xml:space="preserve">UPOV/INF/6 </w:t>
      </w:r>
      <w:r w:rsidRPr="00EE54E3">
        <w:rPr>
          <w:bCs/>
          <w:snapToGrid w:val="0"/>
          <w:szCs w:val="24"/>
          <w:lang w:val="fr-FR"/>
        </w:rPr>
        <w:tab/>
        <w:t>Orientations en vue de la rédaction de lois fondées sur l</w:t>
      </w:r>
      <w:r w:rsidR="008272FF" w:rsidRPr="00EE54E3">
        <w:rPr>
          <w:bCs/>
          <w:snapToGrid w:val="0"/>
          <w:szCs w:val="24"/>
          <w:lang w:val="fr-FR"/>
        </w:rPr>
        <w:t>’</w:t>
      </w:r>
      <w:r w:rsidRPr="00EE54E3">
        <w:rPr>
          <w:bCs/>
          <w:snapToGrid w:val="0"/>
          <w:szCs w:val="24"/>
          <w:lang w:val="fr-FR"/>
        </w:rPr>
        <w:t xml:space="preserve">Acte de 1991 de la </w:t>
      </w:r>
      <w:r w:rsidR="008272FF" w:rsidRPr="00EE54E3">
        <w:rPr>
          <w:bCs/>
          <w:snapToGrid w:val="0"/>
          <w:szCs w:val="24"/>
          <w:lang w:val="fr-FR"/>
        </w:rPr>
        <w:t>Convention UPOV</w:t>
      </w:r>
      <w:r w:rsidRPr="00EE54E3">
        <w:rPr>
          <w:bCs/>
          <w:snapToGrid w:val="0"/>
          <w:szCs w:val="24"/>
          <w:lang w:val="fr-FR"/>
        </w:rPr>
        <w:t xml:space="preserve"> </w:t>
      </w:r>
      <w:r w:rsidR="0079538F" w:rsidRPr="00EE54E3">
        <w:rPr>
          <w:bCs/>
          <w:snapToGrid w:val="0"/>
          <w:szCs w:val="24"/>
          <w:lang w:val="fr-FR"/>
        </w:rPr>
        <w:t>(document C/49/1</w:t>
      </w:r>
      <w:r w:rsidR="0083615F" w:rsidRPr="00EE54E3">
        <w:rPr>
          <w:bCs/>
          <w:snapToGrid w:val="0"/>
          <w:szCs w:val="24"/>
          <w:lang w:val="fr-FR"/>
        </w:rPr>
        <w:t>4</w:t>
      </w:r>
      <w:r w:rsidR="0079538F" w:rsidRPr="00EE54E3">
        <w:rPr>
          <w:bCs/>
          <w:snapToGrid w:val="0"/>
          <w:szCs w:val="24"/>
          <w:lang w:val="fr-FR"/>
        </w:rPr>
        <w:t xml:space="preserve">, </w:t>
      </w:r>
      <w:r w:rsidRPr="00EE54E3">
        <w:rPr>
          <w:bCs/>
          <w:snapToGrid w:val="0"/>
          <w:szCs w:val="24"/>
          <w:lang w:val="fr-FR"/>
        </w:rPr>
        <w:t>a</w:t>
      </w:r>
      <w:r w:rsidR="0079538F" w:rsidRPr="00EE54E3">
        <w:rPr>
          <w:bCs/>
          <w:snapToGrid w:val="0"/>
          <w:szCs w:val="24"/>
          <w:lang w:val="fr-FR"/>
        </w:rPr>
        <w:t>nnex</w:t>
      </w:r>
      <w:r w:rsidRPr="00EE54E3">
        <w:rPr>
          <w:bCs/>
          <w:snapToGrid w:val="0"/>
          <w:szCs w:val="24"/>
          <w:lang w:val="fr-FR"/>
        </w:rPr>
        <w:t>e</w:t>
      </w:r>
      <w:r w:rsidR="008F5CB7" w:rsidRPr="00EE54E3">
        <w:rPr>
          <w:bCs/>
          <w:snapToGrid w:val="0"/>
          <w:szCs w:val="24"/>
          <w:lang w:val="fr-FR"/>
        </w:rPr>
        <w:t> </w:t>
      </w:r>
      <w:r w:rsidR="0079538F" w:rsidRPr="00EE54E3">
        <w:rPr>
          <w:bCs/>
          <w:snapToGrid w:val="0"/>
          <w:szCs w:val="24"/>
          <w:lang w:val="fr-FR"/>
        </w:rPr>
        <w:t>IV)</w:t>
      </w:r>
    </w:p>
    <w:p w:rsidR="0079538F" w:rsidRPr="00EE54E3" w:rsidRDefault="0079538F" w:rsidP="00C63D62">
      <w:pPr>
        <w:ind w:left="2835" w:hanging="1701"/>
        <w:rPr>
          <w:bCs/>
          <w:snapToGrid w:val="0"/>
          <w:szCs w:val="24"/>
          <w:lang w:val="fr-FR"/>
        </w:rPr>
      </w:pPr>
    </w:p>
    <w:p w:rsidR="008272FF" w:rsidRPr="00EE54E3" w:rsidRDefault="00E700B5" w:rsidP="00C63D62">
      <w:pPr>
        <w:ind w:left="2835" w:hanging="1701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UPOV/INF/12</w:t>
      </w:r>
      <w:r w:rsidR="00AA0CB2" w:rsidRPr="00EE54E3">
        <w:rPr>
          <w:bCs/>
          <w:snapToGrid w:val="0"/>
          <w:szCs w:val="24"/>
          <w:lang w:val="fr-FR"/>
        </w:rPr>
        <w:t xml:space="preserve"> </w:t>
      </w:r>
      <w:r w:rsidR="00AA0CB2" w:rsidRPr="00EE54E3">
        <w:rPr>
          <w:bCs/>
          <w:snapToGrid w:val="0"/>
          <w:szCs w:val="24"/>
          <w:lang w:val="fr-FR"/>
        </w:rPr>
        <w:tab/>
        <w:t xml:space="preserve">Notes explicatives concernant les dénominations variétales en vertu de la </w:t>
      </w:r>
      <w:r w:rsidR="008272FF" w:rsidRPr="00EE54E3">
        <w:rPr>
          <w:bCs/>
          <w:snapToGrid w:val="0"/>
          <w:szCs w:val="24"/>
          <w:lang w:val="fr-FR"/>
        </w:rPr>
        <w:t>Convention UPOV</w:t>
      </w:r>
      <w:r w:rsidR="00AA0CB2" w:rsidRPr="00EE54E3">
        <w:rPr>
          <w:bCs/>
          <w:snapToGrid w:val="0"/>
          <w:szCs w:val="24"/>
          <w:lang w:val="fr-FR"/>
        </w:rPr>
        <w:t xml:space="preserve"> (révision)</w:t>
      </w:r>
      <w:r w:rsidR="0079538F" w:rsidRPr="00EE54E3">
        <w:rPr>
          <w:bCs/>
          <w:snapToGrid w:val="0"/>
          <w:szCs w:val="24"/>
          <w:lang w:val="fr-FR"/>
        </w:rPr>
        <w:t xml:space="preserve"> (document C/49/1</w:t>
      </w:r>
      <w:r w:rsidR="0083615F" w:rsidRPr="00EE54E3">
        <w:rPr>
          <w:bCs/>
          <w:snapToGrid w:val="0"/>
          <w:szCs w:val="24"/>
          <w:lang w:val="fr-FR"/>
        </w:rPr>
        <w:t>4</w:t>
      </w:r>
      <w:r w:rsidR="0079538F" w:rsidRPr="00EE54E3">
        <w:rPr>
          <w:bCs/>
          <w:snapToGrid w:val="0"/>
          <w:szCs w:val="24"/>
          <w:lang w:val="fr-FR"/>
        </w:rPr>
        <w:t xml:space="preserve">, </w:t>
      </w:r>
      <w:r w:rsidR="00AA0CB2" w:rsidRPr="00EE54E3">
        <w:rPr>
          <w:bCs/>
          <w:snapToGrid w:val="0"/>
          <w:szCs w:val="24"/>
          <w:lang w:val="fr-FR"/>
        </w:rPr>
        <w:t>a</w:t>
      </w:r>
      <w:r w:rsidR="0079538F" w:rsidRPr="00EE54E3">
        <w:rPr>
          <w:bCs/>
          <w:snapToGrid w:val="0"/>
          <w:szCs w:val="24"/>
          <w:lang w:val="fr-FR"/>
        </w:rPr>
        <w:t>nnex</w:t>
      </w:r>
      <w:r w:rsidR="00AA0CB2" w:rsidRPr="00EE54E3">
        <w:rPr>
          <w:bCs/>
          <w:snapToGrid w:val="0"/>
          <w:szCs w:val="24"/>
          <w:lang w:val="fr-FR"/>
        </w:rPr>
        <w:t>e</w:t>
      </w:r>
      <w:r w:rsidR="008F5CB7" w:rsidRPr="00EE54E3">
        <w:rPr>
          <w:bCs/>
          <w:snapToGrid w:val="0"/>
          <w:szCs w:val="24"/>
          <w:lang w:val="fr-FR"/>
        </w:rPr>
        <w:t> </w:t>
      </w:r>
      <w:r w:rsidR="0079538F" w:rsidRPr="00EE54E3">
        <w:rPr>
          <w:bCs/>
          <w:snapToGrid w:val="0"/>
          <w:szCs w:val="24"/>
          <w:lang w:val="fr-FR"/>
        </w:rPr>
        <w:t>III)</w:t>
      </w:r>
    </w:p>
    <w:p w:rsidR="0079538F" w:rsidRPr="00EE54E3" w:rsidRDefault="0079538F" w:rsidP="00C63D62">
      <w:pPr>
        <w:ind w:left="2268" w:hanging="1701"/>
        <w:rPr>
          <w:bCs/>
          <w:snapToGrid w:val="0"/>
          <w:szCs w:val="24"/>
          <w:lang w:val="fr-FR"/>
        </w:rPr>
      </w:pPr>
    </w:p>
    <w:p w:rsidR="008272FF" w:rsidRPr="00EE54E3" w:rsidRDefault="00AA0CB2" w:rsidP="00C63D62">
      <w:pPr>
        <w:ind w:left="2835" w:hanging="1701"/>
        <w:rPr>
          <w:bCs/>
          <w:snapToGrid w:val="0"/>
          <w:spacing w:val="-4"/>
          <w:szCs w:val="24"/>
          <w:lang w:val="fr-FR"/>
        </w:rPr>
      </w:pPr>
      <w:r w:rsidRPr="00EE54E3">
        <w:rPr>
          <w:bCs/>
          <w:snapToGrid w:val="0"/>
          <w:szCs w:val="24"/>
          <w:lang w:val="fr-FR"/>
        </w:rPr>
        <w:t xml:space="preserve">UPOV/INF/16 </w:t>
      </w:r>
      <w:r w:rsidRPr="00EE54E3">
        <w:rPr>
          <w:bCs/>
          <w:snapToGrid w:val="0"/>
          <w:szCs w:val="24"/>
          <w:lang w:val="fr-FR"/>
        </w:rPr>
        <w:tab/>
        <w:t>Logiciels échangeables (révision)</w:t>
      </w:r>
      <w:r w:rsidR="0079538F" w:rsidRPr="00EE54E3">
        <w:rPr>
          <w:bCs/>
          <w:snapToGrid w:val="0"/>
          <w:spacing w:val="-4"/>
          <w:szCs w:val="24"/>
          <w:lang w:val="fr-FR"/>
        </w:rPr>
        <w:t xml:space="preserve"> (document UPOV/INF/16/5 </w:t>
      </w:r>
      <w:proofErr w:type="spellStart"/>
      <w:r w:rsidR="0079538F" w:rsidRPr="00EE54E3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="0079538F" w:rsidRPr="00EE54E3">
        <w:rPr>
          <w:bCs/>
          <w:snapToGrid w:val="0"/>
          <w:spacing w:val="-4"/>
          <w:szCs w:val="24"/>
          <w:lang w:val="fr-FR"/>
        </w:rPr>
        <w:t> 1)</w:t>
      </w:r>
    </w:p>
    <w:p w:rsidR="0079538F" w:rsidRPr="00EE54E3" w:rsidRDefault="0079538F" w:rsidP="00C63D62">
      <w:pPr>
        <w:ind w:left="1701" w:hanging="1134"/>
        <w:rPr>
          <w:bCs/>
          <w:snapToGrid w:val="0"/>
          <w:szCs w:val="24"/>
          <w:lang w:val="fr-FR"/>
        </w:rPr>
      </w:pPr>
    </w:p>
    <w:p w:rsidR="008272FF" w:rsidRPr="00EE54E3" w:rsidRDefault="00DA38CC" w:rsidP="00C63D62">
      <w:pPr>
        <w:ind w:left="2835" w:hanging="1701"/>
        <w:rPr>
          <w:bCs/>
          <w:snapToGrid w:val="0"/>
          <w:spacing w:val="-4"/>
          <w:szCs w:val="24"/>
          <w:lang w:val="fr-FR"/>
        </w:rPr>
      </w:pPr>
      <w:r w:rsidRPr="00F36B0A">
        <w:rPr>
          <w:bCs/>
          <w:snapToGrid w:val="0"/>
          <w:szCs w:val="24"/>
          <w:lang w:val="fr-FR"/>
        </w:rPr>
        <w:t xml:space="preserve">UPOV/INF/22 </w:t>
      </w:r>
      <w:r w:rsidRPr="00F36B0A">
        <w:rPr>
          <w:bCs/>
          <w:snapToGrid w:val="0"/>
          <w:szCs w:val="24"/>
          <w:lang w:val="fr-FR"/>
        </w:rPr>
        <w:tab/>
        <w:t>Logiciels et équipements utilisés par les membres de l</w:t>
      </w:r>
      <w:r w:rsidR="008272FF" w:rsidRPr="00F36B0A">
        <w:rPr>
          <w:bCs/>
          <w:snapToGrid w:val="0"/>
          <w:szCs w:val="24"/>
          <w:lang w:val="fr-FR"/>
        </w:rPr>
        <w:t>’</w:t>
      </w:r>
      <w:r w:rsidRPr="00F36B0A">
        <w:rPr>
          <w:bCs/>
          <w:snapToGrid w:val="0"/>
          <w:szCs w:val="24"/>
          <w:lang w:val="fr-FR"/>
        </w:rPr>
        <w:t>Union</w:t>
      </w:r>
      <w:r w:rsidR="0079538F" w:rsidRPr="00F36B0A">
        <w:rPr>
          <w:bCs/>
          <w:snapToGrid w:val="0"/>
          <w:spacing w:val="-4"/>
          <w:szCs w:val="24"/>
          <w:lang w:val="fr-FR"/>
        </w:rPr>
        <w:t xml:space="preserve"> (</w:t>
      </w:r>
      <w:r w:rsidR="008272FF" w:rsidRPr="00F36B0A">
        <w:rPr>
          <w:bCs/>
          <w:snapToGrid w:val="0"/>
          <w:spacing w:val="-4"/>
          <w:szCs w:val="24"/>
          <w:lang w:val="fr-FR"/>
        </w:rPr>
        <w:t>document</w:t>
      </w:r>
      <w:r w:rsidR="00E700B5">
        <w:rPr>
          <w:bCs/>
          <w:snapToGrid w:val="0"/>
          <w:spacing w:val="-4"/>
          <w:szCs w:val="24"/>
          <w:lang w:val="fr-FR"/>
        </w:rPr>
        <w:t> </w:t>
      </w:r>
      <w:r w:rsidR="00F36B0A">
        <w:rPr>
          <w:bCs/>
          <w:snapToGrid w:val="0"/>
          <w:spacing w:val="-4"/>
          <w:szCs w:val="24"/>
          <w:lang w:val="fr-FR"/>
        </w:rPr>
        <w:t>UPOV/INF/22/2 </w:t>
      </w:r>
      <w:proofErr w:type="spellStart"/>
      <w:r w:rsidR="00F36B0A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="00F36B0A">
        <w:rPr>
          <w:bCs/>
          <w:snapToGrid w:val="0"/>
          <w:spacing w:val="-4"/>
          <w:szCs w:val="24"/>
          <w:lang w:val="fr-FR"/>
        </w:rPr>
        <w:t> </w:t>
      </w:r>
      <w:r w:rsidR="0079538F" w:rsidRPr="00EE54E3">
        <w:rPr>
          <w:bCs/>
          <w:snapToGrid w:val="0"/>
          <w:spacing w:val="-4"/>
          <w:szCs w:val="24"/>
          <w:lang w:val="fr-FR"/>
        </w:rPr>
        <w:t>1)</w:t>
      </w:r>
    </w:p>
    <w:p w:rsidR="0079538F" w:rsidRPr="00EE54E3" w:rsidRDefault="0079538F" w:rsidP="00C63D62">
      <w:pPr>
        <w:ind w:left="2835" w:hanging="1701"/>
        <w:rPr>
          <w:kern w:val="28"/>
          <w:lang w:val="fr-FR"/>
        </w:rPr>
      </w:pPr>
    </w:p>
    <w:p w:rsidR="008272FF" w:rsidRPr="00EE54E3" w:rsidRDefault="00DA38CC" w:rsidP="00C63D62">
      <w:pPr>
        <w:ind w:left="2835" w:hanging="1701"/>
        <w:rPr>
          <w:lang w:val="fr-FR"/>
        </w:rPr>
      </w:pPr>
      <w:r w:rsidRPr="00EE54E3">
        <w:rPr>
          <w:lang w:val="fr-FR"/>
        </w:rPr>
        <w:t>UPOV/INF</w:t>
      </w:r>
      <w:r w:rsidR="00EE54E3" w:rsidRPr="00EE54E3">
        <w:rPr>
          <w:lang w:val="fr-FR"/>
        </w:rPr>
        <w:noBreakHyphen/>
      </w:r>
      <w:r w:rsidRPr="00EE54E3">
        <w:rPr>
          <w:lang w:val="fr-FR"/>
        </w:rPr>
        <w:t xml:space="preserve">EXN </w:t>
      </w:r>
      <w:r w:rsidRPr="00EE54E3">
        <w:rPr>
          <w:lang w:val="fr-FR"/>
        </w:rPr>
        <w:tab/>
        <w:t>Liste des documents INF</w:t>
      </w:r>
      <w:r w:rsidR="00EE54E3" w:rsidRPr="00EE54E3">
        <w:rPr>
          <w:lang w:val="fr-FR"/>
        </w:rPr>
        <w:noBreakHyphen/>
      </w:r>
      <w:r w:rsidRPr="00EE54E3">
        <w:rPr>
          <w:lang w:val="fr-FR"/>
        </w:rPr>
        <w:t>EXN et date de la version la plus récente de ces documents</w:t>
      </w:r>
      <w:r w:rsidR="00E700B5">
        <w:rPr>
          <w:lang w:val="fr-FR"/>
        </w:rPr>
        <w:t xml:space="preserve"> </w:t>
      </w:r>
      <w:r w:rsidR="0079538F" w:rsidRPr="00EE54E3">
        <w:rPr>
          <w:lang w:val="fr-FR"/>
        </w:rPr>
        <w:t>(document UPOV/INF</w:t>
      </w:r>
      <w:r w:rsidR="00EE54E3" w:rsidRPr="00EE54E3">
        <w:rPr>
          <w:lang w:val="fr-FR"/>
        </w:rPr>
        <w:noBreakHyphen/>
      </w:r>
      <w:r w:rsidR="0079538F" w:rsidRPr="00EE54E3">
        <w:rPr>
          <w:lang w:val="fr-FR"/>
        </w:rPr>
        <w:t>EXN/8</w:t>
      </w:r>
      <w:r w:rsidR="00F36B0A">
        <w:rPr>
          <w:lang w:val="fr-FR"/>
        </w:rPr>
        <w:t> </w:t>
      </w:r>
      <w:proofErr w:type="spellStart"/>
      <w:r w:rsidR="00F36B0A">
        <w:rPr>
          <w:lang w:val="fr-FR"/>
        </w:rPr>
        <w:t>Draft</w:t>
      </w:r>
      <w:proofErr w:type="spellEnd"/>
      <w:r w:rsidR="00F36B0A">
        <w:rPr>
          <w:lang w:val="fr-FR"/>
        </w:rPr>
        <w:t> </w:t>
      </w:r>
      <w:r w:rsidR="0079538F" w:rsidRPr="00EE54E3">
        <w:rPr>
          <w:lang w:val="fr-FR"/>
        </w:rPr>
        <w:t>1)</w:t>
      </w:r>
    </w:p>
    <w:p w:rsidR="0079538F" w:rsidRPr="00EE54E3" w:rsidRDefault="0079538F" w:rsidP="00C63D62">
      <w:pPr>
        <w:rPr>
          <w:lang w:val="fr-FR"/>
        </w:rPr>
      </w:pPr>
    </w:p>
    <w:p w:rsidR="008272FF" w:rsidRPr="00EE54E3" w:rsidRDefault="0079538F" w:rsidP="00C63D62">
      <w:pPr>
        <w:ind w:left="567" w:hanging="567"/>
        <w:rPr>
          <w:snapToGrid w:val="0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DA38CC" w:rsidRPr="00EE54E3">
        <w:rPr>
          <w:snapToGrid w:val="0"/>
          <w:lang w:val="fr-FR"/>
        </w:rPr>
        <w:t>Examen et approbation du projet de programme et budget de l</w:t>
      </w:r>
      <w:r w:rsidR="008272FF" w:rsidRPr="00EE54E3">
        <w:rPr>
          <w:snapToGrid w:val="0"/>
          <w:lang w:val="fr-FR"/>
        </w:rPr>
        <w:t>’</w:t>
      </w:r>
      <w:r w:rsidR="00DA38CC" w:rsidRPr="00EE54E3">
        <w:rPr>
          <w:snapToGrid w:val="0"/>
          <w:lang w:val="fr-FR"/>
        </w:rPr>
        <w:t>Union pour l</w:t>
      </w:r>
      <w:r w:rsidR="008272FF" w:rsidRPr="00EE54E3">
        <w:rPr>
          <w:snapToGrid w:val="0"/>
          <w:lang w:val="fr-FR"/>
        </w:rPr>
        <w:t>’</w:t>
      </w:r>
      <w:r w:rsidR="00DA38CC" w:rsidRPr="00EE54E3">
        <w:rPr>
          <w:snapToGrid w:val="0"/>
          <w:lang w:val="fr-FR"/>
        </w:rPr>
        <w:t>exercice biennal</w:t>
      </w:r>
      <w:r w:rsidR="008F5CB7" w:rsidRPr="00EE54E3">
        <w:rPr>
          <w:snapToGrid w:val="0"/>
          <w:lang w:val="fr-FR"/>
        </w:rPr>
        <w:t> </w:t>
      </w:r>
      <w:r w:rsidRPr="00EE54E3">
        <w:rPr>
          <w:snapToGrid w:val="0"/>
          <w:lang w:val="fr-FR"/>
        </w:rPr>
        <w:t>2016</w:t>
      </w:r>
      <w:r w:rsidR="00EE54E3" w:rsidRPr="00EE54E3">
        <w:rPr>
          <w:snapToGrid w:val="0"/>
          <w:lang w:val="fr-FR"/>
        </w:rPr>
        <w:noBreakHyphen/>
      </w:r>
      <w:r w:rsidRPr="00EE54E3">
        <w:rPr>
          <w:snapToGrid w:val="0"/>
          <w:lang w:val="fr-FR"/>
        </w:rPr>
        <w:t>2017 (document C/49/4)</w:t>
      </w:r>
    </w:p>
    <w:p w:rsidR="0079538F" w:rsidRPr="00EE54E3" w:rsidRDefault="0079538F" w:rsidP="00C63D62">
      <w:pPr>
        <w:ind w:left="567" w:hanging="567"/>
        <w:rPr>
          <w:snapToGrid w:val="0"/>
          <w:lang w:val="fr-FR"/>
        </w:rPr>
      </w:pPr>
    </w:p>
    <w:p w:rsidR="008272FF" w:rsidRPr="00EE54E3" w:rsidRDefault="0079538F" w:rsidP="00C63D62">
      <w:pPr>
        <w:ind w:left="567" w:hanging="567"/>
        <w:rPr>
          <w:snapToGrid w:val="0"/>
          <w:lang w:val="fr-FR"/>
        </w:rPr>
      </w:pPr>
      <w:r w:rsidRPr="00EE54E3">
        <w:rPr>
          <w:lang w:val="fr-FR"/>
        </w:rPr>
        <w:fldChar w:fldCharType="begin"/>
      </w:r>
      <w:r w:rsidRPr="00EE54E3">
        <w:rPr>
          <w:lang w:val="fr-FR"/>
        </w:rPr>
        <w:instrText xml:space="preserve"> AUTONUM  </w:instrText>
      </w:r>
      <w:r w:rsidRPr="00EE54E3">
        <w:rPr>
          <w:lang w:val="fr-FR"/>
        </w:rPr>
        <w:fldChar w:fldCharType="end"/>
      </w:r>
      <w:r w:rsidRPr="00EE54E3">
        <w:rPr>
          <w:lang w:val="fr-FR"/>
        </w:rPr>
        <w:tab/>
      </w:r>
      <w:r w:rsidR="00C421DF" w:rsidRPr="00EE54E3">
        <w:rPr>
          <w:lang w:val="fr-FR"/>
        </w:rPr>
        <w:t>États financiers pour</w:t>
      </w:r>
      <w:r w:rsidR="008F5CB7" w:rsidRPr="00EE54E3">
        <w:rPr>
          <w:lang w:val="fr-FR"/>
        </w:rPr>
        <w:t> </w:t>
      </w:r>
      <w:r w:rsidRPr="00EE54E3">
        <w:rPr>
          <w:lang w:val="fr-FR"/>
        </w:rPr>
        <w:t xml:space="preserve">2014 </w:t>
      </w:r>
      <w:r w:rsidRPr="00EE54E3">
        <w:rPr>
          <w:snapToGrid w:val="0"/>
          <w:lang w:val="fr-FR"/>
        </w:rPr>
        <w:t>(document C/49/12)</w:t>
      </w:r>
    </w:p>
    <w:p w:rsidR="0079538F" w:rsidRPr="00EE54E3" w:rsidRDefault="0079538F" w:rsidP="00C63D62">
      <w:pPr>
        <w:ind w:left="567" w:hanging="567"/>
        <w:rPr>
          <w:snapToGrid w:val="0"/>
          <w:lang w:val="fr-FR"/>
        </w:rPr>
      </w:pPr>
    </w:p>
    <w:p w:rsidR="008272FF" w:rsidRPr="00EE54E3" w:rsidRDefault="0079538F" w:rsidP="00C63D62">
      <w:pPr>
        <w:ind w:left="567" w:hanging="567"/>
        <w:rPr>
          <w:snapToGrid w:val="0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C421DF" w:rsidRPr="00EE54E3">
        <w:rPr>
          <w:snapToGrid w:val="0"/>
          <w:lang w:val="fr-FR"/>
        </w:rPr>
        <w:t>Rapport du vérificateur externe des comptes</w:t>
      </w:r>
      <w:r w:rsidRPr="00EE54E3">
        <w:rPr>
          <w:snapToGrid w:val="0"/>
          <w:lang w:val="fr-FR"/>
        </w:rPr>
        <w:t xml:space="preserve"> (document C/49/13)</w:t>
      </w:r>
    </w:p>
    <w:p w:rsidR="0079538F" w:rsidRPr="00EE54E3" w:rsidRDefault="0079538F" w:rsidP="00C63D62">
      <w:pPr>
        <w:ind w:left="567" w:hanging="567"/>
        <w:rPr>
          <w:snapToGrid w:val="0"/>
          <w:lang w:val="fr-FR"/>
        </w:rPr>
      </w:pPr>
    </w:p>
    <w:p w:rsidR="008272FF" w:rsidRPr="00EE54E3" w:rsidRDefault="0079538F" w:rsidP="00C63D62">
      <w:pPr>
        <w:ind w:left="567" w:hanging="567"/>
        <w:rPr>
          <w:bCs/>
          <w:snapToGrid w:val="0"/>
          <w:szCs w:val="24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C421DF" w:rsidRPr="00EE54E3">
        <w:rPr>
          <w:lang w:val="fr-FR"/>
        </w:rPr>
        <w:t>Arriérés de contributions au 3</w:t>
      </w:r>
      <w:r w:rsidR="008272FF" w:rsidRPr="00EE54E3">
        <w:rPr>
          <w:lang w:val="fr-FR"/>
        </w:rPr>
        <w:t>0 septembre 20</w:t>
      </w:r>
      <w:r w:rsidRPr="00EE54E3">
        <w:rPr>
          <w:lang w:val="fr-FR"/>
        </w:rPr>
        <w:t xml:space="preserve">15 </w:t>
      </w:r>
      <w:r w:rsidRPr="00EE54E3">
        <w:rPr>
          <w:bCs/>
          <w:snapToGrid w:val="0"/>
          <w:szCs w:val="24"/>
          <w:lang w:val="fr-FR"/>
        </w:rPr>
        <w:t>(document C/49/11)</w:t>
      </w:r>
    </w:p>
    <w:p w:rsidR="0079538F" w:rsidRPr="00EE54E3" w:rsidRDefault="0079538F" w:rsidP="00C63D62">
      <w:pPr>
        <w:ind w:left="567" w:hanging="567"/>
        <w:rPr>
          <w:lang w:val="fr-FR"/>
        </w:rPr>
      </w:pPr>
    </w:p>
    <w:p w:rsidR="008272FF" w:rsidRPr="00EE54E3" w:rsidRDefault="0079538F" w:rsidP="00C63D62">
      <w:pPr>
        <w:ind w:left="567" w:hanging="567"/>
        <w:rPr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DA0CF7" w:rsidRPr="00EE54E3">
        <w:rPr>
          <w:snapToGrid w:val="0"/>
          <w:lang w:val="fr-FR"/>
        </w:rPr>
        <w:t>R</w:t>
      </w:r>
      <w:r w:rsidR="00DA0CF7" w:rsidRPr="00EE54E3">
        <w:rPr>
          <w:lang w:val="fr-FR"/>
        </w:rPr>
        <w:t>apport annuel du Secrétaire général pour</w:t>
      </w:r>
      <w:r w:rsidR="008F5CB7" w:rsidRPr="00EE54E3">
        <w:rPr>
          <w:lang w:val="fr-FR"/>
        </w:rPr>
        <w:t> </w:t>
      </w:r>
      <w:r w:rsidRPr="00EE54E3">
        <w:rPr>
          <w:lang w:val="fr-FR"/>
        </w:rPr>
        <w:t xml:space="preserve">2014 (document C/49/2); </w:t>
      </w:r>
      <w:r w:rsidR="008F5CB7" w:rsidRPr="00EE54E3">
        <w:rPr>
          <w:lang w:val="fr-FR"/>
        </w:rPr>
        <w:t xml:space="preserve"> </w:t>
      </w:r>
      <w:r w:rsidR="00DA0CF7" w:rsidRPr="00EE54E3">
        <w:rPr>
          <w:lang w:val="fr-FR"/>
        </w:rPr>
        <w:t>Rapport sur les activités menées pendant les neuf</w:t>
      </w:r>
      <w:r w:rsidR="008F5CB7" w:rsidRPr="00EE54E3">
        <w:rPr>
          <w:lang w:val="fr-FR"/>
        </w:rPr>
        <w:t> </w:t>
      </w:r>
      <w:r w:rsidR="00DA0CF7" w:rsidRPr="00EE54E3">
        <w:rPr>
          <w:lang w:val="fr-FR"/>
        </w:rPr>
        <w:t>premiers mois de</w:t>
      </w:r>
      <w:r w:rsidR="008F5CB7" w:rsidRPr="00EE54E3">
        <w:rPr>
          <w:lang w:val="fr-FR"/>
        </w:rPr>
        <w:t> </w:t>
      </w:r>
      <w:r w:rsidRPr="00EE54E3">
        <w:rPr>
          <w:lang w:val="fr-FR"/>
        </w:rPr>
        <w:t>2015 (document C/49/3)</w:t>
      </w:r>
    </w:p>
    <w:p w:rsidR="0079538F" w:rsidRPr="00EE54E3" w:rsidRDefault="0079538F" w:rsidP="00C63D62">
      <w:pPr>
        <w:ind w:left="567" w:hanging="567"/>
        <w:rPr>
          <w:lang w:val="fr-FR"/>
        </w:rPr>
      </w:pPr>
    </w:p>
    <w:p w:rsidR="008272FF" w:rsidRPr="00EE54E3" w:rsidRDefault="0079538F" w:rsidP="00C63D62">
      <w:pPr>
        <w:ind w:left="567" w:hanging="567"/>
        <w:rPr>
          <w:lang w:val="fr-FR"/>
        </w:rPr>
      </w:pPr>
      <w:r w:rsidRPr="00EE54E3">
        <w:rPr>
          <w:lang w:val="fr-FR"/>
        </w:rPr>
        <w:fldChar w:fldCharType="begin"/>
      </w:r>
      <w:r w:rsidRPr="00EE54E3">
        <w:rPr>
          <w:lang w:val="fr-FR"/>
        </w:rPr>
        <w:instrText xml:space="preserve"> AUTONUM  </w:instrText>
      </w:r>
      <w:r w:rsidRPr="00EE54E3">
        <w:rPr>
          <w:lang w:val="fr-FR"/>
        </w:rPr>
        <w:fldChar w:fldCharType="end"/>
      </w:r>
      <w:r w:rsidRPr="00EE54E3">
        <w:rPr>
          <w:lang w:val="fr-FR"/>
        </w:rPr>
        <w:tab/>
      </w:r>
      <w:r w:rsidR="00DA0CF7" w:rsidRPr="00EE54E3">
        <w:rPr>
          <w:lang w:val="fr-FR"/>
        </w:rPr>
        <w:t>Rapport sur l</w:t>
      </w:r>
      <w:r w:rsidR="008272FF" w:rsidRPr="00EE54E3">
        <w:rPr>
          <w:lang w:val="fr-FR"/>
        </w:rPr>
        <w:t>’</w:t>
      </w:r>
      <w:r w:rsidR="00DA0CF7" w:rsidRPr="00EE54E3">
        <w:rPr>
          <w:lang w:val="fr-FR"/>
        </w:rPr>
        <w:t>état d</w:t>
      </w:r>
      <w:r w:rsidR="008272FF" w:rsidRPr="00EE54E3">
        <w:rPr>
          <w:lang w:val="fr-FR"/>
        </w:rPr>
        <w:t>’</w:t>
      </w:r>
      <w:r w:rsidR="00DA0CF7" w:rsidRPr="00EE54E3">
        <w:rPr>
          <w:lang w:val="fr-FR"/>
        </w:rPr>
        <w:t xml:space="preserve">avancement des travaux du Comité administratif et juridique </w:t>
      </w:r>
      <w:r w:rsidRPr="00EE54E3">
        <w:rPr>
          <w:lang w:val="fr-FR"/>
        </w:rPr>
        <w:t>(document C/49/9)</w:t>
      </w:r>
    </w:p>
    <w:p w:rsidR="0079538F" w:rsidRPr="00EE54E3" w:rsidRDefault="0079538F" w:rsidP="00C63D62">
      <w:pPr>
        <w:rPr>
          <w:lang w:val="fr-FR"/>
        </w:rPr>
      </w:pPr>
    </w:p>
    <w:p w:rsidR="008272FF" w:rsidRPr="00EE54E3" w:rsidRDefault="0079538F" w:rsidP="00C63D62">
      <w:pPr>
        <w:ind w:left="567" w:hanging="567"/>
        <w:rPr>
          <w:lang w:val="fr-FR"/>
        </w:rPr>
      </w:pPr>
      <w:r w:rsidRPr="00EE54E3">
        <w:rPr>
          <w:lang w:val="fr-FR"/>
        </w:rPr>
        <w:fldChar w:fldCharType="begin"/>
      </w:r>
      <w:r w:rsidRPr="00EE54E3">
        <w:rPr>
          <w:lang w:val="fr-FR"/>
        </w:rPr>
        <w:instrText xml:space="preserve"> AUTONUM  </w:instrText>
      </w:r>
      <w:r w:rsidRPr="00EE54E3">
        <w:rPr>
          <w:lang w:val="fr-FR"/>
        </w:rPr>
        <w:fldChar w:fldCharType="end"/>
      </w:r>
      <w:r w:rsidRPr="00EE54E3">
        <w:rPr>
          <w:lang w:val="fr-FR"/>
        </w:rPr>
        <w:tab/>
      </w:r>
      <w:r w:rsidR="00DA0CF7" w:rsidRPr="00EE54E3">
        <w:rPr>
          <w:lang w:val="fr-FR"/>
        </w:rPr>
        <w:t>Rapport sur l</w:t>
      </w:r>
      <w:r w:rsidR="008272FF" w:rsidRPr="00EE54E3">
        <w:rPr>
          <w:lang w:val="fr-FR"/>
        </w:rPr>
        <w:t>’</w:t>
      </w:r>
      <w:r w:rsidR="00DA0CF7" w:rsidRPr="00EE54E3">
        <w:rPr>
          <w:lang w:val="fr-FR"/>
        </w:rPr>
        <w:t>état d</w:t>
      </w:r>
      <w:r w:rsidR="008272FF" w:rsidRPr="00EE54E3">
        <w:rPr>
          <w:lang w:val="fr-FR"/>
        </w:rPr>
        <w:t>’</w:t>
      </w:r>
      <w:r w:rsidR="00DA0CF7" w:rsidRPr="00EE54E3">
        <w:rPr>
          <w:lang w:val="fr-FR"/>
        </w:rPr>
        <w:t>avancement des travaux du Comité technique, des groupes de travail techniques et du Groupe de travail sur les techniques biochimiques et moléculaires, notamment les profils d</w:t>
      </w:r>
      <w:r w:rsidR="008272FF" w:rsidRPr="00EE54E3">
        <w:rPr>
          <w:lang w:val="fr-FR"/>
        </w:rPr>
        <w:t>’</w:t>
      </w:r>
      <w:r w:rsidR="00DA0CF7" w:rsidRPr="00EE54E3">
        <w:rPr>
          <w:lang w:val="fr-FR"/>
        </w:rPr>
        <w:t>ADN</w:t>
      </w:r>
      <w:r w:rsidRPr="00EE54E3">
        <w:rPr>
          <w:highlight w:val="yellow"/>
          <w:lang w:val="fr-FR"/>
        </w:rPr>
        <w:t xml:space="preserve"> </w:t>
      </w:r>
      <w:r w:rsidRPr="00EE54E3">
        <w:rPr>
          <w:lang w:val="fr-FR"/>
        </w:rPr>
        <w:t>(document C/49/10)</w:t>
      </w:r>
    </w:p>
    <w:p w:rsidR="0079538F" w:rsidRPr="00EE54E3" w:rsidRDefault="0079538F" w:rsidP="00C63D62">
      <w:pPr>
        <w:ind w:left="567" w:hanging="567"/>
        <w:rPr>
          <w:lang w:val="fr-FR"/>
        </w:rPr>
      </w:pPr>
    </w:p>
    <w:p w:rsidR="008272FF" w:rsidRPr="00EE54E3" w:rsidRDefault="0079538F" w:rsidP="00C63D62">
      <w:pPr>
        <w:ind w:left="567" w:hanging="567"/>
        <w:rPr>
          <w:bCs/>
          <w:snapToGrid w:val="0"/>
          <w:szCs w:val="24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DA0CF7" w:rsidRPr="00EE54E3">
        <w:rPr>
          <w:bCs/>
          <w:snapToGrid w:val="0"/>
          <w:szCs w:val="24"/>
          <w:lang w:val="fr-FR"/>
        </w:rPr>
        <w:t>Calendrier des réunions pour</w:t>
      </w:r>
      <w:r w:rsidR="008F5CB7" w:rsidRPr="00EE54E3">
        <w:rPr>
          <w:bCs/>
          <w:snapToGrid w:val="0"/>
          <w:szCs w:val="24"/>
          <w:lang w:val="fr-FR"/>
        </w:rPr>
        <w:t> </w:t>
      </w:r>
      <w:r w:rsidR="00DA0CF7" w:rsidRPr="00EE54E3">
        <w:rPr>
          <w:bCs/>
          <w:snapToGrid w:val="0"/>
          <w:szCs w:val="24"/>
          <w:lang w:val="fr-FR"/>
        </w:rPr>
        <w:t xml:space="preserve">2016 </w:t>
      </w:r>
      <w:r w:rsidRPr="00EE54E3">
        <w:rPr>
          <w:bCs/>
          <w:snapToGrid w:val="0"/>
          <w:szCs w:val="24"/>
          <w:lang w:val="fr-FR"/>
        </w:rPr>
        <w:t>(document C/49/8)</w:t>
      </w:r>
    </w:p>
    <w:p w:rsidR="0079538F" w:rsidRPr="00EE54E3" w:rsidRDefault="0079538F" w:rsidP="00C63D62">
      <w:pPr>
        <w:ind w:left="567" w:hanging="567"/>
        <w:rPr>
          <w:lang w:val="fr-FR"/>
        </w:rPr>
      </w:pPr>
    </w:p>
    <w:p w:rsidR="0079538F" w:rsidRPr="00EE54E3" w:rsidRDefault="0079538F" w:rsidP="00C63D62">
      <w:pPr>
        <w:rPr>
          <w:lang w:val="fr-FR"/>
        </w:rPr>
      </w:pPr>
      <w:r w:rsidRPr="00EE54E3">
        <w:rPr>
          <w:lang w:val="fr-FR"/>
        </w:rPr>
        <w:fldChar w:fldCharType="begin"/>
      </w:r>
      <w:r w:rsidRPr="00EE54E3">
        <w:rPr>
          <w:lang w:val="fr-FR"/>
        </w:rPr>
        <w:instrText xml:space="preserve"> AUTONUM  </w:instrText>
      </w:r>
      <w:r w:rsidRPr="00EE54E3">
        <w:rPr>
          <w:lang w:val="fr-FR"/>
        </w:rPr>
        <w:fldChar w:fldCharType="end"/>
      </w:r>
      <w:r w:rsidRPr="00EE54E3">
        <w:rPr>
          <w:lang w:val="fr-FR"/>
        </w:rPr>
        <w:tab/>
      </w:r>
      <w:r w:rsidR="00DA0CF7" w:rsidRPr="00EE54E3">
        <w:rPr>
          <w:lang w:val="fr-FR"/>
        </w:rPr>
        <w:t>Élection du nouveau président et du nouveau vice</w:t>
      </w:r>
      <w:r w:rsidR="00EE54E3" w:rsidRPr="00EE54E3">
        <w:rPr>
          <w:lang w:val="fr-FR"/>
        </w:rPr>
        <w:noBreakHyphen/>
      </w:r>
      <w:r w:rsidR="00DA0CF7" w:rsidRPr="00EE54E3">
        <w:rPr>
          <w:lang w:val="fr-FR"/>
        </w:rPr>
        <w:t>président du Conseil</w:t>
      </w:r>
    </w:p>
    <w:p w:rsidR="0079538F" w:rsidRPr="00EE54E3" w:rsidRDefault="0079538F" w:rsidP="00C63D62">
      <w:pPr>
        <w:ind w:left="567" w:hanging="567"/>
        <w:rPr>
          <w:bCs/>
          <w:snapToGrid w:val="0"/>
          <w:szCs w:val="24"/>
          <w:lang w:val="fr-FR"/>
        </w:rPr>
      </w:pPr>
    </w:p>
    <w:p w:rsidR="0079538F" w:rsidRPr="00EE54E3" w:rsidRDefault="0079538F" w:rsidP="00C63D62">
      <w:pPr>
        <w:rPr>
          <w:lang w:val="fr-FR"/>
        </w:rPr>
      </w:pPr>
      <w:r w:rsidRPr="00D93E74">
        <w:rPr>
          <w:lang w:val="fr-FR"/>
        </w:rPr>
        <w:fldChar w:fldCharType="begin"/>
      </w:r>
      <w:r w:rsidRPr="00D93E74">
        <w:rPr>
          <w:lang w:val="fr-FR"/>
        </w:rPr>
        <w:instrText xml:space="preserve"> AUTONUM  </w:instrText>
      </w:r>
      <w:r w:rsidRPr="00D93E74">
        <w:rPr>
          <w:lang w:val="fr-FR"/>
        </w:rPr>
        <w:fldChar w:fldCharType="end"/>
      </w:r>
      <w:r w:rsidRPr="00D93E74">
        <w:rPr>
          <w:lang w:val="fr-FR"/>
        </w:rPr>
        <w:tab/>
      </w:r>
      <w:r w:rsidR="00DA0CF7" w:rsidRPr="00D93E74">
        <w:rPr>
          <w:lang w:val="fr-FR"/>
        </w:rPr>
        <w:t xml:space="preserve">Situation </w:t>
      </w:r>
      <w:r w:rsidR="00D93E74" w:rsidRPr="00D93E74">
        <w:rPr>
          <w:lang w:val="fr-FR"/>
        </w:rPr>
        <w:t>dans les domai</w:t>
      </w:r>
      <w:r w:rsidR="00DA0CF7" w:rsidRPr="00D93E74">
        <w:rPr>
          <w:lang w:val="fr-FR"/>
        </w:rPr>
        <w:t>n</w:t>
      </w:r>
      <w:r w:rsidR="00D93E74" w:rsidRPr="00D93E74">
        <w:rPr>
          <w:lang w:val="fr-FR"/>
        </w:rPr>
        <w:t>es législatif,</w:t>
      </w:r>
      <w:r w:rsidR="00DA0CF7" w:rsidRPr="00D93E74">
        <w:rPr>
          <w:lang w:val="fr-FR"/>
        </w:rPr>
        <w:t xml:space="preserve"> administrati</w:t>
      </w:r>
      <w:r w:rsidR="00D93E74" w:rsidRPr="00D93E74">
        <w:rPr>
          <w:lang w:val="fr-FR"/>
        </w:rPr>
        <w:t xml:space="preserve">f et </w:t>
      </w:r>
      <w:r w:rsidR="00DA0CF7" w:rsidRPr="00D93E74">
        <w:rPr>
          <w:lang w:val="fr-FR"/>
        </w:rPr>
        <w:t>techni</w:t>
      </w:r>
      <w:r w:rsidR="00D93E74" w:rsidRPr="00D93E74">
        <w:rPr>
          <w:lang w:val="fr-FR"/>
        </w:rPr>
        <w:t>que</w:t>
      </w:r>
      <w:r w:rsidR="008F5CB7" w:rsidRPr="00D93E74">
        <w:rPr>
          <w:lang w:val="fr-FR"/>
        </w:rPr>
        <w:t> </w:t>
      </w:r>
      <w:r w:rsidRPr="00D93E74">
        <w:rPr>
          <w:lang w:val="fr-FR"/>
        </w:rPr>
        <w:t>:</w:t>
      </w:r>
    </w:p>
    <w:p w:rsidR="0079538F" w:rsidRPr="00EE54E3" w:rsidRDefault="0079538F" w:rsidP="00C63D62">
      <w:pPr>
        <w:rPr>
          <w:lang w:val="fr-FR"/>
        </w:rPr>
      </w:pPr>
    </w:p>
    <w:p w:rsidR="008272FF" w:rsidRPr="00EE54E3" w:rsidRDefault="0079538F" w:rsidP="00C63D62">
      <w:pPr>
        <w:ind w:left="1134" w:hanging="567"/>
        <w:rPr>
          <w:lang w:val="fr-FR"/>
        </w:rPr>
      </w:pPr>
      <w:r w:rsidRPr="00EE54E3">
        <w:rPr>
          <w:lang w:val="fr-FR"/>
        </w:rPr>
        <w:t>a)</w:t>
      </w:r>
      <w:r w:rsidRPr="00EE54E3">
        <w:rPr>
          <w:lang w:val="fr-FR"/>
        </w:rPr>
        <w:tab/>
      </w:r>
      <w:r w:rsidR="00DA0CF7" w:rsidRPr="00EE54E3">
        <w:rPr>
          <w:lang w:val="fr-FR"/>
        </w:rPr>
        <w:t>Rapports des représentants des membres et des observateurs</w:t>
      </w:r>
      <w:r w:rsidRPr="00EE54E3">
        <w:rPr>
          <w:lang w:val="fr-FR"/>
        </w:rPr>
        <w:t xml:space="preserve"> (document C/49/1</w:t>
      </w:r>
      <w:r w:rsidR="0083615F" w:rsidRPr="00EE54E3">
        <w:rPr>
          <w:lang w:val="fr-FR"/>
        </w:rPr>
        <w:t>5</w:t>
      </w:r>
      <w:r w:rsidRPr="00EE54E3">
        <w:rPr>
          <w:lang w:val="fr-FR"/>
        </w:rPr>
        <w:t>)</w:t>
      </w:r>
    </w:p>
    <w:p w:rsidR="0079538F" w:rsidRPr="00EE54E3" w:rsidRDefault="0079538F" w:rsidP="00C63D62">
      <w:pPr>
        <w:ind w:left="1134" w:hanging="567"/>
        <w:rPr>
          <w:lang w:val="fr-FR"/>
        </w:rPr>
      </w:pPr>
    </w:p>
    <w:p w:rsidR="0079538F" w:rsidRPr="00EE54E3" w:rsidRDefault="0079538F" w:rsidP="00C63D62">
      <w:pPr>
        <w:ind w:left="1134" w:hanging="567"/>
        <w:rPr>
          <w:lang w:val="fr-FR"/>
        </w:rPr>
      </w:pPr>
      <w:r w:rsidRPr="00EE54E3">
        <w:rPr>
          <w:lang w:val="fr-FR"/>
        </w:rPr>
        <w:t>b)</w:t>
      </w:r>
      <w:r w:rsidRPr="00EE54E3">
        <w:rPr>
          <w:lang w:val="fr-FR"/>
        </w:rPr>
        <w:tab/>
      </w:r>
      <w:r w:rsidR="00634A8D" w:rsidRPr="00EE54E3">
        <w:rPr>
          <w:lang w:val="fr-FR"/>
        </w:rPr>
        <w:t>Coopération en matière d</w:t>
      </w:r>
      <w:r w:rsidR="008272FF" w:rsidRPr="00EE54E3">
        <w:rPr>
          <w:lang w:val="fr-FR"/>
        </w:rPr>
        <w:t>’</w:t>
      </w:r>
      <w:r w:rsidR="00634A8D" w:rsidRPr="00EE54E3">
        <w:rPr>
          <w:lang w:val="fr-FR"/>
        </w:rPr>
        <w:t xml:space="preserve">examen </w:t>
      </w:r>
      <w:r w:rsidRPr="00EE54E3">
        <w:rPr>
          <w:lang w:val="fr-FR"/>
        </w:rPr>
        <w:t xml:space="preserve">(document C/49/5); </w:t>
      </w:r>
      <w:r w:rsidR="008F5CB7" w:rsidRPr="00EE54E3">
        <w:rPr>
          <w:lang w:val="fr-FR"/>
        </w:rPr>
        <w:t xml:space="preserve"> </w:t>
      </w:r>
      <w:r w:rsidR="00634A8D" w:rsidRPr="00EE54E3">
        <w:rPr>
          <w:lang w:val="fr-FR"/>
        </w:rPr>
        <w:t>Liste des taxons protégés par les membres de l</w:t>
      </w:r>
      <w:r w:rsidR="008272FF" w:rsidRPr="00EE54E3">
        <w:rPr>
          <w:lang w:val="fr-FR"/>
        </w:rPr>
        <w:t>’</w:t>
      </w:r>
      <w:r w:rsidR="00634A8D" w:rsidRPr="00EE54E3">
        <w:rPr>
          <w:lang w:val="fr-FR"/>
        </w:rPr>
        <w:t>Union</w:t>
      </w:r>
      <w:r w:rsidRPr="00EE54E3">
        <w:rPr>
          <w:lang w:val="fr-FR"/>
        </w:rPr>
        <w:t xml:space="preserve"> (document C/49/6); </w:t>
      </w:r>
      <w:r w:rsidR="008F5CB7" w:rsidRPr="00EE54E3">
        <w:rPr>
          <w:lang w:val="fr-FR"/>
        </w:rPr>
        <w:t xml:space="preserve"> </w:t>
      </w:r>
      <w:r w:rsidR="00634A8D" w:rsidRPr="00EE54E3">
        <w:rPr>
          <w:lang w:val="fr-FR"/>
        </w:rPr>
        <w:t>Statistiques sur la protection des obtentions végétales pour la période</w:t>
      </w:r>
      <w:r w:rsidR="008F5CB7" w:rsidRPr="00EE54E3">
        <w:rPr>
          <w:lang w:val="fr-FR"/>
        </w:rPr>
        <w:t> </w:t>
      </w:r>
      <w:r w:rsidRPr="00EE54E3">
        <w:rPr>
          <w:lang w:val="fr-FR"/>
        </w:rPr>
        <w:t>2010</w:t>
      </w:r>
      <w:r w:rsidR="00EE54E3" w:rsidRPr="00EE54E3">
        <w:rPr>
          <w:lang w:val="fr-FR"/>
        </w:rPr>
        <w:noBreakHyphen/>
      </w:r>
      <w:r w:rsidRPr="00EE54E3">
        <w:rPr>
          <w:lang w:val="fr-FR"/>
        </w:rPr>
        <w:t>2014 (document C/49/7)</w:t>
      </w:r>
    </w:p>
    <w:p w:rsidR="0079538F" w:rsidRPr="00EE54E3" w:rsidRDefault="0079538F" w:rsidP="00C63D62">
      <w:pPr>
        <w:ind w:left="1134" w:hanging="567"/>
        <w:rPr>
          <w:b/>
          <w:lang w:val="fr-FR"/>
        </w:rPr>
      </w:pPr>
    </w:p>
    <w:p w:rsidR="008272FF" w:rsidRPr="00EE54E3" w:rsidRDefault="0079538F" w:rsidP="00C63D62">
      <w:pPr>
        <w:ind w:left="567" w:hanging="567"/>
        <w:rPr>
          <w:bCs/>
          <w:snapToGrid w:val="0"/>
          <w:szCs w:val="24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634A8D" w:rsidRPr="00EE54E3">
        <w:rPr>
          <w:snapToGrid w:val="0"/>
          <w:lang w:val="fr-FR"/>
        </w:rPr>
        <w:t>Communiqué de presse</w:t>
      </w:r>
      <w:r w:rsidRPr="00EE54E3">
        <w:rPr>
          <w:bCs/>
          <w:snapToGrid w:val="0"/>
          <w:szCs w:val="24"/>
          <w:lang w:val="fr-FR"/>
        </w:rPr>
        <w:t xml:space="preserve"> (document C/49/1</w:t>
      </w:r>
      <w:r w:rsidR="0083615F" w:rsidRPr="00EE54E3">
        <w:rPr>
          <w:bCs/>
          <w:snapToGrid w:val="0"/>
          <w:szCs w:val="24"/>
          <w:lang w:val="fr-FR"/>
        </w:rPr>
        <w:t>7</w:t>
      </w:r>
      <w:r w:rsidRPr="00EE54E3">
        <w:rPr>
          <w:bCs/>
          <w:snapToGrid w:val="0"/>
          <w:szCs w:val="24"/>
          <w:lang w:val="fr-FR"/>
        </w:rPr>
        <w:t>)</w:t>
      </w:r>
    </w:p>
    <w:p w:rsidR="0079538F" w:rsidRPr="00EE54E3" w:rsidRDefault="0079538F" w:rsidP="00C63D62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8272FF" w:rsidRPr="00EE54E3" w:rsidRDefault="0079538F" w:rsidP="00E700B5">
      <w:pPr>
        <w:keepNext/>
        <w:ind w:left="567" w:hanging="567"/>
        <w:rPr>
          <w:bCs/>
          <w:snapToGrid w:val="0"/>
          <w:szCs w:val="24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634A8D" w:rsidRPr="00EE54E3">
        <w:rPr>
          <w:bCs/>
          <w:snapToGrid w:val="0"/>
          <w:szCs w:val="24"/>
          <w:lang w:val="fr-FR"/>
        </w:rPr>
        <w:t>Adoption d</w:t>
      </w:r>
      <w:r w:rsidR="008272FF" w:rsidRPr="00EE54E3">
        <w:rPr>
          <w:bCs/>
          <w:snapToGrid w:val="0"/>
          <w:szCs w:val="24"/>
          <w:lang w:val="fr-FR"/>
        </w:rPr>
        <w:t>’</w:t>
      </w:r>
      <w:r w:rsidR="00634A8D" w:rsidRPr="00EE54E3">
        <w:rPr>
          <w:bCs/>
          <w:snapToGrid w:val="0"/>
          <w:szCs w:val="24"/>
          <w:lang w:val="fr-FR"/>
        </w:rPr>
        <w:t>un document rendant compte des décisions adoptées au cours de la session</w:t>
      </w:r>
    </w:p>
    <w:p w:rsidR="0079538F" w:rsidRPr="00EE54E3" w:rsidRDefault="0079538F" w:rsidP="00E700B5">
      <w:pPr>
        <w:keepNext/>
        <w:ind w:left="567" w:hanging="567"/>
        <w:rPr>
          <w:bCs/>
          <w:snapToGrid w:val="0"/>
          <w:szCs w:val="24"/>
          <w:lang w:val="fr-FR"/>
        </w:rPr>
      </w:pPr>
    </w:p>
    <w:p w:rsidR="0079538F" w:rsidRPr="00EE54E3" w:rsidRDefault="0079538F" w:rsidP="00C63D62">
      <w:pPr>
        <w:ind w:left="567" w:hanging="567"/>
        <w:rPr>
          <w:bCs/>
          <w:snapToGrid w:val="0"/>
          <w:szCs w:val="24"/>
          <w:lang w:val="fr-FR"/>
        </w:rPr>
      </w:pPr>
      <w:r w:rsidRPr="00EE54E3">
        <w:rPr>
          <w:snapToGrid w:val="0"/>
          <w:lang w:val="fr-FR"/>
        </w:rPr>
        <w:fldChar w:fldCharType="begin"/>
      </w:r>
      <w:r w:rsidRPr="00EE54E3">
        <w:rPr>
          <w:snapToGrid w:val="0"/>
          <w:lang w:val="fr-FR"/>
        </w:rPr>
        <w:instrText xml:space="preserve"> AUTONUM  </w:instrText>
      </w:r>
      <w:r w:rsidRPr="00EE54E3">
        <w:rPr>
          <w:snapToGrid w:val="0"/>
          <w:lang w:val="fr-FR"/>
        </w:rPr>
        <w:fldChar w:fldCharType="end"/>
      </w:r>
      <w:r w:rsidRPr="00EE54E3">
        <w:rPr>
          <w:snapToGrid w:val="0"/>
          <w:lang w:val="fr-FR"/>
        </w:rPr>
        <w:tab/>
      </w:r>
      <w:r w:rsidR="00634A8D" w:rsidRPr="00EE54E3">
        <w:rPr>
          <w:bCs/>
          <w:snapToGrid w:val="0"/>
          <w:szCs w:val="24"/>
          <w:lang w:val="fr-FR"/>
        </w:rPr>
        <w:t>Clôture de la session</w:t>
      </w:r>
    </w:p>
    <w:p w:rsidR="0079538F" w:rsidRDefault="0079538F" w:rsidP="00C63D62">
      <w:pPr>
        <w:rPr>
          <w:lang w:val="fr-FR"/>
        </w:rPr>
      </w:pPr>
    </w:p>
    <w:p w:rsidR="006B17D2" w:rsidRPr="00EE54E3" w:rsidRDefault="0079538F" w:rsidP="00C63D62">
      <w:pPr>
        <w:jc w:val="right"/>
        <w:rPr>
          <w:lang w:val="fr-FR"/>
        </w:rPr>
      </w:pPr>
      <w:r w:rsidRPr="00EE54E3">
        <w:rPr>
          <w:lang w:val="fr-FR"/>
        </w:rPr>
        <w:t>[</w:t>
      </w:r>
      <w:r w:rsidR="00634A8D" w:rsidRPr="00EE54E3">
        <w:rPr>
          <w:lang w:val="fr-FR"/>
        </w:rPr>
        <w:t>Fin du document</w:t>
      </w:r>
      <w:r w:rsidRPr="00EE54E3">
        <w:rPr>
          <w:lang w:val="fr-FR"/>
        </w:rPr>
        <w:t>]</w:t>
      </w:r>
    </w:p>
    <w:sectPr w:rsidR="006B17D2" w:rsidRPr="00EE54E3" w:rsidSect="0079538F">
      <w:headerReference w:type="default" r:id="rId9"/>
      <w:footerReference w:type="first" r:id="rId10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8F" w:rsidRDefault="0079538F" w:rsidP="006655D3">
      <w:r>
        <w:separator/>
      </w:r>
    </w:p>
    <w:p w:rsidR="0079538F" w:rsidRDefault="0079538F" w:rsidP="006655D3"/>
    <w:p w:rsidR="0079538F" w:rsidRDefault="0079538F" w:rsidP="006655D3"/>
  </w:endnote>
  <w:endnote w:type="continuationSeparator" w:id="0">
    <w:p w:rsidR="0079538F" w:rsidRDefault="0079538F" w:rsidP="006655D3">
      <w:r>
        <w:separator/>
      </w:r>
    </w:p>
    <w:p w:rsidR="0079538F" w:rsidRPr="00560A6D" w:rsidRDefault="0079538F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79538F" w:rsidRPr="00560A6D" w:rsidRDefault="0079538F" w:rsidP="006655D3">
      <w:pPr>
        <w:rPr>
          <w:lang w:val="fr-FR"/>
        </w:rPr>
      </w:pPr>
    </w:p>
    <w:p w:rsidR="0079538F" w:rsidRPr="00560A6D" w:rsidRDefault="0079538F" w:rsidP="006655D3">
      <w:pPr>
        <w:rPr>
          <w:lang w:val="fr-FR"/>
        </w:rPr>
      </w:pPr>
    </w:p>
  </w:endnote>
  <w:endnote w:type="continuationNotice" w:id="1">
    <w:p w:rsidR="0079538F" w:rsidRPr="00560A6D" w:rsidRDefault="0079538F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79538F" w:rsidRPr="00560A6D" w:rsidRDefault="0079538F" w:rsidP="006655D3">
      <w:pPr>
        <w:rPr>
          <w:lang w:val="fr-FR"/>
        </w:rPr>
      </w:pPr>
    </w:p>
    <w:p w:rsidR="0079538F" w:rsidRPr="00560A6D" w:rsidRDefault="0079538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62" w:rsidRPr="00D61CDD" w:rsidRDefault="00C63D62" w:rsidP="00C63D62">
    <w:pPr>
      <w:pStyle w:val="Footer"/>
      <w:tabs>
        <w:tab w:val="left" w:leader="underscore" w:pos="1985"/>
      </w:tabs>
      <w:spacing w:before="120"/>
      <w:rPr>
        <w:szCs w:val="14"/>
      </w:rPr>
    </w:pPr>
    <w:r w:rsidRPr="00D61CDD">
      <w:rPr>
        <w:szCs w:val="14"/>
      </w:rPr>
      <w:tab/>
    </w:r>
  </w:p>
  <w:p w:rsidR="00A56FAA" w:rsidRPr="00D61CDD" w:rsidRDefault="00C23BF3" w:rsidP="0079538F">
    <w:pPr>
      <w:pStyle w:val="Footer"/>
      <w:tabs>
        <w:tab w:val="left" w:leader="underscore" w:pos="1985"/>
      </w:tabs>
      <w:spacing w:before="120"/>
      <w:rPr>
        <w:szCs w:val="14"/>
        <w:u w:val="single"/>
        <w:lang w:val="fr-CH"/>
      </w:rPr>
    </w:pPr>
    <w:r w:rsidRPr="00D61CDD">
      <w:rPr>
        <w:szCs w:val="14"/>
        <w:u w:val="single"/>
        <w:lang w:val="fr-CH"/>
      </w:rPr>
      <w:t xml:space="preserve">La session se tiendra au siège de l’UPOV, 34, chemin des </w:t>
    </w:r>
    <w:proofErr w:type="spellStart"/>
    <w:r w:rsidRPr="00D61CDD">
      <w:rPr>
        <w:szCs w:val="14"/>
        <w:u w:val="single"/>
        <w:lang w:val="fr-CH"/>
      </w:rPr>
      <w:t>Co</w:t>
    </w:r>
    <w:r w:rsidR="008272FF" w:rsidRPr="00D61CDD">
      <w:rPr>
        <w:szCs w:val="14"/>
        <w:u w:val="single"/>
        <w:lang w:val="fr-CH"/>
      </w:rPr>
      <w:t>lombettes</w:t>
    </w:r>
    <w:proofErr w:type="spellEnd"/>
    <w:r w:rsidR="008272FF" w:rsidRPr="00D61CDD">
      <w:rPr>
        <w:szCs w:val="14"/>
        <w:u w:val="single"/>
        <w:lang w:val="fr-CH"/>
      </w:rPr>
      <w:t>, Genève (Suisse) et s'</w:t>
    </w:r>
    <w:r w:rsidRPr="00D61CDD">
      <w:rPr>
        <w:szCs w:val="14"/>
        <w:u w:val="single"/>
        <w:lang w:val="fr-CH"/>
      </w:rPr>
      <w:t xml:space="preserve">ouvrira le </w:t>
    </w:r>
    <w:r w:rsidR="008272FF" w:rsidRPr="00D61CDD">
      <w:rPr>
        <w:szCs w:val="14"/>
        <w:u w:val="single"/>
        <w:lang w:val="fr-CH"/>
      </w:rPr>
      <w:t>jeudi 29 octobre </w:t>
    </w:r>
    <w:r w:rsidRPr="00D61CDD">
      <w:rPr>
        <w:szCs w:val="14"/>
        <w:u w:val="single"/>
        <w:lang w:val="fr-CH"/>
      </w:rPr>
      <w:t xml:space="preserve">2015 </w:t>
    </w:r>
    <w:r w:rsidR="008272FF" w:rsidRPr="00D61CDD">
      <w:rPr>
        <w:szCs w:val="14"/>
        <w:u w:val="single"/>
        <w:lang w:val="fr-CH"/>
      </w:rPr>
      <w:t>à </w:t>
    </w:r>
    <w:r w:rsidRPr="00D61CDD">
      <w:rPr>
        <w:szCs w:val="14"/>
        <w:u w:val="single"/>
        <w:lang w:val="fr-CH"/>
      </w:rPr>
      <w:t>9</w:t>
    </w:r>
    <w:r w:rsidR="008272FF" w:rsidRPr="00D61CDD">
      <w:rPr>
        <w:szCs w:val="14"/>
        <w:u w:val="single"/>
        <w:lang w:val="fr-CH"/>
      </w:rPr>
      <w:t> h </w:t>
    </w:r>
    <w:r w:rsidRPr="00D61CDD">
      <w:rPr>
        <w:szCs w:val="14"/>
        <w:u w:val="single"/>
        <w:lang w:val="fr-CH"/>
      </w:rPr>
      <w:t>30</w:t>
    </w:r>
    <w:r w:rsidRPr="00D61CDD">
      <w:rPr>
        <w:szCs w:val="14"/>
        <w:lang w:val="fr-CH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8F" w:rsidRDefault="0079538F" w:rsidP="00C95616">
      <w:pPr>
        <w:spacing w:before="120"/>
      </w:pPr>
      <w:r>
        <w:separator/>
      </w:r>
    </w:p>
  </w:footnote>
  <w:footnote w:type="continuationSeparator" w:id="0">
    <w:p w:rsidR="0079538F" w:rsidRDefault="0079538F" w:rsidP="006655D3">
      <w:r>
        <w:separator/>
      </w:r>
    </w:p>
  </w:footnote>
  <w:footnote w:type="continuationNotice" w:id="1">
    <w:p w:rsidR="0079538F" w:rsidRPr="00A56FAA" w:rsidRDefault="0079538F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2521B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</w:t>
    </w:r>
    <w:r w:rsidR="00A56FAA">
      <w:rPr>
        <w:rStyle w:val="PageNumber"/>
        <w:lang w:val="en-US"/>
      </w:rPr>
      <w:t>/</w:t>
    </w:r>
    <w:r w:rsidR="0079538F">
      <w:rPr>
        <w:rStyle w:val="PageNumber"/>
        <w:lang w:val="en-US"/>
      </w:rPr>
      <w:t>1</w:t>
    </w:r>
    <w:r w:rsidR="00B10D43">
      <w:rPr>
        <w:rStyle w:val="PageNumber"/>
        <w:lang w:val="en-US"/>
      </w:rPr>
      <w:t xml:space="preserve"> Rev.</w:t>
    </w:r>
  </w:p>
  <w:p w:rsidR="00A56FAA" w:rsidRPr="008272FF" w:rsidRDefault="00A56FAA" w:rsidP="00EB048E">
    <w:pPr>
      <w:pStyle w:val="Header"/>
      <w:rPr>
        <w:lang w:val="en-US"/>
      </w:rPr>
    </w:pPr>
    <w:proofErr w:type="gramStart"/>
    <w:r w:rsidRPr="008272FF">
      <w:rPr>
        <w:lang w:val="en-US"/>
      </w:rPr>
      <w:t>page</w:t>
    </w:r>
    <w:proofErr w:type="gramEnd"/>
    <w:r w:rsidRPr="008272FF">
      <w:rPr>
        <w:lang w:val="en-US"/>
      </w:rPr>
      <w:t xml:space="preserve"> </w:t>
    </w:r>
    <w:r w:rsidRPr="008272FF">
      <w:rPr>
        <w:rStyle w:val="PageNumber"/>
        <w:lang w:val="en-US"/>
      </w:rPr>
      <w:fldChar w:fldCharType="begin"/>
    </w:r>
    <w:r w:rsidRPr="008272FF">
      <w:rPr>
        <w:rStyle w:val="PageNumber"/>
        <w:lang w:val="en-US"/>
      </w:rPr>
      <w:instrText xml:space="preserve"> PAGE </w:instrText>
    </w:r>
    <w:r w:rsidRPr="008272FF">
      <w:rPr>
        <w:rStyle w:val="PageNumber"/>
        <w:lang w:val="en-US"/>
      </w:rPr>
      <w:fldChar w:fldCharType="separate"/>
    </w:r>
    <w:r w:rsidR="007671FB">
      <w:rPr>
        <w:rStyle w:val="PageNumber"/>
        <w:noProof/>
        <w:lang w:val="en-US"/>
      </w:rPr>
      <w:t>1</w:t>
    </w:r>
    <w:r w:rsidRPr="008272FF">
      <w:rPr>
        <w:rStyle w:val="PageNumber"/>
        <w:lang w:val="en-US"/>
      </w:rPr>
      <w:fldChar w:fldCharType="end"/>
    </w:r>
  </w:p>
  <w:p w:rsidR="00A56FAA" w:rsidRPr="00C5280D" w:rsidRDefault="00A56FAA" w:rsidP="008272F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UPOV_Beta|Test-WIPO|PreTradBeta|AT.WIPO|WIPONew"/>
    <w:docVar w:name="TermBaseURL" w:val="empty"/>
    <w:docVar w:name="TextBases" w:val="transmlp.wipo.int\Copyright\Meetings|transmlp.wipo.int\Administrative\Meetings|transmlp.wipo.int\Administrative\Other|transmlp.wipo.int\Administrative\Publications|transmlp.wipo.int\Budget and Finance\Meetings|transmlp.wipo.int\Budget and Finance\Other|transmlp.wipo.int\Budget and Finance\Publications|transmlp.wipo.int\Copyright\Other|transmlp.wipo.int\Copyright\Publications|transmlp.wipo.int\IP in General\Academy|transmlp.wipo.int\IP in General\Arbitration and Mediation|transmlp.wipo.int\IP in General\Meetings|transmlp.wipo.int\IP in General\Other|transmlp.wipo.int\IP in General\Press Room|transmlp.wipo.int\IP in General\Publications|transmlp.wipo.int\Patents\Meetings|transmlp.wipo.int\Patents\Other|transmlp.wipo.int\Patents\Publications|transmlp.wipo.int\Trademarks\Meetings|transmlp.wipo.int\Trademarks\Other|transmlp.wipo.int\Trademarks\Publications|transmlp.wipo.int\Treaties\WIPO-administered|transmlp.wipo.int\Glossaries\EN-FR|transmlp.wipo.int\IP in General\SpeechDG2014|transmlp.wipo.int\Treaties\Model Laws|transmlp.wipo.int\Treaties\Other Laws and Agreements|transmlp.wipo.int\UPOV\Meetings|transmlp.wipo.int\UPOV\Other|transmlp.wipo.int\UPOV\Publications|transmlp.wipo.int\UPOV\Technical Guidelines|transmlp.wipo.int\WorkspaceCTS\Test|transmlp.wipo.int\WorkspaceETS\FR-EN\Test|transmlp.wipo.int\WorkspaceETS\Test|transmlp.wipo.int\WorkspaceFTS\EN-FR\ACE|transmlp.wipo.int\WorkspaceFTS\EN-FR\Administratif|transmlp.wipo.int\WorkspaceFTS\EN-FR\AMC|transmlp.wipo.int\WorkspaceFTS\EN-FR\Assemblées|transmlp.wipo.int\WorkspaceFTS\EN-FR\Budapest|transmlp.wipo.int\WorkspaceFTS\EN-FR\CDIP|transmlp.wipo.int\WorkspaceFTS\EN-FR\CWS|transmlp.wipo.int\WorkspaceFTS\EN-FR\Divers|transmlp.wipo.int\WorkspaceFTS\EN-FR\GRTKF|transmlp.wipo.int\WorkspaceFTS\EN-FR\Hague|transmlp.wipo.int\WorkspaceFTS\EN-FR\IPC|transmlp.wipo.int\WorkspaceFTS\EN-FR\Lisbonne|transmlp.wipo.int\WorkspaceFTS\EN-FR\Madrid|transmlp.wipo.int\WorkspaceFTS\EN-FR\MP|transmlp.wipo.int\WorkspaceFTS\EN-FR\PCT|transmlp.wipo.int\WorkspaceFTS\EN-FR\PLT|transmlp.wipo.int\WorkspaceFTS\EN-FR\SCCR|transmlp.wipo.int\WorkspaceFTS\EN-FR\SCP|transmlp.wipo.int\WorkspaceFTS\EN-FR\SCT|transmlp.wipo.int\WorkspaceFTS\EN-FR\UPOV|transmlp.wipo.int\WorkspaceFTS\EN-FR\WO_CC|transmlp.wipo.int\WorkspaceFTS\EN-FR\WO_GA|transmlp.wipo.int\WorkspaceFTS\EN-FR\WO_PBC|transmlp.wipo.int\WorkspaceRTS\Test"/>
    <w:docVar w:name="TextBaseURL" w:val="empty"/>
    <w:docVar w:name="UILng" w:val="en"/>
  </w:docVars>
  <w:rsids>
    <w:rsidRoot w:val="0079538F"/>
    <w:rsid w:val="00004550"/>
    <w:rsid w:val="00010CF3"/>
    <w:rsid w:val="00011E27"/>
    <w:rsid w:val="000148BC"/>
    <w:rsid w:val="00024AB8"/>
    <w:rsid w:val="00030854"/>
    <w:rsid w:val="0003108F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C536E"/>
    <w:rsid w:val="001E0CF9"/>
    <w:rsid w:val="0021332C"/>
    <w:rsid w:val="00213982"/>
    <w:rsid w:val="00233329"/>
    <w:rsid w:val="0024416D"/>
    <w:rsid w:val="002521B6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B2F75"/>
    <w:rsid w:val="003D227C"/>
    <w:rsid w:val="003D2B4D"/>
    <w:rsid w:val="00444A88"/>
    <w:rsid w:val="00474DA4"/>
    <w:rsid w:val="00476B4D"/>
    <w:rsid w:val="004805FA"/>
    <w:rsid w:val="004D047D"/>
    <w:rsid w:val="004D0F1A"/>
    <w:rsid w:val="004F305A"/>
    <w:rsid w:val="00512164"/>
    <w:rsid w:val="00520297"/>
    <w:rsid w:val="005338F9"/>
    <w:rsid w:val="0054281C"/>
    <w:rsid w:val="0055268D"/>
    <w:rsid w:val="00560A6D"/>
    <w:rsid w:val="00576BE4"/>
    <w:rsid w:val="0059091A"/>
    <w:rsid w:val="005A400A"/>
    <w:rsid w:val="005D31D6"/>
    <w:rsid w:val="005F05B6"/>
    <w:rsid w:val="00612379"/>
    <w:rsid w:val="0061555F"/>
    <w:rsid w:val="00634A8D"/>
    <w:rsid w:val="00641200"/>
    <w:rsid w:val="00663239"/>
    <w:rsid w:val="006655D3"/>
    <w:rsid w:val="0067078A"/>
    <w:rsid w:val="00687EB4"/>
    <w:rsid w:val="006B17D2"/>
    <w:rsid w:val="006C224E"/>
    <w:rsid w:val="006D780A"/>
    <w:rsid w:val="00732DEC"/>
    <w:rsid w:val="00735BD5"/>
    <w:rsid w:val="007556F6"/>
    <w:rsid w:val="00760EEF"/>
    <w:rsid w:val="007671FB"/>
    <w:rsid w:val="00777EE5"/>
    <w:rsid w:val="00784836"/>
    <w:rsid w:val="0079023E"/>
    <w:rsid w:val="00790E1D"/>
    <w:rsid w:val="0079538F"/>
    <w:rsid w:val="007A2854"/>
    <w:rsid w:val="007A47DD"/>
    <w:rsid w:val="007D0B9D"/>
    <w:rsid w:val="007D19B0"/>
    <w:rsid w:val="007F498F"/>
    <w:rsid w:val="0080679D"/>
    <w:rsid w:val="008108B0"/>
    <w:rsid w:val="00811B20"/>
    <w:rsid w:val="0082296E"/>
    <w:rsid w:val="00824099"/>
    <w:rsid w:val="008272FF"/>
    <w:rsid w:val="0083615F"/>
    <w:rsid w:val="00867AC1"/>
    <w:rsid w:val="008A3C6D"/>
    <w:rsid w:val="008A743F"/>
    <w:rsid w:val="008C0970"/>
    <w:rsid w:val="008D2CF7"/>
    <w:rsid w:val="008D7B1F"/>
    <w:rsid w:val="008F5CB7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97029"/>
    <w:rsid w:val="009D690D"/>
    <w:rsid w:val="009E29C5"/>
    <w:rsid w:val="009E65B6"/>
    <w:rsid w:val="009F7D0F"/>
    <w:rsid w:val="00A42AC3"/>
    <w:rsid w:val="00A430CF"/>
    <w:rsid w:val="00A54309"/>
    <w:rsid w:val="00A56FAA"/>
    <w:rsid w:val="00AA0CB2"/>
    <w:rsid w:val="00AB2B93"/>
    <w:rsid w:val="00AB7E5B"/>
    <w:rsid w:val="00AE0EF1"/>
    <w:rsid w:val="00AE2937"/>
    <w:rsid w:val="00AE7F85"/>
    <w:rsid w:val="00B07301"/>
    <w:rsid w:val="00B10D43"/>
    <w:rsid w:val="00B224DE"/>
    <w:rsid w:val="00B46575"/>
    <w:rsid w:val="00B84BBD"/>
    <w:rsid w:val="00BA43FB"/>
    <w:rsid w:val="00BC127D"/>
    <w:rsid w:val="00BC1FE6"/>
    <w:rsid w:val="00C061B6"/>
    <w:rsid w:val="00C23BF3"/>
    <w:rsid w:val="00C2446C"/>
    <w:rsid w:val="00C36AE5"/>
    <w:rsid w:val="00C41F17"/>
    <w:rsid w:val="00C421DF"/>
    <w:rsid w:val="00C51D44"/>
    <w:rsid w:val="00C5280D"/>
    <w:rsid w:val="00C5791C"/>
    <w:rsid w:val="00C63D62"/>
    <w:rsid w:val="00C651CE"/>
    <w:rsid w:val="00C66290"/>
    <w:rsid w:val="00C72B7A"/>
    <w:rsid w:val="00C95616"/>
    <w:rsid w:val="00C973F2"/>
    <w:rsid w:val="00CA304C"/>
    <w:rsid w:val="00CA774A"/>
    <w:rsid w:val="00CC11B0"/>
    <w:rsid w:val="00CC40A8"/>
    <w:rsid w:val="00CF7E36"/>
    <w:rsid w:val="00D3708D"/>
    <w:rsid w:val="00D40426"/>
    <w:rsid w:val="00D57C96"/>
    <w:rsid w:val="00D61CDD"/>
    <w:rsid w:val="00D64FEC"/>
    <w:rsid w:val="00D91203"/>
    <w:rsid w:val="00D93E74"/>
    <w:rsid w:val="00D95174"/>
    <w:rsid w:val="00DA0CF7"/>
    <w:rsid w:val="00DA38CC"/>
    <w:rsid w:val="00DA6F36"/>
    <w:rsid w:val="00DB31C9"/>
    <w:rsid w:val="00DB596E"/>
    <w:rsid w:val="00DC00EA"/>
    <w:rsid w:val="00E24566"/>
    <w:rsid w:val="00E32F7E"/>
    <w:rsid w:val="00E700B5"/>
    <w:rsid w:val="00E72D49"/>
    <w:rsid w:val="00E7593C"/>
    <w:rsid w:val="00E7678A"/>
    <w:rsid w:val="00E935F1"/>
    <w:rsid w:val="00E94A81"/>
    <w:rsid w:val="00EA1FFB"/>
    <w:rsid w:val="00EA69A0"/>
    <w:rsid w:val="00EB048E"/>
    <w:rsid w:val="00EE34DF"/>
    <w:rsid w:val="00EE54E3"/>
    <w:rsid w:val="00EF2F89"/>
    <w:rsid w:val="00F1237A"/>
    <w:rsid w:val="00F22CBD"/>
    <w:rsid w:val="00F36B0A"/>
    <w:rsid w:val="00F45372"/>
    <w:rsid w:val="00F560F7"/>
    <w:rsid w:val="00F56C99"/>
    <w:rsid w:val="00F6334D"/>
    <w:rsid w:val="00F80602"/>
    <w:rsid w:val="00FA49AB"/>
    <w:rsid w:val="00FA5670"/>
    <w:rsid w:val="00FC5CDA"/>
    <w:rsid w:val="00FD2491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C0DF-1B1F-4CA1-AD8F-89420439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3814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C/49/1</vt:lpstr>
    </vt:vector>
  </TitlesOfParts>
  <Company>UPOV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C/49/1</dc:title>
  <dc:creator>Grigorieva Natalia</dc:creator>
  <cp:lastModifiedBy>SANCHEZ-VIZCAINO GOMEZ Rosa Maria</cp:lastModifiedBy>
  <cp:revision>6</cp:revision>
  <cp:lastPrinted>2015-10-02T10:03:00Z</cp:lastPrinted>
  <dcterms:created xsi:type="dcterms:W3CDTF">2015-09-29T14:10:00Z</dcterms:created>
  <dcterms:modified xsi:type="dcterms:W3CDTF">2015-10-02T10:04:00Z</dcterms:modified>
</cp:coreProperties>
</file>