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F01B6" w:rsidRPr="00BE5290" w:rsidTr="00CC5509">
        <w:trPr>
          <w:trHeight w:val="1760"/>
        </w:trPr>
        <w:tc>
          <w:tcPr>
            <w:tcW w:w="4243" w:type="dxa"/>
          </w:tcPr>
          <w:p w:rsidR="000D279C" w:rsidRPr="002F01B6" w:rsidRDefault="000D279C" w:rsidP="00CC5509">
            <w:pPr>
              <w:rPr>
                <w:lang w:val="fr-FR"/>
              </w:rPr>
            </w:pPr>
            <w:bookmarkStart w:id="0" w:name="Prepared"/>
            <w:bookmarkEnd w:id="0"/>
          </w:p>
        </w:tc>
        <w:tc>
          <w:tcPr>
            <w:tcW w:w="1646" w:type="dxa"/>
            <w:vAlign w:val="center"/>
          </w:tcPr>
          <w:p w:rsidR="000D279C" w:rsidRPr="002F01B6" w:rsidRDefault="000D279C" w:rsidP="00CC5509">
            <w:pPr>
              <w:pStyle w:val="LogoUPOV"/>
              <w:rPr>
                <w:lang w:val="fr-FR"/>
              </w:rPr>
            </w:pPr>
            <w:r w:rsidRPr="002F01B6">
              <w:rPr>
                <w:noProof/>
              </w:rPr>
              <w:drawing>
                <wp:inline distT="0" distB="0" distL="0" distR="0" wp14:anchorId="58CBBDCA" wp14:editId="1B3CCE1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279C" w:rsidRPr="002F01B6" w:rsidRDefault="000D279C" w:rsidP="00CC5509">
            <w:pPr>
              <w:pStyle w:val="Lettrine"/>
              <w:rPr>
                <w:lang w:val="fr-FR"/>
              </w:rPr>
            </w:pPr>
            <w:r w:rsidRPr="002F01B6">
              <w:rPr>
                <w:lang w:val="fr-FR"/>
              </w:rPr>
              <w:t>F</w:t>
            </w:r>
          </w:p>
          <w:p w:rsidR="000D279C" w:rsidRPr="002F01B6" w:rsidRDefault="000D279C" w:rsidP="00CC5509">
            <w:pPr>
              <w:pStyle w:val="Docoriginal"/>
              <w:rPr>
                <w:lang w:val="fr-FR"/>
              </w:rPr>
            </w:pPr>
            <w:r w:rsidRPr="002F01B6">
              <w:rPr>
                <w:lang w:val="fr-FR"/>
              </w:rPr>
              <w:t>C/48/</w:t>
            </w:r>
            <w:bookmarkStart w:id="1" w:name="Code"/>
            <w:bookmarkEnd w:id="1"/>
            <w:r w:rsidRPr="002F01B6">
              <w:rPr>
                <w:lang w:val="fr-FR"/>
              </w:rPr>
              <w:t>15</w:t>
            </w:r>
          </w:p>
          <w:p w:rsidR="000D279C" w:rsidRPr="002F01B6" w:rsidRDefault="000D279C" w:rsidP="00CC5509">
            <w:pPr>
              <w:pStyle w:val="Docoriginal"/>
              <w:rPr>
                <w:b w:val="0"/>
                <w:spacing w:val="0"/>
                <w:lang w:val="fr-FR"/>
              </w:rPr>
            </w:pPr>
            <w:r w:rsidRPr="002F01B6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2F01B6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2F01B6">
              <w:rPr>
                <w:b w:val="0"/>
                <w:spacing w:val="0"/>
                <w:lang w:val="fr-FR"/>
              </w:rPr>
              <w:t>anglais</w:t>
            </w:r>
          </w:p>
          <w:p w:rsidR="000D279C" w:rsidRPr="002F01B6" w:rsidRDefault="000D279C" w:rsidP="0068079E">
            <w:pPr>
              <w:pStyle w:val="Docoriginal"/>
              <w:rPr>
                <w:lang w:val="fr-FR"/>
              </w:rPr>
            </w:pPr>
            <w:r w:rsidRPr="002F01B6">
              <w:rPr>
                <w:spacing w:val="0"/>
                <w:lang w:val="fr-FR"/>
              </w:rPr>
              <w:t>DATE :</w:t>
            </w:r>
            <w:r w:rsidRPr="002F01B6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Pr="002F01B6">
              <w:rPr>
                <w:b w:val="0"/>
                <w:spacing w:val="0"/>
                <w:lang w:val="fr-FR"/>
              </w:rPr>
              <w:t>4 jui</w:t>
            </w:r>
            <w:r w:rsidR="0068079E">
              <w:rPr>
                <w:b w:val="0"/>
                <w:spacing w:val="0"/>
                <w:lang w:val="fr-FR"/>
              </w:rPr>
              <w:t>llet</w:t>
            </w:r>
            <w:r w:rsidRPr="002F01B6">
              <w:rPr>
                <w:b w:val="0"/>
                <w:spacing w:val="0"/>
                <w:lang w:val="fr-FR"/>
              </w:rPr>
              <w:t> 2014</w:t>
            </w:r>
          </w:p>
        </w:tc>
      </w:tr>
      <w:tr w:rsidR="002F01B6" w:rsidRPr="00BE5290" w:rsidTr="00CC5509">
        <w:tc>
          <w:tcPr>
            <w:tcW w:w="10131" w:type="dxa"/>
            <w:gridSpan w:val="3"/>
          </w:tcPr>
          <w:p w:rsidR="000D279C" w:rsidRPr="002F01B6" w:rsidRDefault="000D279C" w:rsidP="00CC5509">
            <w:pPr>
              <w:pStyle w:val="upove"/>
              <w:rPr>
                <w:sz w:val="28"/>
                <w:lang w:val="fr-FR"/>
              </w:rPr>
            </w:pPr>
            <w:r w:rsidRPr="002F01B6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2F01B6" w:rsidRPr="002F01B6" w:rsidTr="00CC5509">
        <w:tc>
          <w:tcPr>
            <w:tcW w:w="10131" w:type="dxa"/>
            <w:gridSpan w:val="3"/>
          </w:tcPr>
          <w:p w:rsidR="000D279C" w:rsidRPr="002F01B6" w:rsidRDefault="000D279C" w:rsidP="00CC5509">
            <w:pPr>
              <w:pStyle w:val="Country"/>
              <w:rPr>
                <w:lang w:val="fr-FR"/>
              </w:rPr>
            </w:pPr>
            <w:r w:rsidRPr="002F01B6">
              <w:rPr>
                <w:lang w:val="fr-FR"/>
              </w:rPr>
              <w:t>Genève</w:t>
            </w:r>
          </w:p>
        </w:tc>
      </w:tr>
    </w:tbl>
    <w:p w:rsidR="000D279C" w:rsidRPr="002F01B6" w:rsidRDefault="000D279C" w:rsidP="000D279C">
      <w:pPr>
        <w:pStyle w:val="Sessiontc"/>
        <w:rPr>
          <w:lang w:val="fr-FR"/>
        </w:rPr>
      </w:pPr>
      <w:r w:rsidRPr="002F01B6">
        <w:rPr>
          <w:lang w:val="fr-FR"/>
        </w:rPr>
        <w:t>CONSEIL</w:t>
      </w:r>
    </w:p>
    <w:p w:rsidR="000D279C" w:rsidRPr="002F01B6" w:rsidRDefault="000D279C" w:rsidP="000D279C">
      <w:pPr>
        <w:pStyle w:val="Sessiontcplacedate"/>
        <w:rPr>
          <w:lang w:val="fr-FR"/>
        </w:rPr>
      </w:pPr>
      <w:r w:rsidRPr="002F01B6">
        <w:rPr>
          <w:lang w:val="fr-FR"/>
        </w:rPr>
        <w:t>Quarante</w:t>
      </w:r>
      <w:r w:rsidR="00B21A09" w:rsidRPr="002F01B6">
        <w:rPr>
          <w:lang w:val="fr-FR"/>
        </w:rPr>
        <w:noBreakHyphen/>
      </w:r>
      <w:r w:rsidRPr="002F01B6">
        <w:rPr>
          <w:lang w:val="fr-FR"/>
        </w:rPr>
        <w:t>huitième session ordinaire</w:t>
      </w:r>
      <w:r w:rsidRPr="002F01B6">
        <w:rPr>
          <w:lang w:val="fr-FR"/>
        </w:rPr>
        <w:br/>
        <w:t>Genève, 16 octobre 2014</w:t>
      </w:r>
    </w:p>
    <w:p w:rsidR="00AE0DD4" w:rsidRPr="002F01B6" w:rsidRDefault="00BF69ED" w:rsidP="00307AA0">
      <w:pPr>
        <w:pStyle w:val="Titleofdoc0"/>
        <w:rPr>
          <w:lang w:val="fr-FR"/>
        </w:rPr>
      </w:pPr>
      <w:r w:rsidRPr="002F01B6">
        <w:rPr>
          <w:lang w:val="fr-FR"/>
        </w:rPr>
        <w:t>Nomination du Secrétaire général</w:t>
      </w:r>
    </w:p>
    <w:p w:rsidR="000D279C" w:rsidRPr="002F01B6" w:rsidRDefault="00BF69ED" w:rsidP="00BF69ED">
      <w:pPr>
        <w:pStyle w:val="preparedby1"/>
        <w:rPr>
          <w:lang w:val="fr-FR"/>
        </w:rPr>
      </w:pPr>
      <w:r w:rsidRPr="002F01B6">
        <w:rPr>
          <w:lang w:val="fr-FR"/>
        </w:rPr>
        <w:t>Document établi par le Bureau de l</w:t>
      </w:r>
      <w:r w:rsidR="000D279C" w:rsidRPr="002F01B6">
        <w:rPr>
          <w:lang w:val="fr-FR"/>
        </w:rPr>
        <w:t>’</w:t>
      </w:r>
      <w:r w:rsidRPr="002F01B6">
        <w:rPr>
          <w:lang w:val="fr-FR"/>
        </w:rPr>
        <w:t>Union</w:t>
      </w:r>
    </w:p>
    <w:p w:rsidR="00AE0DD4" w:rsidRPr="0089492A" w:rsidRDefault="00BF69ED" w:rsidP="00307AA0">
      <w:pPr>
        <w:pStyle w:val="preparedby1"/>
        <w:rPr>
          <w:color w:val="A6A6A6" w:themeColor="background1" w:themeShade="A6"/>
          <w:lang w:val="fr-FR"/>
        </w:rPr>
      </w:pPr>
      <w:r w:rsidRPr="0089492A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0D279C" w:rsidRPr="0089492A">
        <w:rPr>
          <w:color w:val="A6A6A6" w:themeColor="background1" w:themeShade="A6"/>
          <w:lang w:val="fr-FR"/>
        </w:rPr>
        <w:t>’</w:t>
      </w:r>
      <w:r w:rsidRPr="0089492A">
        <w:rPr>
          <w:color w:val="A6A6A6" w:themeColor="background1" w:themeShade="A6"/>
          <w:lang w:val="fr-FR"/>
        </w:rPr>
        <w:t>UPOV</w:t>
      </w:r>
    </w:p>
    <w:p w:rsidR="00AE0DD4" w:rsidRPr="002F01B6" w:rsidRDefault="00BF69ED" w:rsidP="00BF69ED">
      <w:pPr>
        <w:rPr>
          <w:u w:val="single"/>
          <w:lang w:val="fr-FR"/>
        </w:rPr>
      </w:pPr>
      <w:r w:rsidRPr="002F01B6">
        <w:rPr>
          <w:u w:val="single"/>
          <w:lang w:val="fr-FR"/>
        </w:rPr>
        <w:t>Introduction</w:t>
      </w:r>
    </w:p>
    <w:p w:rsidR="00AE0DD4" w:rsidRPr="002F01B6" w:rsidRDefault="00AE0DD4" w:rsidP="008E4CA5">
      <w:pPr>
        <w:rPr>
          <w:u w:val="single"/>
          <w:lang w:val="fr-FR"/>
        </w:rPr>
      </w:pPr>
    </w:p>
    <w:p w:rsidR="000D279C" w:rsidRPr="002F01B6" w:rsidRDefault="008E4CA5" w:rsidP="00BF69ED">
      <w:pPr>
        <w:rPr>
          <w:lang w:val="fr-FR"/>
        </w:rPr>
      </w:pPr>
      <w:r w:rsidRPr="002F01B6">
        <w:rPr>
          <w:lang w:val="fr-FR"/>
        </w:rPr>
        <w:fldChar w:fldCharType="begin"/>
      </w:r>
      <w:r w:rsidRPr="002F01B6">
        <w:rPr>
          <w:lang w:val="fr-FR"/>
        </w:rPr>
        <w:instrText xml:space="preserve"> AUTONUM  </w:instrText>
      </w:r>
      <w:r w:rsidRPr="002F01B6">
        <w:rPr>
          <w:lang w:val="fr-FR"/>
        </w:rPr>
        <w:fldChar w:fldCharType="end"/>
      </w:r>
      <w:r w:rsidRPr="002F01B6">
        <w:rPr>
          <w:lang w:val="fr-FR"/>
        </w:rPr>
        <w:tab/>
      </w:r>
      <w:r w:rsidR="00BF69ED" w:rsidRPr="002F01B6">
        <w:rPr>
          <w:lang w:val="fr-FR"/>
        </w:rPr>
        <w:t xml:space="preserve">La </w:t>
      </w:r>
      <w:r w:rsidR="000D279C" w:rsidRPr="002F01B6">
        <w:rPr>
          <w:lang w:val="fr-FR"/>
        </w:rPr>
        <w:t>Convention UPOV</w:t>
      </w:r>
      <w:r w:rsidR="00BF69ED" w:rsidRPr="002F01B6">
        <w:rPr>
          <w:lang w:val="fr-FR"/>
        </w:rPr>
        <w:t xml:space="preserve"> (article 26.5</w:t>
      </w:r>
      <w:proofErr w:type="gramStart"/>
      <w:r w:rsidR="00BF69ED" w:rsidRPr="002F01B6">
        <w:rPr>
          <w:lang w:val="fr-FR"/>
        </w:rPr>
        <w:t>)iii</w:t>
      </w:r>
      <w:proofErr w:type="gramEnd"/>
      <w:r w:rsidR="00BF69ED" w:rsidRPr="002F01B6">
        <w:rPr>
          <w:lang w:val="fr-FR"/>
        </w:rPr>
        <w:t>)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Acte de 1991 et article 21.b)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Acte de 1978) dispose que le Conseil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 xml:space="preserve">UPOV nomme le </w:t>
      </w:r>
      <w:r w:rsidR="00307AA0" w:rsidRPr="002F01B6">
        <w:rPr>
          <w:lang w:val="fr-FR"/>
        </w:rPr>
        <w:t>S</w:t>
      </w:r>
      <w:r w:rsidR="00BF69ED" w:rsidRPr="002F01B6">
        <w:rPr>
          <w:lang w:val="fr-FR"/>
        </w:rPr>
        <w:t>ecrétaire général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UPOV et fixe les conditions de son engagement.</w:t>
      </w:r>
    </w:p>
    <w:p w:rsidR="00AE0DD4" w:rsidRPr="002F01B6" w:rsidRDefault="00AE0DD4" w:rsidP="008E4CA5">
      <w:pPr>
        <w:rPr>
          <w:lang w:val="fr-FR"/>
        </w:rPr>
      </w:pPr>
    </w:p>
    <w:p w:rsidR="00AE0DD4" w:rsidRPr="002F01B6" w:rsidRDefault="008E4CA5" w:rsidP="00BF69ED">
      <w:pPr>
        <w:rPr>
          <w:lang w:val="fr-FR"/>
        </w:rPr>
      </w:pPr>
      <w:r w:rsidRPr="002F01B6">
        <w:rPr>
          <w:lang w:val="fr-FR"/>
        </w:rPr>
        <w:fldChar w:fldCharType="begin"/>
      </w:r>
      <w:r w:rsidRPr="002F01B6">
        <w:rPr>
          <w:lang w:val="fr-FR"/>
        </w:rPr>
        <w:instrText xml:space="preserve"> AUTONUM  </w:instrText>
      </w:r>
      <w:r w:rsidRPr="002F01B6">
        <w:rPr>
          <w:lang w:val="fr-FR"/>
        </w:rPr>
        <w:fldChar w:fldCharType="end"/>
      </w:r>
      <w:r w:rsidRPr="002F01B6">
        <w:rPr>
          <w:lang w:val="fr-FR"/>
        </w:rPr>
        <w:tab/>
      </w:r>
      <w:r w:rsidR="00BF69ED" w:rsidRPr="002F01B6">
        <w:rPr>
          <w:lang w:val="fr-FR"/>
        </w:rPr>
        <w:t>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Accord entre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Organisation Mondiale de la Propriété Intellectuelle et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Union internationale pour la protection des obtentions végétales (Accord OMPI/UPOV, document UPOV/INF/8), signé le 26 novembre 1982, dispose ce qui suit à son article 4 :</w:t>
      </w:r>
    </w:p>
    <w:p w:rsidR="00AE0DD4" w:rsidRPr="002F01B6" w:rsidRDefault="00AE0DD4" w:rsidP="008E4CA5">
      <w:pPr>
        <w:rPr>
          <w:lang w:val="fr-FR"/>
        </w:rPr>
      </w:pPr>
    </w:p>
    <w:p w:rsidR="00AE0DD4" w:rsidRPr="002F01B6" w:rsidRDefault="008E4CA5" w:rsidP="00307AA0">
      <w:pPr>
        <w:spacing w:after="120"/>
        <w:ind w:left="567" w:right="567"/>
        <w:rPr>
          <w:lang w:val="fr-FR"/>
        </w:rPr>
      </w:pPr>
      <w:r w:rsidRPr="002F01B6">
        <w:rPr>
          <w:lang w:val="fr-FR"/>
        </w:rPr>
        <w:tab/>
      </w:r>
      <w:r w:rsidR="00BF69ED" w:rsidRPr="002F01B6">
        <w:rPr>
          <w:lang w:val="fr-FR"/>
        </w:rPr>
        <w:t>“1) Le Conseil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UPOV nomme comme Secrétaire général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UPOV le Directeur général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OMPI.</w:t>
      </w:r>
    </w:p>
    <w:p w:rsidR="00AE0DD4" w:rsidRPr="002F01B6" w:rsidRDefault="008E4CA5" w:rsidP="00307AA0">
      <w:pPr>
        <w:spacing w:after="120"/>
        <w:ind w:left="567" w:right="567"/>
        <w:rPr>
          <w:lang w:val="fr-FR"/>
        </w:rPr>
      </w:pPr>
      <w:r w:rsidRPr="002F01B6">
        <w:rPr>
          <w:lang w:val="fr-FR"/>
        </w:rPr>
        <w:tab/>
      </w:r>
      <w:r w:rsidR="00BF69ED" w:rsidRPr="002F01B6">
        <w:rPr>
          <w:lang w:val="fr-FR"/>
        </w:rPr>
        <w:t>“2) En cas de vacance du poste de Directeur général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OMPI et pendant toute la durée de la vacance, la personne qui fait fonction de Directeur général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OMPI est Secrétaire général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UPOV par intérim.</w:t>
      </w:r>
    </w:p>
    <w:p w:rsidR="00AE0DD4" w:rsidRPr="002F01B6" w:rsidRDefault="008E4CA5" w:rsidP="00307AA0">
      <w:pPr>
        <w:spacing w:after="120"/>
        <w:ind w:left="567" w:right="567"/>
        <w:rPr>
          <w:lang w:val="fr-FR"/>
        </w:rPr>
      </w:pPr>
      <w:r w:rsidRPr="002F01B6">
        <w:rPr>
          <w:lang w:val="fr-FR"/>
        </w:rPr>
        <w:tab/>
      </w:r>
      <w:r w:rsidR="00BF69ED" w:rsidRPr="002F01B6">
        <w:rPr>
          <w:lang w:val="fr-FR"/>
        </w:rPr>
        <w:t>“3) Entre la date effective de sa nomination à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OMPI et sa nomination comme Secrétaire général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UPOV, le Directeur général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OMPI est Secrétaire général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UPOV par intérim.</w:t>
      </w:r>
    </w:p>
    <w:p w:rsidR="00AE0DD4" w:rsidRPr="002F01B6" w:rsidRDefault="008E4CA5" w:rsidP="00307AA0">
      <w:pPr>
        <w:spacing w:after="120"/>
        <w:ind w:left="567" w:right="567"/>
        <w:rPr>
          <w:lang w:val="fr-FR"/>
        </w:rPr>
      </w:pPr>
      <w:r w:rsidRPr="002F01B6">
        <w:rPr>
          <w:lang w:val="fr-FR"/>
        </w:rPr>
        <w:tab/>
      </w:r>
      <w:r w:rsidR="00BF69ED" w:rsidRPr="002F01B6">
        <w:rPr>
          <w:lang w:val="fr-FR"/>
        </w:rPr>
        <w:t>“4) Le mandat du Secrétaire général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UPOV est valable aussi longtemps que celui</w:t>
      </w:r>
      <w:r w:rsidR="00B21A09" w:rsidRPr="002F01B6">
        <w:rPr>
          <w:lang w:val="fr-FR"/>
        </w:rPr>
        <w:noBreakHyphen/>
      </w:r>
      <w:r w:rsidR="00BF69ED" w:rsidRPr="002F01B6">
        <w:rPr>
          <w:lang w:val="fr-FR"/>
        </w:rPr>
        <w:t xml:space="preserve">ci </w:t>
      </w:r>
      <w:proofErr w:type="gramStart"/>
      <w:r w:rsidR="00BF69ED" w:rsidRPr="002F01B6">
        <w:rPr>
          <w:lang w:val="fr-FR"/>
        </w:rPr>
        <w:t>reste</w:t>
      </w:r>
      <w:proofErr w:type="gramEnd"/>
      <w:r w:rsidR="00BF69ED" w:rsidRPr="002F01B6">
        <w:rPr>
          <w:lang w:val="fr-FR"/>
        </w:rPr>
        <w:t xml:space="preserve"> Directeur général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OMPI et prend fin en même temps que son mandat de Directeur général.</w:t>
      </w:r>
    </w:p>
    <w:p w:rsidR="00AE0DD4" w:rsidRPr="002F01B6" w:rsidRDefault="008E4CA5" w:rsidP="00BF69ED">
      <w:pPr>
        <w:ind w:left="567" w:right="566"/>
        <w:rPr>
          <w:lang w:val="fr-FR"/>
        </w:rPr>
      </w:pPr>
      <w:r w:rsidRPr="002F01B6">
        <w:rPr>
          <w:lang w:val="fr-FR"/>
        </w:rPr>
        <w:tab/>
      </w:r>
      <w:r w:rsidR="00BF69ED" w:rsidRPr="002F01B6">
        <w:rPr>
          <w:lang w:val="fr-FR"/>
        </w:rPr>
        <w:t>“5)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indemnité que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UPOV verse au Secrétaire général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UPOV est fixée par le Conseil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UPOV.”</w:t>
      </w:r>
    </w:p>
    <w:p w:rsidR="00AE0DD4" w:rsidRPr="002F01B6" w:rsidRDefault="00AE0DD4" w:rsidP="00307AA0">
      <w:pPr>
        <w:pStyle w:val="TOC1"/>
        <w:ind w:left="0" w:firstLine="0"/>
        <w:rPr>
          <w:snapToGrid w:val="0"/>
          <w:lang w:val="fr-FR"/>
        </w:rPr>
      </w:pPr>
    </w:p>
    <w:p w:rsidR="00AE0DD4" w:rsidRPr="002F01B6" w:rsidRDefault="00AE0DD4" w:rsidP="00307AA0">
      <w:pPr>
        <w:pStyle w:val="TOC1"/>
        <w:ind w:left="0" w:firstLine="0"/>
        <w:rPr>
          <w:snapToGrid w:val="0"/>
          <w:lang w:val="fr-FR"/>
        </w:rPr>
      </w:pPr>
    </w:p>
    <w:p w:rsidR="00AE0DD4" w:rsidRPr="002F01B6" w:rsidRDefault="00241624" w:rsidP="00BF69ED">
      <w:pPr>
        <w:rPr>
          <w:lang w:val="fr-FR"/>
        </w:rPr>
      </w:pPr>
      <w:r w:rsidRPr="002F01B6">
        <w:rPr>
          <w:lang w:val="fr-FR"/>
        </w:rPr>
        <w:fldChar w:fldCharType="begin"/>
      </w:r>
      <w:r w:rsidRPr="002F01B6">
        <w:rPr>
          <w:lang w:val="fr-FR"/>
        </w:rPr>
        <w:instrText xml:space="preserve"> AUTONUM  </w:instrText>
      </w:r>
      <w:r w:rsidRPr="002F01B6">
        <w:rPr>
          <w:lang w:val="fr-FR"/>
        </w:rPr>
        <w:fldChar w:fldCharType="end"/>
      </w:r>
      <w:r w:rsidRPr="002F01B6">
        <w:rPr>
          <w:lang w:val="fr-FR"/>
        </w:rPr>
        <w:tab/>
      </w:r>
      <w:r w:rsidR="00BF69ED" w:rsidRPr="002F01B6">
        <w:rPr>
          <w:lang w:val="fr-FR"/>
        </w:rPr>
        <w:t>À sa quarante</w:t>
      </w:r>
      <w:r w:rsidR="00B21A09" w:rsidRPr="002F01B6">
        <w:rPr>
          <w:lang w:val="fr-FR"/>
        </w:rPr>
        <w:noBreakHyphen/>
      </w:r>
      <w:r w:rsidR="00BF69ED" w:rsidRPr="002F01B6">
        <w:rPr>
          <w:lang w:val="fr-FR"/>
        </w:rPr>
        <w:t>deuxième session ordinaire, tenue à Genève le 30 octobre 2008, le Conseil a décidé</w:t>
      </w:r>
      <w:r w:rsidR="00307AA0" w:rsidRPr="002F01B6">
        <w:rPr>
          <w:lang w:val="fr-FR"/>
        </w:rPr>
        <w:t xml:space="preserve"> </w:t>
      </w:r>
      <w:r w:rsidR="00BF69ED" w:rsidRPr="002F01B6">
        <w:rPr>
          <w:lang w:val="fr-FR"/>
        </w:rPr>
        <w:t>de nommer M.</w:t>
      </w:r>
      <w:r w:rsidR="0039016F" w:rsidRPr="002F01B6">
        <w:rPr>
          <w:lang w:val="fr-FR"/>
        </w:rPr>
        <w:t> </w:t>
      </w:r>
      <w:r w:rsidR="00640725" w:rsidRPr="002F01B6">
        <w:rPr>
          <w:lang w:val="fr-FR"/>
        </w:rPr>
        <w:t>Francis </w:t>
      </w:r>
      <w:proofErr w:type="spellStart"/>
      <w:r w:rsidR="00BF69ED" w:rsidRPr="002F01B6">
        <w:rPr>
          <w:lang w:val="fr-FR"/>
        </w:rPr>
        <w:t>Gurry</w:t>
      </w:r>
      <w:proofErr w:type="spellEnd"/>
      <w:r w:rsidR="00BF69ED" w:rsidRPr="002F01B6">
        <w:rPr>
          <w:lang w:val="fr-FR"/>
        </w:rPr>
        <w:t xml:space="preserve"> Secrétaire général de l</w:t>
      </w:r>
      <w:r w:rsidR="000D279C" w:rsidRPr="002F01B6">
        <w:rPr>
          <w:lang w:val="fr-FR"/>
        </w:rPr>
        <w:t>’</w:t>
      </w:r>
      <w:r w:rsidR="00BF69ED" w:rsidRPr="002F01B6">
        <w:rPr>
          <w:lang w:val="fr-FR"/>
        </w:rPr>
        <w:t>UPOV pour la période allant du 30</w:t>
      </w:r>
      <w:r w:rsidR="00307AA0" w:rsidRPr="002F01B6">
        <w:rPr>
          <w:lang w:val="fr-FR"/>
        </w:rPr>
        <w:t> </w:t>
      </w:r>
      <w:r w:rsidR="00BF69ED" w:rsidRPr="002F01B6">
        <w:rPr>
          <w:lang w:val="fr-FR"/>
        </w:rPr>
        <w:t>octobre</w:t>
      </w:r>
      <w:r w:rsidR="00307AA0" w:rsidRPr="002F01B6">
        <w:rPr>
          <w:lang w:val="fr-FR"/>
        </w:rPr>
        <w:t> </w:t>
      </w:r>
      <w:r w:rsidR="00BF69ED" w:rsidRPr="002F01B6">
        <w:rPr>
          <w:lang w:val="fr-FR"/>
        </w:rPr>
        <w:t>2008 au 30</w:t>
      </w:r>
      <w:r w:rsidR="00307AA0" w:rsidRPr="002F01B6">
        <w:rPr>
          <w:lang w:val="fr-FR"/>
        </w:rPr>
        <w:t> </w:t>
      </w:r>
      <w:r w:rsidR="00BF69ED" w:rsidRPr="002F01B6">
        <w:rPr>
          <w:lang w:val="fr-FR"/>
        </w:rPr>
        <w:t>septembre</w:t>
      </w:r>
      <w:r w:rsidR="00307AA0" w:rsidRPr="002F01B6">
        <w:rPr>
          <w:lang w:val="fr-FR"/>
        </w:rPr>
        <w:t> </w:t>
      </w:r>
      <w:r w:rsidR="00BF69ED" w:rsidRPr="002F01B6">
        <w:rPr>
          <w:lang w:val="fr-FR"/>
        </w:rPr>
        <w:t>2014.</w:t>
      </w:r>
    </w:p>
    <w:p w:rsidR="00AE0DD4" w:rsidRPr="002F01B6" w:rsidRDefault="00AE0DD4" w:rsidP="00C651CE">
      <w:pPr>
        <w:rPr>
          <w:lang w:val="fr-FR"/>
        </w:rPr>
      </w:pPr>
    </w:p>
    <w:p w:rsidR="00AE0DD4" w:rsidRPr="002F01B6" w:rsidRDefault="00AE0DD4" w:rsidP="00C651CE">
      <w:pPr>
        <w:rPr>
          <w:lang w:val="fr-FR"/>
        </w:rPr>
      </w:pPr>
    </w:p>
    <w:p w:rsidR="000D279C" w:rsidRPr="002F01B6" w:rsidRDefault="000D279C">
      <w:pPr>
        <w:jc w:val="left"/>
        <w:rPr>
          <w:szCs w:val="24"/>
          <w:u w:val="single"/>
          <w:lang w:val="fr-FR"/>
        </w:rPr>
      </w:pPr>
      <w:r w:rsidRPr="002F01B6">
        <w:rPr>
          <w:szCs w:val="24"/>
          <w:u w:val="single"/>
          <w:lang w:val="fr-FR"/>
        </w:rPr>
        <w:br w:type="page"/>
      </w:r>
    </w:p>
    <w:p w:rsidR="00AE0DD4" w:rsidRPr="002F01B6" w:rsidRDefault="00BF69ED" w:rsidP="00BF69ED">
      <w:pPr>
        <w:rPr>
          <w:szCs w:val="24"/>
          <w:u w:val="single"/>
          <w:lang w:val="fr-FR"/>
        </w:rPr>
      </w:pPr>
      <w:r w:rsidRPr="002F01B6">
        <w:rPr>
          <w:szCs w:val="24"/>
          <w:u w:val="single"/>
          <w:lang w:val="fr-FR"/>
        </w:rPr>
        <w:lastRenderedPageBreak/>
        <w:t>Nomination du Directeur général de l</w:t>
      </w:r>
      <w:r w:rsidR="000D279C" w:rsidRPr="002F01B6">
        <w:rPr>
          <w:szCs w:val="24"/>
          <w:u w:val="single"/>
          <w:lang w:val="fr-FR"/>
        </w:rPr>
        <w:t>’</w:t>
      </w:r>
      <w:r w:rsidRPr="002F01B6">
        <w:rPr>
          <w:szCs w:val="24"/>
          <w:u w:val="single"/>
          <w:lang w:val="fr-FR"/>
        </w:rPr>
        <w:t>OMPI</w:t>
      </w:r>
    </w:p>
    <w:p w:rsidR="00AE0DD4" w:rsidRPr="002F01B6" w:rsidRDefault="00AE0DD4" w:rsidP="00A34AB6">
      <w:pPr>
        <w:rPr>
          <w:szCs w:val="24"/>
          <w:u w:val="single"/>
          <w:lang w:val="fr-FR"/>
        </w:rPr>
      </w:pPr>
    </w:p>
    <w:p w:rsidR="00AE0DD4" w:rsidRPr="002F01B6" w:rsidRDefault="00A34AB6" w:rsidP="00BF69ED">
      <w:pPr>
        <w:pStyle w:val="Closing"/>
        <w:tabs>
          <w:tab w:val="left" w:pos="0"/>
        </w:tabs>
        <w:ind w:left="0"/>
        <w:jc w:val="both"/>
        <w:rPr>
          <w:szCs w:val="24"/>
          <w:u w:val="single"/>
          <w:lang w:val="fr-FR"/>
        </w:rPr>
      </w:pPr>
      <w:r w:rsidRPr="002F01B6">
        <w:rPr>
          <w:szCs w:val="24"/>
          <w:lang w:val="fr-FR"/>
        </w:rPr>
        <w:fldChar w:fldCharType="begin"/>
      </w:r>
      <w:r w:rsidRPr="002F01B6">
        <w:rPr>
          <w:szCs w:val="24"/>
          <w:lang w:val="fr-FR"/>
        </w:rPr>
        <w:instrText xml:space="preserve"> AUTONUM  </w:instrText>
      </w:r>
      <w:r w:rsidRPr="002F01B6">
        <w:rPr>
          <w:szCs w:val="24"/>
          <w:lang w:val="fr-FR"/>
        </w:rPr>
        <w:fldChar w:fldCharType="end"/>
      </w:r>
      <w:r w:rsidRPr="002F01B6">
        <w:rPr>
          <w:szCs w:val="24"/>
          <w:lang w:val="fr-FR"/>
        </w:rPr>
        <w:tab/>
      </w:r>
      <w:r w:rsidR="00BF69ED" w:rsidRPr="002F01B6">
        <w:rPr>
          <w:szCs w:val="24"/>
          <w:lang w:val="fr-FR"/>
        </w:rPr>
        <w:t>L</w:t>
      </w:r>
      <w:r w:rsidR="000D279C" w:rsidRPr="002F01B6">
        <w:rPr>
          <w:szCs w:val="24"/>
          <w:lang w:val="fr-FR"/>
        </w:rPr>
        <w:t>’</w:t>
      </w:r>
      <w:r w:rsidR="00BF69ED" w:rsidRPr="002F01B6">
        <w:rPr>
          <w:szCs w:val="24"/>
          <w:lang w:val="fr-FR"/>
        </w:rPr>
        <w:t>Assemblée générale de l</w:t>
      </w:r>
      <w:r w:rsidR="000D279C" w:rsidRPr="002F01B6">
        <w:rPr>
          <w:szCs w:val="24"/>
          <w:lang w:val="fr-FR"/>
        </w:rPr>
        <w:t>’</w:t>
      </w:r>
      <w:r w:rsidR="00BF69ED" w:rsidRPr="002F01B6">
        <w:rPr>
          <w:szCs w:val="24"/>
          <w:lang w:val="fr-FR"/>
        </w:rPr>
        <w:t>OMPI, à sa quarante</w:t>
      </w:r>
      <w:r w:rsidR="00B21A09" w:rsidRPr="002F01B6">
        <w:rPr>
          <w:szCs w:val="24"/>
          <w:lang w:val="fr-FR"/>
        </w:rPr>
        <w:noBreakHyphen/>
      </w:r>
      <w:r w:rsidR="00BF69ED" w:rsidRPr="002F01B6">
        <w:rPr>
          <w:szCs w:val="24"/>
          <w:lang w:val="fr-FR"/>
        </w:rPr>
        <w:t>cinquième</w:t>
      </w:r>
      <w:r w:rsidR="00BF69ED" w:rsidRPr="002F01B6">
        <w:rPr>
          <w:lang w:val="fr-FR"/>
        </w:rPr>
        <w:t> session</w:t>
      </w:r>
      <w:r w:rsidR="00BF69ED" w:rsidRPr="002F01B6">
        <w:rPr>
          <w:szCs w:val="24"/>
          <w:lang w:val="fr-FR"/>
        </w:rPr>
        <w:t xml:space="preserve"> (24</w:t>
      </w:r>
      <w:r w:rsidR="00BF69ED" w:rsidRPr="002F01B6">
        <w:rPr>
          <w:szCs w:val="24"/>
          <w:vertAlign w:val="superscript"/>
          <w:lang w:val="fr-FR"/>
        </w:rPr>
        <w:t>e</w:t>
      </w:r>
      <w:r w:rsidR="00BF69ED" w:rsidRPr="002F01B6">
        <w:rPr>
          <w:szCs w:val="24"/>
          <w:lang w:val="fr-FR"/>
        </w:rPr>
        <w:t> session extraordinaire), tenue à Genève les 8</w:t>
      </w:r>
      <w:r w:rsidR="00307AA0" w:rsidRPr="002F01B6">
        <w:rPr>
          <w:szCs w:val="24"/>
          <w:lang w:val="fr-FR"/>
        </w:rPr>
        <w:t> </w:t>
      </w:r>
      <w:r w:rsidR="00BF69ED" w:rsidRPr="002F01B6">
        <w:rPr>
          <w:szCs w:val="24"/>
          <w:lang w:val="fr-FR"/>
        </w:rPr>
        <w:t>et 9</w:t>
      </w:r>
      <w:r w:rsidR="00307AA0" w:rsidRPr="002F01B6">
        <w:rPr>
          <w:szCs w:val="24"/>
          <w:lang w:val="fr-FR"/>
        </w:rPr>
        <w:t> </w:t>
      </w:r>
      <w:r w:rsidR="00BF69ED" w:rsidRPr="002F01B6">
        <w:rPr>
          <w:szCs w:val="24"/>
          <w:lang w:val="fr-FR"/>
        </w:rPr>
        <w:t>mai 2014, a nommé M. Francis </w:t>
      </w:r>
      <w:proofErr w:type="spellStart"/>
      <w:r w:rsidR="00BF69ED" w:rsidRPr="002F01B6">
        <w:rPr>
          <w:szCs w:val="24"/>
          <w:lang w:val="fr-FR"/>
        </w:rPr>
        <w:t>Gurry</w:t>
      </w:r>
      <w:proofErr w:type="spellEnd"/>
      <w:r w:rsidR="00BF69ED" w:rsidRPr="002F01B6">
        <w:rPr>
          <w:szCs w:val="24"/>
          <w:lang w:val="fr-FR"/>
        </w:rPr>
        <w:t xml:space="preserve"> Directeur général de l</w:t>
      </w:r>
      <w:r w:rsidR="000D279C" w:rsidRPr="002F01B6">
        <w:rPr>
          <w:szCs w:val="24"/>
          <w:lang w:val="fr-FR"/>
        </w:rPr>
        <w:t>’</w:t>
      </w:r>
      <w:r w:rsidR="00BF69ED" w:rsidRPr="002F01B6">
        <w:rPr>
          <w:szCs w:val="24"/>
          <w:lang w:val="fr-FR"/>
        </w:rPr>
        <w:t>OMPI pour la période allant du 1</w:t>
      </w:r>
      <w:r w:rsidR="00BF69ED" w:rsidRPr="002F01B6">
        <w:rPr>
          <w:szCs w:val="24"/>
          <w:vertAlign w:val="superscript"/>
          <w:lang w:val="fr-FR"/>
        </w:rPr>
        <w:t>er</w:t>
      </w:r>
      <w:r w:rsidR="00BF69ED" w:rsidRPr="002F01B6">
        <w:rPr>
          <w:szCs w:val="24"/>
          <w:lang w:val="fr-FR"/>
        </w:rPr>
        <w:t> octobre 2014 au 30 septembre 2020.</w:t>
      </w:r>
    </w:p>
    <w:p w:rsidR="00AE0DD4" w:rsidRPr="002F01B6" w:rsidRDefault="00AE0DD4" w:rsidP="00A34AB6">
      <w:pPr>
        <w:rPr>
          <w:szCs w:val="24"/>
          <w:u w:val="single"/>
          <w:lang w:val="fr-FR"/>
        </w:rPr>
      </w:pPr>
    </w:p>
    <w:p w:rsidR="00AE0DD4" w:rsidRPr="002F01B6" w:rsidRDefault="00A34AB6" w:rsidP="00307AA0">
      <w:pPr>
        <w:tabs>
          <w:tab w:val="left" w:pos="0"/>
        </w:tabs>
        <w:spacing w:after="120"/>
        <w:ind w:right="-1"/>
        <w:rPr>
          <w:szCs w:val="24"/>
          <w:lang w:val="fr-FR"/>
        </w:rPr>
      </w:pPr>
      <w:r w:rsidRPr="002F01B6">
        <w:rPr>
          <w:szCs w:val="24"/>
          <w:lang w:val="fr-FR"/>
        </w:rPr>
        <w:fldChar w:fldCharType="begin"/>
      </w:r>
      <w:r w:rsidRPr="002F01B6">
        <w:rPr>
          <w:szCs w:val="24"/>
          <w:lang w:val="fr-FR"/>
        </w:rPr>
        <w:instrText xml:space="preserve"> AUTONUM  </w:instrText>
      </w:r>
      <w:r w:rsidRPr="002F01B6">
        <w:rPr>
          <w:szCs w:val="24"/>
          <w:lang w:val="fr-FR"/>
        </w:rPr>
        <w:fldChar w:fldCharType="end"/>
      </w:r>
      <w:r w:rsidRPr="002F01B6">
        <w:rPr>
          <w:szCs w:val="24"/>
          <w:lang w:val="fr-FR"/>
        </w:rPr>
        <w:tab/>
      </w:r>
      <w:r w:rsidR="00BF69ED" w:rsidRPr="002F01B6">
        <w:rPr>
          <w:szCs w:val="24"/>
          <w:lang w:val="fr-FR"/>
        </w:rPr>
        <w:t>Conformément à l</w:t>
      </w:r>
      <w:r w:rsidR="000D279C" w:rsidRPr="002F01B6">
        <w:rPr>
          <w:szCs w:val="24"/>
          <w:lang w:val="fr-FR"/>
        </w:rPr>
        <w:t>’</w:t>
      </w:r>
      <w:r w:rsidR="00BF69ED" w:rsidRPr="002F01B6">
        <w:rPr>
          <w:szCs w:val="24"/>
          <w:lang w:val="fr-FR"/>
        </w:rPr>
        <w:t>article</w:t>
      </w:r>
      <w:r w:rsidR="00307AA0" w:rsidRPr="002F01B6">
        <w:rPr>
          <w:szCs w:val="24"/>
          <w:lang w:val="fr-FR"/>
        </w:rPr>
        <w:t> </w:t>
      </w:r>
      <w:r w:rsidR="00BF69ED" w:rsidRPr="002F01B6">
        <w:rPr>
          <w:szCs w:val="24"/>
          <w:lang w:val="fr-FR"/>
        </w:rPr>
        <w:t>4.3) de l</w:t>
      </w:r>
      <w:r w:rsidR="000D279C" w:rsidRPr="002F01B6">
        <w:rPr>
          <w:szCs w:val="24"/>
          <w:lang w:val="fr-FR"/>
        </w:rPr>
        <w:t>’</w:t>
      </w:r>
      <w:r w:rsidR="00BF69ED" w:rsidRPr="002F01B6">
        <w:rPr>
          <w:szCs w:val="24"/>
          <w:lang w:val="fr-FR"/>
        </w:rPr>
        <w:t>Accord OMPI/UPOV, M.</w:t>
      </w:r>
      <w:r w:rsidR="00307AA0" w:rsidRPr="002F01B6">
        <w:rPr>
          <w:szCs w:val="24"/>
          <w:lang w:val="fr-FR"/>
        </w:rPr>
        <w:t> </w:t>
      </w:r>
      <w:proofErr w:type="spellStart"/>
      <w:r w:rsidR="00BF69ED" w:rsidRPr="002F01B6">
        <w:rPr>
          <w:szCs w:val="24"/>
          <w:lang w:val="fr-FR"/>
        </w:rPr>
        <w:t>Gurry</w:t>
      </w:r>
      <w:proofErr w:type="spellEnd"/>
      <w:r w:rsidR="00BF69ED" w:rsidRPr="002F01B6">
        <w:rPr>
          <w:szCs w:val="24"/>
          <w:lang w:val="fr-FR"/>
        </w:rPr>
        <w:t xml:space="preserve"> est Secrétaire général par intérim de l</w:t>
      </w:r>
      <w:r w:rsidR="000D279C" w:rsidRPr="002F01B6">
        <w:rPr>
          <w:szCs w:val="24"/>
          <w:lang w:val="fr-FR"/>
        </w:rPr>
        <w:t>’</w:t>
      </w:r>
      <w:r w:rsidR="00BF69ED" w:rsidRPr="002F01B6">
        <w:rPr>
          <w:szCs w:val="24"/>
          <w:lang w:val="fr-FR"/>
        </w:rPr>
        <w:t>UPOV à partir du 1</w:t>
      </w:r>
      <w:r w:rsidR="00BF69ED" w:rsidRPr="002F01B6">
        <w:rPr>
          <w:szCs w:val="24"/>
          <w:vertAlign w:val="superscript"/>
          <w:lang w:val="fr-FR"/>
        </w:rPr>
        <w:t>er</w:t>
      </w:r>
      <w:r w:rsidR="00307AA0" w:rsidRPr="002F01B6">
        <w:rPr>
          <w:szCs w:val="24"/>
          <w:lang w:val="fr-FR"/>
        </w:rPr>
        <w:t> </w:t>
      </w:r>
      <w:r w:rsidR="00BF69ED" w:rsidRPr="002F01B6">
        <w:rPr>
          <w:szCs w:val="24"/>
          <w:lang w:val="fr-FR"/>
        </w:rPr>
        <w:t>octobre</w:t>
      </w:r>
      <w:r w:rsidR="00307AA0" w:rsidRPr="002F01B6">
        <w:rPr>
          <w:szCs w:val="24"/>
          <w:lang w:val="fr-FR"/>
        </w:rPr>
        <w:t> </w:t>
      </w:r>
      <w:r w:rsidR="00BF69ED" w:rsidRPr="002F01B6">
        <w:rPr>
          <w:szCs w:val="24"/>
          <w:lang w:val="fr-FR"/>
        </w:rPr>
        <w:t>2014.</w:t>
      </w:r>
    </w:p>
    <w:p w:rsidR="00AE0DD4" w:rsidRPr="002F01B6" w:rsidRDefault="00AE0DD4" w:rsidP="00A34AB6">
      <w:pPr>
        <w:rPr>
          <w:szCs w:val="24"/>
          <w:lang w:val="fr-FR"/>
        </w:rPr>
      </w:pPr>
    </w:p>
    <w:p w:rsidR="00AE0DD4" w:rsidRPr="002F01B6" w:rsidRDefault="00812707" w:rsidP="00812707">
      <w:pPr>
        <w:rPr>
          <w:szCs w:val="24"/>
          <w:u w:val="single"/>
          <w:lang w:val="fr-FR"/>
        </w:rPr>
      </w:pPr>
      <w:r w:rsidRPr="002F01B6">
        <w:rPr>
          <w:szCs w:val="24"/>
          <w:u w:val="single"/>
          <w:lang w:val="fr-FR"/>
        </w:rPr>
        <w:t>Nomination du Secrétaire général de l</w:t>
      </w:r>
      <w:r w:rsidR="000D279C" w:rsidRPr="002F01B6">
        <w:rPr>
          <w:szCs w:val="24"/>
          <w:u w:val="single"/>
          <w:lang w:val="fr-FR"/>
        </w:rPr>
        <w:t>’</w:t>
      </w:r>
      <w:r w:rsidRPr="002F01B6">
        <w:rPr>
          <w:szCs w:val="24"/>
          <w:u w:val="single"/>
          <w:lang w:val="fr-FR"/>
        </w:rPr>
        <w:t>UPOV</w:t>
      </w:r>
    </w:p>
    <w:p w:rsidR="00AE0DD4" w:rsidRPr="002F01B6" w:rsidRDefault="00AE0DD4" w:rsidP="00A34AB6">
      <w:pPr>
        <w:rPr>
          <w:szCs w:val="24"/>
          <w:u w:val="single"/>
          <w:lang w:val="fr-FR"/>
        </w:rPr>
      </w:pPr>
    </w:p>
    <w:p w:rsidR="00AE0DD4" w:rsidRPr="002F01B6" w:rsidRDefault="00A34AB6" w:rsidP="00A34AB6">
      <w:pPr>
        <w:pStyle w:val="Closing"/>
        <w:tabs>
          <w:tab w:val="left" w:pos="0"/>
        </w:tabs>
        <w:ind w:left="0"/>
        <w:jc w:val="both"/>
        <w:rPr>
          <w:lang w:val="fr-FR"/>
        </w:rPr>
      </w:pPr>
      <w:r w:rsidRPr="002F01B6">
        <w:rPr>
          <w:lang w:val="fr-FR"/>
        </w:rPr>
        <w:fldChar w:fldCharType="begin"/>
      </w:r>
      <w:r w:rsidRPr="002F01B6">
        <w:rPr>
          <w:lang w:val="fr-FR"/>
        </w:rPr>
        <w:instrText xml:space="preserve"> AUTONUM  </w:instrText>
      </w:r>
      <w:r w:rsidRPr="002F01B6">
        <w:rPr>
          <w:lang w:val="fr-FR"/>
        </w:rPr>
        <w:fldChar w:fldCharType="end"/>
      </w:r>
      <w:r w:rsidRPr="002F01B6">
        <w:rPr>
          <w:lang w:val="fr-FR"/>
        </w:rPr>
        <w:tab/>
      </w:r>
      <w:r w:rsidR="00812707" w:rsidRPr="002F01B6">
        <w:rPr>
          <w:lang w:val="fr-FR"/>
        </w:rPr>
        <w:t xml:space="preserve">Conformément aux dispositions pertinentes de la </w:t>
      </w:r>
      <w:r w:rsidR="000D279C" w:rsidRPr="002F01B6">
        <w:rPr>
          <w:lang w:val="fr-FR"/>
        </w:rPr>
        <w:t>Convention UPOV</w:t>
      </w:r>
      <w:r w:rsidR="00812707" w:rsidRPr="002F01B6">
        <w:rPr>
          <w:lang w:val="fr-FR"/>
        </w:rPr>
        <w:t xml:space="preserve"> (article 26.5</w:t>
      </w:r>
      <w:proofErr w:type="gramStart"/>
      <w:r w:rsidR="00812707" w:rsidRPr="002F01B6">
        <w:rPr>
          <w:lang w:val="fr-FR"/>
        </w:rPr>
        <w:t>)iii</w:t>
      </w:r>
      <w:proofErr w:type="gramEnd"/>
      <w:r w:rsidR="00812707" w:rsidRPr="002F01B6">
        <w:rPr>
          <w:lang w:val="fr-FR"/>
        </w:rPr>
        <w:t>) de l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Acte de</w:t>
      </w:r>
      <w:r w:rsidR="00307AA0" w:rsidRPr="002F01B6">
        <w:rPr>
          <w:lang w:val="fr-FR"/>
        </w:rPr>
        <w:t> </w:t>
      </w:r>
      <w:r w:rsidR="00812707" w:rsidRPr="002F01B6">
        <w:rPr>
          <w:lang w:val="fr-FR"/>
        </w:rPr>
        <w:t>1991 et article 21.b) de l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Acte de</w:t>
      </w:r>
      <w:r w:rsidR="00307AA0" w:rsidRPr="002F01B6">
        <w:rPr>
          <w:lang w:val="fr-FR"/>
        </w:rPr>
        <w:t> </w:t>
      </w:r>
      <w:r w:rsidR="00812707" w:rsidRPr="002F01B6">
        <w:rPr>
          <w:lang w:val="fr-FR"/>
        </w:rPr>
        <w:t>1978) et de l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Accord OMPI/UPOV (voir les paragraphes 1 et</w:t>
      </w:r>
      <w:r w:rsidR="00307AA0" w:rsidRPr="002F01B6">
        <w:rPr>
          <w:lang w:val="fr-FR"/>
        </w:rPr>
        <w:t> </w:t>
      </w:r>
      <w:r w:rsidR="00812707" w:rsidRPr="002F01B6">
        <w:rPr>
          <w:lang w:val="fr-FR"/>
        </w:rPr>
        <w:t>2 ci</w:t>
      </w:r>
      <w:r w:rsidR="00B21A09" w:rsidRPr="002F01B6">
        <w:rPr>
          <w:lang w:val="fr-FR"/>
        </w:rPr>
        <w:noBreakHyphen/>
      </w:r>
      <w:r w:rsidR="00812707" w:rsidRPr="002F01B6">
        <w:rPr>
          <w:lang w:val="fr-FR"/>
        </w:rPr>
        <w:t>dessus), le Conseil est invité à nommer M. </w:t>
      </w:r>
      <w:proofErr w:type="spellStart"/>
      <w:r w:rsidR="00812707" w:rsidRPr="002F01B6">
        <w:rPr>
          <w:lang w:val="fr-FR"/>
        </w:rPr>
        <w:t>Gurry</w:t>
      </w:r>
      <w:proofErr w:type="spellEnd"/>
      <w:r w:rsidR="00812707" w:rsidRPr="002F01B6">
        <w:rPr>
          <w:lang w:val="fr-FR"/>
        </w:rPr>
        <w:t xml:space="preserve"> Secrétaire général de l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UPOV pour la période allant du 16 octobre 2014 au 30 septembre 2020.</w:t>
      </w:r>
      <w:r w:rsidRPr="002F01B6">
        <w:rPr>
          <w:lang w:val="fr-FR"/>
        </w:rPr>
        <w:t xml:space="preserve">  </w:t>
      </w:r>
      <w:r w:rsidR="00812707" w:rsidRPr="002F01B6">
        <w:rPr>
          <w:lang w:val="fr-FR"/>
        </w:rPr>
        <w:t>L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annexe du présent document contient le curriculum vitae de M. </w:t>
      </w:r>
      <w:proofErr w:type="spellStart"/>
      <w:r w:rsidR="00812707" w:rsidRPr="002F01B6">
        <w:rPr>
          <w:lang w:val="fr-FR"/>
        </w:rPr>
        <w:t>Gurry</w:t>
      </w:r>
      <w:proofErr w:type="spellEnd"/>
      <w:r w:rsidR="00812707" w:rsidRPr="002F01B6">
        <w:rPr>
          <w:lang w:val="fr-FR"/>
        </w:rPr>
        <w:t>.</w:t>
      </w:r>
    </w:p>
    <w:p w:rsidR="00AE0DD4" w:rsidRPr="002F01B6" w:rsidRDefault="00AE0DD4" w:rsidP="00A34AB6">
      <w:pPr>
        <w:pStyle w:val="Closing"/>
        <w:tabs>
          <w:tab w:val="left" w:pos="0"/>
        </w:tabs>
        <w:ind w:left="0"/>
        <w:jc w:val="both"/>
        <w:rPr>
          <w:lang w:val="fr-FR"/>
        </w:rPr>
      </w:pPr>
    </w:p>
    <w:p w:rsidR="00AE0DD4" w:rsidRPr="002F01B6" w:rsidRDefault="00A34AB6" w:rsidP="00A34AB6">
      <w:pPr>
        <w:pStyle w:val="Closing"/>
        <w:tabs>
          <w:tab w:val="left" w:pos="0"/>
        </w:tabs>
        <w:ind w:left="0"/>
        <w:jc w:val="both"/>
        <w:rPr>
          <w:lang w:val="fr-FR"/>
        </w:rPr>
      </w:pPr>
      <w:r w:rsidRPr="002F01B6">
        <w:rPr>
          <w:lang w:val="fr-FR"/>
        </w:rPr>
        <w:fldChar w:fldCharType="begin"/>
      </w:r>
      <w:r w:rsidRPr="002F01B6">
        <w:rPr>
          <w:lang w:val="fr-FR"/>
        </w:rPr>
        <w:instrText xml:space="preserve"> AUTONUM  </w:instrText>
      </w:r>
      <w:r w:rsidRPr="002F01B6">
        <w:rPr>
          <w:lang w:val="fr-FR"/>
        </w:rPr>
        <w:fldChar w:fldCharType="end"/>
      </w:r>
      <w:r w:rsidRPr="002F01B6">
        <w:rPr>
          <w:lang w:val="fr-FR"/>
        </w:rPr>
        <w:tab/>
      </w:r>
      <w:r w:rsidR="00812707" w:rsidRPr="002F01B6">
        <w:rPr>
          <w:lang w:val="fr-FR"/>
        </w:rPr>
        <w:t>En outre, l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article 4.5) de l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Accord OMPI/UPOV prévoit que “[l]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indemnité que l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UPOV verse au Secrétaire général de l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UPOV est fixée par le Conseil de l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UPOV”.</w:t>
      </w:r>
    </w:p>
    <w:p w:rsidR="00AE0DD4" w:rsidRPr="002F01B6" w:rsidRDefault="00AE0DD4" w:rsidP="00A34AB6">
      <w:pPr>
        <w:pStyle w:val="Closing"/>
        <w:tabs>
          <w:tab w:val="left" w:pos="0"/>
        </w:tabs>
        <w:ind w:left="0"/>
        <w:jc w:val="both"/>
        <w:rPr>
          <w:lang w:val="fr-FR"/>
        </w:rPr>
      </w:pPr>
    </w:p>
    <w:p w:rsidR="00AE0DD4" w:rsidRPr="002F01B6" w:rsidRDefault="00A34AB6" w:rsidP="00812707">
      <w:pPr>
        <w:pStyle w:val="Closing"/>
        <w:tabs>
          <w:tab w:val="left" w:pos="0"/>
        </w:tabs>
        <w:ind w:left="0"/>
        <w:jc w:val="both"/>
        <w:rPr>
          <w:lang w:val="fr-FR"/>
        </w:rPr>
      </w:pPr>
      <w:r w:rsidRPr="002F01B6">
        <w:rPr>
          <w:lang w:val="fr-FR"/>
        </w:rPr>
        <w:fldChar w:fldCharType="begin"/>
      </w:r>
      <w:r w:rsidRPr="002F01B6">
        <w:rPr>
          <w:lang w:val="fr-FR"/>
        </w:rPr>
        <w:instrText xml:space="preserve"> AUTONUM  </w:instrText>
      </w:r>
      <w:r w:rsidRPr="002F01B6">
        <w:rPr>
          <w:lang w:val="fr-FR"/>
        </w:rPr>
        <w:fldChar w:fldCharType="end"/>
      </w:r>
      <w:r w:rsidRPr="002F01B6">
        <w:rPr>
          <w:lang w:val="fr-FR"/>
        </w:rPr>
        <w:tab/>
      </w:r>
      <w:r w:rsidR="00812707" w:rsidRPr="002F01B6">
        <w:rPr>
          <w:lang w:val="fr-FR"/>
        </w:rPr>
        <w:t>Conformément aux décisions du Conseil de l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UPOV, l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indemnité versée au Secrétaire général de l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Union correspond à 20% du traitement, indemnité de poste comprise, que celui</w:t>
      </w:r>
      <w:r w:rsidR="00B21A09" w:rsidRPr="002F01B6">
        <w:rPr>
          <w:lang w:val="fr-FR"/>
        </w:rPr>
        <w:noBreakHyphen/>
      </w:r>
      <w:r w:rsidR="00812707" w:rsidRPr="002F01B6">
        <w:rPr>
          <w:lang w:val="fr-FR"/>
        </w:rPr>
        <w:t>ci reçoit en sa qualité de Directeur général de l</w:t>
      </w:r>
      <w:r w:rsidR="000D279C" w:rsidRPr="002F01B6">
        <w:rPr>
          <w:lang w:val="fr-FR"/>
        </w:rPr>
        <w:t>’</w:t>
      </w:r>
      <w:r w:rsidR="00812707" w:rsidRPr="002F01B6">
        <w:rPr>
          <w:lang w:val="fr-FR"/>
        </w:rPr>
        <w:t>OMPI.</w:t>
      </w:r>
    </w:p>
    <w:p w:rsidR="00AE0DD4" w:rsidRPr="002F01B6" w:rsidRDefault="00AE0DD4" w:rsidP="00A34AB6">
      <w:pPr>
        <w:pStyle w:val="Closing"/>
        <w:tabs>
          <w:tab w:val="left" w:pos="0"/>
        </w:tabs>
        <w:ind w:left="0"/>
        <w:jc w:val="both"/>
        <w:rPr>
          <w:lang w:val="fr-FR"/>
        </w:rPr>
      </w:pPr>
    </w:p>
    <w:p w:rsidR="00AE0DD4" w:rsidRPr="002F01B6" w:rsidRDefault="00A34AB6" w:rsidP="00812707">
      <w:pPr>
        <w:pStyle w:val="Closing"/>
        <w:tabs>
          <w:tab w:val="left" w:pos="0"/>
        </w:tabs>
        <w:ind w:left="0"/>
        <w:jc w:val="both"/>
        <w:rPr>
          <w:szCs w:val="24"/>
          <w:lang w:val="fr-FR"/>
        </w:rPr>
      </w:pPr>
      <w:r w:rsidRPr="002F01B6">
        <w:rPr>
          <w:szCs w:val="24"/>
          <w:lang w:val="fr-FR"/>
        </w:rPr>
        <w:fldChar w:fldCharType="begin"/>
      </w:r>
      <w:r w:rsidRPr="002F01B6">
        <w:rPr>
          <w:szCs w:val="24"/>
          <w:lang w:val="fr-FR"/>
        </w:rPr>
        <w:instrText xml:space="preserve"> AUTONUM  </w:instrText>
      </w:r>
      <w:r w:rsidRPr="002F01B6">
        <w:rPr>
          <w:szCs w:val="24"/>
          <w:lang w:val="fr-FR"/>
        </w:rPr>
        <w:fldChar w:fldCharType="end"/>
      </w:r>
      <w:r w:rsidRPr="002F01B6">
        <w:rPr>
          <w:szCs w:val="24"/>
          <w:lang w:val="fr-FR"/>
        </w:rPr>
        <w:tab/>
      </w:r>
      <w:r w:rsidR="00812707" w:rsidRPr="002F01B6">
        <w:rPr>
          <w:lang w:val="fr-FR"/>
        </w:rPr>
        <w:t>M. </w:t>
      </w:r>
      <w:proofErr w:type="spellStart"/>
      <w:r w:rsidR="00812707" w:rsidRPr="002F01B6">
        <w:rPr>
          <w:szCs w:val="24"/>
          <w:lang w:val="fr-FR"/>
        </w:rPr>
        <w:t>Gurry</w:t>
      </w:r>
      <w:proofErr w:type="spellEnd"/>
      <w:r w:rsidR="00812707" w:rsidRPr="002F01B6">
        <w:rPr>
          <w:szCs w:val="24"/>
          <w:lang w:val="fr-FR"/>
        </w:rPr>
        <w:t xml:space="preserve"> a fait part de son souhait (paragraphe 7 du document de l</w:t>
      </w:r>
      <w:r w:rsidR="000D279C" w:rsidRPr="002F01B6">
        <w:rPr>
          <w:szCs w:val="24"/>
          <w:lang w:val="fr-FR"/>
        </w:rPr>
        <w:t>’</w:t>
      </w:r>
      <w:r w:rsidR="00812707" w:rsidRPr="002F01B6">
        <w:rPr>
          <w:szCs w:val="24"/>
          <w:lang w:val="fr-FR"/>
        </w:rPr>
        <w:t>OMPI WO/GA/45/3 “Rapport du groupe de travail sur les conditions de la nomination du Directeur général pour un nouveau mandat”) de ne pas percevoir d</w:t>
      </w:r>
      <w:r w:rsidR="000D279C" w:rsidRPr="002F01B6">
        <w:rPr>
          <w:szCs w:val="24"/>
          <w:lang w:val="fr-FR"/>
        </w:rPr>
        <w:t>’</w:t>
      </w:r>
      <w:r w:rsidR="00812707" w:rsidRPr="002F01B6">
        <w:rPr>
          <w:szCs w:val="24"/>
          <w:lang w:val="fr-FR"/>
        </w:rPr>
        <w:t>indemnité comme Secrétaire général de l</w:t>
      </w:r>
      <w:r w:rsidR="000D279C" w:rsidRPr="002F01B6">
        <w:rPr>
          <w:szCs w:val="24"/>
          <w:lang w:val="fr-FR"/>
        </w:rPr>
        <w:t>’</w:t>
      </w:r>
      <w:r w:rsidR="00812707" w:rsidRPr="002F01B6">
        <w:rPr>
          <w:szCs w:val="24"/>
          <w:lang w:val="fr-FR"/>
        </w:rPr>
        <w:t>UPOV, de sorte que les fonds correspondants soient affectés dans le programme et budget de l</w:t>
      </w:r>
      <w:r w:rsidR="000D279C" w:rsidRPr="002F01B6">
        <w:rPr>
          <w:szCs w:val="24"/>
          <w:lang w:val="fr-FR"/>
        </w:rPr>
        <w:t>’</w:t>
      </w:r>
      <w:r w:rsidR="00812707" w:rsidRPr="002F01B6">
        <w:rPr>
          <w:szCs w:val="24"/>
          <w:lang w:val="fr-FR"/>
        </w:rPr>
        <w:t>UPOV au financement d</w:t>
      </w:r>
      <w:r w:rsidR="000D279C" w:rsidRPr="002F01B6">
        <w:rPr>
          <w:szCs w:val="24"/>
          <w:lang w:val="fr-FR"/>
        </w:rPr>
        <w:t>’</w:t>
      </w:r>
      <w:r w:rsidR="00812707" w:rsidRPr="002F01B6">
        <w:rPr>
          <w:szCs w:val="24"/>
          <w:lang w:val="fr-FR"/>
        </w:rPr>
        <w:t>activités présentant un intérêt particulier pour les pays en développement.</w:t>
      </w:r>
    </w:p>
    <w:p w:rsidR="00AE0DD4" w:rsidRPr="002F01B6" w:rsidRDefault="00AE0DD4" w:rsidP="00A34AB6">
      <w:pPr>
        <w:pStyle w:val="Closing"/>
        <w:tabs>
          <w:tab w:val="left" w:pos="0"/>
        </w:tabs>
        <w:ind w:left="0"/>
        <w:jc w:val="both"/>
        <w:rPr>
          <w:szCs w:val="24"/>
          <w:lang w:val="fr-FR"/>
        </w:rPr>
      </w:pPr>
    </w:p>
    <w:p w:rsidR="00AE0DD4" w:rsidRPr="002F01B6" w:rsidRDefault="00AE0DD4" w:rsidP="00A34AB6">
      <w:pPr>
        <w:rPr>
          <w:lang w:val="fr-FR"/>
        </w:rPr>
      </w:pPr>
    </w:p>
    <w:p w:rsidR="00AE0DD4" w:rsidRPr="002F01B6" w:rsidRDefault="00AE0DD4" w:rsidP="00A34AB6">
      <w:pPr>
        <w:rPr>
          <w:lang w:val="fr-FR"/>
        </w:rPr>
      </w:pPr>
    </w:p>
    <w:p w:rsidR="00AE0DD4" w:rsidRPr="002F01B6" w:rsidRDefault="00A34AB6" w:rsidP="00812707">
      <w:pPr>
        <w:ind w:left="4536"/>
        <w:rPr>
          <w:i/>
          <w:lang w:val="fr-FR"/>
        </w:rPr>
      </w:pPr>
      <w:r w:rsidRPr="002F01B6">
        <w:rPr>
          <w:i/>
          <w:lang w:val="fr-FR"/>
        </w:rPr>
        <w:fldChar w:fldCharType="begin"/>
      </w:r>
      <w:r w:rsidRPr="002F01B6">
        <w:rPr>
          <w:i/>
          <w:lang w:val="fr-FR"/>
        </w:rPr>
        <w:instrText xml:space="preserve"> AUTONUM  </w:instrText>
      </w:r>
      <w:r w:rsidRPr="002F01B6">
        <w:rPr>
          <w:i/>
          <w:lang w:val="fr-FR"/>
        </w:rPr>
        <w:fldChar w:fldCharType="end"/>
      </w:r>
      <w:r w:rsidRPr="002F01B6">
        <w:rPr>
          <w:i/>
          <w:lang w:val="fr-FR"/>
        </w:rPr>
        <w:tab/>
      </w:r>
      <w:r w:rsidR="00812707" w:rsidRPr="002F01B6">
        <w:rPr>
          <w:i/>
          <w:lang w:val="fr-FR"/>
        </w:rPr>
        <w:t>Le Conseil est invité à nommer M. Francis </w:t>
      </w:r>
      <w:proofErr w:type="spellStart"/>
      <w:r w:rsidR="00812707" w:rsidRPr="002F01B6">
        <w:rPr>
          <w:i/>
          <w:lang w:val="fr-FR"/>
        </w:rPr>
        <w:t>Gurry</w:t>
      </w:r>
      <w:proofErr w:type="spellEnd"/>
      <w:r w:rsidR="00812707" w:rsidRPr="002F01B6">
        <w:rPr>
          <w:i/>
          <w:lang w:val="fr-FR"/>
        </w:rPr>
        <w:t xml:space="preserve"> Secrétaire général de l</w:t>
      </w:r>
      <w:r w:rsidR="000D279C" w:rsidRPr="002F01B6">
        <w:rPr>
          <w:i/>
          <w:lang w:val="fr-FR"/>
        </w:rPr>
        <w:t>’</w:t>
      </w:r>
      <w:r w:rsidR="00812707" w:rsidRPr="002F01B6">
        <w:rPr>
          <w:i/>
          <w:lang w:val="fr-FR"/>
        </w:rPr>
        <w:t>UPOV pour la période allant du 16 octobre 2014 au 30 septembre 2020.</w:t>
      </w:r>
    </w:p>
    <w:p w:rsidR="00AE0DD4" w:rsidRPr="002F01B6" w:rsidRDefault="00AE0DD4" w:rsidP="00A34AB6">
      <w:pPr>
        <w:ind w:left="4536"/>
        <w:rPr>
          <w:i/>
          <w:lang w:val="fr-FR"/>
        </w:rPr>
      </w:pPr>
    </w:p>
    <w:p w:rsidR="00AE0DD4" w:rsidRPr="002F01B6" w:rsidRDefault="00AE0DD4" w:rsidP="000A68B4">
      <w:pPr>
        <w:rPr>
          <w:lang w:val="fr-FR"/>
        </w:rPr>
      </w:pPr>
    </w:p>
    <w:p w:rsidR="00AE0DD4" w:rsidRPr="002F01B6" w:rsidRDefault="00AE0DD4" w:rsidP="000A68B4">
      <w:pPr>
        <w:rPr>
          <w:lang w:val="fr-FR"/>
        </w:rPr>
      </w:pPr>
    </w:p>
    <w:p w:rsidR="00AE0DD4" w:rsidRPr="002F01B6" w:rsidRDefault="00AE0DD4" w:rsidP="000A68B4">
      <w:pPr>
        <w:rPr>
          <w:lang w:val="fr-FR"/>
        </w:rPr>
      </w:pPr>
    </w:p>
    <w:p w:rsidR="00AE0DD4" w:rsidRPr="002F01B6" w:rsidRDefault="00AE0DD4" w:rsidP="005F05B6">
      <w:pPr>
        <w:jc w:val="right"/>
        <w:rPr>
          <w:lang w:val="fr-FR"/>
        </w:rPr>
      </w:pPr>
    </w:p>
    <w:p w:rsidR="00AE0DD4" w:rsidRPr="002F01B6" w:rsidRDefault="00AE0DD4" w:rsidP="005F05B6">
      <w:pPr>
        <w:jc w:val="right"/>
        <w:rPr>
          <w:lang w:val="fr-FR"/>
        </w:rPr>
      </w:pPr>
    </w:p>
    <w:p w:rsidR="00AE0DD4" w:rsidRPr="002F01B6" w:rsidRDefault="00307AA0" w:rsidP="00307AA0">
      <w:pPr>
        <w:jc w:val="right"/>
        <w:rPr>
          <w:lang w:val="fr-FR"/>
        </w:rPr>
      </w:pPr>
      <w:r w:rsidRPr="002F01B6">
        <w:rPr>
          <w:lang w:val="fr-FR"/>
        </w:rPr>
        <w:t>[L</w:t>
      </w:r>
      <w:r w:rsidR="000D279C" w:rsidRPr="002F01B6">
        <w:rPr>
          <w:lang w:val="fr-FR"/>
        </w:rPr>
        <w:t>’</w:t>
      </w:r>
      <w:r w:rsidRPr="002F01B6">
        <w:rPr>
          <w:lang w:val="fr-FR"/>
        </w:rPr>
        <w:t>annexe suit]</w:t>
      </w:r>
    </w:p>
    <w:p w:rsidR="00AE0DD4" w:rsidRPr="002F01B6" w:rsidRDefault="00AE0DD4" w:rsidP="005F05B6">
      <w:pPr>
        <w:jc w:val="right"/>
        <w:rPr>
          <w:lang w:val="fr-FR"/>
        </w:rPr>
      </w:pPr>
    </w:p>
    <w:p w:rsidR="00AE0DD4" w:rsidRPr="002F01B6" w:rsidRDefault="00AE0DD4" w:rsidP="007B779D">
      <w:pPr>
        <w:rPr>
          <w:lang w:val="fr-FR"/>
        </w:rPr>
      </w:pPr>
    </w:p>
    <w:p w:rsidR="00AE0DD4" w:rsidRPr="002F01B6" w:rsidRDefault="00AE0DD4" w:rsidP="007B779D">
      <w:pPr>
        <w:rPr>
          <w:lang w:val="fr-FR"/>
        </w:rPr>
      </w:pPr>
    </w:p>
    <w:p w:rsidR="007B779D" w:rsidRPr="002F01B6" w:rsidRDefault="007B779D" w:rsidP="007B779D">
      <w:pPr>
        <w:rPr>
          <w:lang w:val="fr-FR"/>
        </w:rPr>
        <w:sectPr w:rsidR="007B779D" w:rsidRPr="002F01B6" w:rsidSect="00906DDC">
          <w:headerReference w:type="default" r:id="rId10"/>
          <w:footerReference w:type="firs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E0DD4" w:rsidRPr="002F01B6" w:rsidRDefault="00DD5215" w:rsidP="00433FF3">
      <w:pPr>
        <w:jc w:val="center"/>
        <w:rPr>
          <w:rFonts w:cs="Arial"/>
          <w:b/>
          <w:lang w:val="fr-FR"/>
        </w:rPr>
      </w:pPr>
      <w:r w:rsidRPr="002F01B6">
        <w:rPr>
          <w:rFonts w:cs="Arial"/>
          <w:b/>
          <w:lang w:val="fr-FR"/>
        </w:rPr>
        <w:lastRenderedPageBreak/>
        <w:t>Curriculum vitae de M. </w:t>
      </w:r>
      <w:r w:rsidR="00433FF3" w:rsidRPr="002F01B6">
        <w:rPr>
          <w:rFonts w:cs="Arial"/>
          <w:b/>
          <w:lang w:val="fr-FR"/>
        </w:rPr>
        <w:t>Francis</w:t>
      </w:r>
      <w:r w:rsidRPr="002F01B6">
        <w:rPr>
          <w:rFonts w:cs="Arial"/>
          <w:b/>
          <w:lang w:val="fr-FR"/>
        </w:rPr>
        <w:t> </w:t>
      </w:r>
      <w:proofErr w:type="spellStart"/>
      <w:r w:rsidR="00433FF3" w:rsidRPr="002F01B6">
        <w:rPr>
          <w:rFonts w:cs="Arial"/>
          <w:b/>
          <w:lang w:val="fr-FR"/>
        </w:rPr>
        <w:t>Gurry</w:t>
      </w:r>
      <w:proofErr w:type="spellEnd"/>
    </w:p>
    <w:p w:rsidR="00AE0DD4" w:rsidRPr="002F01B6" w:rsidRDefault="00AE0DD4" w:rsidP="00433FF3">
      <w:pPr>
        <w:jc w:val="center"/>
        <w:rPr>
          <w:rFonts w:cs="Arial"/>
          <w:b/>
          <w:lang w:val="fr-FR"/>
        </w:rPr>
      </w:pPr>
    </w:p>
    <w:p w:rsidR="00AE0DD4" w:rsidRPr="002F01B6" w:rsidRDefault="00AE0DD4" w:rsidP="00433FF3">
      <w:pPr>
        <w:jc w:val="center"/>
        <w:rPr>
          <w:rFonts w:cs="Arial"/>
          <w:b/>
          <w:lang w:val="fr-FR"/>
        </w:rPr>
      </w:pPr>
    </w:p>
    <w:p w:rsidR="00AE0DD4" w:rsidRPr="002F01B6" w:rsidRDefault="00AE0DD4" w:rsidP="00433FF3">
      <w:pPr>
        <w:jc w:val="center"/>
        <w:rPr>
          <w:rFonts w:cs="Arial"/>
          <w:b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Date de naissance</w:t>
      </w:r>
      <w:r w:rsidRPr="002F01B6">
        <w:rPr>
          <w:rFonts w:cs="Arial"/>
          <w:sz w:val="20"/>
          <w:lang w:val="fr-FR"/>
        </w:rPr>
        <w:t> :</w:t>
      </w:r>
      <w:r w:rsidRPr="002F01B6">
        <w:rPr>
          <w:rFonts w:cs="Arial"/>
          <w:sz w:val="20"/>
          <w:lang w:val="fr-FR"/>
        </w:rPr>
        <w:tab/>
        <w:t>17 mai 1951</w:t>
      </w: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Nationalité</w:t>
      </w:r>
      <w:r w:rsidRPr="002F01B6">
        <w:rPr>
          <w:rFonts w:cs="Arial"/>
          <w:sz w:val="20"/>
          <w:lang w:val="fr-FR"/>
        </w:rPr>
        <w:t> :</w:t>
      </w:r>
      <w:r w:rsidRPr="002F01B6">
        <w:rPr>
          <w:rFonts w:cs="Arial"/>
          <w:sz w:val="20"/>
          <w:lang w:val="fr-FR"/>
        </w:rPr>
        <w:tab/>
        <w:t>australienne</w:t>
      </w: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État</w:t>
      </w:r>
      <w:r w:rsidRPr="002F01B6">
        <w:rPr>
          <w:rFonts w:cs="Arial"/>
          <w:b/>
          <w:sz w:val="20"/>
          <w:lang w:val="fr-FR"/>
        </w:rPr>
        <w:noBreakHyphen/>
        <w:t>civil</w:t>
      </w:r>
      <w:r w:rsidRPr="002F01B6">
        <w:rPr>
          <w:rFonts w:cs="Arial"/>
          <w:sz w:val="20"/>
          <w:lang w:val="fr-FR"/>
        </w:rPr>
        <w:t> :</w:t>
      </w:r>
      <w:r w:rsidRPr="002F01B6">
        <w:rPr>
          <w:rFonts w:cs="Arial"/>
          <w:sz w:val="20"/>
          <w:lang w:val="fr-FR"/>
        </w:rPr>
        <w:tab/>
        <w:t>marié, trois enfants</w:t>
      </w: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b/>
          <w:caps/>
          <w:sz w:val="20"/>
          <w:lang w:val="fr-FR"/>
        </w:rPr>
      </w:pPr>
      <w:r w:rsidRPr="002F01B6">
        <w:rPr>
          <w:rFonts w:cs="Arial"/>
          <w:b/>
          <w:caps/>
          <w:sz w:val="20"/>
          <w:lang w:val="fr-FR"/>
        </w:rPr>
        <w:t>Titres universitaires</w:t>
      </w: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b/>
          <w:caps/>
          <w:sz w:val="20"/>
          <w:lang w:val="fr-FR"/>
        </w:rPr>
      </w:pPr>
    </w:p>
    <w:p w:rsidR="00B21A09" w:rsidRPr="002F01B6" w:rsidRDefault="00B21A09" w:rsidP="00B21A09">
      <w:pPr>
        <w:pStyle w:val="Footer"/>
        <w:numPr>
          <w:ilvl w:val="0"/>
          <w:numId w:val="1"/>
        </w:numPr>
        <w:tabs>
          <w:tab w:val="left" w:pos="2835"/>
        </w:tabs>
        <w:ind w:left="2835"/>
        <w:jc w:val="left"/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Doctorat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Université de Cambridge (Royaume-Uni)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 xml:space="preserve">Prix </w:t>
      </w:r>
      <w:proofErr w:type="spellStart"/>
      <w:r w:rsidRPr="002F01B6">
        <w:rPr>
          <w:rFonts w:cs="Arial"/>
          <w:sz w:val="20"/>
          <w:lang w:val="fr-FR"/>
        </w:rPr>
        <w:t>Yorke</w:t>
      </w:r>
      <w:proofErr w:type="spellEnd"/>
      <w:r w:rsidRPr="002F01B6">
        <w:rPr>
          <w:rFonts w:cs="Arial"/>
          <w:sz w:val="20"/>
          <w:lang w:val="fr-FR"/>
        </w:rPr>
        <w:t xml:space="preserve"> décerné par la faculté de droit de l’Université de Cambridge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numPr>
          <w:ilvl w:val="0"/>
          <w:numId w:val="2"/>
        </w:numPr>
        <w:tabs>
          <w:tab w:val="left" w:pos="2835"/>
        </w:tabs>
        <w:ind w:hanging="3195"/>
        <w:jc w:val="left"/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Maîtrise de droit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Université de Melbourne (Australie)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numPr>
          <w:ilvl w:val="0"/>
          <w:numId w:val="3"/>
        </w:numPr>
        <w:tabs>
          <w:tab w:val="left" w:pos="2835"/>
        </w:tabs>
        <w:ind w:left="2835"/>
        <w:jc w:val="left"/>
        <w:rPr>
          <w:rFonts w:cs="Arial"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Admission au barreau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Cour suprême de Victoria (Australie)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numPr>
          <w:ilvl w:val="0"/>
          <w:numId w:val="4"/>
        </w:numPr>
        <w:tabs>
          <w:tab w:val="left" w:pos="2835"/>
        </w:tabs>
        <w:ind w:hanging="3195"/>
        <w:jc w:val="left"/>
        <w:rPr>
          <w:rFonts w:cs="Arial"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Licence de droit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Université de Melbourne (Australie)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caps/>
          <w:sz w:val="20"/>
          <w:lang w:val="fr-FR"/>
        </w:rPr>
      </w:pPr>
      <w:r w:rsidRPr="002F01B6">
        <w:rPr>
          <w:rFonts w:cs="Arial"/>
          <w:b/>
          <w:caps/>
          <w:sz w:val="20"/>
          <w:lang w:val="fr-FR"/>
        </w:rPr>
        <w:t>Expérience professionnelle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caps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proofErr w:type="gramStart"/>
      <w:r w:rsidRPr="002F01B6">
        <w:rPr>
          <w:rFonts w:cs="Arial"/>
          <w:b/>
          <w:sz w:val="20"/>
          <w:lang w:val="fr-FR"/>
        </w:rPr>
        <w:t>depuis</w:t>
      </w:r>
      <w:proofErr w:type="gramEnd"/>
      <w:r w:rsidRPr="002F01B6">
        <w:rPr>
          <w:rFonts w:cs="Arial"/>
          <w:b/>
          <w:sz w:val="20"/>
          <w:lang w:val="fr-FR"/>
        </w:rPr>
        <w:t xml:space="preserve"> 2008</w:t>
      </w:r>
      <w:r w:rsidRPr="002F01B6">
        <w:rPr>
          <w:rFonts w:cs="Arial"/>
          <w:sz w:val="20"/>
          <w:lang w:val="fr-FR"/>
        </w:rPr>
        <w:tab/>
      </w:r>
      <w:r w:rsidRPr="002F01B6">
        <w:rPr>
          <w:rFonts w:cs="Arial"/>
          <w:b/>
          <w:sz w:val="20"/>
          <w:lang w:val="fr-FR"/>
        </w:rPr>
        <w:t>Directeur général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jc w:val="left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ab/>
        <w:t xml:space="preserve">Organisation Mondiale de la Propriété Intellectuelle (OMPI), </w:t>
      </w:r>
      <w:r w:rsidRPr="002F01B6">
        <w:rPr>
          <w:rFonts w:cs="Arial"/>
          <w:sz w:val="20"/>
          <w:lang w:val="fr-FR"/>
        </w:rPr>
        <w:br/>
        <w:t>Genève (Suisse)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jc w:val="left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ab/>
        <w:t>Secrétaire général de l’Union internationale pour la protection</w:t>
      </w:r>
      <w:r w:rsidRPr="002F01B6">
        <w:rPr>
          <w:rFonts w:cs="Arial"/>
          <w:sz w:val="20"/>
          <w:lang w:val="fr-FR"/>
        </w:rPr>
        <w:br/>
        <w:t>des obtentions végétales (UPOV)</w:t>
      </w:r>
    </w:p>
    <w:p w:rsidR="00B21A09" w:rsidRPr="002F01B6" w:rsidRDefault="00B21A09" w:rsidP="00B21A09">
      <w:pPr>
        <w:pStyle w:val="Footer"/>
        <w:ind w:left="2835" w:hanging="2835"/>
        <w:rPr>
          <w:rFonts w:cs="Arial"/>
          <w:b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2003</w:t>
      </w:r>
      <w:r w:rsidRPr="002F01B6">
        <w:rPr>
          <w:rFonts w:cs="Arial"/>
          <w:b/>
          <w:sz w:val="20"/>
          <w:lang w:val="fr-FR"/>
        </w:rPr>
        <w:noBreakHyphen/>
        <w:t>2008</w:t>
      </w:r>
      <w:r w:rsidRPr="002F01B6">
        <w:rPr>
          <w:rFonts w:cs="Arial"/>
          <w:b/>
          <w:sz w:val="20"/>
          <w:lang w:val="fr-FR"/>
        </w:rPr>
        <w:tab/>
        <w:t>vice</w:t>
      </w:r>
      <w:r w:rsidRPr="002F01B6">
        <w:rPr>
          <w:rFonts w:cs="Arial"/>
          <w:b/>
          <w:sz w:val="20"/>
          <w:lang w:val="fr-FR"/>
        </w:rPr>
        <w:noBreakHyphen/>
        <w:t xml:space="preserve">directeur général </w:t>
      </w: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b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>Organisation Mondiale de la Propriété Intellectuelle (OMPI)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chargé de superviser les domaines d’activité suivants : Traité de coopération en matière de brevets (PCT);  droit et politiques en matière de brevets et classification internationale des brevets (CIB);  normes de l’OMPI;  statistiques de l’OMPI;  Centre d’arbitrage et de médiation de l’OMPI;  savoirs traditionnels, expressions culturelles traditionnelles, ressources génétiques et sciences de la vie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1999</w:t>
      </w:r>
      <w:r w:rsidRPr="002F01B6">
        <w:rPr>
          <w:rFonts w:cs="Arial"/>
          <w:b/>
          <w:sz w:val="20"/>
          <w:lang w:val="fr-FR"/>
        </w:rPr>
        <w:noBreakHyphen/>
        <w:t>2003</w:t>
      </w:r>
      <w:r w:rsidRPr="002F01B6">
        <w:rPr>
          <w:rFonts w:cs="Arial"/>
          <w:b/>
          <w:sz w:val="20"/>
          <w:lang w:val="fr-FR"/>
        </w:rPr>
        <w:tab/>
        <w:t>sous</w:t>
      </w:r>
      <w:r w:rsidRPr="002F01B6">
        <w:rPr>
          <w:rFonts w:cs="Arial"/>
          <w:b/>
          <w:sz w:val="20"/>
          <w:lang w:val="fr-FR"/>
        </w:rPr>
        <w:noBreakHyphen/>
        <w:t xml:space="preserve">directeur général et conseiller juridique 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b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>Organisation Mondiale de la Propriété Intellectuelle (OMPI)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b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Bureau du conseiller juridique;  également chargé de superviser les domaines d’activité suivants : Centre d’arbitrage et de médiation de l’OMPI;  commerce électronique;  et à partir de 2002 : Traité de coopération en matière de brevets (PCT);  droit et politiques en matière de brevets et classification internationale des brevets (CIB);  savoirs traditionnels, expressions culturelles traditionnelles, ressources génétiques et sciences de la vie</w:t>
      </w:r>
    </w:p>
    <w:p w:rsidR="00DD5215" w:rsidRPr="002F01B6" w:rsidRDefault="00DD5215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DD5215" w:rsidRPr="002F01B6" w:rsidRDefault="00DD5215">
      <w:pPr>
        <w:jc w:val="left"/>
        <w:rPr>
          <w:rFonts w:cs="Arial"/>
          <w:b/>
          <w:lang w:val="fr-FR"/>
        </w:rPr>
      </w:pPr>
      <w:r w:rsidRPr="002F01B6">
        <w:rPr>
          <w:rFonts w:cs="Arial"/>
          <w:b/>
          <w:lang w:val="fr-FR"/>
        </w:rPr>
        <w:br w:type="page"/>
      </w: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lastRenderedPageBreak/>
        <w:t>1997</w:t>
      </w:r>
      <w:r w:rsidRPr="002F01B6">
        <w:rPr>
          <w:rFonts w:cs="Arial"/>
          <w:b/>
          <w:sz w:val="20"/>
          <w:lang w:val="fr-FR"/>
        </w:rPr>
        <w:noBreakHyphen/>
        <w:t>1999</w:t>
      </w:r>
      <w:r w:rsidRPr="002F01B6">
        <w:rPr>
          <w:rFonts w:cs="Arial"/>
          <w:b/>
          <w:sz w:val="20"/>
          <w:lang w:val="fr-FR"/>
        </w:rPr>
        <w:tab/>
      </w:r>
      <w:proofErr w:type="gramStart"/>
      <w:r w:rsidRPr="002F01B6">
        <w:rPr>
          <w:rFonts w:cs="Arial"/>
          <w:b/>
          <w:sz w:val="20"/>
          <w:lang w:val="fr-FR"/>
        </w:rPr>
        <w:t>conseiller</w:t>
      </w:r>
      <w:proofErr w:type="gramEnd"/>
      <w:r w:rsidRPr="002F01B6">
        <w:rPr>
          <w:rFonts w:cs="Arial"/>
          <w:b/>
          <w:sz w:val="20"/>
          <w:lang w:val="fr-FR"/>
        </w:rPr>
        <w:t xml:space="preserve"> juridique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b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>Organisation Mondiale de la Propriété Intellectuelle (OMPI)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b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Bureau du conseiller juridique;  également chargé de superviser les domaines d’activité suivants : Centre d’arbitrage et de médiation de l’OMPI;  commerce électronique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1993</w:t>
      </w:r>
      <w:r w:rsidRPr="002F01B6">
        <w:rPr>
          <w:rFonts w:cs="Arial"/>
          <w:b/>
          <w:sz w:val="20"/>
          <w:lang w:val="fr-FR"/>
        </w:rPr>
        <w:noBreakHyphen/>
        <w:t>1997</w:t>
      </w:r>
      <w:r w:rsidRPr="002F01B6">
        <w:rPr>
          <w:rFonts w:cs="Arial"/>
          <w:b/>
          <w:sz w:val="20"/>
          <w:lang w:val="fr-FR"/>
        </w:rPr>
        <w:tab/>
        <w:t>Cabinet d’un vice</w:t>
      </w:r>
      <w:r w:rsidRPr="002F01B6">
        <w:rPr>
          <w:rFonts w:cs="Arial"/>
          <w:b/>
          <w:sz w:val="20"/>
          <w:lang w:val="fr-FR"/>
        </w:rPr>
        <w:noBreakHyphen/>
        <w:t>directeur général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b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>Organisation Mondiale de la Propriété Intellectuelle (OMPI)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b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proofErr w:type="gramStart"/>
      <w:r w:rsidRPr="002F01B6">
        <w:rPr>
          <w:rFonts w:cs="Arial"/>
          <w:sz w:val="20"/>
          <w:lang w:val="fr-FR"/>
        </w:rPr>
        <w:t>directeur</w:t>
      </w:r>
      <w:proofErr w:type="gramEnd"/>
      <w:r w:rsidRPr="002F01B6">
        <w:rPr>
          <w:rFonts w:cs="Arial"/>
          <w:sz w:val="20"/>
          <w:lang w:val="fr-FR"/>
        </w:rPr>
        <w:t xml:space="preserve"> du Centre d’arbitrage et de médiation;  conseiller juridique par intérim (1996</w:t>
      </w:r>
      <w:r w:rsidRPr="002F01B6">
        <w:rPr>
          <w:rFonts w:cs="Arial"/>
          <w:sz w:val="20"/>
          <w:lang w:val="fr-FR"/>
        </w:rPr>
        <w:noBreakHyphen/>
        <w:t>1997)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1990</w:t>
      </w:r>
      <w:r w:rsidRPr="002F01B6">
        <w:rPr>
          <w:rFonts w:cs="Arial"/>
          <w:b/>
          <w:sz w:val="20"/>
          <w:lang w:val="fr-FR"/>
        </w:rPr>
        <w:noBreakHyphen/>
        <w:t>1993</w:t>
      </w:r>
      <w:r w:rsidRPr="002F01B6">
        <w:rPr>
          <w:rFonts w:cs="Arial"/>
          <w:b/>
          <w:sz w:val="20"/>
          <w:lang w:val="fr-FR"/>
        </w:rPr>
        <w:tab/>
        <w:t>Cabinet du directeur général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b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>Organisation Mondiale de la Propriété Intellectuelle (OMPI)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b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proofErr w:type="gramStart"/>
      <w:r w:rsidRPr="002F01B6">
        <w:rPr>
          <w:rFonts w:cs="Arial"/>
          <w:sz w:val="20"/>
          <w:lang w:val="fr-FR"/>
        </w:rPr>
        <w:t>assistant</w:t>
      </w:r>
      <w:proofErr w:type="gramEnd"/>
      <w:r w:rsidRPr="002F01B6">
        <w:rPr>
          <w:rFonts w:cs="Arial"/>
          <w:sz w:val="20"/>
          <w:lang w:val="fr-FR"/>
        </w:rPr>
        <w:t xml:space="preserve"> spécial du directeur général (1991</w:t>
      </w:r>
      <w:r w:rsidRPr="002F01B6">
        <w:rPr>
          <w:rFonts w:cs="Arial"/>
          <w:sz w:val="20"/>
          <w:lang w:val="fr-FR"/>
        </w:rPr>
        <w:noBreakHyphen/>
        <w:t>1993) et directeur</w:t>
      </w:r>
      <w:r w:rsidRPr="002F01B6">
        <w:rPr>
          <w:rFonts w:cs="Arial"/>
          <w:sz w:val="20"/>
          <w:lang w:val="fr-FR"/>
        </w:rPr>
        <w:noBreakHyphen/>
        <w:t>conseiller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1988</w:t>
      </w:r>
      <w:r w:rsidRPr="002F01B6">
        <w:rPr>
          <w:rFonts w:cs="Arial"/>
          <w:b/>
          <w:sz w:val="20"/>
          <w:lang w:val="fr-FR"/>
        </w:rPr>
        <w:noBreakHyphen/>
        <w:t>1990</w:t>
      </w:r>
      <w:r w:rsidRPr="002F01B6">
        <w:rPr>
          <w:rFonts w:cs="Arial"/>
          <w:b/>
          <w:sz w:val="20"/>
          <w:lang w:val="fr-FR"/>
        </w:rPr>
        <w:tab/>
        <w:t>chef de la Section du droit de la propriété industrielle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b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>Organisation Mondiale de la Propriété Intellectuelle (OMPI)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b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Division de la propriété industrielle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1985</w:t>
      </w:r>
      <w:r w:rsidRPr="002F01B6">
        <w:rPr>
          <w:rFonts w:cs="Arial"/>
          <w:b/>
          <w:sz w:val="20"/>
          <w:lang w:val="fr-FR"/>
        </w:rPr>
        <w:noBreakHyphen/>
        <w:t>1988</w:t>
      </w:r>
      <w:r w:rsidRPr="002F01B6">
        <w:rPr>
          <w:rFonts w:cs="Arial"/>
          <w:b/>
          <w:sz w:val="20"/>
          <w:lang w:val="fr-FR"/>
        </w:rPr>
        <w:tab/>
        <w:t>consultant et administrateur principal de programme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>Organisation Mondiale de la Propriété Intellectuelle (OMPI)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Bureau de la coopération pour le développement et des relations extérieures avec l’Asie et le Pacifique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numPr>
          <w:ilvl w:val="0"/>
          <w:numId w:val="5"/>
        </w:numPr>
        <w:tabs>
          <w:tab w:val="left" w:pos="2835"/>
        </w:tabs>
        <w:ind w:left="2835"/>
        <w:jc w:val="left"/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avocat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proofErr w:type="spellStart"/>
      <w:r w:rsidRPr="002F01B6">
        <w:rPr>
          <w:rFonts w:cs="Arial"/>
          <w:sz w:val="20"/>
          <w:lang w:val="fr-FR"/>
        </w:rPr>
        <w:t>Freehills</w:t>
      </w:r>
      <w:proofErr w:type="spellEnd"/>
      <w:r w:rsidRPr="002F01B6">
        <w:rPr>
          <w:rFonts w:cs="Arial"/>
          <w:sz w:val="20"/>
          <w:lang w:val="fr-FR"/>
        </w:rPr>
        <w:t>, Sydney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1982</w:t>
      </w:r>
      <w:r w:rsidRPr="002F01B6">
        <w:rPr>
          <w:rFonts w:cs="Arial"/>
          <w:b/>
          <w:sz w:val="20"/>
          <w:lang w:val="fr-FR"/>
        </w:rPr>
        <w:noBreakHyphen/>
        <w:t>1983</w:t>
      </w:r>
      <w:r w:rsidRPr="002F01B6">
        <w:rPr>
          <w:rFonts w:cs="Arial"/>
          <w:b/>
          <w:sz w:val="20"/>
          <w:lang w:val="fr-FR"/>
        </w:rPr>
        <w:tab/>
        <w:t>professeur invité de droit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Université de Dijon (France)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1976</w:t>
      </w:r>
      <w:r w:rsidRPr="002F01B6">
        <w:rPr>
          <w:rFonts w:cs="Arial"/>
          <w:b/>
          <w:sz w:val="20"/>
          <w:lang w:val="fr-FR"/>
        </w:rPr>
        <w:noBreakHyphen/>
        <w:t>1979</w:t>
      </w:r>
      <w:r w:rsidRPr="002F01B6">
        <w:rPr>
          <w:rFonts w:cs="Arial"/>
          <w:b/>
          <w:sz w:val="20"/>
          <w:lang w:val="fr-FR"/>
        </w:rPr>
        <w:tab/>
        <w:t>stage de recherche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Faculté de droit de l’Université de Cambridge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(</w:t>
      </w:r>
      <w:proofErr w:type="gramStart"/>
      <w:r w:rsidRPr="002F01B6">
        <w:rPr>
          <w:rFonts w:cs="Arial"/>
          <w:sz w:val="20"/>
          <w:lang w:val="fr-FR"/>
        </w:rPr>
        <w:t>bourse</w:t>
      </w:r>
      <w:proofErr w:type="gramEnd"/>
      <w:r w:rsidRPr="002F01B6">
        <w:rPr>
          <w:rFonts w:cs="Arial"/>
          <w:sz w:val="20"/>
          <w:lang w:val="fr-FR"/>
        </w:rPr>
        <w:t xml:space="preserve"> de stagiaire de recherche, </w:t>
      </w:r>
      <w:proofErr w:type="spellStart"/>
      <w:r w:rsidRPr="002F01B6">
        <w:rPr>
          <w:rFonts w:cs="Arial"/>
          <w:sz w:val="20"/>
          <w:lang w:val="fr-FR"/>
        </w:rPr>
        <w:t>Gonville</w:t>
      </w:r>
      <w:proofErr w:type="spellEnd"/>
      <w:r w:rsidRPr="002F01B6">
        <w:rPr>
          <w:rFonts w:cs="Arial"/>
          <w:sz w:val="20"/>
          <w:lang w:val="fr-FR"/>
        </w:rPr>
        <w:t xml:space="preserve"> and Caius </w:t>
      </w:r>
      <w:proofErr w:type="spellStart"/>
      <w:r w:rsidRPr="002F01B6">
        <w:rPr>
          <w:rFonts w:cs="Arial"/>
          <w:sz w:val="20"/>
          <w:lang w:val="fr-FR"/>
        </w:rPr>
        <w:t>College</w:t>
      </w:r>
      <w:proofErr w:type="spellEnd"/>
      <w:r w:rsidRPr="002F01B6">
        <w:rPr>
          <w:rFonts w:cs="Arial"/>
          <w:sz w:val="20"/>
          <w:lang w:val="fr-FR"/>
        </w:rPr>
        <w:t>, 1978</w:t>
      </w:r>
      <w:r w:rsidRPr="002F01B6">
        <w:rPr>
          <w:rFonts w:cs="Arial"/>
          <w:sz w:val="20"/>
          <w:lang w:val="fr-FR"/>
        </w:rPr>
        <w:noBreakHyphen/>
        <w:t>1979)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1979</w:t>
      </w:r>
      <w:r w:rsidRPr="002F01B6">
        <w:rPr>
          <w:rFonts w:cs="Arial"/>
          <w:b/>
          <w:sz w:val="20"/>
          <w:lang w:val="fr-FR"/>
        </w:rPr>
        <w:noBreakHyphen/>
        <w:t>1984</w:t>
      </w:r>
      <w:r w:rsidRPr="002F01B6">
        <w:rPr>
          <w:rFonts w:cs="Arial"/>
          <w:b/>
          <w:sz w:val="20"/>
          <w:lang w:val="fr-FR"/>
        </w:rPr>
        <w:tab/>
        <w:t>maître de conférences en droit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Université de Melbourne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1974</w:t>
      </w:r>
      <w:r w:rsidRPr="002F01B6">
        <w:rPr>
          <w:rFonts w:cs="Arial"/>
          <w:b/>
          <w:sz w:val="20"/>
          <w:lang w:val="fr-FR"/>
        </w:rPr>
        <w:noBreakHyphen/>
        <w:t>1976</w:t>
      </w:r>
      <w:r w:rsidRPr="002F01B6">
        <w:rPr>
          <w:rFonts w:cs="Arial"/>
          <w:b/>
          <w:sz w:val="20"/>
          <w:lang w:val="fr-FR"/>
        </w:rPr>
        <w:tab/>
        <w:t>avoué stagiaire, puis avocat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Arthur Robinson &amp; Co, Melbourne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b/>
          <w:caps/>
          <w:sz w:val="20"/>
          <w:lang w:val="fr-FR"/>
        </w:rPr>
      </w:pPr>
      <w:r w:rsidRPr="002F01B6">
        <w:rPr>
          <w:rFonts w:cs="Arial"/>
          <w:b/>
          <w:caps/>
          <w:sz w:val="20"/>
          <w:lang w:val="fr-FR"/>
        </w:rPr>
        <w:t>Autres fonctions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b/>
          <w:caps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0"/>
        </w:tabs>
        <w:ind w:left="2835" w:hanging="2835"/>
        <w:rPr>
          <w:rFonts w:cs="Arial"/>
          <w:b/>
          <w:sz w:val="20"/>
          <w:lang w:val="fr-FR"/>
        </w:rPr>
      </w:pPr>
      <w:proofErr w:type="gramStart"/>
      <w:r w:rsidRPr="002F01B6">
        <w:rPr>
          <w:rFonts w:cs="Arial"/>
          <w:b/>
          <w:sz w:val="20"/>
          <w:lang w:val="fr-FR"/>
        </w:rPr>
        <w:t>depuis</w:t>
      </w:r>
      <w:proofErr w:type="gramEnd"/>
      <w:r w:rsidRPr="002F01B6">
        <w:rPr>
          <w:rFonts w:cs="Arial"/>
          <w:b/>
          <w:sz w:val="20"/>
          <w:lang w:val="fr-FR"/>
        </w:rPr>
        <w:t xml:space="preserve"> 2012</w:t>
      </w:r>
      <w:r w:rsidRPr="002F01B6">
        <w:rPr>
          <w:rFonts w:cs="Arial"/>
          <w:b/>
          <w:sz w:val="20"/>
          <w:lang w:val="fr-FR"/>
        </w:rPr>
        <w:tab/>
      </w:r>
      <w:r w:rsidRPr="002F01B6">
        <w:rPr>
          <w:rFonts w:cs="Arial"/>
          <w:b/>
          <w:sz w:val="20"/>
          <w:lang w:val="fr-FR"/>
        </w:rPr>
        <w:tab/>
        <w:t>président du Comité de haut niveau sur la gestion du Conseil des chefs de secrétariat des organismes des Nations Unies pour la coordination (CCS)</w:t>
      </w:r>
    </w:p>
    <w:p w:rsidR="00B21A09" w:rsidRPr="002F01B6" w:rsidRDefault="00B21A09" w:rsidP="00B21A09">
      <w:pPr>
        <w:pStyle w:val="Footer"/>
        <w:tabs>
          <w:tab w:val="left" w:pos="0"/>
        </w:tabs>
        <w:ind w:left="2835" w:hanging="2835"/>
        <w:rPr>
          <w:rFonts w:cs="Arial"/>
          <w:b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0"/>
        </w:tabs>
        <w:ind w:left="2835" w:hanging="2835"/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2013</w:t>
      </w:r>
      <w:r w:rsidRPr="002F01B6">
        <w:rPr>
          <w:rFonts w:cs="Arial"/>
          <w:b/>
          <w:sz w:val="20"/>
          <w:lang w:val="fr-FR"/>
        </w:rPr>
        <w:tab/>
      </w:r>
      <w:proofErr w:type="gramStart"/>
      <w:r w:rsidRPr="002F01B6">
        <w:rPr>
          <w:rFonts w:cs="Arial"/>
          <w:b/>
          <w:sz w:val="20"/>
          <w:lang w:val="fr-FR"/>
        </w:rPr>
        <w:t>membre</w:t>
      </w:r>
      <w:proofErr w:type="gramEnd"/>
      <w:r w:rsidRPr="002F01B6">
        <w:rPr>
          <w:rFonts w:cs="Arial"/>
          <w:b/>
          <w:sz w:val="20"/>
          <w:lang w:val="fr-FR"/>
        </w:rPr>
        <w:t xml:space="preserve"> de la Commission consultative des relations de la Genève internationale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</w:p>
    <w:p w:rsidR="00B21A09" w:rsidRPr="002F01B6" w:rsidRDefault="00B21A09">
      <w:pPr>
        <w:jc w:val="left"/>
        <w:rPr>
          <w:rFonts w:cs="Arial"/>
          <w:b/>
          <w:lang w:val="fr-FR"/>
        </w:rPr>
      </w:pPr>
      <w:r w:rsidRPr="002F01B6">
        <w:rPr>
          <w:rFonts w:cs="Arial"/>
          <w:b/>
          <w:lang w:val="fr-FR"/>
        </w:rPr>
        <w:br w:type="page"/>
      </w:r>
    </w:p>
    <w:p w:rsidR="00B21A09" w:rsidRPr="002F01B6" w:rsidRDefault="00B21A09" w:rsidP="00B21A09">
      <w:pPr>
        <w:spacing w:line="360" w:lineRule="auto"/>
        <w:rPr>
          <w:rFonts w:cs="Arial"/>
          <w:b/>
          <w:lang w:val="fr-FR"/>
        </w:rPr>
      </w:pPr>
      <w:r w:rsidRPr="002F01B6">
        <w:rPr>
          <w:rFonts w:cs="Arial"/>
          <w:b/>
          <w:lang w:val="fr-FR"/>
        </w:rPr>
        <w:lastRenderedPageBreak/>
        <w:t>TITRES ET DISTINCTIONS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caps/>
          <w:sz w:val="20"/>
          <w:lang w:val="fr-FR"/>
        </w:rPr>
        <w:t>2013</w:t>
      </w:r>
      <w:r w:rsidRPr="002F01B6">
        <w:rPr>
          <w:rFonts w:cs="Arial"/>
          <w:caps/>
          <w:sz w:val="20"/>
          <w:lang w:val="fr-FR"/>
        </w:rPr>
        <w:tab/>
      </w:r>
      <w:r w:rsidRPr="002F01B6">
        <w:rPr>
          <w:rFonts w:cs="Arial"/>
          <w:caps/>
          <w:sz w:val="20"/>
          <w:lang w:val="fr-FR"/>
        </w:rPr>
        <w:tab/>
      </w:r>
      <w:r w:rsidRPr="002F01B6">
        <w:rPr>
          <w:rFonts w:cs="Arial"/>
          <w:b/>
          <w:caps/>
          <w:sz w:val="20"/>
          <w:lang w:val="fr-FR"/>
        </w:rPr>
        <w:t>C</w:t>
      </w:r>
      <w:r w:rsidRPr="002F01B6">
        <w:rPr>
          <w:rFonts w:cs="Arial"/>
          <w:b/>
          <w:sz w:val="20"/>
          <w:lang w:val="fr-FR"/>
        </w:rPr>
        <w:t>ommandeur</w:t>
      </w:r>
      <w:r w:rsidRPr="002F01B6">
        <w:rPr>
          <w:rFonts w:cs="Arial"/>
          <w:b/>
          <w:caps/>
          <w:sz w:val="20"/>
          <w:lang w:val="fr-FR"/>
        </w:rPr>
        <w:t xml:space="preserve"> </w:t>
      </w:r>
      <w:r w:rsidRPr="002F01B6">
        <w:rPr>
          <w:rFonts w:cs="Arial"/>
          <w:b/>
          <w:sz w:val="20"/>
          <w:lang w:val="fr-FR"/>
        </w:rPr>
        <w:t xml:space="preserve">de l’ordre du </w:t>
      </w:r>
      <w:proofErr w:type="spellStart"/>
      <w:r w:rsidRPr="002F01B6">
        <w:rPr>
          <w:rFonts w:cs="Arial"/>
          <w:b/>
          <w:sz w:val="20"/>
          <w:lang w:val="fr-FR"/>
        </w:rPr>
        <w:t>Ouissam</w:t>
      </w:r>
      <w:proofErr w:type="spellEnd"/>
      <w:r w:rsidRPr="002F01B6">
        <w:rPr>
          <w:rFonts w:cs="Arial"/>
          <w:b/>
          <w:sz w:val="20"/>
          <w:lang w:val="fr-FR"/>
        </w:rPr>
        <w:t xml:space="preserve"> Alaouite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caps/>
          <w:sz w:val="20"/>
          <w:lang w:val="fr-FR"/>
        </w:rPr>
      </w:pPr>
      <w:r w:rsidRPr="002F01B6">
        <w:rPr>
          <w:rFonts w:cs="Arial"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ab/>
        <w:t>Royaume du Maroc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caps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sz w:val="20"/>
          <w:lang w:val="fr-FR"/>
        </w:rPr>
      </w:pPr>
      <w:r w:rsidRPr="002F01B6">
        <w:rPr>
          <w:rFonts w:cs="Arial"/>
          <w:b/>
          <w:caps/>
          <w:sz w:val="20"/>
          <w:lang w:val="fr-FR"/>
        </w:rPr>
        <w:t>2012</w:t>
      </w:r>
      <w:r w:rsidRPr="002F01B6">
        <w:rPr>
          <w:rFonts w:cs="Arial"/>
          <w:caps/>
          <w:sz w:val="20"/>
          <w:lang w:val="fr-FR"/>
        </w:rPr>
        <w:tab/>
      </w:r>
      <w:proofErr w:type="gramStart"/>
      <w:r w:rsidRPr="002F01B6">
        <w:rPr>
          <w:rFonts w:cs="Arial"/>
          <w:b/>
          <w:sz w:val="20"/>
          <w:lang w:val="fr-FR"/>
        </w:rPr>
        <w:t>chargé</w:t>
      </w:r>
      <w:proofErr w:type="gramEnd"/>
      <w:r w:rsidRPr="002F01B6">
        <w:rPr>
          <w:rFonts w:cs="Arial"/>
          <w:b/>
          <w:sz w:val="20"/>
          <w:lang w:val="fr-FR"/>
        </w:rPr>
        <w:t xml:space="preserve"> de recherche</w:t>
      </w:r>
    </w:p>
    <w:p w:rsidR="00B21A09" w:rsidRPr="0089492A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</w:rPr>
      </w:pPr>
      <w:r w:rsidRPr="002F01B6">
        <w:rPr>
          <w:rFonts w:cs="Arial"/>
          <w:b/>
          <w:sz w:val="20"/>
          <w:lang w:val="fr-FR"/>
        </w:rPr>
        <w:tab/>
      </w:r>
      <w:r w:rsidRPr="002F01B6">
        <w:rPr>
          <w:rFonts w:cs="Arial"/>
          <w:b/>
          <w:sz w:val="20"/>
          <w:lang w:val="fr-FR"/>
        </w:rPr>
        <w:tab/>
      </w:r>
      <w:r w:rsidRPr="0089492A">
        <w:rPr>
          <w:rFonts w:cs="Arial"/>
          <w:sz w:val="20"/>
        </w:rPr>
        <w:t>Australian Institute of International Studies</w:t>
      </w:r>
    </w:p>
    <w:p w:rsidR="00B21A09" w:rsidRPr="0089492A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</w:rPr>
      </w:pPr>
    </w:p>
    <w:p w:rsidR="00B21A09" w:rsidRPr="0089492A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/>
          <w:iCs/>
          <w:sz w:val="20"/>
        </w:rPr>
      </w:pPr>
      <w:r w:rsidRPr="0089492A">
        <w:rPr>
          <w:rFonts w:cs="Arial"/>
          <w:b/>
          <w:caps/>
          <w:sz w:val="20"/>
        </w:rPr>
        <w:t>2012</w:t>
      </w:r>
      <w:r w:rsidRPr="0089492A">
        <w:rPr>
          <w:rFonts w:cs="Arial"/>
          <w:b/>
          <w:caps/>
          <w:sz w:val="20"/>
        </w:rPr>
        <w:tab/>
      </w:r>
      <w:proofErr w:type="spellStart"/>
      <w:r w:rsidRPr="0089492A">
        <w:rPr>
          <w:rFonts w:cs="Arial"/>
          <w:b/>
          <w:sz w:val="20"/>
        </w:rPr>
        <w:t>doctorat</w:t>
      </w:r>
      <w:proofErr w:type="spellEnd"/>
      <w:r w:rsidRPr="0089492A">
        <w:rPr>
          <w:rFonts w:cs="Arial"/>
          <w:b/>
          <w:sz w:val="20"/>
        </w:rPr>
        <w:t xml:space="preserve"> </w:t>
      </w:r>
      <w:proofErr w:type="spellStart"/>
      <w:r w:rsidRPr="0089492A">
        <w:rPr>
          <w:rFonts w:cs="Arial"/>
          <w:b/>
          <w:i/>
          <w:iCs/>
          <w:sz w:val="20"/>
        </w:rPr>
        <w:t>honoris</w:t>
      </w:r>
      <w:proofErr w:type="spellEnd"/>
      <w:r w:rsidRPr="0089492A">
        <w:rPr>
          <w:rFonts w:cs="Arial"/>
          <w:b/>
          <w:i/>
          <w:iCs/>
          <w:sz w:val="20"/>
        </w:rPr>
        <w:t xml:space="preserve"> </w:t>
      </w:r>
      <w:proofErr w:type="spellStart"/>
      <w:r w:rsidRPr="0089492A">
        <w:rPr>
          <w:rFonts w:cs="Arial"/>
          <w:b/>
          <w:i/>
          <w:iCs/>
          <w:sz w:val="20"/>
        </w:rPr>
        <w:t>causa</w:t>
      </w:r>
      <w:proofErr w:type="spellEnd"/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89492A">
        <w:rPr>
          <w:rFonts w:cs="Arial"/>
          <w:b/>
          <w:i/>
          <w:iCs/>
          <w:sz w:val="20"/>
        </w:rPr>
        <w:tab/>
      </w:r>
      <w:r w:rsidRPr="002F01B6">
        <w:rPr>
          <w:rFonts w:cs="Arial"/>
          <w:sz w:val="20"/>
          <w:lang w:val="fr-FR"/>
        </w:rPr>
        <w:t>Académie d’études économiques de la Moldova (République de Moldova)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caps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2012</w:t>
      </w:r>
      <w:r w:rsidRPr="002F01B6">
        <w:rPr>
          <w:rFonts w:cs="Arial"/>
          <w:b/>
          <w:sz w:val="20"/>
          <w:lang w:val="fr-FR"/>
        </w:rPr>
        <w:tab/>
      </w:r>
      <w:proofErr w:type="gramStart"/>
      <w:r w:rsidRPr="002F01B6">
        <w:rPr>
          <w:rFonts w:cs="Arial"/>
          <w:b/>
          <w:sz w:val="20"/>
          <w:lang w:val="fr-FR"/>
        </w:rPr>
        <w:t>membre honoraire</w:t>
      </w:r>
      <w:proofErr w:type="gramEnd"/>
      <w:r w:rsidRPr="002F01B6">
        <w:rPr>
          <w:rFonts w:cs="Arial"/>
          <w:b/>
          <w:sz w:val="20"/>
          <w:lang w:val="fr-FR"/>
        </w:rPr>
        <w:t xml:space="preserve"> du Conseil universitaire des arts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caps/>
          <w:sz w:val="20"/>
          <w:lang w:val="fr-FR"/>
        </w:rPr>
      </w:pPr>
      <w:r w:rsidRPr="002F01B6">
        <w:rPr>
          <w:rFonts w:cs="Arial"/>
          <w:caps/>
          <w:sz w:val="20"/>
          <w:lang w:val="fr-FR"/>
        </w:rPr>
        <w:tab/>
      </w:r>
      <w:r w:rsidRPr="002F01B6">
        <w:rPr>
          <w:rFonts w:cs="Arial"/>
          <w:caps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>Université d’Alcalá (Espagne)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caps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/>
          <w:iCs/>
          <w:sz w:val="20"/>
          <w:lang w:val="fr-FR"/>
        </w:rPr>
      </w:pPr>
      <w:r w:rsidRPr="002F01B6">
        <w:rPr>
          <w:rFonts w:cs="Arial"/>
          <w:b/>
          <w:caps/>
          <w:sz w:val="20"/>
          <w:lang w:val="fr-FR"/>
        </w:rPr>
        <w:t>2012</w:t>
      </w:r>
      <w:r w:rsidRPr="002F01B6">
        <w:rPr>
          <w:rFonts w:cs="Arial"/>
          <w:b/>
          <w:caps/>
          <w:sz w:val="20"/>
          <w:lang w:val="fr-FR"/>
        </w:rPr>
        <w:tab/>
      </w:r>
      <w:proofErr w:type="gramStart"/>
      <w:r w:rsidRPr="002F01B6">
        <w:rPr>
          <w:rFonts w:cs="Arial"/>
          <w:b/>
          <w:sz w:val="20"/>
          <w:lang w:val="fr-FR"/>
        </w:rPr>
        <w:t>doctorat</w:t>
      </w:r>
      <w:proofErr w:type="gramEnd"/>
      <w:r w:rsidRPr="002F01B6">
        <w:rPr>
          <w:rFonts w:cs="Arial"/>
          <w:b/>
          <w:sz w:val="20"/>
          <w:lang w:val="fr-FR"/>
        </w:rPr>
        <w:t xml:space="preserve"> </w:t>
      </w:r>
      <w:r w:rsidRPr="002F01B6">
        <w:rPr>
          <w:rFonts w:cs="Arial"/>
          <w:b/>
          <w:i/>
          <w:iCs/>
          <w:sz w:val="20"/>
          <w:lang w:val="fr-FR"/>
        </w:rPr>
        <w:t>honoris causa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i/>
          <w:iCs/>
          <w:sz w:val="20"/>
          <w:lang w:val="fr-FR"/>
        </w:rPr>
        <w:tab/>
      </w:r>
      <w:r w:rsidRPr="002F01B6">
        <w:rPr>
          <w:rFonts w:cs="Arial"/>
          <w:b/>
          <w:i/>
          <w:iCs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>Université nationale eurasienne (Kazakhstan)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/>
          <w:iCs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/>
          <w:iCs/>
          <w:sz w:val="20"/>
          <w:lang w:val="fr-FR"/>
        </w:rPr>
      </w:pPr>
      <w:r w:rsidRPr="002F01B6">
        <w:rPr>
          <w:rFonts w:cs="Arial"/>
          <w:b/>
          <w:caps/>
          <w:sz w:val="20"/>
          <w:lang w:val="fr-FR"/>
        </w:rPr>
        <w:t>2011</w:t>
      </w:r>
      <w:r w:rsidRPr="002F01B6">
        <w:rPr>
          <w:rFonts w:cs="Arial"/>
          <w:b/>
          <w:caps/>
          <w:sz w:val="20"/>
          <w:lang w:val="fr-FR"/>
        </w:rPr>
        <w:tab/>
      </w:r>
      <w:proofErr w:type="gramStart"/>
      <w:r w:rsidRPr="002F01B6">
        <w:rPr>
          <w:rFonts w:cs="Arial"/>
          <w:b/>
          <w:sz w:val="20"/>
          <w:lang w:val="fr-FR"/>
        </w:rPr>
        <w:t>doctorat</w:t>
      </w:r>
      <w:proofErr w:type="gramEnd"/>
      <w:r w:rsidRPr="002F01B6">
        <w:rPr>
          <w:rFonts w:cs="Arial"/>
          <w:b/>
          <w:sz w:val="20"/>
          <w:lang w:val="fr-FR"/>
        </w:rPr>
        <w:t xml:space="preserve"> </w:t>
      </w:r>
      <w:r w:rsidRPr="002F01B6">
        <w:rPr>
          <w:rFonts w:cs="Arial"/>
          <w:b/>
          <w:i/>
          <w:iCs/>
          <w:sz w:val="20"/>
          <w:lang w:val="fr-FR"/>
        </w:rPr>
        <w:t>honoris causa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caps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>Université d’Akron (États-Unis d’Amérique)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caps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/>
          <w:iCs/>
          <w:sz w:val="20"/>
          <w:lang w:val="fr-FR"/>
        </w:rPr>
      </w:pPr>
      <w:r w:rsidRPr="002F01B6">
        <w:rPr>
          <w:rFonts w:cs="Arial"/>
          <w:b/>
          <w:caps/>
          <w:sz w:val="20"/>
          <w:lang w:val="fr-FR"/>
        </w:rPr>
        <w:t>2010</w:t>
      </w:r>
      <w:r w:rsidRPr="002F01B6">
        <w:rPr>
          <w:rFonts w:cs="Arial"/>
          <w:b/>
          <w:caps/>
          <w:sz w:val="20"/>
          <w:lang w:val="fr-FR"/>
        </w:rPr>
        <w:tab/>
      </w:r>
      <w:proofErr w:type="gramStart"/>
      <w:r w:rsidRPr="002F01B6">
        <w:rPr>
          <w:rFonts w:cs="Arial"/>
          <w:b/>
          <w:sz w:val="20"/>
          <w:lang w:val="fr-FR"/>
        </w:rPr>
        <w:t>doctorat</w:t>
      </w:r>
      <w:proofErr w:type="gramEnd"/>
      <w:r w:rsidRPr="002F01B6">
        <w:rPr>
          <w:rFonts w:cs="Arial"/>
          <w:b/>
          <w:sz w:val="20"/>
          <w:lang w:val="fr-FR"/>
        </w:rPr>
        <w:t xml:space="preserve"> </w:t>
      </w:r>
      <w:r w:rsidRPr="002F01B6">
        <w:rPr>
          <w:rFonts w:cs="Arial"/>
          <w:b/>
          <w:i/>
          <w:iCs/>
          <w:sz w:val="20"/>
          <w:lang w:val="fr-FR"/>
        </w:rPr>
        <w:t>honoris causa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i/>
          <w:iCs/>
          <w:sz w:val="20"/>
          <w:lang w:val="fr-FR"/>
        </w:rPr>
        <w:tab/>
      </w:r>
      <w:r w:rsidRPr="002F01B6">
        <w:rPr>
          <w:rFonts w:cs="Arial"/>
          <w:b/>
          <w:i/>
          <w:iCs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 xml:space="preserve">Université de </w:t>
      </w:r>
      <w:proofErr w:type="spellStart"/>
      <w:r w:rsidRPr="002F01B6">
        <w:rPr>
          <w:rFonts w:cs="Arial"/>
          <w:sz w:val="20"/>
          <w:lang w:val="fr-FR"/>
        </w:rPr>
        <w:t>Haifa</w:t>
      </w:r>
      <w:proofErr w:type="spellEnd"/>
      <w:r w:rsidRPr="002F01B6">
        <w:rPr>
          <w:rFonts w:cs="Arial"/>
          <w:sz w:val="20"/>
          <w:lang w:val="fr-FR"/>
        </w:rPr>
        <w:t xml:space="preserve"> (Israël)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caps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/>
          <w:iCs/>
          <w:sz w:val="20"/>
          <w:lang w:val="fr-FR"/>
        </w:rPr>
      </w:pPr>
      <w:r w:rsidRPr="002F01B6">
        <w:rPr>
          <w:rFonts w:cs="Arial"/>
          <w:b/>
          <w:caps/>
          <w:sz w:val="20"/>
          <w:lang w:val="fr-FR"/>
        </w:rPr>
        <w:t>2010</w:t>
      </w:r>
      <w:r w:rsidRPr="002F01B6">
        <w:rPr>
          <w:rFonts w:cs="Arial"/>
          <w:b/>
          <w:caps/>
          <w:sz w:val="20"/>
          <w:lang w:val="fr-FR"/>
        </w:rPr>
        <w:tab/>
      </w:r>
      <w:proofErr w:type="gramStart"/>
      <w:r w:rsidRPr="002F01B6">
        <w:rPr>
          <w:rFonts w:cs="Arial"/>
          <w:b/>
          <w:sz w:val="20"/>
          <w:lang w:val="fr-FR"/>
        </w:rPr>
        <w:t>doctorat</w:t>
      </w:r>
      <w:proofErr w:type="gramEnd"/>
      <w:r w:rsidRPr="002F01B6">
        <w:rPr>
          <w:rFonts w:cs="Arial"/>
          <w:b/>
          <w:sz w:val="20"/>
          <w:lang w:val="fr-FR"/>
        </w:rPr>
        <w:t xml:space="preserve"> </w:t>
      </w:r>
      <w:r w:rsidRPr="002F01B6">
        <w:rPr>
          <w:rFonts w:cs="Arial"/>
          <w:b/>
          <w:i/>
          <w:iCs/>
          <w:sz w:val="20"/>
          <w:lang w:val="fr-FR"/>
        </w:rPr>
        <w:t>honoris causa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ab/>
        <w:t xml:space="preserve">Université de </w:t>
      </w:r>
      <w:proofErr w:type="spellStart"/>
      <w:r w:rsidRPr="002F01B6">
        <w:rPr>
          <w:rFonts w:cs="Arial"/>
          <w:sz w:val="20"/>
          <w:lang w:val="fr-FR"/>
        </w:rPr>
        <w:t>Renmin</w:t>
      </w:r>
      <w:proofErr w:type="spellEnd"/>
      <w:r w:rsidRPr="002F01B6">
        <w:rPr>
          <w:rFonts w:cs="Arial"/>
          <w:sz w:val="20"/>
          <w:lang w:val="fr-FR"/>
        </w:rPr>
        <w:t xml:space="preserve"> (Chine)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/>
          <w:iCs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/>
          <w:iCs/>
          <w:sz w:val="20"/>
          <w:lang w:val="fr-FR"/>
        </w:rPr>
      </w:pPr>
      <w:r w:rsidRPr="002F01B6">
        <w:rPr>
          <w:rFonts w:cs="Arial"/>
          <w:b/>
          <w:caps/>
          <w:sz w:val="20"/>
          <w:lang w:val="fr-FR"/>
        </w:rPr>
        <w:t>2009</w:t>
      </w:r>
      <w:r w:rsidRPr="002F01B6">
        <w:rPr>
          <w:rFonts w:cs="Arial"/>
          <w:b/>
          <w:caps/>
          <w:sz w:val="20"/>
          <w:lang w:val="fr-FR"/>
        </w:rPr>
        <w:tab/>
      </w:r>
      <w:proofErr w:type="gramStart"/>
      <w:r w:rsidRPr="002F01B6">
        <w:rPr>
          <w:rFonts w:cs="Arial"/>
          <w:b/>
          <w:sz w:val="20"/>
          <w:lang w:val="fr-FR"/>
        </w:rPr>
        <w:t>doctorat</w:t>
      </w:r>
      <w:proofErr w:type="gramEnd"/>
      <w:r w:rsidRPr="002F01B6">
        <w:rPr>
          <w:rFonts w:cs="Arial"/>
          <w:b/>
          <w:sz w:val="20"/>
          <w:lang w:val="fr-FR"/>
        </w:rPr>
        <w:t xml:space="preserve"> </w:t>
      </w:r>
      <w:r w:rsidRPr="002F01B6">
        <w:rPr>
          <w:rFonts w:cs="Arial"/>
          <w:b/>
          <w:i/>
          <w:iCs/>
          <w:sz w:val="20"/>
          <w:lang w:val="fr-FR"/>
        </w:rPr>
        <w:t>honoris causa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i/>
          <w:iCs/>
          <w:sz w:val="20"/>
          <w:lang w:val="fr-FR"/>
        </w:rPr>
        <w:tab/>
      </w:r>
      <w:r w:rsidRPr="002F01B6">
        <w:rPr>
          <w:rFonts w:cs="Arial"/>
          <w:b/>
          <w:i/>
          <w:iCs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>Université technique nationale d’Ukraine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/>
          <w:iCs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/>
          <w:iCs/>
          <w:sz w:val="20"/>
          <w:lang w:val="fr-FR"/>
        </w:rPr>
      </w:pPr>
      <w:r w:rsidRPr="002F01B6">
        <w:rPr>
          <w:rFonts w:cs="Arial"/>
          <w:b/>
          <w:caps/>
          <w:sz w:val="20"/>
          <w:lang w:val="fr-FR"/>
        </w:rPr>
        <w:t>2009</w:t>
      </w:r>
      <w:r w:rsidRPr="002F01B6">
        <w:rPr>
          <w:rFonts w:cs="Arial"/>
          <w:b/>
          <w:caps/>
          <w:sz w:val="20"/>
          <w:lang w:val="fr-FR"/>
        </w:rPr>
        <w:tab/>
      </w:r>
      <w:proofErr w:type="gramStart"/>
      <w:r w:rsidRPr="002F01B6">
        <w:rPr>
          <w:rFonts w:cs="Arial"/>
          <w:b/>
          <w:sz w:val="20"/>
          <w:lang w:val="fr-FR"/>
        </w:rPr>
        <w:t>professeur honoraire</w:t>
      </w:r>
      <w:proofErr w:type="gramEnd"/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i/>
          <w:iCs/>
          <w:sz w:val="20"/>
          <w:lang w:val="fr-FR"/>
        </w:rPr>
        <w:tab/>
      </w:r>
      <w:r w:rsidRPr="002F01B6">
        <w:rPr>
          <w:rFonts w:cs="Arial"/>
          <w:b/>
          <w:i/>
          <w:iCs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>Université de Beijing (Chine)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/>
          <w:iCs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/>
          <w:iCs/>
          <w:sz w:val="20"/>
          <w:lang w:val="fr-FR"/>
        </w:rPr>
      </w:pPr>
      <w:r w:rsidRPr="002F01B6">
        <w:rPr>
          <w:rFonts w:cs="Arial"/>
          <w:b/>
          <w:caps/>
          <w:sz w:val="20"/>
          <w:lang w:val="fr-FR"/>
        </w:rPr>
        <w:t>2008</w:t>
      </w:r>
      <w:r w:rsidRPr="002F01B6">
        <w:rPr>
          <w:rFonts w:cs="Arial"/>
          <w:b/>
          <w:caps/>
          <w:sz w:val="20"/>
          <w:lang w:val="fr-FR"/>
        </w:rPr>
        <w:tab/>
      </w:r>
      <w:proofErr w:type="gramStart"/>
      <w:r w:rsidRPr="002F01B6">
        <w:rPr>
          <w:rFonts w:cs="Arial"/>
          <w:b/>
          <w:sz w:val="20"/>
          <w:lang w:val="fr-FR"/>
        </w:rPr>
        <w:t>membre</w:t>
      </w:r>
      <w:proofErr w:type="gramEnd"/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sz w:val="20"/>
          <w:lang w:val="fr-FR"/>
        </w:rPr>
      </w:pPr>
      <w:r w:rsidRPr="002F01B6">
        <w:rPr>
          <w:rFonts w:cs="Arial"/>
          <w:b/>
          <w:i/>
          <w:iCs/>
          <w:sz w:val="20"/>
          <w:lang w:val="fr-FR"/>
        </w:rPr>
        <w:tab/>
      </w:r>
      <w:r w:rsidRPr="002F01B6">
        <w:rPr>
          <w:rFonts w:cs="Arial"/>
          <w:b/>
          <w:i/>
          <w:iCs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>Académie européenne des sciences et des arts</w:t>
      </w: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/>
          <w:iCs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Cs/>
          <w:sz w:val="20"/>
          <w:lang w:val="fr-FR"/>
        </w:rPr>
      </w:pPr>
      <w:r w:rsidRPr="002F01B6">
        <w:rPr>
          <w:rFonts w:cs="Arial"/>
          <w:b/>
          <w:iCs/>
          <w:sz w:val="20"/>
          <w:lang w:val="fr-FR"/>
        </w:rPr>
        <w:t>2001</w:t>
      </w:r>
      <w:r w:rsidRPr="002F01B6">
        <w:rPr>
          <w:rFonts w:cs="Arial"/>
          <w:b/>
          <w:iCs/>
          <w:sz w:val="20"/>
          <w:lang w:val="fr-FR"/>
        </w:rPr>
        <w:tab/>
      </w:r>
      <w:proofErr w:type="gramStart"/>
      <w:r w:rsidRPr="002F01B6">
        <w:rPr>
          <w:rFonts w:cs="Arial"/>
          <w:b/>
          <w:iCs/>
          <w:sz w:val="20"/>
          <w:lang w:val="fr-FR"/>
        </w:rPr>
        <w:t>professeur honoraire</w:t>
      </w:r>
      <w:proofErr w:type="gramEnd"/>
    </w:p>
    <w:p w:rsidR="00B21A09" w:rsidRPr="002F01B6" w:rsidRDefault="00B21A09" w:rsidP="00B21A09">
      <w:pPr>
        <w:pStyle w:val="Footer"/>
        <w:tabs>
          <w:tab w:val="left" w:pos="2835"/>
        </w:tabs>
        <w:ind w:left="2835" w:hanging="2835"/>
        <w:rPr>
          <w:rFonts w:cs="Arial"/>
          <w:b/>
          <w:iCs/>
          <w:sz w:val="20"/>
          <w:lang w:val="fr-FR"/>
        </w:rPr>
      </w:pPr>
      <w:r w:rsidRPr="002F01B6">
        <w:rPr>
          <w:rFonts w:cs="Arial"/>
          <w:b/>
          <w:iCs/>
          <w:sz w:val="20"/>
          <w:lang w:val="fr-FR"/>
        </w:rPr>
        <w:tab/>
      </w:r>
      <w:r w:rsidRPr="002F01B6">
        <w:rPr>
          <w:rFonts w:cs="Arial"/>
          <w:b/>
          <w:iCs/>
          <w:sz w:val="20"/>
          <w:lang w:val="fr-FR"/>
        </w:rPr>
        <w:tab/>
      </w:r>
      <w:r w:rsidRPr="002F01B6">
        <w:rPr>
          <w:rFonts w:cs="Arial"/>
          <w:sz w:val="20"/>
          <w:lang w:val="fr-FR"/>
        </w:rPr>
        <w:t>Faculté de droit de l’Université de Melbourne (Australie)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b/>
          <w:i/>
          <w:iCs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b/>
          <w:i/>
          <w:iCs/>
          <w:sz w:val="20"/>
          <w:lang w:val="fr-FR"/>
        </w:rPr>
      </w:pPr>
    </w:p>
    <w:p w:rsidR="00B21A09" w:rsidRPr="002F01B6" w:rsidRDefault="00B21A09" w:rsidP="00B21A09">
      <w:pPr>
        <w:rPr>
          <w:rFonts w:cs="Arial"/>
          <w:b/>
          <w:lang w:val="fr-FR"/>
        </w:rPr>
      </w:pPr>
      <w:r w:rsidRPr="002F01B6">
        <w:rPr>
          <w:rFonts w:cs="Arial"/>
          <w:b/>
          <w:lang w:val="fr-FR"/>
        </w:rPr>
        <w:t>COMITÉS CONSULTATIFS ET ÉDITORIAUX</w:t>
      </w:r>
    </w:p>
    <w:p w:rsidR="00B21A09" w:rsidRPr="002F01B6" w:rsidRDefault="00B21A09" w:rsidP="00B21A09">
      <w:pPr>
        <w:rPr>
          <w:rFonts w:cs="Arial"/>
          <w:lang w:val="fr-FR"/>
        </w:rPr>
      </w:pPr>
    </w:p>
    <w:p w:rsidR="00B21A09" w:rsidRPr="002F01B6" w:rsidRDefault="00B21A09" w:rsidP="00B21A09">
      <w:pPr>
        <w:rPr>
          <w:rFonts w:cs="Arial"/>
          <w:lang w:val="fr-FR"/>
        </w:rPr>
      </w:pPr>
      <w:r w:rsidRPr="002F01B6">
        <w:rPr>
          <w:rFonts w:cs="Arial"/>
          <w:lang w:val="fr-FR"/>
        </w:rPr>
        <w:t>Parrain de la Campagne en faveur de l’Université de Melbourne</w:t>
      </w:r>
    </w:p>
    <w:p w:rsidR="00B21A09" w:rsidRPr="002F01B6" w:rsidRDefault="00B21A09" w:rsidP="00B21A09">
      <w:pPr>
        <w:rPr>
          <w:rFonts w:cs="Arial"/>
          <w:lang w:val="fr-FR"/>
        </w:rPr>
      </w:pPr>
    </w:p>
    <w:p w:rsidR="00B21A09" w:rsidRPr="002F01B6" w:rsidRDefault="00B21A09" w:rsidP="00B21A09">
      <w:pPr>
        <w:rPr>
          <w:rFonts w:cs="Arial"/>
          <w:lang w:val="fr-FR"/>
        </w:rPr>
      </w:pPr>
      <w:r w:rsidRPr="002F01B6">
        <w:rPr>
          <w:rFonts w:cs="Arial"/>
          <w:lang w:val="fr-FR"/>
        </w:rPr>
        <w:t xml:space="preserve">Président honoraire du Comité d’administration du Centre for China Innovation Index </w:t>
      </w:r>
      <w:proofErr w:type="spellStart"/>
      <w:r w:rsidRPr="002F01B6">
        <w:rPr>
          <w:rFonts w:cs="Arial"/>
          <w:lang w:val="fr-FR"/>
        </w:rPr>
        <w:t>Research</w:t>
      </w:r>
      <w:proofErr w:type="spellEnd"/>
      <w:r w:rsidRPr="002F01B6">
        <w:rPr>
          <w:rFonts w:cs="Arial"/>
          <w:lang w:val="fr-FR"/>
        </w:rPr>
        <w:t>, Université de Beijing</w:t>
      </w:r>
    </w:p>
    <w:p w:rsidR="00B21A09" w:rsidRPr="002F01B6" w:rsidRDefault="00B21A09" w:rsidP="00B21A09">
      <w:pPr>
        <w:ind w:left="720" w:hanging="720"/>
        <w:rPr>
          <w:rFonts w:cs="Arial"/>
          <w:lang w:val="fr-FR"/>
        </w:rPr>
      </w:pPr>
    </w:p>
    <w:p w:rsidR="00B21A09" w:rsidRPr="002F01B6" w:rsidRDefault="00B21A09" w:rsidP="00B21A09">
      <w:pPr>
        <w:rPr>
          <w:rFonts w:cs="Arial"/>
          <w:lang w:val="fr-FR"/>
        </w:rPr>
      </w:pPr>
      <w:r w:rsidRPr="002F01B6">
        <w:rPr>
          <w:rFonts w:cs="Arial"/>
          <w:lang w:val="fr-FR"/>
        </w:rPr>
        <w:t xml:space="preserve">Comité consultatif, Geneva LL.M. </w:t>
      </w:r>
      <w:proofErr w:type="gramStart"/>
      <w:r w:rsidRPr="002F01B6">
        <w:rPr>
          <w:rFonts w:cs="Arial"/>
          <w:lang w:val="fr-FR"/>
        </w:rPr>
        <w:t>in</w:t>
      </w:r>
      <w:proofErr w:type="gramEnd"/>
      <w:r w:rsidRPr="002F01B6">
        <w:rPr>
          <w:rFonts w:cs="Arial"/>
          <w:lang w:val="fr-FR"/>
        </w:rPr>
        <w:t xml:space="preserve"> International Dispute </w:t>
      </w:r>
      <w:proofErr w:type="spellStart"/>
      <w:r w:rsidRPr="002F01B6">
        <w:rPr>
          <w:rFonts w:cs="Arial"/>
          <w:lang w:val="fr-FR"/>
        </w:rPr>
        <w:t>Settlement</w:t>
      </w:r>
      <w:proofErr w:type="spellEnd"/>
      <w:r w:rsidRPr="002F01B6">
        <w:rPr>
          <w:rFonts w:cs="Arial"/>
          <w:lang w:val="fr-FR"/>
        </w:rPr>
        <w:t>, Université de Genève et Institut de hautes études internationale et du développement</w:t>
      </w:r>
    </w:p>
    <w:p w:rsidR="00B21A09" w:rsidRPr="002F01B6" w:rsidRDefault="00B21A09" w:rsidP="00B21A09">
      <w:pPr>
        <w:ind w:left="720" w:hanging="720"/>
        <w:rPr>
          <w:rFonts w:cs="Arial"/>
          <w:lang w:val="fr-FR"/>
        </w:rPr>
      </w:pPr>
    </w:p>
    <w:p w:rsidR="00B21A09" w:rsidRPr="002F01B6" w:rsidRDefault="00B21A09" w:rsidP="00B21A09">
      <w:pPr>
        <w:ind w:left="720" w:hanging="720"/>
        <w:rPr>
          <w:rFonts w:cs="Arial"/>
          <w:lang w:val="fr-FR"/>
        </w:rPr>
      </w:pPr>
      <w:r w:rsidRPr="002F01B6">
        <w:rPr>
          <w:rFonts w:cs="Arial"/>
          <w:lang w:val="fr-FR"/>
        </w:rPr>
        <w:t>Comité consultatif, Melbourne Journal of International Law</w:t>
      </w:r>
    </w:p>
    <w:p w:rsidR="00B21A09" w:rsidRPr="002F01B6" w:rsidRDefault="00B21A09" w:rsidP="00B21A09">
      <w:pPr>
        <w:ind w:left="720" w:hanging="720"/>
        <w:rPr>
          <w:rFonts w:cs="Arial"/>
          <w:lang w:val="fr-FR"/>
        </w:rPr>
      </w:pPr>
    </w:p>
    <w:p w:rsidR="00B21A09" w:rsidRPr="002F01B6" w:rsidRDefault="00B21A09" w:rsidP="00B21A09">
      <w:pPr>
        <w:rPr>
          <w:rFonts w:cs="Arial"/>
          <w:lang w:val="fr-FR"/>
        </w:rPr>
      </w:pPr>
      <w:r w:rsidRPr="002F01B6">
        <w:rPr>
          <w:rFonts w:cs="Arial"/>
          <w:lang w:val="fr-FR"/>
        </w:rPr>
        <w:t xml:space="preserve">Centre for </w:t>
      </w:r>
      <w:proofErr w:type="spellStart"/>
      <w:r w:rsidRPr="002F01B6">
        <w:rPr>
          <w:rFonts w:cs="Arial"/>
          <w:lang w:val="fr-FR"/>
        </w:rPr>
        <w:t>Intellectual</w:t>
      </w:r>
      <w:proofErr w:type="spellEnd"/>
      <w:r w:rsidRPr="002F01B6">
        <w:rPr>
          <w:rFonts w:cs="Arial"/>
          <w:lang w:val="fr-FR"/>
        </w:rPr>
        <w:t xml:space="preserve"> </w:t>
      </w:r>
      <w:proofErr w:type="spellStart"/>
      <w:r w:rsidRPr="002F01B6">
        <w:rPr>
          <w:rFonts w:cs="Arial"/>
          <w:lang w:val="fr-FR"/>
        </w:rPr>
        <w:t>Property</w:t>
      </w:r>
      <w:proofErr w:type="spellEnd"/>
      <w:r w:rsidRPr="002F01B6">
        <w:rPr>
          <w:rFonts w:cs="Arial"/>
          <w:lang w:val="fr-FR"/>
        </w:rPr>
        <w:t xml:space="preserve"> and Information Law, Faculté de droit, Université de Cambridge (Royaume</w:t>
      </w:r>
      <w:r w:rsidRPr="002F01B6">
        <w:rPr>
          <w:rFonts w:cs="Arial"/>
          <w:lang w:val="fr-FR"/>
        </w:rPr>
        <w:noBreakHyphen/>
        <w:t>Uni)</w:t>
      </w:r>
    </w:p>
    <w:p w:rsidR="00B21A09" w:rsidRPr="002F01B6" w:rsidRDefault="00B21A09" w:rsidP="00B21A09">
      <w:pPr>
        <w:tabs>
          <w:tab w:val="left" w:pos="1843"/>
        </w:tabs>
        <w:ind w:left="709" w:hanging="709"/>
        <w:rPr>
          <w:rFonts w:cs="Arial"/>
          <w:lang w:val="fr-FR"/>
        </w:rPr>
      </w:pPr>
    </w:p>
    <w:p w:rsidR="00B21A09" w:rsidRPr="002F01B6" w:rsidRDefault="00B21A09" w:rsidP="00B21A09">
      <w:pPr>
        <w:ind w:left="720" w:hanging="720"/>
        <w:rPr>
          <w:rFonts w:cs="Arial"/>
          <w:lang w:val="fr-FR"/>
        </w:rPr>
      </w:pPr>
      <w:proofErr w:type="spellStart"/>
      <w:r w:rsidRPr="002F01B6">
        <w:rPr>
          <w:rFonts w:cs="Arial"/>
          <w:lang w:val="fr-FR"/>
        </w:rPr>
        <w:t>Intellectual</w:t>
      </w:r>
      <w:proofErr w:type="spellEnd"/>
      <w:r w:rsidRPr="002F01B6">
        <w:rPr>
          <w:rFonts w:cs="Arial"/>
          <w:lang w:val="fr-FR"/>
        </w:rPr>
        <w:t xml:space="preserve"> </w:t>
      </w:r>
      <w:proofErr w:type="spellStart"/>
      <w:r w:rsidRPr="002F01B6">
        <w:rPr>
          <w:rFonts w:cs="Arial"/>
          <w:lang w:val="fr-FR"/>
        </w:rPr>
        <w:t>Property</w:t>
      </w:r>
      <w:proofErr w:type="spellEnd"/>
      <w:r w:rsidRPr="002F01B6">
        <w:rPr>
          <w:rFonts w:cs="Arial"/>
          <w:lang w:val="fr-FR"/>
        </w:rPr>
        <w:t xml:space="preserve"> </w:t>
      </w:r>
      <w:proofErr w:type="spellStart"/>
      <w:r w:rsidRPr="002F01B6">
        <w:rPr>
          <w:rFonts w:cs="Arial"/>
          <w:lang w:val="fr-FR"/>
        </w:rPr>
        <w:t>Research</w:t>
      </w:r>
      <w:proofErr w:type="spellEnd"/>
      <w:r w:rsidRPr="002F01B6">
        <w:rPr>
          <w:rFonts w:cs="Arial"/>
          <w:lang w:val="fr-FR"/>
        </w:rPr>
        <w:t xml:space="preserve"> Institute of </w:t>
      </w:r>
      <w:proofErr w:type="spellStart"/>
      <w:r w:rsidRPr="002F01B6">
        <w:rPr>
          <w:rFonts w:cs="Arial"/>
          <w:lang w:val="fr-FR"/>
        </w:rPr>
        <w:t>Australia</w:t>
      </w:r>
      <w:proofErr w:type="spellEnd"/>
      <w:r w:rsidRPr="002F01B6">
        <w:rPr>
          <w:rFonts w:cs="Arial"/>
          <w:lang w:val="fr-FR"/>
        </w:rPr>
        <w:t>, Faculté de droit, Université de Melbourne (Australie)</w:t>
      </w:r>
    </w:p>
    <w:p w:rsidR="00B21A09" w:rsidRPr="002F01B6" w:rsidRDefault="00B21A09" w:rsidP="00B21A09">
      <w:pPr>
        <w:ind w:left="720" w:hanging="720"/>
        <w:rPr>
          <w:rFonts w:cs="Arial"/>
          <w:lang w:val="fr-FR"/>
        </w:rPr>
      </w:pPr>
    </w:p>
    <w:p w:rsidR="00B21A09" w:rsidRPr="002F01B6" w:rsidRDefault="00B21A09" w:rsidP="00B21A09">
      <w:pPr>
        <w:ind w:left="720" w:hanging="720"/>
        <w:rPr>
          <w:rFonts w:cs="Arial"/>
          <w:lang w:val="fr-FR"/>
        </w:rPr>
      </w:pPr>
      <w:proofErr w:type="spellStart"/>
      <w:r w:rsidRPr="002F01B6">
        <w:rPr>
          <w:rFonts w:cs="Arial"/>
          <w:lang w:val="fr-FR"/>
        </w:rPr>
        <w:t>Indian</w:t>
      </w:r>
      <w:proofErr w:type="spellEnd"/>
      <w:r w:rsidRPr="002F01B6">
        <w:rPr>
          <w:rFonts w:cs="Arial"/>
          <w:lang w:val="fr-FR"/>
        </w:rPr>
        <w:t xml:space="preserve"> Journal of </w:t>
      </w:r>
      <w:proofErr w:type="spellStart"/>
      <w:r w:rsidRPr="002F01B6">
        <w:rPr>
          <w:rFonts w:cs="Arial"/>
          <w:lang w:val="fr-FR"/>
        </w:rPr>
        <w:t>Intellectual</w:t>
      </w:r>
      <w:proofErr w:type="spellEnd"/>
      <w:r w:rsidRPr="002F01B6">
        <w:rPr>
          <w:rFonts w:cs="Arial"/>
          <w:lang w:val="fr-FR"/>
        </w:rPr>
        <w:t xml:space="preserve"> </w:t>
      </w:r>
      <w:proofErr w:type="spellStart"/>
      <w:r w:rsidRPr="002F01B6">
        <w:rPr>
          <w:rFonts w:cs="Arial"/>
          <w:lang w:val="fr-FR"/>
        </w:rPr>
        <w:t>Property</w:t>
      </w:r>
      <w:proofErr w:type="spellEnd"/>
    </w:p>
    <w:p w:rsidR="00B21A09" w:rsidRPr="002F01B6" w:rsidRDefault="00B21A09" w:rsidP="00B21A09">
      <w:pPr>
        <w:ind w:left="720" w:hanging="720"/>
        <w:rPr>
          <w:rFonts w:cs="Arial"/>
          <w:lang w:val="fr-FR"/>
        </w:rPr>
      </w:pPr>
    </w:p>
    <w:p w:rsidR="00B21A09" w:rsidRPr="002F01B6" w:rsidRDefault="00B21A09" w:rsidP="00B21A09">
      <w:pPr>
        <w:ind w:left="720" w:hanging="720"/>
        <w:rPr>
          <w:rFonts w:cs="Arial"/>
          <w:lang w:val="fr-FR"/>
        </w:rPr>
      </w:pPr>
      <w:r w:rsidRPr="002F01B6">
        <w:rPr>
          <w:rFonts w:cs="Arial"/>
          <w:lang w:val="fr-FR"/>
        </w:rPr>
        <w:t>SCRIPT-</w:t>
      </w:r>
      <w:proofErr w:type="spellStart"/>
      <w:r w:rsidRPr="002F01B6">
        <w:rPr>
          <w:rFonts w:cs="Arial"/>
          <w:lang w:val="fr-FR"/>
        </w:rPr>
        <w:t>ed</w:t>
      </w:r>
      <w:proofErr w:type="spellEnd"/>
      <w:r w:rsidRPr="002F01B6">
        <w:rPr>
          <w:rFonts w:cs="Arial"/>
          <w:lang w:val="fr-FR"/>
        </w:rPr>
        <w:t xml:space="preserve">- A Journal of Law, </w:t>
      </w:r>
      <w:proofErr w:type="spellStart"/>
      <w:r w:rsidRPr="002F01B6">
        <w:rPr>
          <w:rFonts w:cs="Arial"/>
          <w:lang w:val="fr-FR"/>
        </w:rPr>
        <w:t>Technology</w:t>
      </w:r>
      <w:proofErr w:type="spellEnd"/>
      <w:r w:rsidRPr="002F01B6">
        <w:rPr>
          <w:rFonts w:cs="Arial"/>
          <w:lang w:val="fr-FR"/>
        </w:rPr>
        <w:t xml:space="preserve"> &amp; Society (Université d’Édimbourg (Royaume</w:t>
      </w:r>
      <w:r w:rsidRPr="002F01B6">
        <w:rPr>
          <w:rFonts w:cs="Arial"/>
          <w:lang w:val="fr-FR"/>
        </w:rPr>
        <w:noBreakHyphen/>
        <w:t>Uni))</w:t>
      </w:r>
    </w:p>
    <w:p w:rsidR="00B21A09" w:rsidRPr="002F01B6" w:rsidRDefault="00B21A09" w:rsidP="00B21A09">
      <w:pPr>
        <w:ind w:left="720" w:hanging="720"/>
        <w:rPr>
          <w:rFonts w:cs="Arial"/>
          <w:lang w:val="fr-FR"/>
        </w:rPr>
      </w:pPr>
    </w:p>
    <w:p w:rsidR="00B21A09" w:rsidRPr="002F01B6" w:rsidRDefault="00B21A09" w:rsidP="00B21A09">
      <w:pPr>
        <w:ind w:left="720" w:hanging="720"/>
        <w:rPr>
          <w:rFonts w:cs="Arial"/>
          <w:lang w:val="fr-FR"/>
        </w:rPr>
      </w:pPr>
    </w:p>
    <w:p w:rsidR="00B21A09" w:rsidRPr="002F01B6" w:rsidRDefault="00B21A09">
      <w:pPr>
        <w:jc w:val="left"/>
        <w:rPr>
          <w:rFonts w:cs="Arial"/>
          <w:b/>
          <w:caps/>
          <w:lang w:val="fr-FR"/>
        </w:rPr>
      </w:pPr>
      <w:r w:rsidRPr="002F01B6">
        <w:rPr>
          <w:rFonts w:cs="Arial"/>
          <w:b/>
          <w:caps/>
          <w:lang w:val="fr-FR"/>
        </w:rPr>
        <w:br w:type="page"/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caps/>
          <w:sz w:val="20"/>
          <w:lang w:val="fr-FR"/>
        </w:rPr>
      </w:pPr>
      <w:r w:rsidRPr="002F01B6">
        <w:rPr>
          <w:rFonts w:cs="Arial"/>
          <w:b/>
          <w:caps/>
          <w:sz w:val="20"/>
          <w:lang w:val="fr-FR"/>
        </w:rPr>
        <w:lastRenderedPageBreak/>
        <w:t>langues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caps/>
          <w:sz w:val="20"/>
          <w:lang w:val="fr-FR"/>
        </w:rPr>
      </w:pPr>
    </w:p>
    <w:p w:rsidR="00B21A09" w:rsidRPr="002F01B6" w:rsidRDefault="00B21A09" w:rsidP="00DD5215">
      <w:pPr>
        <w:pStyle w:val="Footer"/>
        <w:tabs>
          <w:tab w:val="left" w:pos="0"/>
        </w:tabs>
        <w:rPr>
          <w:rFonts w:cs="Arial"/>
          <w:sz w:val="20"/>
          <w:lang w:val="fr-FR"/>
        </w:rPr>
      </w:pPr>
      <w:proofErr w:type="gramStart"/>
      <w:r w:rsidRPr="002F01B6">
        <w:rPr>
          <w:rFonts w:cs="Arial"/>
          <w:sz w:val="20"/>
          <w:lang w:val="fr-FR"/>
        </w:rPr>
        <w:t>anglais</w:t>
      </w:r>
      <w:proofErr w:type="gramEnd"/>
      <w:r w:rsidRPr="002F01B6">
        <w:rPr>
          <w:rFonts w:cs="Arial"/>
          <w:sz w:val="20"/>
          <w:lang w:val="fr-FR"/>
        </w:rPr>
        <w:t xml:space="preserve"> (langue maternelle), français (parfaite maîtrise)</w:t>
      </w:r>
    </w:p>
    <w:p w:rsidR="00B21A09" w:rsidRPr="002F01B6" w:rsidRDefault="00B21A09" w:rsidP="00DD5215">
      <w:pPr>
        <w:ind w:left="720" w:hanging="720"/>
        <w:rPr>
          <w:rFonts w:cs="Arial"/>
          <w:lang w:val="fr-FR"/>
        </w:rPr>
      </w:pPr>
    </w:p>
    <w:p w:rsidR="00DD5215" w:rsidRPr="002F01B6" w:rsidRDefault="00DD5215" w:rsidP="00DD5215">
      <w:pPr>
        <w:ind w:left="720" w:hanging="720"/>
        <w:rPr>
          <w:rFonts w:cs="Arial"/>
          <w:lang w:val="fr-FR"/>
        </w:rPr>
      </w:pPr>
    </w:p>
    <w:p w:rsidR="00B21A09" w:rsidRPr="0089492A" w:rsidRDefault="00B21A09" w:rsidP="00DD5215">
      <w:pPr>
        <w:pStyle w:val="Footer"/>
        <w:tabs>
          <w:tab w:val="left" w:pos="0"/>
        </w:tabs>
        <w:rPr>
          <w:rFonts w:cs="Arial"/>
          <w:caps/>
          <w:sz w:val="20"/>
        </w:rPr>
      </w:pPr>
      <w:r w:rsidRPr="0089492A">
        <w:rPr>
          <w:rFonts w:cs="Arial"/>
          <w:b/>
          <w:caps/>
          <w:sz w:val="20"/>
        </w:rPr>
        <w:t>publications</w:t>
      </w:r>
      <w:bookmarkStart w:id="4" w:name="_GoBack"/>
      <w:bookmarkEnd w:id="4"/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caps/>
          <w:sz w:val="20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b/>
          <w:sz w:val="20"/>
        </w:rPr>
      </w:pPr>
      <w:proofErr w:type="spellStart"/>
      <w:r w:rsidRPr="0089492A">
        <w:rPr>
          <w:rFonts w:cs="Arial"/>
          <w:b/>
          <w:sz w:val="20"/>
        </w:rPr>
        <w:t>Ouvrages</w:t>
      </w:r>
      <w:proofErr w:type="spellEnd"/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proofErr w:type="gramStart"/>
      <w:r w:rsidRPr="0089492A">
        <w:rPr>
          <w:rFonts w:cs="Arial"/>
          <w:i/>
          <w:sz w:val="20"/>
        </w:rPr>
        <w:t>Breach of Confidence</w:t>
      </w:r>
      <w:r w:rsidRPr="0089492A">
        <w:rPr>
          <w:rFonts w:cs="Arial"/>
          <w:sz w:val="20"/>
        </w:rPr>
        <w:t xml:space="preserve"> (1984), Oxford University Press, Clarendon, pp. 1 à 487 (</w:t>
      </w:r>
      <w:proofErr w:type="spellStart"/>
      <w:r w:rsidRPr="0089492A">
        <w:rPr>
          <w:rFonts w:cs="Arial"/>
          <w:sz w:val="20"/>
        </w:rPr>
        <w:t>republié</w:t>
      </w:r>
      <w:proofErr w:type="spellEnd"/>
      <w:r w:rsidRPr="0089492A">
        <w:rPr>
          <w:rFonts w:cs="Arial"/>
          <w:sz w:val="20"/>
        </w:rPr>
        <w:t xml:space="preserve"> sous le </w:t>
      </w:r>
      <w:proofErr w:type="spellStart"/>
      <w:r w:rsidRPr="0089492A">
        <w:rPr>
          <w:rFonts w:cs="Arial"/>
          <w:sz w:val="20"/>
        </w:rPr>
        <w:t>titre</w:t>
      </w:r>
      <w:proofErr w:type="spellEnd"/>
      <w:r w:rsidRPr="0089492A">
        <w:rPr>
          <w:rFonts w:cs="Arial"/>
          <w:sz w:val="20"/>
        </w:rPr>
        <w:t xml:space="preserve"> </w:t>
      </w:r>
      <w:proofErr w:type="spellStart"/>
      <w:r w:rsidRPr="0089492A">
        <w:rPr>
          <w:rFonts w:cs="Arial"/>
          <w:i/>
          <w:sz w:val="20"/>
        </w:rPr>
        <w:t>Gurry</w:t>
      </w:r>
      <w:proofErr w:type="spellEnd"/>
      <w:r w:rsidRPr="0089492A">
        <w:rPr>
          <w:rFonts w:cs="Arial"/>
          <w:i/>
          <w:sz w:val="20"/>
        </w:rPr>
        <w:t xml:space="preserve"> on</w:t>
      </w:r>
      <w:r w:rsidRPr="0089492A">
        <w:rPr>
          <w:rFonts w:cs="Arial"/>
          <w:sz w:val="20"/>
        </w:rPr>
        <w:t xml:space="preserve"> </w:t>
      </w:r>
      <w:r w:rsidRPr="0089492A">
        <w:rPr>
          <w:rFonts w:cs="Arial"/>
          <w:i/>
          <w:sz w:val="20"/>
        </w:rPr>
        <w:t>Breach of Confidence.</w:t>
      </w:r>
      <w:proofErr w:type="gramEnd"/>
      <w:r w:rsidRPr="0089492A">
        <w:rPr>
          <w:rFonts w:cs="Arial"/>
          <w:i/>
          <w:sz w:val="20"/>
        </w:rPr>
        <w:t xml:space="preserve">  The Protection of Confidential Information, </w:t>
      </w:r>
      <w:proofErr w:type="spellStart"/>
      <w:r w:rsidRPr="0089492A">
        <w:rPr>
          <w:rFonts w:cs="Arial"/>
          <w:sz w:val="20"/>
        </w:rPr>
        <w:t>deuxième</w:t>
      </w:r>
      <w:proofErr w:type="spellEnd"/>
      <w:r w:rsidRPr="0089492A">
        <w:rPr>
          <w:rFonts w:cs="Arial"/>
          <w:sz w:val="20"/>
        </w:rPr>
        <w:t xml:space="preserve"> edition de Tanya</w:t>
      </w:r>
      <w:r w:rsidRPr="0089492A">
        <w:rPr>
          <w:rFonts w:cs="Arial"/>
          <w:bCs/>
          <w:sz w:val="20"/>
        </w:rPr>
        <w:t> </w:t>
      </w:r>
      <w:proofErr w:type="spellStart"/>
      <w:r w:rsidRPr="0089492A">
        <w:rPr>
          <w:rFonts w:cs="Arial"/>
          <w:bCs/>
          <w:sz w:val="20"/>
        </w:rPr>
        <w:t>Aplin</w:t>
      </w:r>
      <w:proofErr w:type="spellEnd"/>
      <w:r w:rsidRPr="0089492A">
        <w:rPr>
          <w:rFonts w:cs="Arial"/>
          <w:sz w:val="20"/>
        </w:rPr>
        <w:t xml:space="preserve">, </w:t>
      </w:r>
      <w:r w:rsidRPr="0089492A">
        <w:rPr>
          <w:rFonts w:cs="Arial"/>
          <w:bCs/>
          <w:sz w:val="20"/>
        </w:rPr>
        <w:t>Lionel </w:t>
      </w:r>
      <w:proofErr w:type="spellStart"/>
      <w:r w:rsidRPr="0089492A">
        <w:rPr>
          <w:rFonts w:cs="Arial"/>
          <w:bCs/>
          <w:sz w:val="20"/>
        </w:rPr>
        <w:t>Bently</w:t>
      </w:r>
      <w:proofErr w:type="spellEnd"/>
      <w:r w:rsidRPr="0089492A">
        <w:rPr>
          <w:rFonts w:cs="Arial"/>
          <w:sz w:val="20"/>
        </w:rPr>
        <w:t xml:space="preserve">, </w:t>
      </w:r>
      <w:r w:rsidRPr="0089492A">
        <w:rPr>
          <w:rFonts w:cs="Arial"/>
          <w:bCs/>
          <w:sz w:val="20"/>
        </w:rPr>
        <w:t>Phillip Johnson</w:t>
      </w:r>
      <w:r w:rsidRPr="0089492A">
        <w:rPr>
          <w:rFonts w:cs="Arial"/>
          <w:sz w:val="20"/>
        </w:rPr>
        <w:t xml:space="preserve"> </w:t>
      </w:r>
      <w:proofErr w:type="gramStart"/>
      <w:r w:rsidRPr="0089492A">
        <w:rPr>
          <w:rFonts w:cs="Arial"/>
          <w:sz w:val="20"/>
        </w:rPr>
        <w:t>et</w:t>
      </w:r>
      <w:proofErr w:type="gramEnd"/>
      <w:r w:rsidRPr="0089492A">
        <w:rPr>
          <w:rFonts w:cs="Arial"/>
          <w:sz w:val="20"/>
        </w:rPr>
        <w:t xml:space="preserve"> </w:t>
      </w:r>
      <w:r w:rsidRPr="0089492A">
        <w:rPr>
          <w:rFonts w:cs="Arial"/>
          <w:bCs/>
          <w:sz w:val="20"/>
        </w:rPr>
        <w:t xml:space="preserve">Simon </w:t>
      </w:r>
      <w:proofErr w:type="spellStart"/>
      <w:r w:rsidRPr="0089492A">
        <w:rPr>
          <w:rFonts w:cs="Arial"/>
          <w:bCs/>
          <w:sz w:val="20"/>
        </w:rPr>
        <w:t>Malynicz</w:t>
      </w:r>
      <w:proofErr w:type="spellEnd"/>
      <w:r w:rsidRPr="0089492A">
        <w:rPr>
          <w:rFonts w:cs="Arial"/>
          <w:bCs/>
          <w:sz w:val="20"/>
        </w:rPr>
        <w:t>, Oxford University Press, Clarendon, 2012)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i/>
          <w:sz w:val="20"/>
        </w:rPr>
        <w:t xml:space="preserve">International Intellectual Property in an Integrated World Economy </w:t>
      </w:r>
      <w:r w:rsidRPr="0089492A">
        <w:rPr>
          <w:rFonts w:cs="Arial"/>
          <w:sz w:val="20"/>
        </w:rPr>
        <w:t xml:space="preserve">(2007) (en collaboration avec Frederick Abbot </w:t>
      </w:r>
      <w:proofErr w:type="gramStart"/>
      <w:r w:rsidRPr="0089492A">
        <w:rPr>
          <w:rFonts w:cs="Arial"/>
          <w:sz w:val="20"/>
        </w:rPr>
        <w:t>et</w:t>
      </w:r>
      <w:proofErr w:type="gramEnd"/>
      <w:r w:rsidRPr="0089492A">
        <w:rPr>
          <w:rFonts w:cs="Arial"/>
          <w:sz w:val="20"/>
        </w:rPr>
        <w:t xml:space="preserve"> Thomas </w:t>
      </w:r>
      <w:proofErr w:type="spellStart"/>
      <w:r w:rsidRPr="0089492A">
        <w:rPr>
          <w:rFonts w:cs="Arial"/>
          <w:sz w:val="20"/>
        </w:rPr>
        <w:t>Cottier</w:t>
      </w:r>
      <w:proofErr w:type="spellEnd"/>
      <w:r w:rsidRPr="0089492A">
        <w:rPr>
          <w:rFonts w:cs="Arial"/>
          <w:sz w:val="20"/>
        </w:rPr>
        <w:t>), Aspen publishers, pp. ix-xxix, 1 – 683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i/>
          <w:sz w:val="20"/>
        </w:rPr>
        <w:t>International Intellectual Property System: Commentary and Materials</w:t>
      </w:r>
      <w:r w:rsidRPr="0089492A">
        <w:rPr>
          <w:rFonts w:cs="Arial"/>
          <w:sz w:val="20"/>
        </w:rPr>
        <w:t xml:space="preserve"> (1999) (en collaboration avec Frederick Abbott </w:t>
      </w:r>
      <w:proofErr w:type="gramStart"/>
      <w:r w:rsidRPr="0089492A">
        <w:rPr>
          <w:rFonts w:cs="Arial"/>
          <w:sz w:val="20"/>
        </w:rPr>
        <w:t>et</w:t>
      </w:r>
      <w:proofErr w:type="gramEnd"/>
      <w:r w:rsidRPr="0089492A">
        <w:rPr>
          <w:rFonts w:cs="Arial"/>
          <w:sz w:val="20"/>
        </w:rPr>
        <w:t xml:space="preserve"> Thomas </w:t>
      </w:r>
      <w:proofErr w:type="spellStart"/>
      <w:r w:rsidRPr="0089492A">
        <w:rPr>
          <w:rFonts w:cs="Arial"/>
          <w:sz w:val="20"/>
        </w:rPr>
        <w:t>Cottie</w:t>
      </w:r>
      <w:proofErr w:type="spellEnd"/>
      <w:r w:rsidRPr="0089492A">
        <w:rPr>
          <w:rFonts w:cs="Arial"/>
          <w:sz w:val="20"/>
        </w:rPr>
        <w:t xml:space="preserve">), Kluwer, pp. </w:t>
      </w:r>
      <w:proofErr w:type="spellStart"/>
      <w:r w:rsidRPr="0089492A">
        <w:rPr>
          <w:rFonts w:cs="Arial"/>
          <w:sz w:val="20"/>
        </w:rPr>
        <w:t>i</w:t>
      </w:r>
      <w:proofErr w:type="spellEnd"/>
      <w:r w:rsidRPr="0089492A">
        <w:rPr>
          <w:rFonts w:cs="Arial"/>
          <w:sz w:val="20"/>
        </w:rPr>
        <w:t>-xxxi, 1 – 2026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b/>
          <w:sz w:val="20"/>
          <w:lang w:val="fr-FR"/>
        </w:rPr>
      </w:pPr>
      <w:r w:rsidRPr="002F01B6">
        <w:rPr>
          <w:rFonts w:cs="Arial"/>
          <w:b/>
          <w:sz w:val="20"/>
          <w:lang w:val="fr-FR"/>
        </w:rPr>
        <w:t>Chapitres dans des ouvrages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Avant</w:t>
      </w:r>
      <w:r w:rsidRPr="002F01B6">
        <w:rPr>
          <w:rFonts w:cs="Arial"/>
          <w:sz w:val="20"/>
          <w:lang w:val="fr-FR"/>
        </w:rPr>
        <w:noBreakHyphen/>
        <w:t xml:space="preserve">propos de </w:t>
      </w:r>
      <w:r w:rsidRPr="002F01B6">
        <w:rPr>
          <w:rFonts w:cs="Arial"/>
          <w:i/>
          <w:sz w:val="20"/>
          <w:lang w:val="fr-FR"/>
        </w:rPr>
        <w:t>International Domain Name Law: ICANN and the UDRP</w:t>
      </w:r>
      <w:r w:rsidRPr="002F01B6">
        <w:rPr>
          <w:rFonts w:cs="Arial"/>
          <w:sz w:val="20"/>
          <w:lang w:val="fr-FR"/>
        </w:rPr>
        <w:t xml:space="preserve">, David Lindsay </w:t>
      </w:r>
      <w:r w:rsidRPr="002F01B6">
        <w:rPr>
          <w:rFonts w:cs="Arial"/>
          <w:sz w:val="20"/>
          <w:lang w:val="fr-FR"/>
        </w:rPr>
        <w:br/>
        <w:t>(Hart, Oxford, 2007)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 xml:space="preserve">Préface </w:t>
      </w:r>
      <w:proofErr w:type="gramStart"/>
      <w:r w:rsidRPr="002F01B6">
        <w:rPr>
          <w:rFonts w:cs="Arial"/>
          <w:sz w:val="20"/>
          <w:lang w:val="fr-FR"/>
        </w:rPr>
        <w:t xml:space="preserve">de </w:t>
      </w:r>
      <w:r w:rsidRPr="002F01B6">
        <w:rPr>
          <w:rFonts w:cs="Arial"/>
          <w:i/>
          <w:sz w:val="20"/>
          <w:lang w:val="fr-FR"/>
        </w:rPr>
        <w:t>Inventions</w:t>
      </w:r>
      <w:proofErr w:type="gramEnd"/>
      <w:r w:rsidRPr="002F01B6">
        <w:rPr>
          <w:rFonts w:cs="Arial"/>
          <w:sz w:val="20"/>
          <w:lang w:val="fr-FR"/>
        </w:rPr>
        <w:t>, Valérie</w:t>
      </w:r>
      <w:r w:rsidRPr="002F01B6">
        <w:rPr>
          <w:rFonts w:cs="Arial"/>
          <w:sz w:val="20"/>
          <w:lang w:val="fr-FR"/>
        </w:rPr>
        <w:noBreakHyphen/>
        <w:t xml:space="preserve">Anne Giscard d’Estaing (édition 2007) (Michel </w:t>
      </w:r>
      <w:proofErr w:type="spellStart"/>
      <w:r w:rsidRPr="002F01B6">
        <w:rPr>
          <w:rFonts w:cs="Arial"/>
          <w:sz w:val="20"/>
          <w:lang w:val="fr-FR"/>
        </w:rPr>
        <w:t>Lafon</w:t>
      </w:r>
      <w:proofErr w:type="spellEnd"/>
      <w:r w:rsidRPr="002F01B6">
        <w:rPr>
          <w:rFonts w:cs="Arial"/>
          <w:sz w:val="20"/>
          <w:lang w:val="fr-FR"/>
        </w:rPr>
        <w:t>)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  <w:r w:rsidRPr="0089492A">
        <w:rPr>
          <w:rFonts w:cs="Arial"/>
          <w:sz w:val="20"/>
        </w:rPr>
        <w:t>Avant</w:t>
      </w:r>
      <w:r w:rsidRPr="0089492A">
        <w:rPr>
          <w:rFonts w:cs="Arial"/>
          <w:sz w:val="20"/>
        </w:rPr>
        <w:noBreakHyphen/>
        <w:t xml:space="preserve">propos de </w:t>
      </w:r>
      <w:r w:rsidRPr="0089492A">
        <w:rPr>
          <w:rFonts w:cs="Arial"/>
          <w:i/>
          <w:sz w:val="20"/>
        </w:rPr>
        <w:t xml:space="preserve">Intellectual Property Management in Health and Agricultural Innovation </w:t>
      </w:r>
      <w:r w:rsidRPr="0089492A">
        <w:rPr>
          <w:rFonts w:cs="Arial"/>
          <w:sz w:val="20"/>
        </w:rPr>
        <w:t>(eds. </w:t>
      </w:r>
      <w:r w:rsidRPr="002F01B6">
        <w:rPr>
          <w:rFonts w:cs="Arial"/>
          <w:sz w:val="20"/>
          <w:lang w:val="fr-FR"/>
        </w:rPr>
        <w:t>A. </w:t>
      </w:r>
      <w:proofErr w:type="spellStart"/>
      <w:r w:rsidRPr="002F01B6">
        <w:rPr>
          <w:rFonts w:cs="Arial"/>
          <w:sz w:val="20"/>
          <w:lang w:val="fr-FR"/>
        </w:rPr>
        <w:t>Krattinger</w:t>
      </w:r>
      <w:proofErr w:type="spellEnd"/>
      <w:r w:rsidRPr="002F01B6">
        <w:rPr>
          <w:rFonts w:cs="Arial"/>
          <w:sz w:val="20"/>
          <w:lang w:val="fr-FR"/>
        </w:rPr>
        <w:t> et al) (MIHR and PIPR) (2007)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sz w:val="20"/>
        </w:rPr>
        <w:t xml:space="preserve">“The Uniform Domain Name Dispute Resolution Policy” (2002) XXVII </w:t>
      </w:r>
      <w:r w:rsidRPr="0089492A">
        <w:rPr>
          <w:rFonts w:cs="Arial"/>
          <w:i/>
          <w:sz w:val="20"/>
        </w:rPr>
        <w:t>Yearbook Commercial Arbitration</w:t>
      </w:r>
      <w:r w:rsidRPr="0089492A">
        <w:rPr>
          <w:rFonts w:cs="Arial"/>
          <w:sz w:val="20"/>
        </w:rPr>
        <w:t> 299</w:t>
      </w:r>
      <w:r w:rsidRPr="0089492A">
        <w:rPr>
          <w:rFonts w:cs="Arial"/>
          <w:sz w:val="20"/>
        </w:rPr>
        <w:noBreakHyphen/>
        <w:t>304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Avant</w:t>
      </w:r>
      <w:r w:rsidRPr="002F01B6">
        <w:rPr>
          <w:rFonts w:cs="Arial"/>
          <w:sz w:val="20"/>
          <w:lang w:val="fr-FR"/>
        </w:rPr>
        <w:noBreakHyphen/>
        <w:t xml:space="preserve">propos de </w:t>
      </w:r>
      <w:proofErr w:type="spellStart"/>
      <w:r w:rsidRPr="002F01B6">
        <w:rPr>
          <w:rFonts w:cs="Arial"/>
          <w:i/>
          <w:sz w:val="20"/>
          <w:lang w:val="fr-FR"/>
        </w:rPr>
        <w:t>Martindale</w:t>
      </w:r>
      <w:proofErr w:type="spellEnd"/>
      <w:r w:rsidRPr="002F01B6">
        <w:rPr>
          <w:rFonts w:cs="Arial"/>
          <w:i/>
          <w:sz w:val="20"/>
          <w:lang w:val="fr-FR"/>
        </w:rPr>
        <w:t xml:space="preserve"> – </w:t>
      </w:r>
      <w:proofErr w:type="spellStart"/>
      <w:r w:rsidRPr="002F01B6">
        <w:rPr>
          <w:rFonts w:cs="Arial"/>
          <w:i/>
          <w:sz w:val="20"/>
          <w:lang w:val="fr-FR"/>
        </w:rPr>
        <w:t>Hubbell</w:t>
      </w:r>
      <w:proofErr w:type="spellEnd"/>
      <w:r w:rsidRPr="002F01B6">
        <w:rPr>
          <w:rFonts w:cs="Arial"/>
          <w:i/>
          <w:sz w:val="20"/>
          <w:lang w:val="fr-FR"/>
        </w:rPr>
        <w:t xml:space="preserve"> International Arbitration and Dispute </w:t>
      </w:r>
      <w:proofErr w:type="spellStart"/>
      <w:r w:rsidRPr="002F01B6">
        <w:rPr>
          <w:rFonts w:cs="Arial"/>
          <w:i/>
          <w:sz w:val="20"/>
          <w:lang w:val="fr-FR"/>
        </w:rPr>
        <w:t>Resolution</w:t>
      </w:r>
      <w:proofErr w:type="spellEnd"/>
      <w:r w:rsidRPr="002F01B6">
        <w:rPr>
          <w:rFonts w:cs="Arial"/>
          <w:i/>
          <w:sz w:val="20"/>
          <w:lang w:val="fr-FR"/>
        </w:rPr>
        <w:t xml:space="preserve"> Directory</w:t>
      </w:r>
      <w:r w:rsidRPr="002F01B6">
        <w:rPr>
          <w:rFonts w:cs="Arial"/>
          <w:sz w:val="20"/>
          <w:lang w:val="fr-FR"/>
        </w:rPr>
        <w:t xml:space="preserve"> (1999) (</w:t>
      </w:r>
      <w:proofErr w:type="spellStart"/>
      <w:r w:rsidRPr="002F01B6">
        <w:rPr>
          <w:rFonts w:cs="Arial"/>
          <w:sz w:val="20"/>
          <w:lang w:val="fr-FR"/>
        </w:rPr>
        <w:t>Martindale</w:t>
      </w:r>
      <w:proofErr w:type="spellEnd"/>
      <w:r w:rsidRPr="002F01B6">
        <w:rPr>
          <w:rFonts w:cs="Arial"/>
          <w:sz w:val="20"/>
          <w:lang w:val="fr-FR"/>
        </w:rPr>
        <w:t xml:space="preserve"> – </w:t>
      </w:r>
      <w:proofErr w:type="spellStart"/>
      <w:r w:rsidRPr="002F01B6">
        <w:rPr>
          <w:rFonts w:cs="Arial"/>
          <w:sz w:val="20"/>
          <w:lang w:val="fr-FR"/>
        </w:rPr>
        <w:t>Hubbell</w:t>
      </w:r>
      <w:proofErr w:type="spellEnd"/>
      <w:r w:rsidRPr="002F01B6">
        <w:rPr>
          <w:rFonts w:cs="Arial"/>
          <w:sz w:val="20"/>
          <w:lang w:val="fr-FR"/>
        </w:rPr>
        <w:t xml:space="preserve">, East </w:t>
      </w:r>
      <w:proofErr w:type="spellStart"/>
      <w:r w:rsidRPr="002F01B6">
        <w:rPr>
          <w:rFonts w:cs="Arial"/>
          <w:sz w:val="20"/>
          <w:lang w:val="fr-FR"/>
        </w:rPr>
        <w:t>Grinstead</w:t>
      </w:r>
      <w:proofErr w:type="spellEnd"/>
      <w:r w:rsidRPr="002F01B6">
        <w:rPr>
          <w:rFonts w:cs="Arial"/>
          <w:sz w:val="20"/>
          <w:lang w:val="fr-FR"/>
        </w:rPr>
        <w:t>, U.K.)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 xml:space="preserve">“WIPO Arbitration Center” dans </w:t>
      </w:r>
      <w:r w:rsidRPr="002F01B6">
        <w:rPr>
          <w:rFonts w:cs="Arial"/>
          <w:i/>
          <w:sz w:val="20"/>
          <w:lang w:val="fr-FR"/>
        </w:rPr>
        <w:t>ADR Guide</w:t>
      </w:r>
      <w:r w:rsidRPr="002F01B6">
        <w:rPr>
          <w:rFonts w:cs="Arial"/>
          <w:sz w:val="20"/>
          <w:lang w:val="fr-FR"/>
        </w:rPr>
        <w:t xml:space="preserve"> de l’Association américaine du droit de la propriété intellectuelle (1994)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“</w:t>
      </w:r>
      <w:proofErr w:type="spellStart"/>
      <w:r w:rsidRPr="002F01B6">
        <w:rPr>
          <w:rFonts w:cs="Arial"/>
          <w:sz w:val="20"/>
          <w:lang w:val="fr-FR"/>
        </w:rPr>
        <w:t>Arbitrability</w:t>
      </w:r>
      <w:proofErr w:type="spellEnd"/>
      <w:r w:rsidRPr="002F01B6">
        <w:rPr>
          <w:rFonts w:cs="Arial"/>
          <w:sz w:val="20"/>
          <w:lang w:val="fr-FR"/>
        </w:rPr>
        <w:t xml:space="preserve"> of </w:t>
      </w:r>
      <w:proofErr w:type="spellStart"/>
      <w:r w:rsidRPr="002F01B6">
        <w:rPr>
          <w:rFonts w:cs="Arial"/>
          <w:sz w:val="20"/>
          <w:lang w:val="fr-FR"/>
        </w:rPr>
        <w:t>Intellectual</w:t>
      </w:r>
      <w:proofErr w:type="spellEnd"/>
      <w:r w:rsidRPr="002F01B6">
        <w:rPr>
          <w:rFonts w:cs="Arial"/>
          <w:sz w:val="20"/>
          <w:lang w:val="fr-FR"/>
        </w:rPr>
        <w:t xml:space="preserve"> </w:t>
      </w:r>
      <w:proofErr w:type="spellStart"/>
      <w:r w:rsidRPr="002F01B6">
        <w:rPr>
          <w:rFonts w:cs="Arial"/>
          <w:sz w:val="20"/>
          <w:lang w:val="fr-FR"/>
        </w:rPr>
        <w:t>Property</w:t>
      </w:r>
      <w:proofErr w:type="spellEnd"/>
      <w:r w:rsidRPr="002F01B6">
        <w:rPr>
          <w:rFonts w:cs="Arial"/>
          <w:sz w:val="20"/>
          <w:lang w:val="fr-FR"/>
        </w:rPr>
        <w:t xml:space="preserve"> Disputes” dans </w:t>
      </w:r>
      <w:r w:rsidRPr="002F01B6">
        <w:rPr>
          <w:rFonts w:cs="Arial"/>
          <w:i/>
          <w:sz w:val="20"/>
          <w:lang w:val="fr-FR"/>
        </w:rPr>
        <w:t xml:space="preserve">Objective </w:t>
      </w:r>
      <w:proofErr w:type="spellStart"/>
      <w:r w:rsidRPr="002F01B6">
        <w:rPr>
          <w:rFonts w:cs="Arial"/>
          <w:i/>
          <w:sz w:val="20"/>
          <w:lang w:val="fr-FR"/>
        </w:rPr>
        <w:t>Arbitrability</w:t>
      </w:r>
      <w:proofErr w:type="spellEnd"/>
      <w:r w:rsidRPr="002F01B6">
        <w:rPr>
          <w:rFonts w:cs="Arial"/>
          <w:i/>
          <w:sz w:val="20"/>
          <w:lang w:val="fr-FR"/>
        </w:rPr>
        <w:t xml:space="preserve">, Antitrust Disputes, </w:t>
      </w:r>
      <w:proofErr w:type="spellStart"/>
      <w:r w:rsidRPr="002F01B6">
        <w:rPr>
          <w:rFonts w:cs="Arial"/>
          <w:i/>
          <w:sz w:val="20"/>
          <w:lang w:val="fr-FR"/>
        </w:rPr>
        <w:t>Intellectual</w:t>
      </w:r>
      <w:proofErr w:type="spellEnd"/>
      <w:r w:rsidRPr="002F01B6">
        <w:rPr>
          <w:rFonts w:cs="Arial"/>
          <w:i/>
          <w:sz w:val="20"/>
          <w:lang w:val="fr-FR"/>
        </w:rPr>
        <w:t xml:space="preserve"> </w:t>
      </w:r>
      <w:proofErr w:type="spellStart"/>
      <w:r w:rsidRPr="002F01B6">
        <w:rPr>
          <w:rFonts w:cs="Arial"/>
          <w:i/>
          <w:sz w:val="20"/>
          <w:lang w:val="fr-FR"/>
        </w:rPr>
        <w:t>Property</w:t>
      </w:r>
      <w:proofErr w:type="spellEnd"/>
      <w:r w:rsidRPr="002F01B6">
        <w:rPr>
          <w:rFonts w:cs="Arial"/>
          <w:i/>
          <w:sz w:val="20"/>
          <w:lang w:val="fr-FR"/>
        </w:rPr>
        <w:t xml:space="preserve"> Disputes</w:t>
      </w:r>
      <w:r w:rsidRPr="002F01B6">
        <w:rPr>
          <w:rFonts w:cs="Arial"/>
          <w:sz w:val="20"/>
          <w:lang w:val="fr-FR"/>
        </w:rPr>
        <w:t xml:space="preserve"> de l’Association suisse d’arbitrage (ASA série spéciale N/6, 1994)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sz w:val="20"/>
        </w:rPr>
        <w:t xml:space="preserve">“Institutional Aspects” </w:t>
      </w:r>
      <w:proofErr w:type="spellStart"/>
      <w:r w:rsidRPr="0089492A">
        <w:rPr>
          <w:rFonts w:cs="Arial"/>
          <w:sz w:val="20"/>
        </w:rPr>
        <w:t>dans</w:t>
      </w:r>
      <w:proofErr w:type="spellEnd"/>
      <w:r w:rsidRPr="0089492A">
        <w:rPr>
          <w:rFonts w:cs="Arial"/>
          <w:sz w:val="20"/>
        </w:rPr>
        <w:t xml:space="preserve"> </w:t>
      </w:r>
      <w:r w:rsidRPr="0089492A">
        <w:rPr>
          <w:rFonts w:cs="Arial"/>
          <w:i/>
          <w:sz w:val="20"/>
        </w:rPr>
        <w:t>Electronic Highways for World Trade – Issues in Telecommunication and Data Services</w:t>
      </w:r>
      <w:r w:rsidRPr="0089492A">
        <w:rPr>
          <w:rFonts w:cs="Arial"/>
          <w:sz w:val="20"/>
        </w:rPr>
        <w:t>, sous la direction de Peter Robinson, Karl P. </w:t>
      </w:r>
      <w:proofErr w:type="spellStart"/>
      <w:r w:rsidRPr="0089492A">
        <w:rPr>
          <w:rFonts w:cs="Arial"/>
          <w:sz w:val="20"/>
        </w:rPr>
        <w:t>Sauvant</w:t>
      </w:r>
      <w:proofErr w:type="spellEnd"/>
      <w:r w:rsidRPr="0089492A">
        <w:rPr>
          <w:rFonts w:cs="Arial"/>
          <w:sz w:val="20"/>
        </w:rPr>
        <w:t xml:space="preserve"> </w:t>
      </w:r>
      <w:proofErr w:type="gramStart"/>
      <w:r w:rsidRPr="0089492A">
        <w:rPr>
          <w:rFonts w:cs="Arial"/>
          <w:sz w:val="20"/>
        </w:rPr>
        <w:t>et</w:t>
      </w:r>
      <w:proofErr w:type="gramEnd"/>
      <w:r w:rsidRPr="0089492A">
        <w:rPr>
          <w:rFonts w:cs="Arial"/>
          <w:sz w:val="20"/>
        </w:rPr>
        <w:t xml:space="preserve"> </w:t>
      </w:r>
      <w:proofErr w:type="spellStart"/>
      <w:r w:rsidRPr="0089492A">
        <w:rPr>
          <w:rFonts w:cs="Arial"/>
          <w:sz w:val="20"/>
        </w:rPr>
        <w:t>Vishwas</w:t>
      </w:r>
      <w:proofErr w:type="spellEnd"/>
      <w:r w:rsidRPr="0089492A">
        <w:rPr>
          <w:rFonts w:cs="Arial"/>
          <w:sz w:val="20"/>
        </w:rPr>
        <w:t> P. </w:t>
      </w:r>
      <w:proofErr w:type="spellStart"/>
      <w:r w:rsidRPr="0089492A">
        <w:rPr>
          <w:rFonts w:cs="Arial"/>
          <w:sz w:val="20"/>
        </w:rPr>
        <w:t>Govitrikar</w:t>
      </w:r>
      <w:proofErr w:type="spellEnd"/>
      <w:r w:rsidRPr="0089492A">
        <w:rPr>
          <w:rFonts w:cs="Arial"/>
          <w:sz w:val="20"/>
        </w:rPr>
        <w:t xml:space="preserve"> (Westview Press, 1989)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sz w:val="20"/>
        </w:rPr>
        <w:t>“Liability Issues Affecting Non</w:t>
      </w:r>
      <w:r w:rsidRPr="0089492A">
        <w:rPr>
          <w:rFonts w:cs="Arial"/>
          <w:sz w:val="20"/>
        </w:rPr>
        <w:noBreakHyphen/>
        <w:t xml:space="preserve">Contracting Parties” </w:t>
      </w:r>
      <w:proofErr w:type="spellStart"/>
      <w:r w:rsidRPr="0089492A">
        <w:rPr>
          <w:rFonts w:cs="Arial"/>
          <w:sz w:val="20"/>
        </w:rPr>
        <w:t>dans</w:t>
      </w:r>
      <w:proofErr w:type="spellEnd"/>
      <w:r w:rsidRPr="0089492A">
        <w:rPr>
          <w:rFonts w:cs="Arial"/>
          <w:sz w:val="20"/>
        </w:rPr>
        <w:t xml:space="preserve"> </w:t>
      </w:r>
      <w:proofErr w:type="spellStart"/>
      <w:r w:rsidRPr="0089492A">
        <w:rPr>
          <w:rFonts w:cs="Arial"/>
          <w:i/>
          <w:sz w:val="20"/>
        </w:rPr>
        <w:t>Transborder</w:t>
      </w:r>
      <w:proofErr w:type="spellEnd"/>
      <w:r w:rsidRPr="0089492A">
        <w:rPr>
          <w:rFonts w:cs="Arial"/>
          <w:i/>
          <w:sz w:val="20"/>
        </w:rPr>
        <w:t xml:space="preserve"> Data Flows</w:t>
      </w:r>
      <w:r w:rsidRPr="0089492A">
        <w:rPr>
          <w:rFonts w:cs="Arial"/>
          <w:sz w:val="20"/>
        </w:rPr>
        <w:t xml:space="preserve"> de </w:t>
      </w:r>
      <w:proofErr w:type="spellStart"/>
      <w:r w:rsidRPr="0089492A">
        <w:rPr>
          <w:rFonts w:cs="Arial"/>
          <w:sz w:val="20"/>
        </w:rPr>
        <w:t>l’OCDE</w:t>
      </w:r>
      <w:proofErr w:type="spellEnd"/>
      <w:r w:rsidRPr="0089492A">
        <w:rPr>
          <w:rFonts w:cs="Arial"/>
          <w:sz w:val="20"/>
        </w:rPr>
        <w:t xml:space="preserve"> (North Holland, 1985)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  <w:r w:rsidRPr="0089492A">
        <w:rPr>
          <w:rFonts w:cs="Arial"/>
          <w:sz w:val="20"/>
        </w:rPr>
        <w:t xml:space="preserve">“Confidentia1ity” </w:t>
      </w:r>
      <w:proofErr w:type="spellStart"/>
      <w:r w:rsidRPr="0089492A">
        <w:rPr>
          <w:rFonts w:cs="Arial"/>
          <w:sz w:val="20"/>
        </w:rPr>
        <w:t>dans</w:t>
      </w:r>
      <w:proofErr w:type="spellEnd"/>
      <w:r w:rsidRPr="0089492A">
        <w:rPr>
          <w:rFonts w:cs="Arial"/>
          <w:sz w:val="20"/>
        </w:rPr>
        <w:t xml:space="preserve"> </w:t>
      </w:r>
      <w:r w:rsidRPr="0089492A">
        <w:rPr>
          <w:rFonts w:cs="Arial"/>
          <w:i/>
          <w:sz w:val="20"/>
        </w:rPr>
        <w:t>Essays in Equity</w:t>
      </w:r>
      <w:r w:rsidRPr="0089492A">
        <w:rPr>
          <w:rFonts w:cs="Arial"/>
          <w:sz w:val="20"/>
        </w:rPr>
        <w:t xml:space="preserve">, P. D. Finn (Ed.) </w:t>
      </w:r>
      <w:r w:rsidRPr="002F01B6">
        <w:rPr>
          <w:rFonts w:cs="Arial"/>
          <w:sz w:val="20"/>
          <w:lang w:val="fr-FR"/>
        </w:rPr>
        <w:t xml:space="preserve">(Law Book </w:t>
      </w:r>
      <w:proofErr w:type="spellStart"/>
      <w:r w:rsidRPr="002F01B6">
        <w:rPr>
          <w:rFonts w:cs="Arial"/>
          <w:sz w:val="20"/>
          <w:lang w:val="fr-FR"/>
        </w:rPr>
        <w:t>Company</w:t>
      </w:r>
      <w:proofErr w:type="spellEnd"/>
      <w:r w:rsidRPr="002F01B6">
        <w:rPr>
          <w:rFonts w:cs="Arial"/>
          <w:sz w:val="20"/>
          <w:lang w:val="fr-FR"/>
        </w:rPr>
        <w:t>, Sydney, 1985)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b/>
          <w:sz w:val="20"/>
        </w:rPr>
      </w:pPr>
      <w:r w:rsidRPr="0089492A">
        <w:rPr>
          <w:rFonts w:cs="Arial"/>
          <w:b/>
          <w:sz w:val="20"/>
        </w:rPr>
        <w:t>Articles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sz w:val="20"/>
        </w:rPr>
        <w:t>“Copyright in the Digital Environment: Restoring the Balance” (24</w:t>
      </w:r>
      <w:r w:rsidRPr="0089492A">
        <w:rPr>
          <w:rFonts w:cs="Arial"/>
          <w:sz w:val="20"/>
          <w:vertAlign w:val="superscript"/>
        </w:rPr>
        <w:t>th</w:t>
      </w:r>
      <w:r w:rsidRPr="0089492A">
        <w:rPr>
          <w:rFonts w:cs="Arial"/>
          <w:sz w:val="20"/>
        </w:rPr>
        <w:t xml:space="preserve"> Horace S. </w:t>
      </w:r>
      <w:proofErr w:type="spellStart"/>
      <w:r w:rsidRPr="0089492A">
        <w:rPr>
          <w:rFonts w:cs="Arial"/>
          <w:sz w:val="20"/>
        </w:rPr>
        <w:t>Manges</w:t>
      </w:r>
      <w:proofErr w:type="spellEnd"/>
      <w:r w:rsidRPr="0089492A">
        <w:rPr>
          <w:rFonts w:cs="Arial"/>
          <w:sz w:val="20"/>
        </w:rPr>
        <w:t xml:space="preserve"> Lecture, 6 </w:t>
      </w:r>
      <w:proofErr w:type="spellStart"/>
      <w:r w:rsidRPr="0089492A">
        <w:rPr>
          <w:rFonts w:cs="Arial"/>
          <w:sz w:val="20"/>
        </w:rPr>
        <w:t>avril</w:t>
      </w:r>
      <w:proofErr w:type="spellEnd"/>
      <w:r w:rsidRPr="0089492A">
        <w:rPr>
          <w:rFonts w:cs="Arial"/>
          <w:sz w:val="20"/>
        </w:rPr>
        <w:t xml:space="preserve"> 2011) (2011) 35 </w:t>
      </w:r>
      <w:r w:rsidRPr="0089492A">
        <w:rPr>
          <w:rFonts w:cs="Arial"/>
          <w:i/>
          <w:sz w:val="20"/>
        </w:rPr>
        <w:t>Columbia Journal of Law and the Arts</w:t>
      </w:r>
      <w:r w:rsidRPr="0089492A">
        <w:rPr>
          <w:rFonts w:cs="Arial"/>
          <w:sz w:val="20"/>
        </w:rPr>
        <w:t>, 1 – 15.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sz w:val="20"/>
        </w:rPr>
        <w:t xml:space="preserve">“The Cambrian Explosion” (2007) 38 </w:t>
      </w:r>
      <w:r w:rsidRPr="0089492A">
        <w:rPr>
          <w:rFonts w:cs="Arial"/>
          <w:i/>
          <w:sz w:val="20"/>
        </w:rPr>
        <w:t>International Review of Intellectual Property and Competition Law</w:t>
      </w:r>
      <w:r w:rsidRPr="0089492A">
        <w:rPr>
          <w:rFonts w:cs="Arial"/>
          <w:sz w:val="20"/>
        </w:rPr>
        <w:t xml:space="preserve"> 255 – 258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sz w:val="20"/>
        </w:rPr>
        <w:t xml:space="preserve">“Globalization, Intellectual Property and Development” </w:t>
      </w:r>
      <w:r w:rsidRPr="0089492A">
        <w:rPr>
          <w:rFonts w:cs="Arial"/>
          <w:i/>
          <w:sz w:val="20"/>
        </w:rPr>
        <w:t>Proceedings of the American Society of International Law</w:t>
      </w:r>
      <w:r w:rsidRPr="0089492A">
        <w:rPr>
          <w:rFonts w:cs="Arial"/>
          <w:sz w:val="20"/>
        </w:rPr>
        <w:t xml:space="preserve"> 2005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sz w:val="20"/>
        </w:rPr>
        <w:lastRenderedPageBreak/>
        <w:t xml:space="preserve">“The Growing Complexity of International Policy in Intellectual Property” (2005) 11 (1) </w:t>
      </w:r>
      <w:r w:rsidRPr="0089492A">
        <w:rPr>
          <w:rFonts w:cs="Arial"/>
          <w:i/>
          <w:sz w:val="20"/>
        </w:rPr>
        <w:t>Science and Engineering Ethics</w:t>
      </w:r>
      <w:r w:rsidRPr="0089492A">
        <w:rPr>
          <w:rFonts w:cs="Arial"/>
          <w:sz w:val="20"/>
        </w:rPr>
        <w:t xml:space="preserve"> 13 – 20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sz w:val="20"/>
        </w:rPr>
        <w:t xml:space="preserve">“The Dispute Resolution Services of the World Intellectual Property Organization” (1999) </w:t>
      </w:r>
      <w:r w:rsidRPr="0089492A">
        <w:rPr>
          <w:rFonts w:cs="Arial"/>
          <w:i/>
          <w:sz w:val="20"/>
        </w:rPr>
        <w:t>Journal of International Economic Law</w:t>
      </w:r>
      <w:r w:rsidRPr="0089492A">
        <w:rPr>
          <w:rFonts w:cs="Arial"/>
          <w:sz w:val="20"/>
        </w:rPr>
        <w:t xml:space="preserve"> 385 – 398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  <w:r w:rsidRPr="0089492A">
        <w:rPr>
          <w:rFonts w:cs="Arial"/>
          <w:sz w:val="20"/>
        </w:rPr>
        <w:t xml:space="preserve">“The Evolution of Technology and Markets and the Management of Intellectual Property Rights” </w:t>
      </w:r>
      <w:proofErr w:type="spellStart"/>
      <w:r w:rsidRPr="0089492A">
        <w:rPr>
          <w:rFonts w:cs="Arial"/>
          <w:sz w:val="20"/>
        </w:rPr>
        <w:t>dans</w:t>
      </w:r>
      <w:proofErr w:type="spellEnd"/>
      <w:r w:rsidRPr="0089492A">
        <w:rPr>
          <w:rFonts w:cs="Arial"/>
          <w:sz w:val="20"/>
        </w:rPr>
        <w:t xml:space="preserve"> </w:t>
      </w:r>
      <w:r w:rsidRPr="0089492A">
        <w:rPr>
          <w:rFonts w:cs="Arial"/>
          <w:i/>
          <w:sz w:val="20"/>
        </w:rPr>
        <w:t>Public Policy and Global Technology Integration</w:t>
      </w:r>
      <w:r w:rsidRPr="0089492A">
        <w:rPr>
          <w:rFonts w:cs="Arial"/>
          <w:sz w:val="20"/>
        </w:rPr>
        <w:t xml:space="preserve"> de Frederick Abbott </w:t>
      </w:r>
      <w:proofErr w:type="gramStart"/>
      <w:r w:rsidRPr="0089492A">
        <w:rPr>
          <w:rFonts w:cs="Arial"/>
          <w:sz w:val="20"/>
        </w:rPr>
        <w:t>et</w:t>
      </w:r>
      <w:proofErr w:type="gramEnd"/>
      <w:r w:rsidRPr="0089492A">
        <w:rPr>
          <w:rFonts w:cs="Arial"/>
          <w:sz w:val="20"/>
        </w:rPr>
        <w:t xml:space="preserve"> David Gerber (eds.) </w:t>
      </w:r>
      <w:r w:rsidRPr="002F01B6">
        <w:rPr>
          <w:rFonts w:cs="Arial"/>
          <w:sz w:val="20"/>
          <w:lang w:val="fr-FR"/>
        </w:rPr>
        <w:t>(Kluwer, 1997)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sz w:val="20"/>
        </w:rPr>
        <w:t xml:space="preserve">“IP Licensing Disputes: When Courts are not the Answer” (1995) </w:t>
      </w:r>
      <w:r w:rsidRPr="0089492A">
        <w:rPr>
          <w:rFonts w:cs="Arial"/>
          <w:i/>
          <w:sz w:val="20"/>
        </w:rPr>
        <w:t>IP Worldwide</w:t>
      </w:r>
      <w:r w:rsidRPr="0089492A">
        <w:rPr>
          <w:rFonts w:cs="Arial"/>
          <w:sz w:val="20"/>
        </w:rPr>
        <w:t xml:space="preserve"> 13 – 14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 xml:space="preserve">“Arbitrage et propriété intellectuelle” dans </w:t>
      </w:r>
      <w:r w:rsidRPr="002F01B6">
        <w:rPr>
          <w:rFonts w:cs="Arial"/>
          <w:i/>
          <w:sz w:val="20"/>
          <w:lang w:val="fr-FR"/>
        </w:rPr>
        <w:t>Arbitrage et propriété intellectuelle</w:t>
      </w:r>
      <w:r w:rsidRPr="002F01B6">
        <w:rPr>
          <w:rFonts w:cs="Arial"/>
          <w:sz w:val="20"/>
          <w:lang w:val="fr-FR"/>
        </w:rPr>
        <w:t xml:space="preserve"> de l’Institut de recherche en propriété intellectuelle (Libraires Techniques, 1994)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  <w:r w:rsidRPr="002F01B6">
        <w:rPr>
          <w:rFonts w:cs="Arial"/>
          <w:sz w:val="20"/>
          <w:lang w:val="fr-FR"/>
        </w:rPr>
        <w:t>“Introduction” au volume pour 1994 (Volume 5) de l’</w:t>
      </w:r>
      <w:r w:rsidRPr="002F01B6">
        <w:rPr>
          <w:rFonts w:cs="Arial"/>
          <w:i/>
          <w:sz w:val="20"/>
          <w:lang w:val="fr-FR"/>
        </w:rPr>
        <w:t xml:space="preserve">American </w:t>
      </w:r>
      <w:proofErr w:type="spellStart"/>
      <w:r w:rsidRPr="002F01B6">
        <w:rPr>
          <w:rFonts w:cs="Arial"/>
          <w:i/>
          <w:sz w:val="20"/>
          <w:lang w:val="fr-FR"/>
        </w:rPr>
        <w:t>Review</w:t>
      </w:r>
      <w:proofErr w:type="spellEnd"/>
      <w:r w:rsidRPr="002F01B6">
        <w:rPr>
          <w:rFonts w:cs="Arial"/>
          <w:i/>
          <w:sz w:val="20"/>
          <w:lang w:val="fr-FR"/>
        </w:rPr>
        <w:t xml:space="preserve"> Of International Arbitration</w:t>
      </w:r>
      <w:r w:rsidRPr="002F01B6">
        <w:rPr>
          <w:rFonts w:cs="Arial"/>
          <w:sz w:val="20"/>
          <w:lang w:val="fr-FR"/>
        </w:rPr>
        <w:t xml:space="preserve"> 1 – 5</w:t>
      </w:r>
    </w:p>
    <w:p w:rsidR="00B21A09" w:rsidRPr="002F01B6" w:rsidRDefault="00B21A09" w:rsidP="00B21A09">
      <w:pPr>
        <w:pStyle w:val="Footer"/>
        <w:tabs>
          <w:tab w:val="left" w:pos="0"/>
        </w:tabs>
        <w:rPr>
          <w:rFonts w:cs="Arial"/>
          <w:sz w:val="20"/>
          <w:lang w:val="fr-FR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sz w:val="20"/>
        </w:rPr>
        <w:t xml:space="preserve">“New Television Services – Opportunities for Diversification” (1982) 10 </w:t>
      </w:r>
      <w:r w:rsidRPr="0089492A">
        <w:rPr>
          <w:rFonts w:cs="Arial"/>
          <w:i/>
          <w:sz w:val="20"/>
        </w:rPr>
        <w:t xml:space="preserve">Australian Business Law </w:t>
      </w:r>
      <w:r w:rsidR="001F347F" w:rsidRPr="0089492A">
        <w:rPr>
          <w:rFonts w:cs="Arial"/>
          <w:i/>
          <w:sz w:val="20"/>
        </w:rPr>
        <w:br/>
      </w:r>
      <w:r w:rsidRPr="0089492A">
        <w:rPr>
          <w:rFonts w:cs="Arial"/>
          <w:i/>
          <w:sz w:val="20"/>
        </w:rPr>
        <w:t>Review</w:t>
      </w:r>
      <w:r w:rsidR="001F347F" w:rsidRPr="0089492A">
        <w:rPr>
          <w:rFonts w:cs="Arial"/>
          <w:sz w:val="20"/>
        </w:rPr>
        <w:t xml:space="preserve"> </w:t>
      </w:r>
      <w:r w:rsidRPr="0089492A">
        <w:rPr>
          <w:rFonts w:cs="Arial"/>
          <w:sz w:val="20"/>
        </w:rPr>
        <w:t>157</w:t>
      </w:r>
      <w:r w:rsidR="001F347F" w:rsidRPr="0089492A">
        <w:rPr>
          <w:rFonts w:cs="Arial"/>
          <w:sz w:val="20"/>
        </w:rPr>
        <w:t xml:space="preserve"> </w:t>
      </w:r>
      <w:r w:rsidRPr="0089492A">
        <w:rPr>
          <w:rFonts w:cs="Arial"/>
          <w:sz w:val="20"/>
        </w:rPr>
        <w:t>–</w:t>
      </w:r>
      <w:r w:rsidR="001F347F" w:rsidRPr="0089492A">
        <w:rPr>
          <w:rFonts w:cs="Arial"/>
          <w:sz w:val="20"/>
        </w:rPr>
        <w:t xml:space="preserve"> </w:t>
      </w:r>
      <w:r w:rsidRPr="0089492A">
        <w:rPr>
          <w:rFonts w:cs="Arial"/>
          <w:sz w:val="20"/>
        </w:rPr>
        <w:t>173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sz w:val="20"/>
        </w:rPr>
        <w:t xml:space="preserve">“The Implementation of Policy through Executive Action” (1977) 11 </w:t>
      </w:r>
      <w:r w:rsidRPr="0089492A">
        <w:rPr>
          <w:rFonts w:cs="Arial"/>
          <w:i/>
          <w:sz w:val="20"/>
        </w:rPr>
        <w:t>Melbourne University Law Review</w:t>
      </w:r>
      <w:r w:rsidRPr="0089492A">
        <w:rPr>
          <w:rFonts w:cs="Arial"/>
          <w:sz w:val="20"/>
        </w:rPr>
        <w:t xml:space="preserve"> 189</w:t>
      </w:r>
      <w:r w:rsidR="001F347F" w:rsidRPr="0089492A">
        <w:rPr>
          <w:rFonts w:cs="Arial"/>
          <w:sz w:val="20"/>
        </w:rPr>
        <w:t xml:space="preserve"> </w:t>
      </w:r>
      <w:r w:rsidRPr="0089492A">
        <w:rPr>
          <w:rFonts w:cs="Arial"/>
          <w:sz w:val="20"/>
        </w:rPr>
        <w:noBreakHyphen/>
      </w:r>
      <w:r w:rsidR="001F347F" w:rsidRPr="0089492A">
        <w:rPr>
          <w:rFonts w:cs="Arial"/>
          <w:sz w:val="20"/>
        </w:rPr>
        <w:t xml:space="preserve"> </w:t>
      </w:r>
      <w:r w:rsidRPr="0089492A">
        <w:rPr>
          <w:rFonts w:cs="Arial"/>
          <w:sz w:val="20"/>
        </w:rPr>
        <w:t>222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sz w:val="20"/>
        </w:rPr>
        <w:t xml:space="preserve">“The Role of the Permanent Establishment in Double Taxation Agreements” (1976) 5 </w:t>
      </w:r>
      <w:r w:rsidRPr="0089492A">
        <w:rPr>
          <w:rFonts w:cs="Arial"/>
          <w:i/>
          <w:sz w:val="20"/>
        </w:rPr>
        <w:t>Australian Tax Review</w:t>
      </w:r>
      <w:r w:rsidRPr="0089492A">
        <w:rPr>
          <w:rFonts w:cs="Arial"/>
          <w:sz w:val="20"/>
        </w:rPr>
        <w:t xml:space="preserve"> 12-26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  <w:r w:rsidRPr="0089492A">
        <w:rPr>
          <w:rFonts w:cs="Arial"/>
          <w:sz w:val="20"/>
        </w:rPr>
        <w:t xml:space="preserve">“Aspects of the Law of Contract in Takeover Offers” (1976) 50 </w:t>
      </w:r>
      <w:r w:rsidRPr="0089492A">
        <w:rPr>
          <w:rFonts w:cs="Arial"/>
          <w:i/>
          <w:sz w:val="20"/>
        </w:rPr>
        <w:t>Australian Law Journal</w:t>
      </w:r>
      <w:r w:rsidRPr="0089492A">
        <w:rPr>
          <w:rFonts w:cs="Arial"/>
          <w:sz w:val="20"/>
        </w:rPr>
        <w:br/>
        <w:t>167 – 174</w:t>
      </w:r>
    </w:p>
    <w:p w:rsidR="00B21A09" w:rsidRPr="0089492A" w:rsidRDefault="00B21A09" w:rsidP="00B21A09">
      <w:pPr>
        <w:pStyle w:val="Footer"/>
        <w:tabs>
          <w:tab w:val="left" w:pos="0"/>
        </w:tabs>
        <w:rPr>
          <w:rFonts w:cs="Arial"/>
          <w:sz w:val="20"/>
        </w:rPr>
      </w:pPr>
    </w:p>
    <w:p w:rsidR="00AE0DD4" w:rsidRPr="0089492A" w:rsidRDefault="00AE0DD4" w:rsidP="007B779D">
      <w:pPr>
        <w:rPr>
          <w:rFonts w:cs="Arial"/>
        </w:rPr>
      </w:pPr>
    </w:p>
    <w:p w:rsidR="00AE0DD4" w:rsidRPr="0089492A" w:rsidRDefault="00AE0DD4" w:rsidP="007B779D">
      <w:pPr>
        <w:rPr>
          <w:rFonts w:cs="Arial"/>
        </w:rPr>
      </w:pPr>
    </w:p>
    <w:p w:rsidR="00AE0DD4" w:rsidRPr="002F01B6" w:rsidRDefault="001F347F" w:rsidP="00497EBC">
      <w:pPr>
        <w:jc w:val="right"/>
        <w:rPr>
          <w:rFonts w:cs="Arial"/>
          <w:lang w:val="fr-FR"/>
        </w:rPr>
      </w:pPr>
      <w:r w:rsidRPr="002F01B6">
        <w:rPr>
          <w:rFonts w:cs="Arial"/>
          <w:lang w:val="fr-FR"/>
        </w:rPr>
        <w:t>[Fin de l’a</w:t>
      </w:r>
      <w:r w:rsidR="00454CD6" w:rsidRPr="002F01B6">
        <w:rPr>
          <w:rFonts w:cs="Arial"/>
          <w:lang w:val="fr-FR"/>
        </w:rPr>
        <w:t>nnex</w:t>
      </w:r>
      <w:r w:rsidRPr="002F01B6">
        <w:rPr>
          <w:rFonts w:cs="Arial"/>
          <w:lang w:val="fr-FR"/>
        </w:rPr>
        <w:t>e et du</w:t>
      </w:r>
      <w:r w:rsidR="00FC6A51" w:rsidRPr="002F01B6">
        <w:rPr>
          <w:rFonts w:cs="Arial"/>
          <w:lang w:val="fr-FR"/>
        </w:rPr>
        <w:t xml:space="preserve"> </w:t>
      </w:r>
      <w:r w:rsidR="0061555F" w:rsidRPr="002F01B6">
        <w:rPr>
          <w:rFonts w:cs="Arial"/>
          <w:lang w:val="fr-FR"/>
        </w:rPr>
        <w:t>document]</w:t>
      </w:r>
    </w:p>
    <w:p w:rsidR="00AE0DD4" w:rsidRPr="002F01B6" w:rsidRDefault="00AE0DD4" w:rsidP="00497EBC">
      <w:pPr>
        <w:jc w:val="right"/>
        <w:rPr>
          <w:rFonts w:cs="Arial"/>
          <w:lang w:val="fr-FR"/>
        </w:rPr>
      </w:pPr>
    </w:p>
    <w:p w:rsidR="006B17D2" w:rsidRPr="002F01B6" w:rsidRDefault="006B17D2" w:rsidP="00497EBC">
      <w:pPr>
        <w:jc w:val="right"/>
        <w:rPr>
          <w:rFonts w:cs="Arial"/>
          <w:lang w:val="fr-FR"/>
        </w:rPr>
      </w:pPr>
    </w:p>
    <w:sectPr w:rsidR="006B17D2" w:rsidRPr="002F01B6" w:rsidSect="003F1FC8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4B" w:rsidRDefault="0041794B" w:rsidP="006655D3">
      <w:r>
        <w:separator/>
      </w:r>
    </w:p>
    <w:p w:rsidR="0041794B" w:rsidRDefault="0041794B" w:rsidP="006655D3"/>
    <w:p w:rsidR="0041794B" w:rsidRDefault="0041794B" w:rsidP="006655D3"/>
  </w:endnote>
  <w:endnote w:type="continuationSeparator" w:id="0">
    <w:p w:rsidR="0041794B" w:rsidRDefault="0041794B" w:rsidP="006655D3">
      <w:r>
        <w:separator/>
      </w:r>
    </w:p>
    <w:p w:rsidR="0041794B" w:rsidRPr="00560A6D" w:rsidRDefault="0041794B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41794B" w:rsidRPr="00560A6D" w:rsidRDefault="0041794B" w:rsidP="006655D3">
      <w:pPr>
        <w:rPr>
          <w:lang w:val="fr-FR"/>
        </w:rPr>
      </w:pPr>
    </w:p>
    <w:p w:rsidR="0041794B" w:rsidRPr="00560A6D" w:rsidRDefault="0041794B" w:rsidP="006655D3">
      <w:pPr>
        <w:rPr>
          <w:lang w:val="fr-FR"/>
        </w:rPr>
      </w:pPr>
    </w:p>
  </w:endnote>
  <w:endnote w:type="continuationNotice" w:id="1">
    <w:p w:rsidR="0041794B" w:rsidRPr="00560A6D" w:rsidRDefault="0041794B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41794B" w:rsidRPr="00560A6D" w:rsidRDefault="0041794B" w:rsidP="006655D3">
      <w:pPr>
        <w:rPr>
          <w:lang w:val="fr-FR"/>
        </w:rPr>
      </w:pPr>
    </w:p>
    <w:p w:rsidR="0041794B" w:rsidRPr="00560A6D" w:rsidRDefault="0041794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E0DD4" w:rsidRDefault="00906540">
    <w:pPr>
      <w:pStyle w:val="Footer"/>
    </w:pPr>
    <w:r>
      <w:fldChar w:fldCharType="begin"/>
    </w:r>
    <w:r w:rsidRPr="00AE0DD4">
      <w:instrText xml:space="preserve"> FILENAME \p\* Lower \* MERGEFORMAT </w:instrText>
    </w:r>
    <w:r>
      <w:fldChar w:fldCharType="separate"/>
    </w:r>
    <w:r w:rsidR="005915B1">
      <w:rPr>
        <w:noProof/>
      </w:rPr>
      <w:t>n:\orgupov\shared\document\c\c48\c_48_15_35546_fr_x.docx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4B" w:rsidRDefault="0041794B" w:rsidP="00C95616">
      <w:pPr>
        <w:spacing w:before="120"/>
      </w:pPr>
      <w:r>
        <w:separator/>
      </w:r>
    </w:p>
  </w:footnote>
  <w:footnote w:type="continuationSeparator" w:id="0">
    <w:p w:rsidR="0041794B" w:rsidRDefault="0041794B" w:rsidP="006655D3">
      <w:r>
        <w:separator/>
      </w:r>
    </w:p>
  </w:footnote>
  <w:footnote w:type="continuationNotice" w:id="1">
    <w:p w:rsidR="0041794B" w:rsidRPr="00A56FAA" w:rsidRDefault="0041794B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A56F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</w:t>
    </w:r>
    <w:r w:rsidR="0067078A">
      <w:rPr>
        <w:rStyle w:val="PageNumber"/>
        <w:lang w:val="en-US"/>
      </w:rPr>
      <w:t>8</w:t>
    </w:r>
    <w:r>
      <w:rPr>
        <w:rStyle w:val="PageNumber"/>
        <w:lang w:val="en-US"/>
      </w:rPr>
      <w:t>/</w:t>
    </w:r>
    <w:r w:rsidR="007B779D">
      <w:rPr>
        <w:rStyle w:val="PageNumber"/>
        <w:lang w:val="en-US"/>
      </w:rPr>
      <w:t>15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915B1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37" w:rsidRDefault="00167637">
    <w:pPr>
      <w:pStyle w:val="Header"/>
    </w:pPr>
    <w:r>
      <w:t>C/48/15</w:t>
    </w:r>
  </w:p>
  <w:p w:rsidR="00167637" w:rsidRDefault="00167637">
    <w:pPr>
      <w:pStyle w:val="Header"/>
    </w:pPr>
    <w:r>
      <w:t>Annex</w:t>
    </w:r>
    <w:r w:rsidR="00B21A09">
      <w:t>e</w:t>
    </w:r>
    <w:r>
      <w:t xml:space="preserve">, page </w:t>
    </w:r>
    <w:r w:rsidR="003F1FC8">
      <w:fldChar w:fldCharType="begin"/>
    </w:r>
    <w:r w:rsidR="003F1FC8">
      <w:instrText xml:space="preserve"> PAGE   \* MERGEFORMAT </w:instrText>
    </w:r>
    <w:r w:rsidR="003F1FC8">
      <w:fldChar w:fldCharType="separate"/>
    </w:r>
    <w:r w:rsidR="005915B1">
      <w:rPr>
        <w:noProof/>
      </w:rPr>
      <w:t>4</w:t>
    </w:r>
    <w:r w:rsidR="003F1FC8">
      <w:rPr>
        <w:noProof/>
      </w:rPr>
      <w:fldChar w:fldCharType="end"/>
    </w:r>
  </w:p>
  <w:p w:rsidR="00167637" w:rsidRPr="00C5280D" w:rsidRDefault="00167637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9D" w:rsidRDefault="007B779D">
    <w:pPr>
      <w:pStyle w:val="Header"/>
    </w:pPr>
    <w:r>
      <w:t>C/48/15</w:t>
    </w:r>
  </w:p>
  <w:p w:rsidR="007B779D" w:rsidRDefault="007B779D">
    <w:pPr>
      <w:pStyle w:val="Header"/>
    </w:pPr>
  </w:p>
  <w:p w:rsidR="007B779D" w:rsidRDefault="007B779D">
    <w:pPr>
      <w:pStyle w:val="Header"/>
    </w:pPr>
    <w:r>
      <w:t>ANNEX</w:t>
    </w:r>
    <w:r w:rsidR="00307AA0">
      <w:t>E</w:t>
    </w:r>
  </w:p>
  <w:p w:rsidR="007B779D" w:rsidRDefault="007B7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4150"/>
    <w:multiLevelType w:val="hybridMultilevel"/>
    <w:tmpl w:val="72D620F8"/>
    <w:lvl w:ilvl="0" w:tplc="DCB0ED04">
      <w:start w:val="1980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D2373"/>
    <w:multiLevelType w:val="hybridMultilevel"/>
    <w:tmpl w:val="1AEAC204"/>
    <w:lvl w:ilvl="0" w:tplc="708642E0">
      <w:start w:val="1975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22209"/>
    <w:multiLevelType w:val="hybridMultilevel"/>
    <w:tmpl w:val="DBE21BD0"/>
    <w:lvl w:ilvl="0" w:tplc="B9AC9626">
      <w:start w:val="1976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C6128"/>
    <w:multiLevelType w:val="multilevel"/>
    <w:tmpl w:val="43D6E70C"/>
    <w:lvl w:ilvl="0">
      <w:start w:val="1979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1">
      <w:start w:val="1984"/>
      <w:numFmt w:val="decimal"/>
      <w:lvlText w:val="%1-%2"/>
      <w:lvlJc w:val="left"/>
      <w:pPr>
        <w:tabs>
          <w:tab w:val="num" w:pos="1695"/>
        </w:tabs>
        <w:ind w:left="1695" w:hanging="1695"/>
      </w:pPr>
      <w:rPr>
        <w:rFonts w:hint="default"/>
        <w:b/>
        <w:i w:val="0"/>
      </w:rPr>
    </w:lvl>
    <w:lvl w:ilvl="2">
      <w:start w:val="1"/>
      <w:numFmt w:val="decimal"/>
      <w:lvlText w:val="%1-%2.%3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4">
    <w:nsid w:val="3E8779E0"/>
    <w:multiLevelType w:val="multilevel"/>
    <w:tmpl w:val="A7C811B0"/>
    <w:lvl w:ilvl="0">
      <w:start w:val="19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976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51D356D"/>
    <w:multiLevelType w:val="hybridMultilevel"/>
    <w:tmpl w:val="5E6CD32A"/>
    <w:lvl w:ilvl="0" w:tplc="1C36AE5A">
      <w:start w:val="1974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DA0A47"/>
    <w:multiLevelType w:val="hybridMultilevel"/>
    <w:tmpl w:val="30CA18F8"/>
    <w:lvl w:ilvl="0" w:tplc="698CBE54">
      <w:start w:val="1984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|UPOV_Beta"/>
    <w:docVar w:name="TermBaseURL" w:val="empty"/>
    <w:docVar w:name="TextBases" w:val="UPOV\Other|UPOV\Publications|UPOV\Technical Guidelines|UPOV\Meetings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Administrative\Meetings|Administrative\Other|Administrative\Publications|Budget and Finance\Meetings|Budget and Finance\Other|Budget and Finance\Publications|Copyright\Meetings|Copyright\Other|Copyright\Publications|Glossaries\EN-FR|Treaties\Model Laws|Treaties\Other Laws and Agreements|Treaties\WIPO-administered|Patents\Meetings|Patents\Other|Patents\Publications|Trademarks\Meetings|Trademarks\Other|Trademarks\Publications|IP in General\Academy|IP in General\Arbitration and Mediation|IP in General\Meetings|IP in General\Other|IP in General\Press Room|IP in General\Publications"/>
    <w:docVar w:name="TextBaseURL" w:val="empty"/>
    <w:docVar w:name="UILng" w:val="en"/>
  </w:docVars>
  <w:rsids>
    <w:rsidRoot w:val="00C431BE"/>
    <w:rsid w:val="0000414D"/>
    <w:rsid w:val="00010CF3"/>
    <w:rsid w:val="00011E27"/>
    <w:rsid w:val="000148BC"/>
    <w:rsid w:val="00021F4C"/>
    <w:rsid w:val="00024AB8"/>
    <w:rsid w:val="00030854"/>
    <w:rsid w:val="00036028"/>
    <w:rsid w:val="000442EB"/>
    <w:rsid w:val="00044642"/>
    <w:rsid w:val="000446B9"/>
    <w:rsid w:val="00047E21"/>
    <w:rsid w:val="00085505"/>
    <w:rsid w:val="000A68B4"/>
    <w:rsid w:val="000C7021"/>
    <w:rsid w:val="000D279C"/>
    <w:rsid w:val="000D6BBC"/>
    <w:rsid w:val="000D7780"/>
    <w:rsid w:val="000F0BC1"/>
    <w:rsid w:val="00105929"/>
    <w:rsid w:val="001131D5"/>
    <w:rsid w:val="00126533"/>
    <w:rsid w:val="00141DB8"/>
    <w:rsid w:val="00142923"/>
    <w:rsid w:val="00167637"/>
    <w:rsid w:val="00174554"/>
    <w:rsid w:val="0017474A"/>
    <w:rsid w:val="001758C6"/>
    <w:rsid w:val="00182B99"/>
    <w:rsid w:val="001A0080"/>
    <w:rsid w:val="001E0CF9"/>
    <w:rsid w:val="001E7C13"/>
    <w:rsid w:val="001F347F"/>
    <w:rsid w:val="0021332C"/>
    <w:rsid w:val="00213982"/>
    <w:rsid w:val="00240D2D"/>
    <w:rsid w:val="00241624"/>
    <w:rsid w:val="0024416D"/>
    <w:rsid w:val="00272959"/>
    <w:rsid w:val="002800A0"/>
    <w:rsid w:val="002801B3"/>
    <w:rsid w:val="0028098F"/>
    <w:rsid w:val="00281060"/>
    <w:rsid w:val="002940E8"/>
    <w:rsid w:val="002A6E50"/>
    <w:rsid w:val="002C256A"/>
    <w:rsid w:val="002F01B6"/>
    <w:rsid w:val="00305A7F"/>
    <w:rsid w:val="00307AA0"/>
    <w:rsid w:val="00315280"/>
    <w:rsid w:val="003152FE"/>
    <w:rsid w:val="00327436"/>
    <w:rsid w:val="0033507D"/>
    <w:rsid w:val="00344BD6"/>
    <w:rsid w:val="0035528D"/>
    <w:rsid w:val="00361821"/>
    <w:rsid w:val="00387275"/>
    <w:rsid w:val="0039016F"/>
    <w:rsid w:val="003D227C"/>
    <w:rsid w:val="003D2B4D"/>
    <w:rsid w:val="003E322A"/>
    <w:rsid w:val="003E5A9B"/>
    <w:rsid w:val="003F1FC8"/>
    <w:rsid w:val="0041794B"/>
    <w:rsid w:val="00420902"/>
    <w:rsid w:val="00433FF3"/>
    <w:rsid w:val="00444A88"/>
    <w:rsid w:val="00454CD6"/>
    <w:rsid w:val="0045761C"/>
    <w:rsid w:val="00474DA4"/>
    <w:rsid w:val="00476B4D"/>
    <w:rsid w:val="004805FA"/>
    <w:rsid w:val="00497EBC"/>
    <w:rsid w:val="004B27C3"/>
    <w:rsid w:val="004D047D"/>
    <w:rsid w:val="004F305A"/>
    <w:rsid w:val="0051068B"/>
    <w:rsid w:val="00511F76"/>
    <w:rsid w:val="00512164"/>
    <w:rsid w:val="00520297"/>
    <w:rsid w:val="00530AC5"/>
    <w:rsid w:val="00531DDF"/>
    <w:rsid w:val="005338F9"/>
    <w:rsid w:val="0054281C"/>
    <w:rsid w:val="0055268D"/>
    <w:rsid w:val="0055281C"/>
    <w:rsid w:val="00560A6D"/>
    <w:rsid w:val="005718D6"/>
    <w:rsid w:val="00576BE4"/>
    <w:rsid w:val="005915B1"/>
    <w:rsid w:val="005936BE"/>
    <w:rsid w:val="005A400A"/>
    <w:rsid w:val="005F05B6"/>
    <w:rsid w:val="00612379"/>
    <w:rsid w:val="0061555F"/>
    <w:rsid w:val="00616956"/>
    <w:rsid w:val="00616E63"/>
    <w:rsid w:val="00640725"/>
    <w:rsid w:val="00641200"/>
    <w:rsid w:val="006412DA"/>
    <w:rsid w:val="00663239"/>
    <w:rsid w:val="006655D3"/>
    <w:rsid w:val="0067078A"/>
    <w:rsid w:val="0068079E"/>
    <w:rsid w:val="00687EB4"/>
    <w:rsid w:val="006B17D2"/>
    <w:rsid w:val="006B49C7"/>
    <w:rsid w:val="006C224E"/>
    <w:rsid w:val="006C6389"/>
    <w:rsid w:val="006C6BDD"/>
    <w:rsid w:val="006D780A"/>
    <w:rsid w:val="00732DEC"/>
    <w:rsid w:val="00735BD5"/>
    <w:rsid w:val="0075167F"/>
    <w:rsid w:val="007556F6"/>
    <w:rsid w:val="00760EEF"/>
    <w:rsid w:val="007629A2"/>
    <w:rsid w:val="00777EE5"/>
    <w:rsid w:val="00784836"/>
    <w:rsid w:val="0079023E"/>
    <w:rsid w:val="007A2854"/>
    <w:rsid w:val="007B5A4C"/>
    <w:rsid w:val="007B779D"/>
    <w:rsid w:val="007D0B9D"/>
    <w:rsid w:val="007D19B0"/>
    <w:rsid w:val="007F498F"/>
    <w:rsid w:val="0080679D"/>
    <w:rsid w:val="008108B0"/>
    <w:rsid w:val="00811B20"/>
    <w:rsid w:val="00812707"/>
    <w:rsid w:val="0082296E"/>
    <w:rsid w:val="00823D15"/>
    <w:rsid w:val="00824099"/>
    <w:rsid w:val="00867AC1"/>
    <w:rsid w:val="0089492A"/>
    <w:rsid w:val="008A3C6D"/>
    <w:rsid w:val="008A743F"/>
    <w:rsid w:val="008C0970"/>
    <w:rsid w:val="008D2CF7"/>
    <w:rsid w:val="008E4CA5"/>
    <w:rsid w:val="00900C26"/>
    <w:rsid w:val="0090197F"/>
    <w:rsid w:val="00901A3F"/>
    <w:rsid w:val="00906540"/>
    <w:rsid w:val="00906DDC"/>
    <w:rsid w:val="009316C4"/>
    <w:rsid w:val="00934E09"/>
    <w:rsid w:val="00936253"/>
    <w:rsid w:val="00947760"/>
    <w:rsid w:val="00952DD4"/>
    <w:rsid w:val="00970FED"/>
    <w:rsid w:val="00997029"/>
    <w:rsid w:val="009D690D"/>
    <w:rsid w:val="009E65B6"/>
    <w:rsid w:val="009F7D0F"/>
    <w:rsid w:val="00A0479A"/>
    <w:rsid w:val="00A34AB6"/>
    <w:rsid w:val="00A42AC3"/>
    <w:rsid w:val="00A430CF"/>
    <w:rsid w:val="00A54309"/>
    <w:rsid w:val="00A56FAA"/>
    <w:rsid w:val="00AB2B93"/>
    <w:rsid w:val="00AB7E5B"/>
    <w:rsid w:val="00AE0DD4"/>
    <w:rsid w:val="00AE0EF1"/>
    <w:rsid w:val="00AE2937"/>
    <w:rsid w:val="00AF5561"/>
    <w:rsid w:val="00B07301"/>
    <w:rsid w:val="00B21A09"/>
    <w:rsid w:val="00B224DE"/>
    <w:rsid w:val="00B30A2C"/>
    <w:rsid w:val="00B46575"/>
    <w:rsid w:val="00B83D38"/>
    <w:rsid w:val="00B84BBD"/>
    <w:rsid w:val="00B922DC"/>
    <w:rsid w:val="00BA43FB"/>
    <w:rsid w:val="00BC127D"/>
    <w:rsid w:val="00BC1FE6"/>
    <w:rsid w:val="00BE5290"/>
    <w:rsid w:val="00BF47BF"/>
    <w:rsid w:val="00BF69ED"/>
    <w:rsid w:val="00C061B6"/>
    <w:rsid w:val="00C2446C"/>
    <w:rsid w:val="00C32CC0"/>
    <w:rsid w:val="00C36AE5"/>
    <w:rsid w:val="00C41F17"/>
    <w:rsid w:val="00C431BE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5251"/>
    <w:rsid w:val="00CA774A"/>
    <w:rsid w:val="00CC11B0"/>
    <w:rsid w:val="00CF7E36"/>
    <w:rsid w:val="00D04BEC"/>
    <w:rsid w:val="00D3708D"/>
    <w:rsid w:val="00D40426"/>
    <w:rsid w:val="00D57C96"/>
    <w:rsid w:val="00D70015"/>
    <w:rsid w:val="00D823C0"/>
    <w:rsid w:val="00D91203"/>
    <w:rsid w:val="00D95174"/>
    <w:rsid w:val="00DA6F36"/>
    <w:rsid w:val="00DA7E69"/>
    <w:rsid w:val="00DB0501"/>
    <w:rsid w:val="00DB4EC4"/>
    <w:rsid w:val="00DB596E"/>
    <w:rsid w:val="00DC00EA"/>
    <w:rsid w:val="00DD5215"/>
    <w:rsid w:val="00E1517B"/>
    <w:rsid w:val="00E32F7E"/>
    <w:rsid w:val="00E51D87"/>
    <w:rsid w:val="00E531F8"/>
    <w:rsid w:val="00E72D49"/>
    <w:rsid w:val="00E7593C"/>
    <w:rsid w:val="00E7678A"/>
    <w:rsid w:val="00E935F1"/>
    <w:rsid w:val="00E94A81"/>
    <w:rsid w:val="00EA1FFB"/>
    <w:rsid w:val="00EB048E"/>
    <w:rsid w:val="00EB10AF"/>
    <w:rsid w:val="00EB57E0"/>
    <w:rsid w:val="00EE34DF"/>
    <w:rsid w:val="00EF2F89"/>
    <w:rsid w:val="00F01055"/>
    <w:rsid w:val="00F1237A"/>
    <w:rsid w:val="00F22CBD"/>
    <w:rsid w:val="00F45372"/>
    <w:rsid w:val="00F521CE"/>
    <w:rsid w:val="00F560F7"/>
    <w:rsid w:val="00F56C99"/>
    <w:rsid w:val="00F6334D"/>
    <w:rsid w:val="00F80602"/>
    <w:rsid w:val="00FA49AB"/>
    <w:rsid w:val="00FB7E38"/>
    <w:rsid w:val="00FC6A51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EB10AF"/>
    <w:pPr>
      <w:keepNext/>
      <w:jc w:val="left"/>
      <w:outlineLvl w:val="6"/>
    </w:pPr>
    <w:rPr>
      <w:rFonts w:ascii="Times New Roman" w:hAnsi="Times New Roman"/>
      <w:b/>
      <w:sz w:val="24"/>
      <w:lang w:eastAsia="ja-JP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B779D"/>
    <w:rPr>
      <w:rFonts w:ascii="Arial" w:hAnsi="Arial"/>
      <w:lang w:val="fr-FR"/>
    </w:rPr>
  </w:style>
  <w:style w:type="character" w:customStyle="1" w:styleId="Heading7Char">
    <w:name w:val="Heading 7 Char"/>
    <w:basedOn w:val="DefaultParagraphFont"/>
    <w:link w:val="Heading7"/>
    <w:rsid w:val="00EB10AF"/>
    <w:rPr>
      <w:b/>
      <w:sz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EB10AF"/>
    <w:pPr>
      <w:keepNext/>
      <w:jc w:val="left"/>
      <w:outlineLvl w:val="6"/>
    </w:pPr>
    <w:rPr>
      <w:rFonts w:ascii="Times New Roman" w:hAnsi="Times New Roman"/>
      <w:b/>
      <w:sz w:val="24"/>
      <w:lang w:eastAsia="ja-JP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B779D"/>
    <w:rPr>
      <w:rFonts w:ascii="Arial" w:hAnsi="Arial"/>
      <w:lang w:val="fr-FR"/>
    </w:rPr>
  </w:style>
  <w:style w:type="character" w:customStyle="1" w:styleId="Heading7Char">
    <w:name w:val="Heading 7 Char"/>
    <w:basedOn w:val="DefaultParagraphFont"/>
    <w:link w:val="Heading7"/>
    <w:rsid w:val="00EB10AF"/>
    <w:rPr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376D-50EE-45C9-93FE-A5FB84FC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1772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</vt:lpstr>
    </vt:vector>
  </TitlesOfParts>
  <Company>UPOV</Company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</dc:title>
  <dc:creator>MAY Jessica</dc:creator>
  <cp:lastModifiedBy>MAY Jessica</cp:lastModifiedBy>
  <cp:revision>14</cp:revision>
  <cp:lastPrinted>2014-08-29T10:23:00Z</cp:lastPrinted>
  <dcterms:created xsi:type="dcterms:W3CDTF">2014-07-31T15:00:00Z</dcterms:created>
  <dcterms:modified xsi:type="dcterms:W3CDTF">2014-08-29T10:23:00Z</dcterms:modified>
</cp:coreProperties>
</file>