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B80A2D" w:rsidTr="00F9505F">
        <w:trPr>
          <w:trHeight w:val="1760"/>
        </w:trPr>
        <w:tc>
          <w:tcPr>
            <w:tcW w:w="4243" w:type="dxa"/>
          </w:tcPr>
          <w:p w:rsidR="00F9505F" w:rsidRPr="00EA5245" w:rsidRDefault="00F9505F" w:rsidP="00F9505F">
            <w:pPr>
              <w:rPr>
                <w:lang w:val="fr-FR"/>
              </w:rPr>
            </w:pPr>
          </w:p>
        </w:tc>
        <w:tc>
          <w:tcPr>
            <w:tcW w:w="1646" w:type="dxa"/>
            <w:vAlign w:val="center"/>
          </w:tcPr>
          <w:p w:rsidR="00F9505F" w:rsidRPr="00EA5245" w:rsidRDefault="008F403F" w:rsidP="00F9505F">
            <w:pPr>
              <w:pStyle w:val="LogoUPOV"/>
              <w:rPr>
                <w:lang w:val="fr-FR"/>
              </w:rPr>
            </w:pPr>
            <w:r>
              <w:rPr>
                <w:noProof/>
              </w:rPr>
              <w:drawing>
                <wp:inline distT="0" distB="0" distL="0" distR="0" wp14:anchorId="446D8EFC" wp14:editId="3A13339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EA5245" w:rsidRDefault="00F9505F" w:rsidP="00F9505F">
            <w:pPr>
              <w:pStyle w:val="Lettrine"/>
              <w:rPr>
                <w:lang w:val="fr-FR"/>
              </w:rPr>
            </w:pPr>
            <w:r w:rsidRPr="00EA5245">
              <w:rPr>
                <w:lang w:val="fr-FR"/>
              </w:rPr>
              <w:t>F</w:t>
            </w:r>
          </w:p>
          <w:p w:rsidR="00F9505F" w:rsidRPr="00EA5245" w:rsidRDefault="00F9505F" w:rsidP="00F9505F">
            <w:pPr>
              <w:pStyle w:val="Docoriginal"/>
              <w:rPr>
                <w:lang w:val="fr-FR"/>
              </w:rPr>
            </w:pPr>
            <w:r>
              <w:rPr>
                <w:lang w:val="fr-FR"/>
              </w:rPr>
              <w:t>C/4</w:t>
            </w:r>
            <w:r w:rsidR="00E4565F">
              <w:rPr>
                <w:lang w:val="fr-FR"/>
              </w:rPr>
              <w:t>8</w:t>
            </w:r>
            <w:r w:rsidRPr="00EA5245">
              <w:rPr>
                <w:lang w:val="fr-FR"/>
              </w:rPr>
              <w:t>/</w:t>
            </w:r>
            <w:bookmarkStart w:id="0" w:name="Code"/>
            <w:bookmarkEnd w:id="0"/>
            <w:r w:rsidR="00EF6A2A">
              <w:rPr>
                <w:lang w:val="fr-FR"/>
              </w:rPr>
              <w:t>14</w:t>
            </w:r>
          </w:p>
          <w:p w:rsidR="00F9505F" w:rsidRPr="00EA5245" w:rsidRDefault="00F9505F" w:rsidP="00F9505F">
            <w:pPr>
              <w:pStyle w:val="Docoriginal"/>
              <w:rPr>
                <w:b w:val="0"/>
                <w:spacing w:val="0"/>
                <w:lang w:val="fr-FR"/>
              </w:rPr>
            </w:pPr>
            <w:r w:rsidRPr="00EA5245">
              <w:rPr>
                <w:rStyle w:val="StyleDoclangBold"/>
                <w:b/>
                <w:bCs/>
                <w:spacing w:val="0"/>
                <w:lang w:val="fr-FR"/>
              </w:rPr>
              <w:t>ORIGINAL</w:t>
            </w:r>
            <w:r>
              <w:rPr>
                <w:rStyle w:val="StyleDoclangBold"/>
                <w:b/>
                <w:bCs/>
                <w:spacing w:val="0"/>
                <w:lang w:val="fr-FR"/>
              </w:rPr>
              <w:t xml:space="preserve"> </w:t>
            </w:r>
            <w:r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DD20C4">
              <w:rPr>
                <w:b w:val="0"/>
                <w:spacing w:val="0"/>
                <w:lang w:val="fr-FR"/>
              </w:rPr>
              <w:t>français</w:t>
            </w:r>
          </w:p>
          <w:p w:rsidR="00F9505F" w:rsidRPr="00B80A2D" w:rsidRDefault="00F9505F" w:rsidP="005C59E6">
            <w:pPr>
              <w:pStyle w:val="Docoriginal"/>
              <w:jc w:val="left"/>
            </w:pPr>
            <w:r w:rsidRPr="00B80A2D">
              <w:rPr>
                <w:spacing w:val="0"/>
              </w:rPr>
              <w:t>DATE</w:t>
            </w:r>
            <w:r w:rsidR="00B80A2D" w:rsidRPr="00B80A2D">
              <w:rPr>
                <w:spacing w:val="0"/>
              </w:rPr>
              <w:t xml:space="preserve"> </w:t>
            </w:r>
            <w:r w:rsidRPr="00B80A2D">
              <w:rPr>
                <w:spacing w:val="0"/>
              </w:rPr>
              <w:t>:</w:t>
            </w:r>
            <w:r w:rsidRPr="00B80A2D">
              <w:rPr>
                <w:rStyle w:val="StyleDocoriginalNotBold1"/>
                <w:spacing w:val="0"/>
              </w:rPr>
              <w:t xml:space="preserve"> </w:t>
            </w:r>
            <w:bookmarkStart w:id="2" w:name="Date"/>
            <w:bookmarkEnd w:id="2"/>
            <w:r w:rsidR="005C59E6">
              <w:rPr>
                <w:rStyle w:val="StyleDocoriginalNotBold1"/>
                <w:spacing w:val="0"/>
              </w:rPr>
              <w:t>28</w:t>
            </w:r>
            <w:r w:rsidR="00A60B15">
              <w:rPr>
                <w:rStyle w:val="StyleDocoriginalNotBold1"/>
                <w:spacing w:val="0"/>
              </w:rPr>
              <w:t xml:space="preserve"> juillet 2014</w:t>
            </w:r>
          </w:p>
        </w:tc>
      </w:tr>
      <w:tr w:rsidR="00F9505F" w:rsidRPr="00FC5404" w:rsidTr="00F9505F">
        <w:tc>
          <w:tcPr>
            <w:tcW w:w="10131" w:type="dxa"/>
            <w:gridSpan w:val="3"/>
          </w:tcPr>
          <w:p w:rsidR="00F9505F" w:rsidRPr="00EA5245" w:rsidRDefault="00F9505F" w:rsidP="00F9505F">
            <w:pPr>
              <w:pStyle w:val="upove"/>
              <w:rPr>
                <w:sz w:val="28"/>
                <w:lang w:val="fr-FR"/>
              </w:rPr>
            </w:pPr>
            <w:r w:rsidRPr="00EA5245">
              <w:rPr>
                <w:spacing w:val="6"/>
                <w:lang w:val="fr-FR"/>
              </w:rPr>
              <w:t>UNION INTERNATIONALE POUR LA PROTECTION DES OBTENTIONS VÉGÉTALES</w:t>
            </w:r>
          </w:p>
        </w:tc>
      </w:tr>
      <w:tr w:rsidR="00F9505F" w:rsidRPr="00EA5245" w:rsidTr="00F9505F">
        <w:tc>
          <w:tcPr>
            <w:tcW w:w="10131" w:type="dxa"/>
            <w:gridSpan w:val="3"/>
          </w:tcPr>
          <w:p w:rsidR="00F9505F" w:rsidRPr="00EA5245" w:rsidRDefault="00F9505F" w:rsidP="00F9505F">
            <w:pPr>
              <w:pStyle w:val="Country"/>
              <w:rPr>
                <w:lang w:val="fr-FR"/>
              </w:rPr>
            </w:pPr>
            <w:r w:rsidRPr="00EA5245">
              <w:rPr>
                <w:lang w:val="fr-FR"/>
              </w:rPr>
              <w:t>Genève</w:t>
            </w:r>
          </w:p>
        </w:tc>
      </w:tr>
    </w:tbl>
    <w:p w:rsidR="00F9505F" w:rsidRPr="00EA5245" w:rsidRDefault="00F9505F" w:rsidP="00F9505F">
      <w:pPr>
        <w:pStyle w:val="Sessiontc"/>
        <w:rPr>
          <w:lang w:val="fr-FR"/>
        </w:rPr>
      </w:pPr>
      <w:r>
        <w:rPr>
          <w:lang w:val="fr-FR"/>
        </w:rPr>
        <w:t>CONSEIL</w:t>
      </w:r>
    </w:p>
    <w:p w:rsidR="00F9505F" w:rsidRPr="00EA5245" w:rsidRDefault="00F9505F" w:rsidP="00F9505F">
      <w:pPr>
        <w:pStyle w:val="Sessiontcplacedate"/>
        <w:rPr>
          <w:lang w:val="fr-FR"/>
        </w:rPr>
      </w:pPr>
      <w:r w:rsidRPr="00EA5245">
        <w:rPr>
          <w:lang w:val="fr-FR"/>
        </w:rPr>
        <w:t>Quarante-</w:t>
      </w:r>
      <w:r w:rsidR="00E4565F">
        <w:rPr>
          <w:lang w:val="fr-FR"/>
        </w:rPr>
        <w:t>hui</w:t>
      </w:r>
      <w:r>
        <w:rPr>
          <w:lang w:val="fr-FR"/>
        </w:rPr>
        <w:t xml:space="preserve">tième </w:t>
      </w:r>
      <w:r w:rsidRPr="00EA5245">
        <w:rPr>
          <w:lang w:val="fr-FR"/>
        </w:rPr>
        <w:t xml:space="preserve">session </w:t>
      </w:r>
      <w:r>
        <w:rPr>
          <w:lang w:val="fr-FR"/>
        </w:rPr>
        <w:t>ordinaire</w:t>
      </w:r>
      <w:r w:rsidRPr="00EA5245">
        <w:rPr>
          <w:lang w:val="fr-FR"/>
        </w:rPr>
        <w:br/>
        <w:t xml:space="preserve">Genève, </w:t>
      </w:r>
      <w:r w:rsidR="00E4565F">
        <w:rPr>
          <w:lang w:val="fr-FR"/>
        </w:rPr>
        <w:t>16</w:t>
      </w:r>
      <w:r>
        <w:rPr>
          <w:lang w:val="fr-FR"/>
        </w:rPr>
        <w:t xml:space="preserve"> octobre </w:t>
      </w:r>
      <w:r w:rsidRPr="00EA5245">
        <w:rPr>
          <w:lang w:val="fr-FR"/>
        </w:rPr>
        <w:t>201</w:t>
      </w:r>
      <w:r w:rsidR="00E4565F">
        <w:rPr>
          <w:lang w:val="fr-FR"/>
        </w:rPr>
        <w:t>4</w:t>
      </w:r>
    </w:p>
    <w:p w:rsidR="00F9505F" w:rsidRPr="00EA5245" w:rsidRDefault="00EF6A2A" w:rsidP="00F9505F">
      <w:pPr>
        <w:pStyle w:val="Titleofdoc0"/>
        <w:rPr>
          <w:lang w:val="fr-FR"/>
        </w:rPr>
      </w:pPr>
      <w:bookmarkStart w:id="3" w:name="TitleOfDoc"/>
      <w:bookmarkEnd w:id="3"/>
      <w:r w:rsidRPr="00EF6A2A">
        <w:rPr>
          <w:lang w:val="fr-FR"/>
        </w:rPr>
        <w:t xml:space="preserve">RAPPORT DU VÉRIFICATEUR EXTERNE DES COMPTES : </w:t>
      </w:r>
      <w:r>
        <w:rPr>
          <w:lang w:val="fr-FR"/>
        </w:rPr>
        <w:br/>
      </w:r>
      <w:r w:rsidRPr="00EF6A2A">
        <w:rPr>
          <w:lang w:val="fr-FR"/>
        </w:rPr>
        <w:t>VÉRIFICATION DES ÉTATS FINANCIERS POUR</w:t>
      </w:r>
      <w:r>
        <w:rPr>
          <w:lang w:val="fr-FR"/>
        </w:rPr>
        <w:t xml:space="preserve"> 2013</w:t>
      </w:r>
    </w:p>
    <w:p w:rsidR="00FC5404" w:rsidRPr="00B80A2D" w:rsidRDefault="00CA10E3" w:rsidP="00B80A2D">
      <w:pPr>
        <w:pStyle w:val="preparedby1"/>
        <w:rPr>
          <w:color w:val="A6A6A6" w:themeColor="background1" w:themeShade="A6"/>
          <w:lang w:val="fr-FR"/>
        </w:rPr>
      </w:pPr>
      <w:bookmarkStart w:id="4" w:name="Prepared"/>
      <w:bookmarkEnd w:id="4"/>
      <w:r>
        <w:rPr>
          <w:lang w:val="fr-FR"/>
        </w:rPr>
        <w:t>Documen</w:t>
      </w:r>
      <w:bookmarkStart w:id="5" w:name="_GoBack"/>
      <w:bookmarkEnd w:id="5"/>
      <w:r>
        <w:rPr>
          <w:lang w:val="fr-FR"/>
        </w:rPr>
        <w:t xml:space="preserve">t </w:t>
      </w:r>
      <w:r w:rsidR="00F9505F" w:rsidRPr="00EA5245">
        <w:rPr>
          <w:lang w:val="fr-FR"/>
        </w:rPr>
        <w:t>établi par le Bureau de l’Union</w:t>
      </w:r>
      <w:r w:rsidR="00813041">
        <w:rPr>
          <w:lang w:val="fr-FR"/>
        </w:rPr>
        <w:br/>
      </w:r>
      <w:r w:rsidR="00813041">
        <w:rPr>
          <w:lang w:val="fr-FR"/>
        </w:rPr>
        <w:br/>
      </w:r>
      <w:r w:rsidR="00415D2A">
        <w:rPr>
          <w:color w:val="A6A6A6" w:themeColor="background1" w:themeShade="A6"/>
          <w:lang w:val="fr-FR"/>
        </w:rPr>
        <w:t xml:space="preserve">Avertissement : </w:t>
      </w:r>
      <w:r w:rsidR="00415D2A" w:rsidRPr="00234028">
        <w:rPr>
          <w:color w:val="A6A6A6" w:themeColor="background1" w:themeShade="A6"/>
          <w:lang w:val="fr-FR"/>
        </w:rPr>
        <w:t>le présent document ne représente pas les principe</w:t>
      </w:r>
      <w:r w:rsidR="00066C42">
        <w:rPr>
          <w:color w:val="A6A6A6" w:themeColor="background1" w:themeShade="A6"/>
          <w:lang w:val="fr-FR"/>
        </w:rPr>
        <w:t>s ou les orientations de l’UPOV</w:t>
      </w:r>
      <w:bookmarkStart w:id="6" w:name="_Toc329002932"/>
      <w:bookmarkStart w:id="7" w:name="_Toc355188889"/>
    </w:p>
    <w:p w:rsidR="00B80A2D" w:rsidRDefault="00B80A2D" w:rsidP="00B80A2D">
      <w:pPr>
        <w:rPr>
          <w:lang w:val="fr-FR"/>
        </w:rPr>
      </w:pPr>
    </w:p>
    <w:p w:rsidR="00B80A2D" w:rsidRDefault="00B80A2D" w:rsidP="00B80A2D">
      <w:pPr>
        <w:rPr>
          <w:lang w:val="fr-FR"/>
        </w:rPr>
      </w:pPr>
      <w:r>
        <w:rPr>
          <w:lang w:val="fr-FR"/>
        </w:rPr>
        <w:fldChar w:fldCharType="begin"/>
      </w:r>
      <w:r>
        <w:rPr>
          <w:lang w:val="fr-FR"/>
        </w:rPr>
        <w:instrText xml:space="preserve"> AUTONUM  </w:instrText>
      </w:r>
      <w:r>
        <w:rPr>
          <w:lang w:val="fr-FR"/>
        </w:rPr>
        <w:fldChar w:fldCharType="end"/>
      </w:r>
      <w:r>
        <w:rPr>
          <w:lang w:val="fr-FR"/>
        </w:rPr>
        <w:tab/>
      </w:r>
      <w:r w:rsidRPr="006A6AB9">
        <w:rPr>
          <w:lang w:val="fr-FR"/>
        </w:rPr>
        <w:t>Les états financiers de l’Union internationale pour la protection des obtentions végétales (UPOV) au 31 décembre 20</w:t>
      </w:r>
      <w:r>
        <w:rPr>
          <w:lang w:val="fr-FR"/>
        </w:rPr>
        <w:t>13</w:t>
      </w:r>
      <w:r w:rsidRPr="006A6AB9">
        <w:rPr>
          <w:lang w:val="fr-FR"/>
        </w:rPr>
        <w:t xml:space="preserve"> et le rapport du vérificateur externe des comptes sont communiqués au Conseil conformément à l’article 6.5 du Règlement financier et règlement d’exécution du Règlement financier de l’UPOV (document UPOV/INF/4/3), qui prévoit que le Conseil examine et approuve les états financiers.  Les états financiers pour </w:t>
      </w:r>
      <w:r>
        <w:rPr>
          <w:lang w:val="fr-FR"/>
        </w:rPr>
        <w:t>2013</w:t>
      </w:r>
      <w:r w:rsidRPr="006A6AB9">
        <w:rPr>
          <w:lang w:val="fr-FR"/>
        </w:rPr>
        <w:t xml:space="preserve"> figurent dans </w:t>
      </w:r>
      <w:r>
        <w:rPr>
          <w:lang w:val="fr-FR"/>
        </w:rPr>
        <w:t>le</w:t>
      </w:r>
      <w:r w:rsidRPr="006A6AB9">
        <w:rPr>
          <w:lang w:val="fr-FR"/>
        </w:rPr>
        <w:t xml:space="preserve"> document</w:t>
      </w:r>
      <w:r>
        <w:rPr>
          <w:lang w:val="fr-FR"/>
        </w:rPr>
        <w:t xml:space="preserve"> C/48/13</w:t>
      </w:r>
      <w:r w:rsidRPr="006A6AB9">
        <w:rPr>
          <w:lang w:val="fr-FR"/>
        </w:rPr>
        <w:t>.  L’annexe </w:t>
      </w:r>
      <w:r>
        <w:rPr>
          <w:lang w:val="fr-FR"/>
        </w:rPr>
        <w:t xml:space="preserve"> de ce document </w:t>
      </w:r>
      <w:r w:rsidRPr="006A6AB9">
        <w:rPr>
          <w:lang w:val="fr-FR"/>
        </w:rPr>
        <w:t>contient le rapport du vérificateur externe des comptes.</w:t>
      </w:r>
    </w:p>
    <w:p w:rsidR="00B80A2D" w:rsidRDefault="00B80A2D" w:rsidP="00B80A2D">
      <w:pPr>
        <w:pStyle w:val="DecisionParagraphs"/>
        <w:rPr>
          <w:lang w:val="fr-FR"/>
        </w:rPr>
      </w:pPr>
    </w:p>
    <w:p w:rsidR="00FC5404" w:rsidRPr="00B80A2D" w:rsidRDefault="00B80A2D" w:rsidP="00B80A2D">
      <w:pPr>
        <w:pStyle w:val="DecisionParagraphs"/>
        <w:rPr>
          <w:lang w:val="fr-FR"/>
        </w:rPr>
      </w:pPr>
      <w:r>
        <w:rPr>
          <w:rFonts w:cs="Arial"/>
          <w:lang w:val="fr-CH"/>
        </w:rPr>
        <w:fldChar w:fldCharType="begin"/>
      </w:r>
      <w:r>
        <w:rPr>
          <w:rFonts w:cs="Arial"/>
          <w:lang w:val="fr-CH"/>
        </w:rPr>
        <w:instrText xml:space="preserve"> AUTONUM  </w:instrText>
      </w:r>
      <w:r>
        <w:rPr>
          <w:rFonts w:cs="Arial"/>
          <w:lang w:val="fr-CH"/>
        </w:rPr>
        <w:fldChar w:fldCharType="end"/>
      </w:r>
      <w:r>
        <w:rPr>
          <w:rFonts w:cs="Arial"/>
          <w:lang w:val="fr-CH"/>
        </w:rPr>
        <w:tab/>
      </w:r>
      <w:r w:rsidRPr="00B80A2D">
        <w:rPr>
          <w:rFonts w:cs="Arial"/>
          <w:lang w:val="fr-CH"/>
        </w:rPr>
        <w:t>Le Conseil est invité</w:t>
      </w:r>
      <w:r w:rsidR="00FC5404" w:rsidRPr="00B80A2D">
        <w:rPr>
          <w:rFonts w:cs="Arial"/>
          <w:lang w:val="fr-CH"/>
        </w:rPr>
        <w:t xml:space="preserve"> à prendre note du contenu du présent document</w:t>
      </w:r>
      <w:r w:rsidR="00BE3621">
        <w:rPr>
          <w:rFonts w:cs="Arial"/>
          <w:lang w:val="fr-CH"/>
        </w:rPr>
        <w:t>.</w:t>
      </w:r>
    </w:p>
    <w:bookmarkEnd w:id="6"/>
    <w:bookmarkEnd w:id="7"/>
    <w:p w:rsidR="00FC5404" w:rsidRPr="0011107A" w:rsidRDefault="00FC5404" w:rsidP="00FC5404">
      <w:pPr>
        <w:pStyle w:val="Inf4Normal"/>
        <w:rPr>
          <w:rFonts w:cs="Arial"/>
        </w:rPr>
      </w:pPr>
    </w:p>
    <w:p w:rsidR="00E4565F" w:rsidRDefault="00E4565F">
      <w:pPr>
        <w:jc w:val="left"/>
        <w:rPr>
          <w:caps/>
          <w:noProof/>
          <w:snapToGrid w:val="0"/>
          <w:lang w:val="fr-FR"/>
        </w:rPr>
      </w:pPr>
    </w:p>
    <w:p w:rsidR="00C31FC6" w:rsidRDefault="00C31FC6">
      <w:pPr>
        <w:jc w:val="left"/>
        <w:rPr>
          <w:caps/>
          <w:noProof/>
          <w:snapToGrid w:val="0"/>
          <w:lang w:val="fr-FR"/>
        </w:rPr>
      </w:pPr>
    </w:p>
    <w:p w:rsidR="00900C26" w:rsidRDefault="00E4565F" w:rsidP="00C31FC6">
      <w:pPr>
        <w:pStyle w:val="endofdoc"/>
        <w:rPr>
          <w:snapToGrid w:val="0"/>
          <w:lang w:val="fr-FR"/>
        </w:rPr>
      </w:pPr>
      <w:r>
        <w:rPr>
          <w:snapToGrid w:val="0"/>
          <w:lang w:val="fr-FR"/>
        </w:rPr>
        <w:t>[</w:t>
      </w:r>
      <w:r w:rsidR="00B80A2D">
        <w:rPr>
          <w:snapToGrid w:val="0"/>
          <w:lang w:val="fr-FR"/>
        </w:rPr>
        <w:t>L’annexe suit</w:t>
      </w:r>
      <w:r>
        <w:rPr>
          <w:snapToGrid w:val="0"/>
          <w:lang w:val="fr-FR"/>
        </w:rPr>
        <w:t>]</w:t>
      </w:r>
    </w:p>
    <w:p w:rsidR="00C31FC6" w:rsidRDefault="00C31FC6" w:rsidP="00C31FC6">
      <w:pPr>
        <w:pStyle w:val="endofdoc"/>
        <w:sectPr w:rsidR="00C31FC6" w:rsidSect="00906DDC">
          <w:headerReference w:type="default" r:id="rId9"/>
          <w:pgSz w:w="11907" w:h="16840" w:code="9"/>
          <w:pgMar w:top="510" w:right="1134" w:bottom="1134" w:left="1134" w:header="510" w:footer="680" w:gutter="0"/>
          <w:cols w:space="720"/>
          <w:titlePg/>
        </w:sectPr>
      </w:pPr>
    </w:p>
    <w:p w:rsidR="00C31FC6" w:rsidRDefault="001949A2" w:rsidP="00C31FC6">
      <w:pPr>
        <w:jc w:val="center"/>
        <w:rPr>
          <w:lang w:val="fr-CH"/>
        </w:rPr>
      </w:pPr>
      <w:r>
        <w:rPr>
          <w:lang w:val="fr-CH"/>
        </w:rPr>
        <w:lastRenderedPageBreak/>
        <w:t>C/4</w:t>
      </w:r>
      <w:r w:rsidR="00C31FC6">
        <w:rPr>
          <w:lang w:val="fr-CH"/>
        </w:rPr>
        <w:t>8/14</w:t>
      </w:r>
    </w:p>
    <w:p w:rsidR="00C31FC6" w:rsidRDefault="00C31FC6" w:rsidP="00C31FC6">
      <w:pPr>
        <w:jc w:val="center"/>
        <w:rPr>
          <w:lang w:val="fr-CH"/>
        </w:rPr>
      </w:pPr>
    </w:p>
    <w:p w:rsidR="00C31FC6" w:rsidRDefault="00C31FC6" w:rsidP="00C31FC6">
      <w:pPr>
        <w:jc w:val="center"/>
        <w:rPr>
          <w:lang w:val="fr-CH"/>
        </w:rPr>
      </w:pPr>
      <w:r>
        <w:rPr>
          <w:lang w:val="fr-CH"/>
        </w:rPr>
        <w:t>ANNEXE</w:t>
      </w:r>
    </w:p>
    <w:p w:rsidR="00C31FC6" w:rsidRDefault="00C31FC6" w:rsidP="00C31FC6">
      <w:pPr>
        <w:jc w:val="center"/>
        <w:rPr>
          <w:lang w:val="fr-CH"/>
        </w:rPr>
      </w:pPr>
    </w:p>
    <w:p w:rsidR="00C31FC6" w:rsidRDefault="00C31FC6" w:rsidP="00C31FC6">
      <w:pPr>
        <w:jc w:val="center"/>
        <w:rPr>
          <w:lang w:val="fr-CH"/>
        </w:rPr>
      </w:pPr>
    </w:p>
    <w:p w:rsidR="00C31FC6" w:rsidRDefault="00C31FC6" w:rsidP="00D92D23">
      <w:pPr>
        <w:rPr>
          <w:lang w:val="fr-CH"/>
        </w:rPr>
      </w:pPr>
    </w:p>
    <w:p w:rsidR="00C31FC6" w:rsidRPr="00FA1CA6" w:rsidRDefault="00C31FC6" w:rsidP="00D92D23">
      <w:pPr>
        <w:rPr>
          <w:lang w:val="fr-CH"/>
        </w:rPr>
      </w:pPr>
      <w:r>
        <w:rPr>
          <w:noProof/>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C6" w:rsidRPr="00DA70D7" w:rsidRDefault="00C31FC6" w:rsidP="00DA70D7">
                            <w:pPr>
                              <w:spacing w:before="120" w:after="360"/>
                              <w:rPr>
                                <w:rFonts w:ascii="Tahoma" w:hAnsi="Tahoma" w:cs="Tahoma"/>
                                <w:sz w:val="28"/>
                                <w:szCs w:val="28"/>
                                <w:lang w:val="fr-FR"/>
                              </w:rPr>
                            </w:pPr>
                            <w:r w:rsidRPr="003970E6">
                              <w:rPr>
                                <w:rFonts w:ascii="Tahoma" w:hAnsi="Tahoma" w:cs="Tahoma"/>
                                <w:sz w:val="28"/>
                                <w:szCs w:val="28"/>
                                <w:lang w:val="fr-FR"/>
                              </w:rPr>
                              <w:t xml:space="preserve">Rapport du Vérificateur </w:t>
                            </w:r>
                            <w:r>
                              <w:rPr>
                                <w:rFonts w:ascii="Tahoma" w:hAnsi="Tahoma" w:cs="Tahoma"/>
                                <w:sz w:val="28"/>
                                <w:szCs w:val="28"/>
                                <w:lang w:val="fr-FR"/>
                              </w:rPr>
                              <w:t>des comptes</w:t>
                            </w:r>
                          </w:p>
                          <w:p w:rsidR="00C31FC6" w:rsidRPr="00DA70D7" w:rsidRDefault="00C31FC6" w:rsidP="00810B31">
                            <w:pPr>
                              <w:rPr>
                                <w:rFonts w:ascii="Tahoma" w:hAnsi="Tahoma" w:cs="Tahoma"/>
                                <w:b/>
                                <w:sz w:val="28"/>
                                <w:szCs w:val="28"/>
                                <w:lang w:val="fr-FR"/>
                              </w:rPr>
                            </w:pPr>
                            <w:r>
                              <w:rPr>
                                <w:rFonts w:ascii="Tahoma" w:hAnsi="Tahoma" w:cs="Tahoma"/>
                                <w:b/>
                                <w:sz w:val="28"/>
                                <w:szCs w:val="28"/>
                                <w:lang w:val="fr-FR"/>
                              </w:rPr>
                              <w:t>UNION INTERNATIONALE POUR LA PROTECTION DES OBTENTIONS VEGETALES (UPOV)</w:t>
                            </w:r>
                          </w:p>
                          <w:p w:rsidR="00C31FC6" w:rsidRPr="00DA70D7" w:rsidRDefault="00C31FC6" w:rsidP="0003052D">
                            <w:pPr>
                              <w:spacing w:after="360"/>
                              <w:rPr>
                                <w:rFonts w:ascii="Tahoma" w:hAnsi="Tahoma" w:cs="Tahoma"/>
                                <w:sz w:val="28"/>
                                <w:szCs w:val="28"/>
                                <w:lang w:val="fr-FR"/>
                              </w:rPr>
                            </w:pPr>
                          </w:p>
                          <w:p w:rsidR="00C31FC6" w:rsidRDefault="00C31FC6" w:rsidP="00DA70D7">
                            <w:pPr>
                              <w:jc w:val="right"/>
                              <w:rPr>
                                <w:rFonts w:ascii="Tahoma" w:hAnsi="Tahoma" w:cs="Tahoma"/>
                                <w:sz w:val="28"/>
                                <w:szCs w:val="28"/>
                                <w:lang w:val="fr-FR"/>
                              </w:rPr>
                            </w:pPr>
                            <w:r w:rsidRPr="000C2A53">
                              <w:rPr>
                                <w:rFonts w:ascii="Tahoma" w:hAnsi="Tahoma" w:cs="Tahoma"/>
                                <w:sz w:val="28"/>
                                <w:szCs w:val="28"/>
                                <w:lang w:val="fr-FR"/>
                              </w:rPr>
                              <w:t>Audit de</w:t>
                            </w:r>
                            <w:r>
                              <w:rPr>
                                <w:rFonts w:ascii="Tahoma" w:hAnsi="Tahoma" w:cs="Tahoma"/>
                                <w:sz w:val="28"/>
                                <w:szCs w:val="28"/>
                                <w:lang w:val="fr-FR"/>
                              </w:rPr>
                              <w:t>s états financiers 2013</w:t>
                            </w:r>
                          </w:p>
                          <w:p w:rsidR="00C31FC6" w:rsidRPr="000C2A53" w:rsidRDefault="00C31FC6" w:rsidP="00DA70D7">
                            <w:pPr>
                              <w:jc w:val="right"/>
                              <w:rPr>
                                <w:rFonts w:ascii="Tahoma" w:hAnsi="Tahoma" w:cs="Tahoma"/>
                                <w:sz w:val="28"/>
                                <w:szCs w:val="28"/>
                                <w:lang w:val="fr-FR"/>
                              </w:rPr>
                            </w:pPr>
                          </w:p>
                          <w:p w:rsidR="00C31FC6" w:rsidRPr="00A75479" w:rsidRDefault="00C31FC6" w:rsidP="00DA70D7">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muuAIAALo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" filled="f" fillcolor="#d8d8d8" stroked="f">
                <v:textbox>
                  <w:txbxContent>
                    <w:p w:rsidR="00C31FC6" w:rsidRPr="00DA70D7" w:rsidRDefault="00C31FC6" w:rsidP="00DA70D7">
                      <w:pPr>
                        <w:spacing w:before="120" w:after="360"/>
                        <w:rPr>
                          <w:rFonts w:ascii="Tahoma" w:hAnsi="Tahoma" w:cs="Tahoma"/>
                          <w:sz w:val="28"/>
                          <w:szCs w:val="28"/>
                          <w:lang w:val="fr-FR"/>
                        </w:rPr>
                      </w:pPr>
                      <w:r w:rsidRPr="003970E6">
                        <w:rPr>
                          <w:rFonts w:ascii="Tahoma" w:hAnsi="Tahoma" w:cs="Tahoma"/>
                          <w:sz w:val="28"/>
                          <w:szCs w:val="28"/>
                          <w:lang w:val="fr-FR"/>
                        </w:rPr>
                        <w:t xml:space="preserve">Rapport du Vérificateur </w:t>
                      </w:r>
                      <w:r>
                        <w:rPr>
                          <w:rFonts w:ascii="Tahoma" w:hAnsi="Tahoma" w:cs="Tahoma"/>
                          <w:sz w:val="28"/>
                          <w:szCs w:val="28"/>
                          <w:lang w:val="fr-FR"/>
                        </w:rPr>
                        <w:t>des comptes</w:t>
                      </w:r>
                    </w:p>
                    <w:p w:rsidR="00C31FC6" w:rsidRPr="00DA70D7" w:rsidRDefault="00C31FC6" w:rsidP="00810B31">
                      <w:pPr>
                        <w:rPr>
                          <w:rFonts w:ascii="Tahoma" w:hAnsi="Tahoma" w:cs="Tahoma"/>
                          <w:b/>
                          <w:sz w:val="28"/>
                          <w:szCs w:val="28"/>
                          <w:lang w:val="fr-FR"/>
                        </w:rPr>
                      </w:pPr>
                      <w:r>
                        <w:rPr>
                          <w:rFonts w:ascii="Tahoma" w:hAnsi="Tahoma" w:cs="Tahoma"/>
                          <w:b/>
                          <w:sz w:val="28"/>
                          <w:szCs w:val="28"/>
                          <w:lang w:val="fr-FR"/>
                        </w:rPr>
                        <w:t>UNION INTERNATIONALE POUR LA PROTECTION DES OBTENTIONS VEGETALES (UPOV)</w:t>
                      </w:r>
                    </w:p>
                    <w:p w:rsidR="00C31FC6" w:rsidRPr="00DA70D7" w:rsidRDefault="00C31FC6" w:rsidP="0003052D">
                      <w:pPr>
                        <w:spacing w:after="360"/>
                        <w:rPr>
                          <w:rFonts w:ascii="Tahoma" w:hAnsi="Tahoma" w:cs="Tahoma"/>
                          <w:sz w:val="28"/>
                          <w:szCs w:val="28"/>
                          <w:lang w:val="fr-FR"/>
                        </w:rPr>
                      </w:pPr>
                    </w:p>
                    <w:p w:rsidR="00C31FC6" w:rsidRDefault="00C31FC6" w:rsidP="00DA70D7">
                      <w:pPr>
                        <w:jc w:val="right"/>
                        <w:rPr>
                          <w:rFonts w:ascii="Tahoma" w:hAnsi="Tahoma" w:cs="Tahoma"/>
                          <w:sz w:val="28"/>
                          <w:szCs w:val="28"/>
                          <w:lang w:val="fr-FR"/>
                        </w:rPr>
                      </w:pPr>
                      <w:r w:rsidRPr="000C2A53">
                        <w:rPr>
                          <w:rFonts w:ascii="Tahoma" w:hAnsi="Tahoma" w:cs="Tahoma"/>
                          <w:sz w:val="28"/>
                          <w:szCs w:val="28"/>
                          <w:lang w:val="fr-FR"/>
                        </w:rPr>
                        <w:t>Audit de</w:t>
                      </w:r>
                      <w:r>
                        <w:rPr>
                          <w:rFonts w:ascii="Tahoma" w:hAnsi="Tahoma" w:cs="Tahoma"/>
                          <w:sz w:val="28"/>
                          <w:szCs w:val="28"/>
                          <w:lang w:val="fr-FR"/>
                        </w:rPr>
                        <w:t>s états financiers 2013</w:t>
                      </w:r>
                    </w:p>
                    <w:p w:rsidR="00C31FC6" w:rsidRPr="000C2A53" w:rsidRDefault="00C31FC6" w:rsidP="00DA70D7">
                      <w:pPr>
                        <w:jc w:val="right"/>
                        <w:rPr>
                          <w:rFonts w:ascii="Tahoma" w:hAnsi="Tahoma" w:cs="Tahoma"/>
                          <w:sz w:val="28"/>
                          <w:szCs w:val="28"/>
                          <w:lang w:val="fr-FR"/>
                        </w:rPr>
                      </w:pPr>
                    </w:p>
                    <w:p w:rsidR="00C31FC6" w:rsidRPr="00A75479" w:rsidRDefault="00C31FC6" w:rsidP="00DA70D7">
                      <w:pPr>
                        <w:jc w:val="right"/>
                        <w:rPr>
                          <w:rFonts w:ascii="Tahoma" w:hAnsi="Tahoma" w:cs="Tahoma"/>
                          <w:sz w:val="28"/>
                          <w:szCs w:val="28"/>
                          <w:lang w:val="fr-FR"/>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839470</wp:posOffset>
                </wp:positionV>
                <wp:extent cx="2371725" cy="8239125"/>
                <wp:effectExtent l="0" t="1270"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FC6" w:rsidRDefault="00C31FC6" w:rsidP="00921794">
                            <w:pPr>
                              <w:spacing w:before="120" w:line="240" w:lineRule="atLeast"/>
                              <w:rPr>
                                <w:rFonts w:ascii="Tahoma" w:hAnsi="Tahoma"/>
                                <w:i/>
                                <w:sz w:val="16"/>
                                <w:lang w:val="fr-CH"/>
                              </w:rPr>
                            </w:pPr>
                            <w:r w:rsidRPr="00BC7055">
                              <w:rPr>
                                <w:rFonts w:ascii="Tahoma" w:hAnsi="Tahoma" w:cs="Tahoma"/>
                                <w:i/>
                                <w:sz w:val="16"/>
                                <w:szCs w:val="16"/>
                                <w:lang w:val="fr-CH"/>
                              </w:rPr>
                              <w:t xml:space="preserve">Le mandat de vérification </w:t>
                            </w:r>
                            <w:r>
                              <w:rPr>
                                <w:rFonts w:ascii="Tahoma" w:hAnsi="Tahoma" w:cs="Tahoma"/>
                                <w:i/>
                                <w:sz w:val="16"/>
                                <w:szCs w:val="16"/>
                                <w:lang w:val="fr-CH"/>
                              </w:rPr>
                              <w:t>des comptes</w:t>
                            </w:r>
                            <w:r w:rsidRPr="00BC7055">
                              <w:rPr>
                                <w:rFonts w:ascii="Tahoma" w:hAnsi="Tahoma" w:cs="Tahoma"/>
                                <w:i/>
                                <w:sz w:val="16"/>
                                <w:szCs w:val="16"/>
                                <w:lang w:val="fr-CH"/>
                              </w:rPr>
                              <w:t xml:space="preserve"> </w:t>
                            </w:r>
                            <w:r w:rsidRPr="00DA17DD">
                              <w:rPr>
                                <w:rFonts w:ascii="Tahoma" w:hAnsi="Tahoma" w:cs="Tahoma"/>
                                <w:i/>
                                <w:sz w:val="16"/>
                                <w:szCs w:val="16"/>
                                <w:lang w:val="fr-CH"/>
                              </w:rPr>
                              <w:t xml:space="preserve">de l’Union internationale pour la protection des obtentions végétales (UPOV) </w:t>
                            </w:r>
                            <w:r>
                              <w:rPr>
                                <w:rFonts w:ascii="Tahoma" w:hAnsi="Tahoma" w:cs="Tahoma"/>
                                <w:i/>
                                <w:sz w:val="16"/>
                                <w:szCs w:val="16"/>
                                <w:lang w:val="fr-CH"/>
                              </w:rPr>
                              <w:t>est exercé tradi</w:t>
                            </w:r>
                            <w:r>
                              <w:rPr>
                                <w:rFonts w:ascii="Tahoma" w:hAnsi="Tahoma" w:cs="Tahoma"/>
                                <w:i/>
                                <w:sz w:val="16"/>
                                <w:szCs w:val="16"/>
                                <w:lang w:val="fr-CH"/>
                              </w:rPr>
                              <w:softHyphen/>
                              <w:t>tionnellement par des membres de la</w:t>
                            </w:r>
                            <w:r w:rsidRPr="00BC7055">
                              <w:rPr>
                                <w:rFonts w:ascii="Tahoma" w:hAnsi="Tahoma" w:cs="Tahoma"/>
                                <w:i/>
                                <w:sz w:val="16"/>
                                <w:szCs w:val="16"/>
                                <w:lang w:val="fr-CH"/>
                              </w:rPr>
                              <w:t xml:space="preserve"> plus haute instance de contrôle financier public du pays choisi</w:t>
                            </w:r>
                            <w:r>
                              <w:rPr>
                                <w:rFonts w:ascii="Tahoma" w:hAnsi="Tahoma" w:cs="Tahoma"/>
                                <w:i/>
                                <w:sz w:val="16"/>
                                <w:szCs w:val="16"/>
                                <w:lang w:val="fr-CH"/>
                              </w:rPr>
                              <w:t xml:space="preserve">. </w:t>
                            </w:r>
                            <w:r w:rsidRPr="00DA17DD">
                              <w:rPr>
                                <w:rFonts w:ascii="Tahoma" w:hAnsi="Tahoma" w:cs="Tahoma"/>
                                <w:i/>
                                <w:sz w:val="16"/>
                                <w:szCs w:val="16"/>
                                <w:lang w:val="fr-CH"/>
                              </w:rPr>
                              <w:t>Fort de cette disposition et conformé</w:t>
                            </w:r>
                            <w:r>
                              <w:rPr>
                                <w:rFonts w:ascii="Tahoma" w:hAnsi="Tahoma" w:cs="Tahoma"/>
                                <w:i/>
                                <w:sz w:val="16"/>
                                <w:szCs w:val="16"/>
                                <w:lang w:val="fr-CH"/>
                              </w:rPr>
                              <w:softHyphen/>
                            </w:r>
                            <w:r w:rsidRPr="00DA17DD">
                              <w:rPr>
                                <w:rFonts w:ascii="Tahoma" w:hAnsi="Tahoma" w:cs="Tahoma"/>
                                <w:i/>
                                <w:sz w:val="16"/>
                                <w:szCs w:val="16"/>
                                <w:lang w:val="fr-CH"/>
                              </w:rPr>
                              <w:t xml:space="preserve">ment à </w:t>
                            </w:r>
                            <w:r w:rsidRPr="00DA17DD">
                              <w:rPr>
                                <w:rFonts w:ascii="Tahoma" w:hAnsi="Tahoma" w:cs="Tahoma"/>
                                <w:i/>
                                <w:sz w:val="16"/>
                                <w:szCs w:val="16"/>
                                <w:lang w:val="fr-FR"/>
                              </w:rPr>
                              <w:t>l'article 25 de la Convention interna</w:t>
                            </w:r>
                            <w:r>
                              <w:rPr>
                                <w:rFonts w:ascii="Tahoma" w:hAnsi="Tahoma" w:cs="Tahoma"/>
                                <w:i/>
                                <w:sz w:val="16"/>
                                <w:szCs w:val="16"/>
                                <w:lang w:val="fr-FR"/>
                              </w:rPr>
                              <w:softHyphen/>
                            </w:r>
                            <w:r w:rsidRPr="00DA17DD">
                              <w:rPr>
                                <w:rFonts w:ascii="Tahoma" w:hAnsi="Tahoma" w:cs="Tahoma"/>
                                <w:i/>
                                <w:sz w:val="16"/>
                                <w:szCs w:val="16"/>
                                <w:lang w:val="fr-FR"/>
                              </w:rPr>
                              <w:t xml:space="preserve">tionale du 2 décembre 1961 révisée en 1978 et à l'article 29 (6) de l'Acte de 1991, le Conseil de l'UPOV, lors de sa quarante-cinquième session ordinaire, le 20 octobre 2011 à Genève, a renouvelé le mandat de la Suisse en tant que Vérificateur des comptes </w:t>
                            </w:r>
                            <w:r>
                              <w:rPr>
                                <w:rFonts w:ascii="Tahoma" w:hAnsi="Tahoma" w:cs="Tahoma"/>
                                <w:i/>
                                <w:sz w:val="16"/>
                                <w:szCs w:val="16"/>
                                <w:lang w:val="fr-FR"/>
                              </w:rPr>
                              <w:t xml:space="preserve">et qui est exercé par le </w:t>
                            </w:r>
                            <w:r w:rsidRPr="00BC7055">
                              <w:rPr>
                                <w:rFonts w:ascii="Tahoma" w:hAnsi="Tahoma" w:cs="Tahoma"/>
                                <w:i/>
                                <w:sz w:val="16"/>
                                <w:szCs w:val="16"/>
                                <w:lang w:val="fr-CH"/>
                              </w:rPr>
                              <w:t>Cont</w:t>
                            </w:r>
                            <w:r>
                              <w:rPr>
                                <w:rFonts w:ascii="Tahoma" w:hAnsi="Tahoma" w:cs="Tahoma"/>
                                <w:i/>
                                <w:sz w:val="16"/>
                                <w:szCs w:val="16"/>
                                <w:lang w:val="fr-CH"/>
                              </w:rPr>
                              <w:t>rôle fédéral des finances (CDF) de la Confédération suisse</w:t>
                            </w:r>
                            <w:r w:rsidRPr="00DA17DD">
                              <w:rPr>
                                <w:rFonts w:ascii="Tahoma" w:hAnsi="Tahoma" w:cs="Tahoma"/>
                                <w:i/>
                                <w:sz w:val="16"/>
                                <w:szCs w:val="16"/>
                                <w:lang w:val="fr-FR"/>
                              </w:rPr>
                              <w:t xml:space="preserve"> </w:t>
                            </w:r>
                            <w:r>
                              <w:rPr>
                                <w:rFonts w:ascii="Tahoma" w:hAnsi="Tahoma" w:cs="Tahoma"/>
                                <w:i/>
                                <w:sz w:val="16"/>
                                <w:szCs w:val="16"/>
                                <w:lang w:val="fr-FR"/>
                              </w:rPr>
                              <w:t>ju</w:t>
                            </w:r>
                            <w:r w:rsidRPr="00DA17DD">
                              <w:rPr>
                                <w:rFonts w:ascii="Tahoma" w:hAnsi="Tahoma" w:cs="Tahoma"/>
                                <w:i/>
                                <w:sz w:val="16"/>
                                <w:szCs w:val="16"/>
                                <w:lang w:val="fr-FR"/>
                              </w:rPr>
                              <w:t>squ'à l'année 2017 incluse.</w:t>
                            </w:r>
                          </w:p>
                          <w:p w:rsidR="00C31FC6" w:rsidRDefault="00C31FC6" w:rsidP="00921794">
                            <w:pPr>
                              <w:spacing w:line="240" w:lineRule="atLeast"/>
                              <w:rPr>
                                <w:rFonts w:ascii="Tahoma" w:hAnsi="Tahoma"/>
                                <w:i/>
                                <w:sz w:val="16"/>
                                <w:lang w:val="fr-CH"/>
                              </w:rPr>
                            </w:pPr>
                          </w:p>
                          <w:p w:rsidR="00C31FC6" w:rsidRDefault="00C31FC6" w:rsidP="00921794">
                            <w:pPr>
                              <w:spacing w:line="240" w:lineRule="atLeast"/>
                              <w:rPr>
                                <w:rFonts w:ascii="Tahoma" w:hAnsi="Tahoma"/>
                                <w:i/>
                                <w:sz w:val="16"/>
                                <w:lang w:val="fr-CH"/>
                              </w:rPr>
                            </w:pPr>
                            <w:r>
                              <w:rPr>
                                <w:rFonts w:ascii="Tahoma" w:hAnsi="Tahoma" w:cs="Tahoma"/>
                                <w:i/>
                                <w:sz w:val="16"/>
                                <w:szCs w:val="16"/>
                                <w:lang w:val="fr-CH"/>
                              </w:rPr>
                              <w:t>Le</w:t>
                            </w:r>
                            <w:r w:rsidRPr="00922434">
                              <w:rPr>
                                <w:rFonts w:ascii="Tahoma" w:hAnsi="Tahoma" w:cs="Tahoma"/>
                                <w:i/>
                                <w:sz w:val="16"/>
                                <w:szCs w:val="16"/>
                                <w:lang w:val="fr-CH"/>
                              </w:rPr>
                              <w:t xml:space="preserve"> mandat est défini </w:t>
                            </w:r>
                            <w:r>
                              <w:rPr>
                                <w:rFonts w:ascii="Tahoma" w:hAnsi="Tahoma" w:cs="Tahoma"/>
                                <w:i/>
                                <w:sz w:val="16"/>
                                <w:szCs w:val="16"/>
                                <w:lang w:val="fr-CH"/>
                              </w:rPr>
                              <w:t xml:space="preserve">à l’annexe II du </w:t>
                            </w:r>
                            <w:r w:rsidRPr="00922434">
                              <w:rPr>
                                <w:rFonts w:ascii="Tahoma" w:hAnsi="Tahoma" w:cs="Tahoma"/>
                                <w:i/>
                                <w:sz w:val="16"/>
                                <w:szCs w:val="16"/>
                                <w:lang w:val="fr-FR"/>
                              </w:rPr>
                              <w:t xml:space="preserve">Règlement financier et le Règlement d'exécution </w:t>
                            </w:r>
                            <w:r>
                              <w:rPr>
                                <w:rFonts w:ascii="Tahoma" w:hAnsi="Tahoma" w:cs="Tahoma"/>
                                <w:i/>
                                <w:sz w:val="16"/>
                                <w:szCs w:val="16"/>
                                <w:lang w:val="fr-FR"/>
                              </w:rPr>
                              <w:t xml:space="preserve">du règlement financier </w:t>
                            </w:r>
                            <w:r w:rsidRPr="00922434">
                              <w:rPr>
                                <w:rFonts w:ascii="Tahoma" w:hAnsi="Tahoma" w:cs="Tahoma"/>
                                <w:i/>
                                <w:sz w:val="16"/>
                                <w:szCs w:val="16"/>
                                <w:lang w:val="fr-FR"/>
                              </w:rPr>
                              <w:t>de l'UPOV</w:t>
                            </w:r>
                            <w:r w:rsidRPr="00922434">
                              <w:rPr>
                                <w:rFonts w:ascii="Tahoma" w:hAnsi="Tahoma" w:cs="Tahoma"/>
                                <w:i/>
                                <w:sz w:val="16"/>
                                <w:szCs w:val="16"/>
                                <w:lang w:val="fr-CH"/>
                              </w:rPr>
                              <w:t xml:space="preserve">. </w:t>
                            </w:r>
                            <w:r>
                              <w:rPr>
                                <w:rFonts w:ascii="Tahoma" w:hAnsi="Tahoma" w:cs="Tahoma"/>
                                <w:i/>
                                <w:sz w:val="16"/>
                                <w:szCs w:val="16"/>
                                <w:lang w:val="fr-CH"/>
                              </w:rPr>
                              <w:t>Les dispositions de la mission d’audit ont par ailleurs été stipulées dans la lettre de confirmation de mandat du 13 mai 2013 et l’UPOV en a accepté les termes dans sa réponse du 28 mai 2013.</w:t>
                            </w:r>
                            <w:r w:rsidRPr="00E03369">
                              <w:rPr>
                                <w:rFonts w:ascii="Tahoma" w:hAnsi="Tahoma" w:cs="Tahoma"/>
                                <w:i/>
                                <w:sz w:val="16"/>
                                <w:szCs w:val="16"/>
                                <w:lang w:val="fr-CH"/>
                              </w:rPr>
                              <w:t xml:space="preserve"> </w:t>
                            </w:r>
                            <w:r>
                              <w:rPr>
                                <w:rFonts w:ascii="Tahoma" w:hAnsi="Tahoma" w:cs="Tahoma"/>
                                <w:i/>
                                <w:sz w:val="16"/>
                                <w:szCs w:val="16"/>
                                <w:lang w:val="fr-CH"/>
                              </w:rPr>
                              <w:t xml:space="preserve">Les membres du CDF en charge de ce mandat </w:t>
                            </w:r>
                            <w:r w:rsidRPr="00E03369">
                              <w:rPr>
                                <w:rFonts w:ascii="Tahoma" w:hAnsi="Tahoma" w:cs="Tahoma"/>
                                <w:i/>
                                <w:sz w:val="16"/>
                                <w:szCs w:val="16"/>
                                <w:lang w:val="fr-CH"/>
                              </w:rPr>
                              <w:t>remplis</w:t>
                            </w:r>
                            <w:r>
                              <w:rPr>
                                <w:rFonts w:ascii="Tahoma" w:hAnsi="Tahoma" w:cs="Tahoma"/>
                                <w:i/>
                                <w:sz w:val="16"/>
                                <w:szCs w:val="16"/>
                                <w:lang w:val="fr-CH"/>
                              </w:rPr>
                              <w:t>sent leur</w:t>
                            </w:r>
                            <w:r w:rsidRPr="00E03369">
                              <w:rPr>
                                <w:rFonts w:ascii="Tahoma" w:hAnsi="Tahoma" w:cs="Tahoma"/>
                                <w:i/>
                                <w:sz w:val="16"/>
                                <w:szCs w:val="16"/>
                                <w:lang w:val="fr-CH"/>
                              </w:rPr>
                              <w:t xml:space="preserve"> fonction de manière autonome et indépendante, avec le soutien de</w:t>
                            </w:r>
                            <w:r>
                              <w:rPr>
                                <w:rFonts w:ascii="Tahoma" w:hAnsi="Tahoma" w:cs="Tahoma"/>
                                <w:i/>
                                <w:sz w:val="16"/>
                                <w:szCs w:val="16"/>
                                <w:lang w:val="fr-CH"/>
                              </w:rPr>
                              <w:t xml:space="preserve"> leurs</w:t>
                            </w:r>
                            <w:r w:rsidRPr="00E03369">
                              <w:rPr>
                                <w:rFonts w:ascii="Tahoma" w:hAnsi="Tahoma" w:cs="Tahoma"/>
                                <w:i/>
                                <w:sz w:val="16"/>
                                <w:szCs w:val="16"/>
                                <w:lang w:val="fr-CH"/>
                              </w:rPr>
                              <w:t xml:space="preserve"> collaborateurs.</w:t>
                            </w:r>
                          </w:p>
                          <w:p w:rsidR="00C31FC6" w:rsidRPr="00E03369" w:rsidRDefault="00C31FC6" w:rsidP="00EF3D14">
                            <w:pPr>
                              <w:spacing w:line="240" w:lineRule="atLeast"/>
                              <w:rPr>
                                <w:rFonts w:ascii="Tahoma" w:hAnsi="Tahoma" w:cs="Tahoma"/>
                                <w:i/>
                                <w:sz w:val="16"/>
                                <w:szCs w:val="16"/>
                                <w:lang w:val="fr-CH"/>
                              </w:rPr>
                            </w:pPr>
                          </w:p>
                          <w:p w:rsidR="00C31FC6" w:rsidRPr="00E03369" w:rsidRDefault="00C31FC6" w:rsidP="00EF3D14">
                            <w:pPr>
                              <w:spacing w:line="240" w:lineRule="atLeast"/>
                              <w:rPr>
                                <w:rFonts w:ascii="Tahoma" w:hAnsi="Tahoma" w:cs="Tahoma"/>
                                <w:i/>
                                <w:sz w:val="16"/>
                                <w:szCs w:val="16"/>
                                <w:lang w:val="fr-CH"/>
                              </w:rPr>
                            </w:pPr>
                            <w:r w:rsidRPr="00E03369">
                              <w:rPr>
                                <w:rFonts w:ascii="Tahoma" w:hAnsi="Tahoma" w:cs="Tahoma"/>
                                <w:i/>
                                <w:sz w:val="16"/>
                                <w:szCs w:val="16"/>
                                <w:lang w:val="fr-CH"/>
                              </w:rPr>
                              <w:t>Le CDF fournit les prestations relatives à l’audit externe des comptes de l’</w:t>
                            </w:r>
                            <w:r>
                              <w:rPr>
                                <w:rFonts w:ascii="Tahoma" w:hAnsi="Tahoma" w:cs="Tahoma"/>
                                <w:i/>
                                <w:sz w:val="16"/>
                                <w:szCs w:val="16"/>
                                <w:lang w:val="fr-CH"/>
                              </w:rPr>
                              <w:t>UPOV</w:t>
                            </w:r>
                            <w:r w:rsidRPr="00E03369">
                              <w:rPr>
                                <w:rFonts w:ascii="Tahoma" w:hAnsi="Tahoma" w:cs="Tahoma"/>
                                <w:i/>
                                <w:sz w:val="16"/>
                                <w:szCs w:val="16"/>
                                <w:lang w:val="fr-CH"/>
                              </w:rPr>
                              <w:t xml:space="preserve"> d’une manière complètement indépendante de son rôle d’organe suprême de surveillance financière de la Confédération suisse. Le CDF a une équipe de professionnels hautement qualifiés et possédant une large expérience des audits dans les organisations internationales.</w:t>
                            </w:r>
                          </w:p>
                          <w:p w:rsidR="00C31FC6" w:rsidRPr="00E03369" w:rsidRDefault="00C31FC6" w:rsidP="00EF3D14">
                            <w:pPr>
                              <w:spacing w:before="240" w:line="240" w:lineRule="atLeast"/>
                              <w:rPr>
                                <w:rFonts w:ascii="Tahoma" w:hAnsi="Tahoma" w:cs="Tahoma"/>
                                <w:i/>
                                <w:sz w:val="16"/>
                                <w:szCs w:val="16"/>
                                <w:lang w:val="fr-FR"/>
                              </w:rPr>
                            </w:pPr>
                            <w:r w:rsidRPr="00E03369">
                              <w:rPr>
                                <w:rFonts w:ascii="Tahoma" w:hAnsi="Tahoma" w:cs="Tahoma"/>
                                <w:i/>
                                <w:sz w:val="16"/>
                                <w:szCs w:val="16"/>
                                <w:u w:val="single"/>
                                <w:lang w:val="fr-FR"/>
                              </w:rPr>
                              <w:t>Pour plus d’informations, veuillez contacter</w:t>
                            </w:r>
                            <w:r w:rsidRPr="00E03369">
                              <w:rPr>
                                <w:rFonts w:ascii="Tahoma" w:hAnsi="Tahoma" w:cs="Tahoma"/>
                                <w:i/>
                                <w:sz w:val="16"/>
                                <w:szCs w:val="16"/>
                                <w:lang w:val="fr-FR"/>
                              </w:rPr>
                              <w:t> :</w:t>
                            </w:r>
                          </w:p>
                          <w:p w:rsidR="00C31FC6" w:rsidRPr="00E03369" w:rsidRDefault="00C31FC6" w:rsidP="00EF3D14">
                            <w:pPr>
                              <w:spacing w:line="240" w:lineRule="atLeast"/>
                              <w:rPr>
                                <w:rFonts w:ascii="Tahoma" w:hAnsi="Tahoma" w:cs="Tahoma"/>
                                <w:i/>
                                <w:sz w:val="16"/>
                                <w:szCs w:val="16"/>
                                <w:lang w:val="fr-FR"/>
                              </w:rPr>
                            </w:pP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M. Eric-Serge Jeannet</w:t>
                            </w: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Vice-directeur du</w:t>
                            </w:r>
                            <w:r w:rsidRPr="00E03369">
                              <w:rPr>
                                <w:rFonts w:ascii="Tahoma" w:hAnsi="Tahoma" w:cs="Tahoma"/>
                                <w:i/>
                                <w:sz w:val="16"/>
                                <w:szCs w:val="16"/>
                                <w:lang w:val="fr-FR"/>
                              </w:rPr>
                              <w:t xml:space="preserve"> Contrôle fédéral des finances</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de la Confédération suisse</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Monbijoustrasse 45</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3003 Berne</w:t>
                            </w: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tél. +41 (0)58</w:t>
                            </w:r>
                            <w:r w:rsidRPr="00E03369">
                              <w:rPr>
                                <w:rFonts w:ascii="Tahoma" w:hAnsi="Tahoma" w:cs="Tahoma"/>
                                <w:i/>
                                <w:sz w:val="16"/>
                                <w:szCs w:val="16"/>
                                <w:lang w:val="fr-FR"/>
                              </w:rPr>
                              <w:t xml:space="preserve"> </w:t>
                            </w:r>
                            <w:r>
                              <w:rPr>
                                <w:rFonts w:ascii="Tahoma" w:hAnsi="Tahoma" w:cs="Tahoma"/>
                                <w:i/>
                                <w:sz w:val="16"/>
                                <w:szCs w:val="16"/>
                                <w:lang w:val="fr-FR"/>
                              </w:rPr>
                              <w:t>46</w:t>
                            </w:r>
                            <w:r w:rsidRPr="00E03369">
                              <w:rPr>
                                <w:rFonts w:ascii="Tahoma" w:hAnsi="Tahoma" w:cs="Tahoma"/>
                                <w:i/>
                                <w:sz w:val="16"/>
                                <w:szCs w:val="16"/>
                                <w:lang w:val="fr-FR"/>
                              </w:rPr>
                              <w:t>3 1</w:t>
                            </w:r>
                            <w:r>
                              <w:rPr>
                                <w:rFonts w:ascii="Tahoma" w:hAnsi="Tahoma" w:cs="Tahoma"/>
                                <w:i/>
                                <w:sz w:val="16"/>
                                <w:szCs w:val="16"/>
                                <w:lang w:val="fr-FR"/>
                              </w:rPr>
                              <w:t>0</w:t>
                            </w:r>
                            <w:r w:rsidRPr="00E03369">
                              <w:rPr>
                                <w:rFonts w:ascii="Tahoma" w:hAnsi="Tahoma" w:cs="Tahoma"/>
                                <w:i/>
                                <w:sz w:val="16"/>
                                <w:szCs w:val="16"/>
                                <w:lang w:val="fr-FR"/>
                              </w:rPr>
                              <w:t xml:space="preserve"> </w:t>
                            </w:r>
                            <w:r>
                              <w:rPr>
                                <w:rFonts w:ascii="Tahoma" w:hAnsi="Tahoma" w:cs="Tahoma"/>
                                <w:i/>
                                <w:sz w:val="16"/>
                                <w:szCs w:val="16"/>
                                <w:lang w:val="fr-FR"/>
                              </w:rPr>
                              <w:t>39</w:t>
                            </w: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eric-serge.jeannet</w:t>
                            </w:r>
                            <w:r w:rsidRPr="00E03369">
                              <w:rPr>
                                <w:rFonts w:ascii="Tahoma" w:hAnsi="Tahoma" w:cs="Tahoma"/>
                                <w:i/>
                                <w:sz w:val="16"/>
                                <w:szCs w:val="16"/>
                                <w:lang w:val="fr-FR"/>
                              </w:rPr>
                              <w:t>@efk.admin.ch</w:t>
                            </w:r>
                          </w:p>
                          <w:p w:rsidR="00C31FC6" w:rsidRPr="00E03369" w:rsidRDefault="00C31FC6" w:rsidP="00EF3D14">
                            <w:pPr>
                              <w:spacing w:line="240" w:lineRule="atLeast"/>
                              <w:rPr>
                                <w:rFonts w:ascii="Tahoma" w:hAnsi="Tahoma" w:cs="Tahoma"/>
                                <w:i/>
                                <w:sz w:val="16"/>
                                <w:szCs w:val="16"/>
                                <w:lang w:val="fr-FR"/>
                              </w:rPr>
                            </w:pPr>
                          </w:p>
                          <w:p w:rsidR="00C31FC6"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ou :</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M. Didier Monnot</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Responsable de mandats</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tél. +41 (0)</w:t>
                            </w:r>
                            <w:r>
                              <w:rPr>
                                <w:rFonts w:ascii="Tahoma" w:hAnsi="Tahoma" w:cs="Tahoma"/>
                                <w:i/>
                                <w:sz w:val="16"/>
                                <w:szCs w:val="16"/>
                                <w:lang w:val="fr-FR"/>
                              </w:rPr>
                              <w:t>58</w:t>
                            </w:r>
                            <w:r w:rsidRPr="00E03369">
                              <w:rPr>
                                <w:rFonts w:ascii="Tahoma" w:hAnsi="Tahoma" w:cs="Tahoma"/>
                                <w:i/>
                                <w:sz w:val="16"/>
                                <w:szCs w:val="16"/>
                                <w:lang w:val="fr-FR"/>
                              </w:rPr>
                              <w:t xml:space="preserve"> </w:t>
                            </w:r>
                            <w:r>
                              <w:rPr>
                                <w:rFonts w:ascii="Tahoma" w:hAnsi="Tahoma" w:cs="Tahoma"/>
                                <w:i/>
                                <w:sz w:val="16"/>
                                <w:szCs w:val="16"/>
                                <w:lang w:val="fr-FR"/>
                              </w:rPr>
                              <w:t>463</w:t>
                            </w:r>
                            <w:r w:rsidRPr="00E03369">
                              <w:rPr>
                                <w:rFonts w:ascii="Tahoma" w:hAnsi="Tahoma" w:cs="Tahoma"/>
                                <w:i/>
                                <w:sz w:val="16"/>
                                <w:szCs w:val="16"/>
                                <w:lang w:val="fr-FR"/>
                              </w:rPr>
                              <w:t xml:space="preserve"> 10 48</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didier.monnot@efk.admin.ch</w:t>
                            </w:r>
                          </w:p>
                          <w:p w:rsidR="00C31FC6" w:rsidRPr="00E03369" w:rsidRDefault="00C31FC6" w:rsidP="00F71732">
                            <w:pPr>
                              <w:spacing w:line="240" w:lineRule="atLeast"/>
                              <w:rPr>
                                <w:rFonts w:ascii="Tahoma" w:hAnsi="Tahoma" w:cs="Tahoma"/>
                                <w:i/>
                                <w:sz w:val="16"/>
                                <w:szCs w:val="16"/>
                                <w:lang w:val="fr-FR"/>
                              </w:rPr>
                            </w:pPr>
                            <w:r w:rsidRPr="00E03369">
                              <w:rPr>
                                <w:rFonts w:ascii="Tahoma" w:hAnsi="Tahoma" w:cs="Tahoma"/>
                                <w:i/>
                                <w:sz w:val="16"/>
                                <w:szCs w:val="16"/>
                                <w:lang w:val="fr-FR"/>
                              </w:rPr>
                              <w:t>Responsable de mandats</w:t>
                            </w:r>
                          </w:p>
                          <w:p w:rsidR="00C31FC6" w:rsidRPr="00E03369" w:rsidRDefault="00C31FC6" w:rsidP="00F71732">
                            <w:pPr>
                              <w:spacing w:line="240" w:lineRule="atLeast"/>
                              <w:rPr>
                                <w:rFonts w:ascii="Tahoma" w:hAnsi="Tahoma" w:cs="Tahoma"/>
                                <w:i/>
                                <w:sz w:val="16"/>
                                <w:szCs w:val="16"/>
                                <w:lang w:val="fr-FR"/>
                              </w:rPr>
                            </w:pPr>
                            <w:r w:rsidRPr="00E03369">
                              <w:rPr>
                                <w:rFonts w:ascii="Tahoma" w:hAnsi="Tahoma" w:cs="Tahoma"/>
                                <w:i/>
                                <w:sz w:val="16"/>
                                <w:szCs w:val="16"/>
                                <w:lang w:val="fr-FR"/>
                              </w:rPr>
                              <w:t>tél. +41 (0)31 323 10 48</w:t>
                            </w:r>
                          </w:p>
                          <w:p w:rsidR="00C31FC6" w:rsidRPr="00E03369" w:rsidRDefault="00C31FC6" w:rsidP="00F71732">
                            <w:pPr>
                              <w:spacing w:line="240" w:lineRule="atLeast"/>
                              <w:rPr>
                                <w:rFonts w:ascii="Tahoma" w:hAnsi="Tahoma" w:cs="Tahoma"/>
                                <w:i/>
                                <w:sz w:val="16"/>
                                <w:szCs w:val="16"/>
                                <w:lang w:val="fr-FR"/>
                              </w:rPr>
                            </w:pPr>
                            <w:r w:rsidRPr="00E03369">
                              <w:rPr>
                                <w:rFonts w:ascii="Tahoma" w:hAnsi="Tahoma" w:cs="Tahoma"/>
                                <w:i/>
                                <w:sz w:val="16"/>
                                <w:szCs w:val="16"/>
                                <w:lang w:val="fr-FR"/>
                              </w:rPr>
                              <w:t>didier.monnot@efk.admin.ch</w:t>
                            </w:r>
                          </w:p>
                          <w:p w:rsidR="00C31FC6" w:rsidRPr="00E03369" w:rsidRDefault="00C31FC6" w:rsidP="00F71732">
                            <w:pPr>
                              <w:spacing w:before="1440" w:line="240" w:lineRule="atLeast"/>
                              <w:rPr>
                                <w:rFonts w:ascii="Tahoma" w:hAnsi="Tahoma" w:cs="Tahoma"/>
                                <w:i/>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" fillcolor="#d8d8d8" stroked="f">
                <v:textbox>
                  <w:txbxContent>
                    <w:p w:rsidR="00C31FC6" w:rsidRDefault="00C31FC6" w:rsidP="00921794">
                      <w:pPr>
                        <w:spacing w:before="120" w:line="240" w:lineRule="atLeast"/>
                        <w:rPr>
                          <w:rFonts w:ascii="Tahoma" w:hAnsi="Tahoma"/>
                          <w:i/>
                          <w:sz w:val="16"/>
                          <w:lang w:val="fr-CH"/>
                        </w:rPr>
                      </w:pPr>
                      <w:r w:rsidRPr="00BC7055">
                        <w:rPr>
                          <w:rFonts w:ascii="Tahoma" w:hAnsi="Tahoma" w:cs="Tahoma"/>
                          <w:i/>
                          <w:sz w:val="16"/>
                          <w:szCs w:val="16"/>
                          <w:lang w:val="fr-CH"/>
                        </w:rPr>
                        <w:t xml:space="preserve">Le mandat de vérification </w:t>
                      </w:r>
                      <w:r>
                        <w:rPr>
                          <w:rFonts w:ascii="Tahoma" w:hAnsi="Tahoma" w:cs="Tahoma"/>
                          <w:i/>
                          <w:sz w:val="16"/>
                          <w:szCs w:val="16"/>
                          <w:lang w:val="fr-CH"/>
                        </w:rPr>
                        <w:t>des comptes</w:t>
                      </w:r>
                      <w:r w:rsidRPr="00BC7055">
                        <w:rPr>
                          <w:rFonts w:ascii="Tahoma" w:hAnsi="Tahoma" w:cs="Tahoma"/>
                          <w:i/>
                          <w:sz w:val="16"/>
                          <w:szCs w:val="16"/>
                          <w:lang w:val="fr-CH"/>
                        </w:rPr>
                        <w:t xml:space="preserve"> </w:t>
                      </w:r>
                      <w:r w:rsidRPr="00DA17DD">
                        <w:rPr>
                          <w:rFonts w:ascii="Tahoma" w:hAnsi="Tahoma" w:cs="Tahoma"/>
                          <w:i/>
                          <w:sz w:val="16"/>
                          <w:szCs w:val="16"/>
                          <w:lang w:val="fr-CH"/>
                        </w:rPr>
                        <w:t xml:space="preserve">de l’Union internationale pour la protection des obtentions végétales (UPOV) </w:t>
                      </w:r>
                      <w:r>
                        <w:rPr>
                          <w:rFonts w:ascii="Tahoma" w:hAnsi="Tahoma" w:cs="Tahoma"/>
                          <w:i/>
                          <w:sz w:val="16"/>
                          <w:szCs w:val="16"/>
                          <w:lang w:val="fr-CH"/>
                        </w:rPr>
                        <w:t>est exercé tradi</w:t>
                      </w:r>
                      <w:r>
                        <w:rPr>
                          <w:rFonts w:ascii="Tahoma" w:hAnsi="Tahoma" w:cs="Tahoma"/>
                          <w:i/>
                          <w:sz w:val="16"/>
                          <w:szCs w:val="16"/>
                          <w:lang w:val="fr-CH"/>
                        </w:rPr>
                        <w:softHyphen/>
                        <w:t>tionnellement par des membres de la</w:t>
                      </w:r>
                      <w:r w:rsidRPr="00BC7055">
                        <w:rPr>
                          <w:rFonts w:ascii="Tahoma" w:hAnsi="Tahoma" w:cs="Tahoma"/>
                          <w:i/>
                          <w:sz w:val="16"/>
                          <w:szCs w:val="16"/>
                          <w:lang w:val="fr-CH"/>
                        </w:rPr>
                        <w:t xml:space="preserve"> plus haute instance de contrôle financier public du pays choisi</w:t>
                      </w:r>
                      <w:r>
                        <w:rPr>
                          <w:rFonts w:ascii="Tahoma" w:hAnsi="Tahoma" w:cs="Tahoma"/>
                          <w:i/>
                          <w:sz w:val="16"/>
                          <w:szCs w:val="16"/>
                          <w:lang w:val="fr-CH"/>
                        </w:rPr>
                        <w:t xml:space="preserve">. </w:t>
                      </w:r>
                      <w:r w:rsidRPr="00DA17DD">
                        <w:rPr>
                          <w:rFonts w:ascii="Tahoma" w:hAnsi="Tahoma" w:cs="Tahoma"/>
                          <w:i/>
                          <w:sz w:val="16"/>
                          <w:szCs w:val="16"/>
                          <w:lang w:val="fr-CH"/>
                        </w:rPr>
                        <w:t>Fort de cette disposition et conformé</w:t>
                      </w:r>
                      <w:r>
                        <w:rPr>
                          <w:rFonts w:ascii="Tahoma" w:hAnsi="Tahoma" w:cs="Tahoma"/>
                          <w:i/>
                          <w:sz w:val="16"/>
                          <w:szCs w:val="16"/>
                          <w:lang w:val="fr-CH"/>
                        </w:rPr>
                        <w:softHyphen/>
                      </w:r>
                      <w:r w:rsidRPr="00DA17DD">
                        <w:rPr>
                          <w:rFonts w:ascii="Tahoma" w:hAnsi="Tahoma" w:cs="Tahoma"/>
                          <w:i/>
                          <w:sz w:val="16"/>
                          <w:szCs w:val="16"/>
                          <w:lang w:val="fr-CH"/>
                        </w:rPr>
                        <w:t xml:space="preserve">ment à </w:t>
                      </w:r>
                      <w:r w:rsidRPr="00DA17DD">
                        <w:rPr>
                          <w:rFonts w:ascii="Tahoma" w:hAnsi="Tahoma" w:cs="Tahoma"/>
                          <w:i/>
                          <w:sz w:val="16"/>
                          <w:szCs w:val="16"/>
                          <w:lang w:val="fr-FR"/>
                        </w:rPr>
                        <w:t>l'article 25 de la Convention interna</w:t>
                      </w:r>
                      <w:r>
                        <w:rPr>
                          <w:rFonts w:ascii="Tahoma" w:hAnsi="Tahoma" w:cs="Tahoma"/>
                          <w:i/>
                          <w:sz w:val="16"/>
                          <w:szCs w:val="16"/>
                          <w:lang w:val="fr-FR"/>
                        </w:rPr>
                        <w:softHyphen/>
                      </w:r>
                      <w:r w:rsidRPr="00DA17DD">
                        <w:rPr>
                          <w:rFonts w:ascii="Tahoma" w:hAnsi="Tahoma" w:cs="Tahoma"/>
                          <w:i/>
                          <w:sz w:val="16"/>
                          <w:szCs w:val="16"/>
                          <w:lang w:val="fr-FR"/>
                        </w:rPr>
                        <w:t xml:space="preserve">tionale du 2 décembre 1961 révisée en 1978 et à l'article 29 (6) de l'Acte de 1991, le Conseil de l'UPOV, lors de sa quarante-cinquième session ordinaire, le 20 octobre 2011 à Genève, a renouvelé le mandat de la Suisse en tant que Vérificateur des comptes </w:t>
                      </w:r>
                      <w:r>
                        <w:rPr>
                          <w:rFonts w:ascii="Tahoma" w:hAnsi="Tahoma" w:cs="Tahoma"/>
                          <w:i/>
                          <w:sz w:val="16"/>
                          <w:szCs w:val="16"/>
                          <w:lang w:val="fr-FR"/>
                        </w:rPr>
                        <w:t xml:space="preserve">et qui est exercé par le </w:t>
                      </w:r>
                      <w:r w:rsidRPr="00BC7055">
                        <w:rPr>
                          <w:rFonts w:ascii="Tahoma" w:hAnsi="Tahoma" w:cs="Tahoma"/>
                          <w:i/>
                          <w:sz w:val="16"/>
                          <w:szCs w:val="16"/>
                          <w:lang w:val="fr-CH"/>
                        </w:rPr>
                        <w:t>Cont</w:t>
                      </w:r>
                      <w:r>
                        <w:rPr>
                          <w:rFonts w:ascii="Tahoma" w:hAnsi="Tahoma" w:cs="Tahoma"/>
                          <w:i/>
                          <w:sz w:val="16"/>
                          <w:szCs w:val="16"/>
                          <w:lang w:val="fr-CH"/>
                        </w:rPr>
                        <w:t>rôle fédéral des finances (CDF) de la Confédération suisse</w:t>
                      </w:r>
                      <w:r w:rsidRPr="00DA17DD">
                        <w:rPr>
                          <w:rFonts w:ascii="Tahoma" w:hAnsi="Tahoma" w:cs="Tahoma"/>
                          <w:i/>
                          <w:sz w:val="16"/>
                          <w:szCs w:val="16"/>
                          <w:lang w:val="fr-FR"/>
                        </w:rPr>
                        <w:t xml:space="preserve"> </w:t>
                      </w:r>
                      <w:r>
                        <w:rPr>
                          <w:rFonts w:ascii="Tahoma" w:hAnsi="Tahoma" w:cs="Tahoma"/>
                          <w:i/>
                          <w:sz w:val="16"/>
                          <w:szCs w:val="16"/>
                          <w:lang w:val="fr-FR"/>
                        </w:rPr>
                        <w:t>ju</w:t>
                      </w:r>
                      <w:r w:rsidRPr="00DA17DD">
                        <w:rPr>
                          <w:rFonts w:ascii="Tahoma" w:hAnsi="Tahoma" w:cs="Tahoma"/>
                          <w:i/>
                          <w:sz w:val="16"/>
                          <w:szCs w:val="16"/>
                          <w:lang w:val="fr-FR"/>
                        </w:rPr>
                        <w:t>squ'à l'année 2017 incluse.</w:t>
                      </w:r>
                    </w:p>
                    <w:p w:rsidR="00C31FC6" w:rsidRDefault="00C31FC6" w:rsidP="00921794">
                      <w:pPr>
                        <w:spacing w:line="240" w:lineRule="atLeast"/>
                        <w:rPr>
                          <w:rFonts w:ascii="Tahoma" w:hAnsi="Tahoma"/>
                          <w:i/>
                          <w:sz w:val="16"/>
                          <w:lang w:val="fr-CH"/>
                        </w:rPr>
                      </w:pPr>
                    </w:p>
                    <w:p w:rsidR="00C31FC6" w:rsidRDefault="00C31FC6" w:rsidP="00921794">
                      <w:pPr>
                        <w:spacing w:line="240" w:lineRule="atLeast"/>
                        <w:rPr>
                          <w:rFonts w:ascii="Tahoma" w:hAnsi="Tahoma"/>
                          <w:i/>
                          <w:sz w:val="16"/>
                          <w:lang w:val="fr-CH"/>
                        </w:rPr>
                      </w:pPr>
                      <w:r>
                        <w:rPr>
                          <w:rFonts w:ascii="Tahoma" w:hAnsi="Tahoma" w:cs="Tahoma"/>
                          <w:i/>
                          <w:sz w:val="16"/>
                          <w:szCs w:val="16"/>
                          <w:lang w:val="fr-CH"/>
                        </w:rPr>
                        <w:t>Le</w:t>
                      </w:r>
                      <w:r w:rsidRPr="00922434">
                        <w:rPr>
                          <w:rFonts w:ascii="Tahoma" w:hAnsi="Tahoma" w:cs="Tahoma"/>
                          <w:i/>
                          <w:sz w:val="16"/>
                          <w:szCs w:val="16"/>
                          <w:lang w:val="fr-CH"/>
                        </w:rPr>
                        <w:t xml:space="preserve"> mandat est défini </w:t>
                      </w:r>
                      <w:r>
                        <w:rPr>
                          <w:rFonts w:ascii="Tahoma" w:hAnsi="Tahoma" w:cs="Tahoma"/>
                          <w:i/>
                          <w:sz w:val="16"/>
                          <w:szCs w:val="16"/>
                          <w:lang w:val="fr-CH"/>
                        </w:rPr>
                        <w:t xml:space="preserve">à l’annexe II du </w:t>
                      </w:r>
                      <w:r w:rsidRPr="00922434">
                        <w:rPr>
                          <w:rFonts w:ascii="Tahoma" w:hAnsi="Tahoma" w:cs="Tahoma"/>
                          <w:i/>
                          <w:sz w:val="16"/>
                          <w:szCs w:val="16"/>
                          <w:lang w:val="fr-FR"/>
                        </w:rPr>
                        <w:t xml:space="preserve">Règlement financier et le Règlement d'exécution </w:t>
                      </w:r>
                      <w:r>
                        <w:rPr>
                          <w:rFonts w:ascii="Tahoma" w:hAnsi="Tahoma" w:cs="Tahoma"/>
                          <w:i/>
                          <w:sz w:val="16"/>
                          <w:szCs w:val="16"/>
                          <w:lang w:val="fr-FR"/>
                        </w:rPr>
                        <w:t xml:space="preserve">du règlement financier </w:t>
                      </w:r>
                      <w:r w:rsidRPr="00922434">
                        <w:rPr>
                          <w:rFonts w:ascii="Tahoma" w:hAnsi="Tahoma" w:cs="Tahoma"/>
                          <w:i/>
                          <w:sz w:val="16"/>
                          <w:szCs w:val="16"/>
                          <w:lang w:val="fr-FR"/>
                        </w:rPr>
                        <w:t>de l'UPOV</w:t>
                      </w:r>
                      <w:r w:rsidRPr="00922434">
                        <w:rPr>
                          <w:rFonts w:ascii="Tahoma" w:hAnsi="Tahoma" w:cs="Tahoma"/>
                          <w:i/>
                          <w:sz w:val="16"/>
                          <w:szCs w:val="16"/>
                          <w:lang w:val="fr-CH"/>
                        </w:rPr>
                        <w:t xml:space="preserve">. </w:t>
                      </w:r>
                      <w:r>
                        <w:rPr>
                          <w:rFonts w:ascii="Tahoma" w:hAnsi="Tahoma" w:cs="Tahoma"/>
                          <w:i/>
                          <w:sz w:val="16"/>
                          <w:szCs w:val="16"/>
                          <w:lang w:val="fr-CH"/>
                        </w:rPr>
                        <w:t>Les dispositions de la mission d’audit ont par ailleurs été stipulées dans la lettre de confirmation de mandat du 13 mai 2013 et l’UPOV en a accepté les termes dans sa réponse du 28 mai 2013.</w:t>
                      </w:r>
                      <w:r w:rsidRPr="00E03369">
                        <w:rPr>
                          <w:rFonts w:ascii="Tahoma" w:hAnsi="Tahoma" w:cs="Tahoma"/>
                          <w:i/>
                          <w:sz w:val="16"/>
                          <w:szCs w:val="16"/>
                          <w:lang w:val="fr-CH"/>
                        </w:rPr>
                        <w:t xml:space="preserve"> </w:t>
                      </w:r>
                      <w:r>
                        <w:rPr>
                          <w:rFonts w:ascii="Tahoma" w:hAnsi="Tahoma" w:cs="Tahoma"/>
                          <w:i/>
                          <w:sz w:val="16"/>
                          <w:szCs w:val="16"/>
                          <w:lang w:val="fr-CH"/>
                        </w:rPr>
                        <w:t xml:space="preserve">Les membres du CDF en charge de ce mandat </w:t>
                      </w:r>
                      <w:r w:rsidRPr="00E03369">
                        <w:rPr>
                          <w:rFonts w:ascii="Tahoma" w:hAnsi="Tahoma" w:cs="Tahoma"/>
                          <w:i/>
                          <w:sz w:val="16"/>
                          <w:szCs w:val="16"/>
                          <w:lang w:val="fr-CH"/>
                        </w:rPr>
                        <w:t>remplis</w:t>
                      </w:r>
                      <w:r>
                        <w:rPr>
                          <w:rFonts w:ascii="Tahoma" w:hAnsi="Tahoma" w:cs="Tahoma"/>
                          <w:i/>
                          <w:sz w:val="16"/>
                          <w:szCs w:val="16"/>
                          <w:lang w:val="fr-CH"/>
                        </w:rPr>
                        <w:t>sent leur</w:t>
                      </w:r>
                      <w:r w:rsidRPr="00E03369">
                        <w:rPr>
                          <w:rFonts w:ascii="Tahoma" w:hAnsi="Tahoma" w:cs="Tahoma"/>
                          <w:i/>
                          <w:sz w:val="16"/>
                          <w:szCs w:val="16"/>
                          <w:lang w:val="fr-CH"/>
                        </w:rPr>
                        <w:t xml:space="preserve"> fonction de manière autonome et indépendante, avec le soutien de</w:t>
                      </w:r>
                      <w:r>
                        <w:rPr>
                          <w:rFonts w:ascii="Tahoma" w:hAnsi="Tahoma" w:cs="Tahoma"/>
                          <w:i/>
                          <w:sz w:val="16"/>
                          <w:szCs w:val="16"/>
                          <w:lang w:val="fr-CH"/>
                        </w:rPr>
                        <w:t xml:space="preserve"> leurs</w:t>
                      </w:r>
                      <w:r w:rsidRPr="00E03369">
                        <w:rPr>
                          <w:rFonts w:ascii="Tahoma" w:hAnsi="Tahoma" w:cs="Tahoma"/>
                          <w:i/>
                          <w:sz w:val="16"/>
                          <w:szCs w:val="16"/>
                          <w:lang w:val="fr-CH"/>
                        </w:rPr>
                        <w:t xml:space="preserve"> collaborateurs.</w:t>
                      </w:r>
                    </w:p>
                    <w:p w:rsidR="00C31FC6" w:rsidRPr="00E03369" w:rsidRDefault="00C31FC6" w:rsidP="00EF3D14">
                      <w:pPr>
                        <w:spacing w:line="240" w:lineRule="atLeast"/>
                        <w:rPr>
                          <w:rFonts w:ascii="Tahoma" w:hAnsi="Tahoma" w:cs="Tahoma"/>
                          <w:i/>
                          <w:sz w:val="16"/>
                          <w:szCs w:val="16"/>
                          <w:lang w:val="fr-CH"/>
                        </w:rPr>
                      </w:pPr>
                    </w:p>
                    <w:p w:rsidR="00C31FC6" w:rsidRPr="00E03369" w:rsidRDefault="00C31FC6" w:rsidP="00EF3D14">
                      <w:pPr>
                        <w:spacing w:line="240" w:lineRule="atLeast"/>
                        <w:rPr>
                          <w:rFonts w:ascii="Tahoma" w:hAnsi="Tahoma" w:cs="Tahoma"/>
                          <w:i/>
                          <w:sz w:val="16"/>
                          <w:szCs w:val="16"/>
                          <w:lang w:val="fr-CH"/>
                        </w:rPr>
                      </w:pPr>
                      <w:r w:rsidRPr="00E03369">
                        <w:rPr>
                          <w:rFonts w:ascii="Tahoma" w:hAnsi="Tahoma" w:cs="Tahoma"/>
                          <w:i/>
                          <w:sz w:val="16"/>
                          <w:szCs w:val="16"/>
                          <w:lang w:val="fr-CH"/>
                        </w:rPr>
                        <w:t>Le CDF fournit les prestations relatives à l’audit externe des comptes de l’</w:t>
                      </w:r>
                      <w:r>
                        <w:rPr>
                          <w:rFonts w:ascii="Tahoma" w:hAnsi="Tahoma" w:cs="Tahoma"/>
                          <w:i/>
                          <w:sz w:val="16"/>
                          <w:szCs w:val="16"/>
                          <w:lang w:val="fr-CH"/>
                        </w:rPr>
                        <w:t>UPOV</w:t>
                      </w:r>
                      <w:r w:rsidRPr="00E03369">
                        <w:rPr>
                          <w:rFonts w:ascii="Tahoma" w:hAnsi="Tahoma" w:cs="Tahoma"/>
                          <w:i/>
                          <w:sz w:val="16"/>
                          <w:szCs w:val="16"/>
                          <w:lang w:val="fr-CH"/>
                        </w:rPr>
                        <w:t xml:space="preserve"> d’une manière complètement indépendante de son rôle d’organe suprême de surveillance financière de la Confédération suisse. Le CDF a une équipe de professionnels hautement qualifiés et possédant une large expérience des audits dans les organisations internationales.</w:t>
                      </w:r>
                    </w:p>
                    <w:p w:rsidR="00C31FC6" w:rsidRPr="00E03369" w:rsidRDefault="00C31FC6" w:rsidP="00EF3D14">
                      <w:pPr>
                        <w:spacing w:before="240" w:line="240" w:lineRule="atLeast"/>
                        <w:rPr>
                          <w:rFonts w:ascii="Tahoma" w:hAnsi="Tahoma" w:cs="Tahoma"/>
                          <w:i/>
                          <w:sz w:val="16"/>
                          <w:szCs w:val="16"/>
                          <w:lang w:val="fr-FR"/>
                        </w:rPr>
                      </w:pPr>
                      <w:r w:rsidRPr="00E03369">
                        <w:rPr>
                          <w:rFonts w:ascii="Tahoma" w:hAnsi="Tahoma" w:cs="Tahoma"/>
                          <w:i/>
                          <w:sz w:val="16"/>
                          <w:szCs w:val="16"/>
                          <w:u w:val="single"/>
                          <w:lang w:val="fr-FR"/>
                        </w:rPr>
                        <w:t>Pour plus d’informations, veuillez contacter</w:t>
                      </w:r>
                      <w:r w:rsidRPr="00E03369">
                        <w:rPr>
                          <w:rFonts w:ascii="Tahoma" w:hAnsi="Tahoma" w:cs="Tahoma"/>
                          <w:i/>
                          <w:sz w:val="16"/>
                          <w:szCs w:val="16"/>
                          <w:lang w:val="fr-FR"/>
                        </w:rPr>
                        <w:t> :</w:t>
                      </w:r>
                    </w:p>
                    <w:p w:rsidR="00C31FC6" w:rsidRPr="00E03369" w:rsidRDefault="00C31FC6" w:rsidP="00EF3D14">
                      <w:pPr>
                        <w:spacing w:line="240" w:lineRule="atLeast"/>
                        <w:rPr>
                          <w:rFonts w:ascii="Tahoma" w:hAnsi="Tahoma" w:cs="Tahoma"/>
                          <w:i/>
                          <w:sz w:val="16"/>
                          <w:szCs w:val="16"/>
                          <w:lang w:val="fr-FR"/>
                        </w:rPr>
                      </w:pP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M. Eric-Serge Jeannet</w:t>
                      </w: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Vice-directeur du</w:t>
                      </w:r>
                      <w:r w:rsidRPr="00E03369">
                        <w:rPr>
                          <w:rFonts w:ascii="Tahoma" w:hAnsi="Tahoma" w:cs="Tahoma"/>
                          <w:i/>
                          <w:sz w:val="16"/>
                          <w:szCs w:val="16"/>
                          <w:lang w:val="fr-FR"/>
                        </w:rPr>
                        <w:t xml:space="preserve"> Contrôle fédéral des finances</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de la Confédération suisse</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Monbijoustrasse 45</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3003 Berne</w:t>
                      </w: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tél. +41 (0)58</w:t>
                      </w:r>
                      <w:r w:rsidRPr="00E03369">
                        <w:rPr>
                          <w:rFonts w:ascii="Tahoma" w:hAnsi="Tahoma" w:cs="Tahoma"/>
                          <w:i/>
                          <w:sz w:val="16"/>
                          <w:szCs w:val="16"/>
                          <w:lang w:val="fr-FR"/>
                        </w:rPr>
                        <w:t xml:space="preserve"> </w:t>
                      </w:r>
                      <w:r>
                        <w:rPr>
                          <w:rFonts w:ascii="Tahoma" w:hAnsi="Tahoma" w:cs="Tahoma"/>
                          <w:i/>
                          <w:sz w:val="16"/>
                          <w:szCs w:val="16"/>
                          <w:lang w:val="fr-FR"/>
                        </w:rPr>
                        <w:t>46</w:t>
                      </w:r>
                      <w:r w:rsidRPr="00E03369">
                        <w:rPr>
                          <w:rFonts w:ascii="Tahoma" w:hAnsi="Tahoma" w:cs="Tahoma"/>
                          <w:i/>
                          <w:sz w:val="16"/>
                          <w:szCs w:val="16"/>
                          <w:lang w:val="fr-FR"/>
                        </w:rPr>
                        <w:t>3 1</w:t>
                      </w:r>
                      <w:r>
                        <w:rPr>
                          <w:rFonts w:ascii="Tahoma" w:hAnsi="Tahoma" w:cs="Tahoma"/>
                          <w:i/>
                          <w:sz w:val="16"/>
                          <w:szCs w:val="16"/>
                          <w:lang w:val="fr-FR"/>
                        </w:rPr>
                        <w:t>0</w:t>
                      </w:r>
                      <w:r w:rsidRPr="00E03369">
                        <w:rPr>
                          <w:rFonts w:ascii="Tahoma" w:hAnsi="Tahoma" w:cs="Tahoma"/>
                          <w:i/>
                          <w:sz w:val="16"/>
                          <w:szCs w:val="16"/>
                          <w:lang w:val="fr-FR"/>
                        </w:rPr>
                        <w:t xml:space="preserve"> </w:t>
                      </w:r>
                      <w:r>
                        <w:rPr>
                          <w:rFonts w:ascii="Tahoma" w:hAnsi="Tahoma" w:cs="Tahoma"/>
                          <w:i/>
                          <w:sz w:val="16"/>
                          <w:szCs w:val="16"/>
                          <w:lang w:val="fr-FR"/>
                        </w:rPr>
                        <w:t>39</w:t>
                      </w:r>
                    </w:p>
                    <w:p w:rsidR="00C31FC6" w:rsidRPr="00E03369" w:rsidRDefault="00C31FC6" w:rsidP="00EF3D14">
                      <w:pPr>
                        <w:spacing w:line="240" w:lineRule="atLeast"/>
                        <w:rPr>
                          <w:rFonts w:ascii="Tahoma" w:hAnsi="Tahoma" w:cs="Tahoma"/>
                          <w:i/>
                          <w:sz w:val="16"/>
                          <w:szCs w:val="16"/>
                          <w:lang w:val="fr-FR"/>
                        </w:rPr>
                      </w:pPr>
                      <w:r>
                        <w:rPr>
                          <w:rFonts w:ascii="Tahoma" w:hAnsi="Tahoma" w:cs="Tahoma"/>
                          <w:i/>
                          <w:sz w:val="16"/>
                          <w:szCs w:val="16"/>
                          <w:lang w:val="fr-FR"/>
                        </w:rPr>
                        <w:t>eric-serge.jeannet</w:t>
                      </w:r>
                      <w:r w:rsidRPr="00E03369">
                        <w:rPr>
                          <w:rFonts w:ascii="Tahoma" w:hAnsi="Tahoma" w:cs="Tahoma"/>
                          <w:i/>
                          <w:sz w:val="16"/>
                          <w:szCs w:val="16"/>
                          <w:lang w:val="fr-FR"/>
                        </w:rPr>
                        <w:t>@efk.admin.ch</w:t>
                      </w:r>
                    </w:p>
                    <w:p w:rsidR="00C31FC6" w:rsidRPr="00E03369" w:rsidRDefault="00C31FC6" w:rsidP="00EF3D14">
                      <w:pPr>
                        <w:spacing w:line="240" w:lineRule="atLeast"/>
                        <w:rPr>
                          <w:rFonts w:ascii="Tahoma" w:hAnsi="Tahoma" w:cs="Tahoma"/>
                          <w:i/>
                          <w:sz w:val="16"/>
                          <w:szCs w:val="16"/>
                          <w:lang w:val="fr-FR"/>
                        </w:rPr>
                      </w:pPr>
                    </w:p>
                    <w:p w:rsidR="00C31FC6"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ou :</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M. Didier Monnot</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Responsable de mandats</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tél. +41 (0)</w:t>
                      </w:r>
                      <w:r>
                        <w:rPr>
                          <w:rFonts w:ascii="Tahoma" w:hAnsi="Tahoma" w:cs="Tahoma"/>
                          <w:i/>
                          <w:sz w:val="16"/>
                          <w:szCs w:val="16"/>
                          <w:lang w:val="fr-FR"/>
                        </w:rPr>
                        <w:t>58</w:t>
                      </w:r>
                      <w:r w:rsidRPr="00E03369">
                        <w:rPr>
                          <w:rFonts w:ascii="Tahoma" w:hAnsi="Tahoma" w:cs="Tahoma"/>
                          <w:i/>
                          <w:sz w:val="16"/>
                          <w:szCs w:val="16"/>
                          <w:lang w:val="fr-FR"/>
                        </w:rPr>
                        <w:t xml:space="preserve"> </w:t>
                      </w:r>
                      <w:r>
                        <w:rPr>
                          <w:rFonts w:ascii="Tahoma" w:hAnsi="Tahoma" w:cs="Tahoma"/>
                          <w:i/>
                          <w:sz w:val="16"/>
                          <w:szCs w:val="16"/>
                          <w:lang w:val="fr-FR"/>
                        </w:rPr>
                        <w:t>463</w:t>
                      </w:r>
                      <w:r w:rsidRPr="00E03369">
                        <w:rPr>
                          <w:rFonts w:ascii="Tahoma" w:hAnsi="Tahoma" w:cs="Tahoma"/>
                          <w:i/>
                          <w:sz w:val="16"/>
                          <w:szCs w:val="16"/>
                          <w:lang w:val="fr-FR"/>
                        </w:rPr>
                        <w:t xml:space="preserve"> 10 48</w:t>
                      </w:r>
                    </w:p>
                    <w:p w:rsidR="00C31FC6" w:rsidRPr="00E03369" w:rsidRDefault="00C31FC6" w:rsidP="00EF3D14">
                      <w:pPr>
                        <w:spacing w:line="240" w:lineRule="atLeast"/>
                        <w:rPr>
                          <w:rFonts w:ascii="Tahoma" w:hAnsi="Tahoma" w:cs="Tahoma"/>
                          <w:i/>
                          <w:sz w:val="16"/>
                          <w:szCs w:val="16"/>
                          <w:lang w:val="fr-FR"/>
                        </w:rPr>
                      </w:pPr>
                      <w:r w:rsidRPr="00E03369">
                        <w:rPr>
                          <w:rFonts w:ascii="Tahoma" w:hAnsi="Tahoma" w:cs="Tahoma"/>
                          <w:i/>
                          <w:sz w:val="16"/>
                          <w:szCs w:val="16"/>
                          <w:lang w:val="fr-FR"/>
                        </w:rPr>
                        <w:t>didier.monnot@efk.admin.ch</w:t>
                      </w:r>
                    </w:p>
                    <w:p w:rsidR="00C31FC6" w:rsidRPr="00E03369" w:rsidRDefault="00C31FC6" w:rsidP="00F71732">
                      <w:pPr>
                        <w:spacing w:line="240" w:lineRule="atLeast"/>
                        <w:rPr>
                          <w:rFonts w:ascii="Tahoma" w:hAnsi="Tahoma" w:cs="Tahoma"/>
                          <w:i/>
                          <w:sz w:val="16"/>
                          <w:szCs w:val="16"/>
                          <w:lang w:val="fr-FR"/>
                        </w:rPr>
                      </w:pPr>
                      <w:r w:rsidRPr="00E03369">
                        <w:rPr>
                          <w:rFonts w:ascii="Tahoma" w:hAnsi="Tahoma" w:cs="Tahoma"/>
                          <w:i/>
                          <w:sz w:val="16"/>
                          <w:szCs w:val="16"/>
                          <w:lang w:val="fr-FR"/>
                        </w:rPr>
                        <w:t>Responsable de mandats</w:t>
                      </w:r>
                    </w:p>
                    <w:p w:rsidR="00C31FC6" w:rsidRPr="00E03369" w:rsidRDefault="00C31FC6" w:rsidP="00F71732">
                      <w:pPr>
                        <w:spacing w:line="240" w:lineRule="atLeast"/>
                        <w:rPr>
                          <w:rFonts w:ascii="Tahoma" w:hAnsi="Tahoma" w:cs="Tahoma"/>
                          <w:i/>
                          <w:sz w:val="16"/>
                          <w:szCs w:val="16"/>
                          <w:lang w:val="fr-FR"/>
                        </w:rPr>
                      </w:pPr>
                      <w:r w:rsidRPr="00E03369">
                        <w:rPr>
                          <w:rFonts w:ascii="Tahoma" w:hAnsi="Tahoma" w:cs="Tahoma"/>
                          <w:i/>
                          <w:sz w:val="16"/>
                          <w:szCs w:val="16"/>
                          <w:lang w:val="fr-FR"/>
                        </w:rPr>
                        <w:t>tél. +41 (0)31 323 10 48</w:t>
                      </w:r>
                    </w:p>
                    <w:p w:rsidR="00C31FC6" w:rsidRPr="00E03369" w:rsidRDefault="00C31FC6" w:rsidP="00F71732">
                      <w:pPr>
                        <w:spacing w:line="240" w:lineRule="atLeast"/>
                        <w:rPr>
                          <w:rFonts w:ascii="Tahoma" w:hAnsi="Tahoma" w:cs="Tahoma"/>
                          <w:i/>
                          <w:sz w:val="16"/>
                          <w:szCs w:val="16"/>
                          <w:lang w:val="fr-FR"/>
                        </w:rPr>
                      </w:pPr>
                      <w:r w:rsidRPr="00E03369">
                        <w:rPr>
                          <w:rFonts w:ascii="Tahoma" w:hAnsi="Tahoma" w:cs="Tahoma"/>
                          <w:i/>
                          <w:sz w:val="16"/>
                          <w:szCs w:val="16"/>
                          <w:lang w:val="fr-FR"/>
                        </w:rPr>
                        <w:t>didier.monnot@efk.admin.ch</w:t>
                      </w:r>
                    </w:p>
                    <w:p w:rsidR="00C31FC6" w:rsidRPr="00E03369" w:rsidRDefault="00C31FC6" w:rsidP="00F71732">
                      <w:pPr>
                        <w:spacing w:before="1440" w:line="240" w:lineRule="atLeast"/>
                        <w:rPr>
                          <w:rFonts w:ascii="Tahoma" w:hAnsi="Tahoma" w:cs="Tahoma"/>
                          <w:i/>
                          <w:sz w:val="16"/>
                          <w:szCs w:val="16"/>
                          <w:lang w:val="fr-FR"/>
                        </w:rPr>
                      </w:pPr>
                    </w:p>
                  </w:txbxContent>
                </v:textbox>
              </v:shape>
            </w:pict>
          </mc:Fallback>
        </mc:AlternateContent>
      </w:r>
      <w:r w:rsidRPr="00FA1CA6">
        <w:rPr>
          <w:noProof/>
        </w:rPr>
        <w:drawing>
          <wp:anchor distT="0" distB="0" distL="114300" distR="114300" simplePos="0" relativeHeight="251665408" behindDoc="0" locked="0" layoutInCell="1" allowOverlap="1">
            <wp:simplePos x="0" y="0"/>
            <wp:positionH relativeFrom="column">
              <wp:posOffset>-78740</wp:posOffset>
            </wp:positionH>
            <wp:positionV relativeFrom="paragraph">
              <wp:posOffset>-258445</wp:posOffset>
            </wp:positionV>
            <wp:extent cx="5925820" cy="86360"/>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Pr="00FA1CA6">
        <w:rPr>
          <w:noProof/>
        </w:rPr>
        <w:drawing>
          <wp:anchor distT="0" distB="0" distL="114300" distR="114300" simplePos="0" relativeHeight="251664384" behindDoc="0" locked="0" layoutInCell="1" allowOverlap="1">
            <wp:simplePos x="0" y="0"/>
            <wp:positionH relativeFrom="column">
              <wp:posOffset>-74930</wp:posOffset>
            </wp:positionH>
            <wp:positionV relativeFrom="paragraph">
              <wp:posOffset>9055100</wp:posOffset>
            </wp:positionV>
            <wp:extent cx="5928995" cy="8572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FC6" w:rsidRDefault="00C31FC6">
                            <w:r>
                              <w:rPr>
                                <w:noProof/>
                              </w:rPr>
                              <w:drawing>
                                <wp:inline distT="0" distB="0" distL="0" distR="0" wp14:anchorId="4627F52F" wp14:editId="05F5D821">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1"/>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C31FC6" w:rsidRDefault="00C31FC6">
                      <w:r>
                        <w:rPr>
                          <w:noProof/>
                        </w:rPr>
                        <w:drawing>
                          <wp:inline distT="0" distB="0" distL="0" distR="0" wp14:anchorId="4627F52F" wp14:editId="05F5D821">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6"/>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C6" w:rsidRPr="00F71732" w:rsidRDefault="00C31FC6" w:rsidP="001026DB">
                            <w:pPr>
                              <w:tabs>
                                <w:tab w:val="right" w:pos="4962"/>
                              </w:tabs>
                              <w:spacing w:after="240"/>
                              <w:jc w:val="right"/>
                              <w:rPr>
                                <w:rFonts w:ascii="Tahoma" w:hAnsi="Tahoma" w:cs="Tahoma"/>
                                <w:sz w:val="16"/>
                                <w:szCs w:val="16"/>
                                <w:lang w:val="fr-CH"/>
                              </w:rPr>
                            </w:pPr>
                            <w:r w:rsidRPr="00071B52">
                              <w:rPr>
                                <w:rFonts w:ascii="Tahoma" w:hAnsi="Tahoma" w:cs="Tahoma"/>
                                <w:sz w:val="16"/>
                                <w:szCs w:val="16"/>
                                <w:lang w:val="fr-CH"/>
                              </w:rPr>
                              <w:t xml:space="preserve">Berne, </w:t>
                            </w:r>
                            <w:r w:rsidRPr="00080D06">
                              <w:rPr>
                                <w:rFonts w:ascii="Tahoma" w:hAnsi="Tahoma" w:cs="Tahoma"/>
                                <w:sz w:val="16"/>
                                <w:szCs w:val="16"/>
                                <w:lang w:val="fr-CH"/>
                              </w:rPr>
                              <w:t>le 7 juillet 2014</w:t>
                            </w:r>
                          </w:p>
                          <w:p w:rsidR="00C31FC6" w:rsidRPr="00D31234" w:rsidRDefault="00C31FC6" w:rsidP="001026DB">
                            <w:pPr>
                              <w:tabs>
                                <w:tab w:val="right" w:pos="4962"/>
                              </w:tabs>
                              <w:jc w:val="right"/>
                              <w:rPr>
                                <w:rFonts w:ascii="Tahoma" w:hAnsi="Tahoma" w:cs="Tahoma"/>
                                <w:sz w:val="16"/>
                                <w:szCs w:val="16"/>
                                <w:lang w:val="fr-CH"/>
                              </w:rPr>
                            </w:pPr>
                            <w:r w:rsidRPr="00D31234">
                              <w:rPr>
                                <w:rFonts w:ascii="Tahoma" w:hAnsi="Tahoma" w:cs="Tahoma"/>
                                <w:sz w:val="16"/>
                                <w:szCs w:val="16"/>
                                <w:lang w:val="fr-CH"/>
                              </w:rPr>
                              <w:t>No enreg. 1.1</w:t>
                            </w:r>
                            <w:r>
                              <w:rPr>
                                <w:rFonts w:ascii="Tahoma" w:hAnsi="Tahoma" w:cs="Tahoma"/>
                                <w:sz w:val="16"/>
                                <w:szCs w:val="16"/>
                                <w:lang w:val="fr-CH"/>
                              </w:rPr>
                              <w:t>4307</w:t>
                            </w:r>
                            <w:r w:rsidRPr="00D31234">
                              <w:rPr>
                                <w:rFonts w:ascii="Tahoma" w:hAnsi="Tahoma" w:cs="Tahoma"/>
                                <w:sz w:val="16"/>
                                <w:szCs w:val="16"/>
                                <w:lang w:val="fr-CH"/>
                              </w:rPr>
                              <w:t>.946.00335.</w:t>
                            </w:r>
                            <w:r>
                              <w:rPr>
                                <w:rFonts w:ascii="Tahoma" w:hAnsi="Tahoma" w:cs="Tahoma"/>
                                <w:sz w:val="16"/>
                                <w:szCs w:val="16"/>
                                <w:lang w:val="fr-CH"/>
                              </w:rPr>
                              <w:t>04</w:t>
                            </w:r>
                          </w:p>
                          <w:p w:rsidR="00C31FC6" w:rsidRPr="004A6B0E" w:rsidRDefault="00C31FC6" w:rsidP="001026DB">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C31FC6" w:rsidRPr="00F71732" w:rsidRDefault="00C31FC6" w:rsidP="001026DB">
                      <w:pPr>
                        <w:tabs>
                          <w:tab w:val="right" w:pos="4962"/>
                        </w:tabs>
                        <w:spacing w:after="240"/>
                        <w:jc w:val="right"/>
                        <w:rPr>
                          <w:rFonts w:ascii="Tahoma" w:hAnsi="Tahoma" w:cs="Tahoma"/>
                          <w:sz w:val="16"/>
                          <w:szCs w:val="16"/>
                          <w:lang w:val="fr-CH"/>
                        </w:rPr>
                      </w:pPr>
                      <w:r w:rsidRPr="00071B52">
                        <w:rPr>
                          <w:rFonts w:ascii="Tahoma" w:hAnsi="Tahoma" w:cs="Tahoma"/>
                          <w:sz w:val="16"/>
                          <w:szCs w:val="16"/>
                          <w:lang w:val="fr-CH"/>
                        </w:rPr>
                        <w:t xml:space="preserve">Berne, </w:t>
                      </w:r>
                      <w:r w:rsidRPr="00080D06">
                        <w:rPr>
                          <w:rFonts w:ascii="Tahoma" w:hAnsi="Tahoma" w:cs="Tahoma"/>
                          <w:sz w:val="16"/>
                          <w:szCs w:val="16"/>
                          <w:lang w:val="fr-CH"/>
                        </w:rPr>
                        <w:t>le 7 juillet 2014</w:t>
                      </w:r>
                    </w:p>
                    <w:p w:rsidR="00C31FC6" w:rsidRPr="00D31234" w:rsidRDefault="00C31FC6" w:rsidP="001026DB">
                      <w:pPr>
                        <w:tabs>
                          <w:tab w:val="right" w:pos="4962"/>
                        </w:tabs>
                        <w:jc w:val="right"/>
                        <w:rPr>
                          <w:rFonts w:ascii="Tahoma" w:hAnsi="Tahoma" w:cs="Tahoma"/>
                          <w:sz w:val="16"/>
                          <w:szCs w:val="16"/>
                          <w:lang w:val="fr-CH"/>
                        </w:rPr>
                      </w:pPr>
                      <w:r w:rsidRPr="00D31234">
                        <w:rPr>
                          <w:rFonts w:ascii="Tahoma" w:hAnsi="Tahoma" w:cs="Tahoma"/>
                          <w:sz w:val="16"/>
                          <w:szCs w:val="16"/>
                          <w:lang w:val="fr-CH"/>
                        </w:rPr>
                        <w:t>No enreg. 1.1</w:t>
                      </w:r>
                      <w:r>
                        <w:rPr>
                          <w:rFonts w:ascii="Tahoma" w:hAnsi="Tahoma" w:cs="Tahoma"/>
                          <w:sz w:val="16"/>
                          <w:szCs w:val="16"/>
                          <w:lang w:val="fr-CH"/>
                        </w:rPr>
                        <w:t>4307</w:t>
                      </w:r>
                      <w:r w:rsidRPr="00D31234">
                        <w:rPr>
                          <w:rFonts w:ascii="Tahoma" w:hAnsi="Tahoma" w:cs="Tahoma"/>
                          <w:sz w:val="16"/>
                          <w:szCs w:val="16"/>
                          <w:lang w:val="fr-CH"/>
                        </w:rPr>
                        <w:t>.946.00335.</w:t>
                      </w:r>
                      <w:r>
                        <w:rPr>
                          <w:rFonts w:ascii="Tahoma" w:hAnsi="Tahoma" w:cs="Tahoma"/>
                          <w:sz w:val="16"/>
                          <w:szCs w:val="16"/>
                          <w:lang w:val="fr-CH"/>
                        </w:rPr>
                        <w:t>04</w:t>
                      </w:r>
                    </w:p>
                    <w:p w:rsidR="00C31FC6" w:rsidRPr="004A6B0E" w:rsidRDefault="00C31FC6" w:rsidP="001026DB">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FC6" w:rsidRPr="008125B4" w:rsidRDefault="00C31FC6" w:rsidP="00DA70D7">
                            <w:pPr>
                              <w:tabs>
                                <w:tab w:val="right" w:pos="4962"/>
                              </w:tabs>
                              <w:spacing w:before="720"/>
                              <w:rPr>
                                <w:rFonts w:ascii="Tahoma" w:hAnsi="Tahoma" w:cs="Tahoma"/>
                                <w:sz w:val="16"/>
                                <w:szCs w:val="16"/>
                                <w:u w:val="single"/>
                                <w:lang w:val="fr-FR"/>
                              </w:rPr>
                            </w:pPr>
                            <w:r w:rsidRPr="00A75479">
                              <w:rPr>
                                <w:rFonts w:ascii="Tahoma" w:hAnsi="Tahoma" w:cs="Tahoma"/>
                                <w:sz w:val="16"/>
                                <w:szCs w:val="16"/>
                                <w:u w:val="single"/>
                                <w:lang w:val="fr-FR"/>
                              </w:rPr>
                              <w:t xml:space="preserve">Table </w:t>
                            </w:r>
                            <w:r w:rsidRPr="008125B4">
                              <w:rPr>
                                <w:rFonts w:ascii="Tahoma" w:hAnsi="Tahoma" w:cs="Tahoma"/>
                                <w:sz w:val="16"/>
                                <w:szCs w:val="16"/>
                                <w:u w:val="single"/>
                                <w:lang w:val="fr-FR"/>
                              </w:rPr>
                              <w:t>des matières</w:t>
                            </w:r>
                            <w:r w:rsidRPr="008125B4">
                              <w:rPr>
                                <w:rFonts w:ascii="Tahoma" w:hAnsi="Tahoma" w:cs="Tahoma"/>
                                <w:lang w:val="fr-FR"/>
                              </w:rPr>
                              <w:tab/>
                            </w:r>
                            <w:r w:rsidRPr="008125B4">
                              <w:rPr>
                                <w:rFonts w:ascii="Tahoma" w:hAnsi="Tahoma" w:cs="Tahoma"/>
                                <w:sz w:val="16"/>
                                <w:szCs w:val="16"/>
                                <w:u w:val="single"/>
                                <w:lang w:val="fr-FR"/>
                              </w:rPr>
                              <w:t>Paragraphes</w:t>
                            </w:r>
                          </w:p>
                          <w:p w:rsidR="00C31FC6" w:rsidRPr="008125B4" w:rsidRDefault="00C31FC6" w:rsidP="00810B31">
                            <w:pPr>
                              <w:tabs>
                                <w:tab w:val="right" w:pos="4962"/>
                              </w:tabs>
                              <w:rPr>
                                <w:rFonts w:ascii="Tahoma" w:hAnsi="Tahoma" w:cs="Tahoma"/>
                                <w:lang w:val="fr-FR"/>
                              </w:rPr>
                            </w:pPr>
                          </w:p>
                          <w:p w:rsidR="00C31FC6" w:rsidRPr="008125B4" w:rsidRDefault="00C31FC6" w:rsidP="004643EF">
                            <w:pPr>
                              <w:tabs>
                                <w:tab w:val="right" w:pos="4962"/>
                              </w:tabs>
                              <w:spacing w:line="300" w:lineRule="atLeast"/>
                              <w:rPr>
                                <w:rFonts w:ascii="Tahoma" w:hAnsi="Tahoma" w:cs="Tahoma"/>
                                <w:b/>
                                <w:lang w:val="fr-FR"/>
                              </w:rPr>
                            </w:pPr>
                            <w:r w:rsidRPr="008125B4">
                              <w:rPr>
                                <w:rFonts w:ascii="Tahoma" w:hAnsi="Tahoma" w:cs="Tahoma"/>
                                <w:b/>
                                <w:lang w:val="fr-FR"/>
                              </w:rPr>
                              <w:t>Résumé de l’audit</w:t>
                            </w:r>
                            <w:r w:rsidRPr="008125B4">
                              <w:rPr>
                                <w:rFonts w:ascii="Tahoma" w:hAnsi="Tahoma" w:cs="Tahoma"/>
                                <w:b/>
                                <w:lang w:val="fr-FR"/>
                              </w:rPr>
                              <w:tab/>
                              <w:t>-</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Règlementation, normes et informations</w:t>
                            </w:r>
                            <w:r w:rsidRPr="008125B4">
                              <w:rPr>
                                <w:rFonts w:ascii="Tahoma" w:hAnsi="Tahoma" w:cs="Tahoma"/>
                                <w:lang w:val="fr-FR"/>
                              </w:rPr>
                              <w:tab/>
                              <w:t>1-</w:t>
                            </w:r>
                            <w:r>
                              <w:rPr>
                                <w:rFonts w:ascii="Tahoma" w:hAnsi="Tahoma" w:cs="Tahoma"/>
                                <w:lang w:val="fr-FR"/>
                              </w:rPr>
                              <w:t>9</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Suivi des recommandations</w:t>
                            </w:r>
                            <w:r w:rsidRPr="008125B4">
                              <w:rPr>
                                <w:rFonts w:ascii="Tahoma" w:hAnsi="Tahoma" w:cs="Tahoma"/>
                                <w:lang w:val="fr-FR"/>
                              </w:rPr>
                              <w:tab/>
                            </w:r>
                            <w:r>
                              <w:rPr>
                                <w:rFonts w:ascii="Tahoma" w:hAnsi="Tahoma" w:cs="Tahoma"/>
                                <w:lang w:val="fr-FR"/>
                              </w:rPr>
                              <w:t>10</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 xml:space="preserve">Système de contrôle interne (SCI) </w:t>
                            </w:r>
                            <w:r w:rsidRPr="008125B4">
                              <w:rPr>
                                <w:rFonts w:ascii="Tahoma" w:hAnsi="Tahoma" w:cs="Tahoma"/>
                                <w:lang w:val="fr-FR"/>
                              </w:rPr>
                              <w:tab/>
                              <w:t>1</w:t>
                            </w:r>
                            <w:r>
                              <w:rPr>
                                <w:rFonts w:ascii="Tahoma" w:hAnsi="Tahoma" w:cs="Tahoma"/>
                                <w:lang w:val="fr-FR"/>
                              </w:rPr>
                              <w:t>1-12</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lang w:val="fr-FR"/>
                              </w:rPr>
                              <w:t>Etablissement des états financiers selon IPSAS</w:t>
                            </w:r>
                            <w:r w:rsidRPr="008125B4">
                              <w:rPr>
                                <w:rFonts w:ascii="Tahoma" w:hAnsi="Tahoma"/>
                                <w:lang w:val="fr-FR"/>
                              </w:rPr>
                              <w:tab/>
                              <w:t>1</w:t>
                            </w:r>
                            <w:r>
                              <w:rPr>
                                <w:rFonts w:ascii="Tahoma" w:hAnsi="Tahoma"/>
                                <w:lang w:val="fr-FR"/>
                              </w:rPr>
                              <w:t>3</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Audit de l’exécution budgétaire 201</w:t>
                            </w:r>
                            <w:r>
                              <w:rPr>
                                <w:rFonts w:ascii="Tahoma" w:hAnsi="Tahoma" w:cs="Tahoma"/>
                                <w:lang w:val="fr-FR"/>
                              </w:rPr>
                              <w:t>3</w:t>
                            </w:r>
                            <w:r w:rsidRPr="008125B4">
                              <w:rPr>
                                <w:rFonts w:ascii="Tahoma" w:hAnsi="Tahoma" w:cs="Tahoma"/>
                                <w:lang w:val="fr-FR"/>
                              </w:rPr>
                              <w:tab/>
                              <w:t>1</w:t>
                            </w:r>
                            <w:r>
                              <w:rPr>
                                <w:rFonts w:ascii="Tahoma" w:hAnsi="Tahoma" w:cs="Tahoma"/>
                                <w:lang w:val="fr-FR"/>
                              </w:rPr>
                              <w:t>4</w:t>
                            </w:r>
                            <w:r w:rsidRPr="008125B4">
                              <w:rPr>
                                <w:rFonts w:ascii="Tahoma" w:hAnsi="Tahoma" w:cs="Tahoma"/>
                                <w:lang w:val="fr-FR"/>
                              </w:rPr>
                              <w:t>-1</w:t>
                            </w:r>
                            <w:r>
                              <w:rPr>
                                <w:rFonts w:ascii="Tahoma" w:hAnsi="Tahoma" w:cs="Tahoma"/>
                                <w:lang w:val="fr-FR"/>
                              </w:rPr>
                              <w:t>5</w:t>
                            </w:r>
                          </w:p>
                          <w:p w:rsidR="00C31FC6" w:rsidRPr="008125B4" w:rsidRDefault="00C31FC6" w:rsidP="004643EF">
                            <w:pPr>
                              <w:tabs>
                                <w:tab w:val="right" w:pos="4962"/>
                              </w:tabs>
                              <w:spacing w:line="300" w:lineRule="atLeast"/>
                              <w:rPr>
                                <w:rFonts w:ascii="Tahoma" w:hAnsi="Tahoma" w:cs="Tahoma"/>
                                <w:lang w:val="fr-FR"/>
                              </w:rPr>
                            </w:pPr>
                            <w:r>
                              <w:rPr>
                                <w:rFonts w:ascii="Tahoma" w:hAnsi="Tahoma" w:cs="Tahoma"/>
                                <w:lang w:val="fr-FR"/>
                              </w:rPr>
                              <w:t>Audit des états financiers 2013</w:t>
                            </w:r>
                            <w:r w:rsidRPr="008125B4">
                              <w:rPr>
                                <w:rFonts w:ascii="Tahoma" w:hAnsi="Tahoma" w:cs="Tahoma"/>
                                <w:lang w:val="fr-FR"/>
                              </w:rPr>
                              <w:tab/>
                              <w:t>1</w:t>
                            </w:r>
                            <w:r>
                              <w:rPr>
                                <w:rFonts w:ascii="Tahoma" w:hAnsi="Tahoma" w:cs="Tahoma"/>
                                <w:lang w:val="fr-FR"/>
                              </w:rPr>
                              <w:t>6</w:t>
                            </w:r>
                            <w:r w:rsidRPr="008125B4">
                              <w:rPr>
                                <w:rFonts w:ascii="Tahoma" w:hAnsi="Tahoma" w:cs="Tahoma"/>
                                <w:lang w:val="fr-FR"/>
                              </w:rPr>
                              <w:t>-</w:t>
                            </w:r>
                            <w:r>
                              <w:rPr>
                                <w:rFonts w:ascii="Tahoma" w:hAnsi="Tahoma" w:cs="Tahoma"/>
                                <w:lang w:val="fr-FR"/>
                              </w:rPr>
                              <w:t>43</w:t>
                            </w:r>
                          </w:p>
                          <w:p w:rsidR="00C31FC6" w:rsidRPr="008125B4" w:rsidRDefault="00C31FC6" w:rsidP="004643EF">
                            <w:pPr>
                              <w:tabs>
                                <w:tab w:val="right" w:pos="4962"/>
                              </w:tabs>
                              <w:spacing w:line="300" w:lineRule="atLeast"/>
                              <w:rPr>
                                <w:rFonts w:ascii="Tahoma" w:hAnsi="Tahoma" w:cs="Tahoma"/>
                                <w:lang w:val="fr-FR"/>
                              </w:rPr>
                            </w:pPr>
                          </w:p>
                          <w:p w:rsidR="00C31FC6" w:rsidRPr="008125B4" w:rsidRDefault="00C31FC6" w:rsidP="004643EF">
                            <w:pPr>
                              <w:tabs>
                                <w:tab w:val="right" w:pos="4962"/>
                              </w:tabs>
                              <w:spacing w:line="300" w:lineRule="atLeast"/>
                              <w:rPr>
                                <w:rFonts w:ascii="Tahoma" w:hAnsi="Tahoma" w:cs="Tahoma"/>
                                <w:b/>
                                <w:lang w:val="fr-FR"/>
                              </w:rPr>
                            </w:pPr>
                            <w:r w:rsidRPr="008125B4">
                              <w:rPr>
                                <w:rFonts w:ascii="Tahoma" w:hAnsi="Tahoma" w:cs="Tahoma"/>
                                <w:b/>
                                <w:lang w:val="fr-FR"/>
                              </w:rPr>
                              <w:t>Conclusion</w:t>
                            </w:r>
                            <w:r w:rsidRPr="008125B4">
                              <w:rPr>
                                <w:rFonts w:ascii="Tahoma" w:hAnsi="Tahoma" w:cs="Tahoma"/>
                                <w:b/>
                                <w:lang w:val="fr-FR"/>
                              </w:rPr>
                              <w:tab/>
                              <w:t>4</w:t>
                            </w:r>
                            <w:r>
                              <w:rPr>
                                <w:rFonts w:ascii="Tahoma" w:hAnsi="Tahoma" w:cs="Tahoma"/>
                                <w:b/>
                                <w:lang w:val="fr-FR"/>
                              </w:rPr>
                              <w:t>4</w:t>
                            </w:r>
                          </w:p>
                          <w:p w:rsidR="00C31FC6" w:rsidRPr="008125B4" w:rsidRDefault="00C31FC6" w:rsidP="004643EF">
                            <w:pPr>
                              <w:tabs>
                                <w:tab w:val="right" w:pos="4962"/>
                              </w:tabs>
                              <w:spacing w:line="300" w:lineRule="atLeast"/>
                              <w:rPr>
                                <w:rFonts w:ascii="Tahoma" w:hAnsi="Tahoma"/>
                                <w:lang w:val="fr-FR"/>
                              </w:rPr>
                            </w:pPr>
                          </w:p>
                          <w:p w:rsidR="00C31FC6" w:rsidRDefault="00C31FC6" w:rsidP="004643EF">
                            <w:pPr>
                              <w:tabs>
                                <w:tab w:val="right" w:pos="4962"/>
                              </w:tabs>
                              <w:spacing w:line="300" w:lineRule="atLeast"/>
                              <w:rPr>
                                <w:rFonts w:ascii="Tahoma" w:hAnsi="Tahoma"/>
                                <w:b/>
                                <w:lang w:val="fr-FR"/>
                              </w:rPr>
                            </w:pPr>
                            <w:r w:rsidRPr="008125B4">
                              <w:rPr>
                                <w:rFonts w:ascii="Tahoma" w:hAnsi="Tahoma"/>
                                <w:b/>
                                <w:lang w:val="fr-FR"/>
                              </w:rPr>
                              <w:t>Annexe : Opinion d’audit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C31FC6" w:rsidRPr="008125B4" w:rsidRDefault="00C31FC6" w:rsidP="00DA70D7">
                      <w:pPr>
                        <w:tabs>
                          <w:tab w:val="right" w:pos="4962"/>
                        </w:tabs>
                        <w:spacing w:before="720"/>
                        <w:rPr>
                          <w:rFonts w:ascii="Tahoma" w:hAnsi="Tahoma" w:cs="Tahoma"/>
                          <w:sz w:val="16"/>
                          <w:szCs w:val="16"/>
                          <w:u w:val="single"/>
                          <w:lang w:val="fr-FR"/>
                        </w:rPr>
                      </w:pPr>
                      <w:r w:rsidRPr="00A75479">
                        <w:rPr>
                          <w:rFonts w:ascii="Tahoma" w:hAnsi="Tahoma" w:cs="Tahoma"/>
                          <w:sz w:val="16"/>
                          <w:szCs w:val="16"/>
                          <w:u w:val="single"/>
                          <w:lang w:val="fr-FR"/>
                        </w:rPr>
                        <w:t xml:space="preserve">Table </w:t>
                      </w:r>
                      <w:r w:rsidRPr="008125B4">
                        <w:rPr>
                          <w:rFonts w:ascii="Tahoma" w:hAnsi="Tahoma" w:cs="Tahoma"/>
                          <w:sz w:val="16"/>
                          <w:szCs w:val="16"/>
                          <w:u w:val="single"/>
                          <w:lang w:val="fr-FR"/>
                        </w:rPr>
                        <w:t>des matières</w:t>
                      </w:r>
                      <w:r w:rsidRPr="008125B4">
                        <w:rPr>
                          <w:rFonts w:ascii="Tahoma" w:hAnsi="Tahoma" w:cs="Tahoma"/>
                          <w:lang w:val="fr-FR"/>
                        </w:rPr>
                        <w:tab/>
                      </w:r>
                      <w:r w:rsidRPr="008125B4">
                        <w:rPr>
                          <w:rFonts w:ascii="Tahoma" w:hAnsi="Tahoma" w:cs="Tahoma"/>
                          <w:sz w:val="16"/>
                          <w:szCs w:val="16"/>
                          <w:u w:val="single"/>
                          <w:lang w:val="fr-FR"/>
                        </w:rPr>
                        <w:t>Paragraphes</w:t>
                      </w:r>
                    </w:p>
                    <w:p w:rsidR="00C31FC6" w:rsidRPr="008125B4" w:rsidRDefault="00C31FC6" w:rsidP="00810B31">
                      <w:pPr>
                        <w:tabs>
                          <w:tab w:val="right" w:pos="4962"/>
                        </w:tabs>
                        <w:rPr>
                          <w:rFonts w:ascii="Tahoma" w:hAnsi="Tahoma" w:cs="Tahoma"/>
                          <w:lang w:val="fr-FR"/>
                        </w:rPr>
                      </w:pPr>
                    </w:p>
                    <w:p w:rsidR="00C31FC6" w:rsidRPr="008125B4" w:rsidRDefault="00C31FC6" w:rsidP="004643EF">
                      <w:pPr>
                        <w:tabs>
                          <w:tab w:val="right" w:pos="4962"/>
                        </w:tabs>
                        <w:spacing w:line="300" w:lineRule="atLeast"/>
                        <w:rPr>
                          <w:rFonts w:ascii="Tahoma" w:hAnsi="Tahoma" w:cs="Tahoma"/>
                          <w:b/>
                          <w:lang w:val="fr-FR"/>
                        </w:rPr>
                      </w:pPr>
                      <w:r w:rsidRPr="008125B4">
                        <w:rPr>
                          <w:rFonts w:ascii="Tahoma" w:hAnsi="Tahoma" w:cs="Tahoma"/>
                          <w:b/>
                          <w:lang w:val="fr-FR"/>
                        </w:rPr>
                        <w:t>Résumé de l’audit</w:t>
                      </w:r>
                      <w:r w:rsidRPr="008125B4">
                        <w:rPr>
                          <w:rFonts w:ascii="Tahoma" w:hAnsi="Tahoma" w:cs="Tahoma"/>
                          <w:b/>
                          <w:lang w:val="fr-FR"/>
                        </w:rPr>
                        <w:tab/>
                        <w:t>-</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Règlementation, normes et informations</w:t>
                      </w:r>
                      <w:r w:rsidRPr="008125B4">
                        <w:rPr>
                          <w:rFonts w:ascii="Tahoma" w:hAnsi="Tahoma" w:cs="Tahoma"/>
                          <w:lang w:val="fr-FR"/>
                        </w:rPr>
                        <w:tab/>
                        <w:t>1-</w:t>
                      </w:r>
                      <w:r>
                        <w:rPr>
                          <w:rFonts w:ascii="Tahoma" w:hAnsi="Tahoma" w:cs="Tahoma"/>
                          <w:lang w:val="fr-FR"/>
                        </w:rPr>
                        <w:t>9</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Suivi des recommandations</w:t>
                      </w:r>
                      <w:r w:rsidRPr="008125B4">
                        <w:rPr>
                          <w:rFonts w:ascii="Tahoma" w:hAnsi="Tahoma" w:cs="Tahoma"/>
                          <w:lang w:val="fr-FR"/>
                        </w:rPr>
                        <w:tab/>
                      </w:r>
                      <w:r>
                        <w:rPr>
                          <w:rFonts w:ascii="Tahoma" w:hAnsi="Tahoma" w:cs="Tahoma"/>
                          <w:lang w:val="fr-FR"/>
                        </w:rPr>
                        <w:t>10</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 xml:space="preserve">Système de contrôle interne (SCI) </w:t>
                      </w:r>
                      <w:r w:rsidRPr="008125B4">
                        <w:rPr>
                          <w:rFonts w:ascii="Tahoma" w:hAnsi="Tahoma" w:cs="Tahoma"/>
                          <w:lang w:val="fr-FR"/>
                        </w:rPr>
                        <w:tab/>
                        <w:t>1</w:t>
                      </w:r>
                      <w:r>
                        <w:rPr>
                          <w:rFonts w:ascii="Tahoma" w:hAnsi="Tahoma" w:cs="Tahoma"/>
                          <w:lang w:val="fr-FR"/>
                        </w:rPr>
                        <w:t>1-12</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lang w:val="fr-FR"/>
                        </w:rPr>
                        <w:t>Etablissement des états financiers selon IPSAS</w:t>
                      </w:r>
                      <w:r w:rsidRPr="008125B4">
                        <w:rPr>
                          <w:rFonts w:ascii="Tahoma" w:hAnsi="Tahoma"/>
                          <w:lang w:val="fr-FR"/>
                        </w:rPr>
                        <w:tab/>
                        <w:t>1</w:t>
                      </w:r>
                      <w:r>
                        <w:rPr>
                          <w:rFonts w:ascii="Tahoma" w:hAnsi="Tahoma"/>
                          <w:lang w:val="fr-FR"/>
                        </w:rPr>
                        <w:t>3</w:t>
                      </w:r>
                    </w:p>
                    <w:p w:rsidR="00C31FC6" w:rsidRPr="008125B4" w:rsidRDefault="00C31FC6" w:rsidP="004643EF">
                      <w:pPr>
                        <w:tabs>
                          <w:tab w:val="right" w:pos="4962"/>
                        </w:tabs>
                        <w:spacing w:line="300" w:lineRule="atLeast"/>
                        <w:rPr>
                          <w:rFonts w:ascii="Tahoma" w:hAnsi="Tahoma" w:cs="Tahoma"/>
                          <w:lang w:val="fr-FR"/>
                        </w:rPr>
                      </w:pPr>
                      <w:r w:rsidRPr="008125B4">
                        <w:rPr>
                          <w:rFonts w:ascii="Tahoma" w:hAnsi="Tahoma" w:cs="Tahoma"/>
                          <w:lang w:val="fr-FR"/>
                        </w:rPr>
                        <w:t>Audit de l’exécution budgétaire 201</w:t>
                      </w:r>
                      <w:r>
                        <w:rPr>
                          <w:rFonts w:ascii="Tahoma" w:hAnsi="Tahoma" w:cs="Tahoma"/>
                          <w:lang w:val="fr-FR"/>
                        </w:rPr>
                        <w:t>3</w:t>
                      </w:r>
                      <w:r w:rsidRPr="008125B4">
                        <w:rPr>
                          <w:rFonts w:ascii="Tahoma" w:hAnsi="Tahoma" w:cs="Tahoma"/>
                          <w:lang w:val="fr-FR"/>
                        </w:rPr>
                        <w:tab/>
                        <w:t>1</w:t>
                      </w:r>
                      <w:r>
                        <w:rPr>
                          <w:rFonts w:ascii="Tahoma" w:hAnsi="Tahoma" w:cs="Tahoma"/>
                          <w:lang w:val="fr-FR"/>
                        </w:rPr>
                        <w:t>4</w:t>
                      </w:r>
                      <w:r w:rsidRPr="008125B4">
                        <w:rPr>
                          <w:rFonts w:ascii="Tahoma" w:hAnsi="Tahoma" w:cs="Tahoma"/>
                          <w:lang w:val="fr-FR"/>
                        </w:rPr>
                        <w:t>-1</w:t>
                      </w:r>
                      <w:r>
                        <w:rPr>
                          <w:rFonts w:ascii="Tahoma" w:hAnsi="Tahoma" w:cs="Tahoma"/>
                          <w:lang w:val="fr-FR"/>
                        </w:rPr>
                        <w:t>5</w:t>
                      </w:r>
                    </w:p>
                    <w:p w:rsidR="00C31FC6" w:rsidRPr="008125B4" w:rsidRDefault="00C31FC6" w:rsidP="004643EF">
                      <w:pPr>
                        <w:tabs>
                          <w:tab w:val="right" w:pos="4962"/>
                        </w:tabs>
                        <w:spacing w:line="300" w:lineRule="atLeast"/>
                        <w:rPr>
                          <w:rFonts w:ascii="Tahoma" w:hAnsi="Tahoma" w:cs="Tahoma"/>
                          <w:lang w:val="fr-FR"/>
                        </w:rPr>
                      </w:pPr>
                      <w:r>
                        <w:rPr>
                          <w:rFonts w:ascii="Tahoma" w:hAnsi="Tahoma" w:cs="Tahoma"/>
                          <w:lang w:val="fr-FR"/>
                        </w:rPr>
                        <w:t>Audit des états financiers 2013</w:t>
                      </w:r>
                      <w:r w:rsidRPr="008125B4">
                        <w:rPr>
                          <w:rFonts w:ascii="Tahoma" w:hAnsi="Tahoma" w:cs="Tahoma"/>
                          <w:lang w:val="fr-FR"/>
                        </w:rPr>
                        <w:tab/>
                        <w:t>1</w:t>
                      </w:r>
                      <w:r>
                        <w:rPr>
                          <w:rFonts w:ascii="Tahoma" w:hAnsi="Tahoma" w:cs="Tahoma"/>
                          <w:lang w:val="fr-FR"/>
                        </w:rPr>
                        <w:t>6</w:t>
                      </w:r>
                      <w:r w:rsidRPr="008125B4">
                        <w:rPr>
                          <w:rFonts w:ascii="Tahoma" w:hAnsi="Tahoma" w:cs="Tahoma"/>
                          <w:lang w:val="fr-FR"/>
                        </w:rPr>
                        <w:t>-</w:t>
                      </w:r>
                      <w:r>
                        <w:rPr>
                          <w:rFonts w:ascii="Tahoma" w:hAnsi="Tahoma" w:cs="Tahoma"/>
                          <w:lang w:val="fr-FR"/>
                        </w:rPr>
                        <w:t>43</w:t>
                      </w:r>
                    </w:p>
                    <w:p w:rsidR="00C31FC6" w:rsidRPr="008125B4" w:rsidRDefault="00C31FC6" w:rsidP="004643EF">
                      <w:pPr>
                        <w:tabs>
                          <w:tab w:val="right" w:pos="4962"/>
                        </w:tabs>
                        <w:spacing w:line="300" w:lineRule="atLeast"/>
                        <w:rPr>
                          <w:rFonts w:ascii="Tahoma" w:hAnsi="Tahoma" w:cs="Tahoma"/>
                          <w:lang w:val="fr-FR"/>
                        </w:rPr>
                      </w:pPr>
                    </w:p>
                    <w:p w:rsidR="00C31FC6" w:rsidRPr="008125B4" w:rsidRDefault="00C31FC6" w:rsidP="004643EF">
                      <w:pPr>
                        <w:tabs>
                          <w:tab w:val="right" w:pos="4962"/>
                        </w:tabs>
                        <w:spacing w:line="300" w:lineRule="atLeast"/>
                        <w:rPr>
                          <w:rFonts w:ascii="Tahoma" w:hAnsi="Tahoma" w:cs="Tahoma"/>
                          <w:b/>
                          <w:lang w:val="fr-FR"/>
                        </w:rPr>
                      </w:pPr>
                      <w:r w:rsidRPr="008125B4">
                        <w:rPr>
                          <w:rFonts w:ascii="Tahoma" w:hAnsi="Tahoma" w:cs="Tahoma"/>
                          <w:b/>
                          <w:lang w:val="fr-FR"/>
                        </w:rPr>
                        <w:t>Conclusion</w:t>
                      </w:r>
                      <w:r w:rsidRPr="008125B4">
                        <w:rPr>
                          <w:rFonts w:ascii="Tahoma" w:hAnsi="Tahoma" w:cs="Tahoma"/>
                          <w:b/>
                          <w:lang w:val="fr-FR"/>
                        </w:rPr>
                        <w:tab/>
                        <w:t>4</w:t>
                      </w:r>
                      <w:r>
                        <w:rPr>
                          <w:rFonts w:ascii="Tahoma" w:hAnsi="Tahoma" w:cs="Tahoma"/>
                          <w:b/>
                          <w:lang w:val="fr-FR"/>
                        </w:rPr>
                        <w:t>4</w:t>
                      </w:r>
                    </w:p>
                    <w:p w:rsidR="00C31FC6" w:rsidRPr="008125B4" w:rsidRDefault="00C31FC6" w:rsidP="004643EF">
                      <w:pPr>
                        <w:tabs>
                          <w:tab w:val="right" w:pos="4962"/>
                        </w:tabs>
                        <w:spacing w:line="300" w:lineRule="atLeast"/>
                        <w:rPr>
                          <w:rFonts w:ascii="Tahoma" w:hAnsi="Tahoma"/>
                          <w:lang w:val="fr-FR"/>
                        </w:rPr>
                      </w:pPr>
                    </w:p>
                    <w:p w:rsidR="00C31FC6" w:rsidRDefault="00C31FC6" w:rsidP="004643EF">
                      <w:pPr>
                        <w:tabs>
                          <w:tab w:val="right" w:pos="4962"/>
                        </w:tabs>
                        <w:spacing w:line="300" w:lineRule="atLeast"/>
                        <w:rPr>
                          <w:rFonts w:ascii="Tahoma" w:hAnsi="Tahoma"/>
                          <w:b/>
                          <w:lang w:val="fr-FR"/>
                        </w:rPr>
                      </w:pPr>
                      <w:r w:rsidRPr="008125B4">
                        <w:rPr>
                          <w:rFonts w:ascii="Tahoma" w:hAnsi="Tahoma"/>
                          <w:b/>
                          <w:lang w:val="fr-FR"/>
                        </w:rPr>
                        <w:t>Annexe : Opinion d’audit</w:t>
                      </w:r>
                    </w:p>
                  </w:txbxContent>
                </v:textbox>
              </v:shape>
            </w:pict>
          </mc:Fallback>
        </mc:AlternateContent>
      </w:r>
      <w:r w:rsidRPr="00FA1CA6">
        <w:rPr>
          <w:lang w:val="fr-CH"/>
        </w:rPr>
        <w:t>trois</w:t>
      </w:r>
      <w:r w:rsidRPr="00FA1CA6">
        <w:rPr>
          <w:lang w:val="fr-CH"/>
        </w:rPr>
        <w:br w:type="page"/>
      </w:r>
    </w:p>
    <w:p w:rsidR="00C31FC6" w:rsidRPr="00CA78BC" w:rsidRDefault="00C31FC6" w:rsidP="001949A2">
      <w:pPr>
        <w:pStyle w:val="OI-TITRE"/>
        <w:spacing w:after="480"/>
        <w:ind w:left="851"/>
        <w:rPr>
          <w:rFonts w:ascii="Tahoma" w:hAnsi="Tahoma" w:cs="Tahoma"/>
          <w:lang w:val="fr-FR"/>
        </w:rPr>
      </w:pPr>
      <w:r w:rsidRPr="00CA78BC">
        <w:rPr>
          <w:rFonts w:ascii="Tahoma" w:hAnsi="Tahoma" w:cs="Tahoma"/>
          <w:lang w:val="fr-FR"/>
        </w:rPr>
        <w:lastRenderedPageBreak/>
        <w:t>RESUME DE L’AUDIT</w:t>
      </w:r>
    </w:p>
    <w:p w:rsidR="00C31FC6" w:rsidRPr="00CA78BC" w:rsidRDefault="00C31FC6" w:rsidP="00E83F2A">
      <w:pPr>
        <w:pStyle w:val="Normalcentr1"/>
        <w:tabs>
          <w:tab w:val="left" w:pos="737"/>
          <w:tab w:val="left" w:pos="1985"/>
          <w:tab w:val="right" w:pos="9356"/>
        </w:tabs>
        <w:spacing w:after="120"/>
        <w:ind w:left="851" w:right="284" w:firstLine="0"/>
        <w:rPr>
          <w:rFonts w:ascii="Tahoma" w:hAnsi="Tahoma" w:cs="Tahoma"/>
          <w:lang w:val="fr-CH"/>
        </w:rPr>
      </w:pPr>
      <w:r w:rsidRPr="00BB0913">
        <w:rPr>
          <w:rFonts w:ascii="Tahoma" w:hAnsi="Tahoma" w:cs="Tahoma"/>
        </w:rPr>
        <w:t xml:space="preserve">En qualité de Vérificateur des comptes de l’Union internationale pour la protection des obtentions végétales (UPOV), le Contrôle fédéral des finances de la Confédération suisse (CDF) </w:t>
      </w:r>
      <w:r w:rsidRPr="00BB0913">
        <w:rPr>
          <w:rFonts w:ascii="Tahoma" w:hAnsi="Tahoma" w:cs="Tahoma"/>
          <w:lang w:val="fr-CH"/>
        </w:rPr>
        <w:t>confirme que l</w:t>
      </w:r>
      <w:r w:rsidRPr="00BB0913">
        <w:rPr>
          <w:rFonts w:ascii="Tahoma" w:hAnsi="Tahoma" w:cs="Tahoma"/>
        </w:rPr>
        <w:t xml:space="preserve">’audit des états financiers 2013 présentés pour la deuxième fois selon les </w:t>
      </w:r>
      <w:r w:rsidRPr="00BB0913">
        <w:rPr>
          <w:rFonts w:ascii="Tahoma" w:hAnsi="Tahoma" w:cs="Tahoma"/>
          <w:lang w:val="fr-CH"/>
        </w:rPr>
        <w:t xml:space="preserve">Normes comptables internationales pour le secteur public (normes IPSAS) </w:t>
      </w:r>
      <w:r w:rsidRPr="00BB0913">
        <w:rPr>
          <w:rFonts w:ascii="Tahoma" w:hAnsi="Tahoma" w:cs="Tahoma"/>
        </w:rPr>
        <w:t xml:space="preserve">a donné un bon résultat d’ensemble et qu’il est en mesure de délivrer une opinion d’audit sans réserve. En effet, aucun problème significatif n’a été constaté. </w:t>
      </w:r>
      <w:r w:rsidRPr="00BB0913">
        <w:rPr>
          <w:rFonts w:ascii="Tahoma" w:hAnsi="Tahoma"/>
        </w:rPr>
        <w:t xml:space="preserve">Par ailleurs, nous relevons que </w:t>
      </w:r>
      <w:r w:rsidRPr="00BB0913">
        <w:rPr>
          <w:rFonts w:ascii="Tahoma" w:hAnsi="Tahoma" w:cs="Tahoma"/>
          <w:lang w:val="fr-CH"/>
        </w:rPr>
        <w:t>la mise en application de trois nouvelles normes en vigueur depuis le 1</w:t>
      </w:r>
      <w:r w:rsidRPr="00BB0913">
        <w:rPr>
          <w:rFonts w:ascii="Tahoma" w:hAnsi="Tahoma" w:cs="Tahoma"/>
          <w:vertAlign w:val="superscript"/>
          <w:lang w:val="fr-CH"/>
        </w:rPr>
        <w:t>er</w:t>
      </w:r>
      <w:r w:rsidRPr="00BB0913">
        <w:rPr>
          <w:rFonts w:ascii="Tahoma" w:hAnsi="Tahoma" w:cs="Tahoma"/>
          <w:lang w:val="fr-CH"/>
        </w:rPr>
        <w:t xml:space="preserve"> janvier 2013 et applicables à l’exercice sous revue nécessitait encore une mise à jour du manuel IPSAS par le Service des finances.</w:t>
      </w:r>
    </w:p>
    <w:p w:rsidR="00C31FC6" w:rsidRPr="00CA78BC" w:rsidRDefault="00C31FC6" w:rsidP="00CA78BC">
      <w:pPr>
        <w:pStyle w:val="NormalIndent"/>
        <w:spacing w:after="120"/>
        <w:ind w:right="284"/>
        <w:jc w:val="both"/>
        <w:rPr>
          <w:rFonts w:ascii="Tahoma" w:hAnsi="Tahoma" w:cs="Tahoma"/>
          <w:color w:val="auto"/>
          <w:lang w:val="fr-CH"/>
        </w:rPr>
      </w:pPr>
      <w:r w:rsidRPr="00CA78BC">
        <w:rPr>
          <w:rFonts w:ascii="Tahoma" w:hAnsi="Tahoma" w:cs="Tahoma"/>
          <w:color w:val="auto"/>
          <w:lang w:val="fr-CH"/>
        </w:rPr>
        <w:t>Comme l’an dernier, nous souhaitons relever qu’aucune comptabilisation n’a été effectuée par l’Union au sujet de la dette actuarielle auprès de la Caisse commune des Pensions du Personnel des Nations Unies (CCPPNU). Une telle comptabilisation aurait un impact significatif sur les états financiers de l’Organisation. Toutefois, le Groupe technique du Panel des auditeurs externes des Nations Unies et la Task Force IPSAS se sont mis d’accord pour dire qu’il n’y a pas de nécessité de provisionner de tels engagements au niveau des agences. Or, nous estimons qu’il est de notre devoir de Vérificateur extérieur des comptes de l’UPOV de rendre attentif les Etats membres sur ce genre de risque potentiel car nous estimons qu’il n’y a pas encore à l’heure actuelle tout le recul nécessaire quant à une interprétation véritablement économique de la norme IPSAS 25.</w:t>
      </w:r>
    </w:p>
    <w:p w:rsidR="00C31FC6" w:rsidRDefault="00C31FC6" w:rsidP="00E83F2A">
      <w:pPr>
        <w:pStyle w:val="NormalIndent"/>
        <w:spacing w:after="120"/>
        <w:ind w:right="284"/>
        <w:jc w:val="both"/>
        <w:rPr>
          <w:rFonts w:ascii="Tahoma" w:hAnsi="Tahoma" w:cs="Tahoma"/>
          <w:lang w:val="fr-CH"/>
        </w:rPr>
      </w:pPr>
      <w:r>
        <w:rPr>
          <w:rFonts w:ascii="Tahoma" w:hAnsi="Tahoma" w:cs="Tahoma"/>
          <w:lang w:val="fr-CH"/>
        </w:rPr>
        <w:t>Enfin, nous prenons note que l’UPOV ne fait pas figurer dans la</w:t>
      </w:r>
      <w:r w:rsidRPr="00B11876">
        <w:rPr>
          <w:rFonts w:ascii="Tahoma" w:hAnsi="Tahoma" w:cs="Tahoma"/>
          <w:lang w:val="fr-CH"/>
        </w:rPr>
        <w:t xml:space="preserve"> note 1</w:t>
      </w:r>
      <w:r>
        <w:rPr>
          <w:rFonts w:ascii="Tahoma" w:hAnsi="Tahoma" w:cs="Tahoma"/>
          <w:lang w:val="fr-CH"/>
        </w:rPr>
        <w:t>0</w:t>
      </w:r>
      <w:r w:rsidRPr="00B11876">
        <w:rPr>
          <w:rFonts w:ascii="Tahoma" w:hAnsi="Tahoma" w:cs="Tahoma"/>
          <w:lang w:val="fr-CH"/>
        </w:rPr>
        <w:t xml:space="preserve"> des états financiers </w:t>
      </w:r>
      <w:r>
        <w:rPr>
          <w:rFonts w:ascii="Tahoma" w:hAnsi="Tahoma" w:cs="Tahoma"/>
          <w:lang w:val="fr-CH"/>
        </w:rPr>
        <w:t>les salaires des personnes à la tête de l’organisation et préfère publier les informations relatives aux parties liées de manière globale en y incluant les rémunérations des 5.19</w:t>
      </w:r>
      <w:r w:rsidRPr="00283784">
        <w:rPr>
          <w:rFonts w:ascii="Tahoma" w:hAnsi="Tahoma" w:cs="Tahoma"/>
          <w:lang w:val="fr-CH"/>
        </w:rPr>
        <w:t xml:space="preserve"> p</w:t>
      </w:r>
      <w:r>
        <w:rPr>
          <w:rFonts w:ascii="Tahoma" w:hAnsi="Tahoma" w:cs="Tahoma"/>
          <w:lang w:val="fr-CH"/>
        </w:rPr>
        <w:t>ostes équivalent plein temps correspondant aux p</w:t>
      </w:r>
      <w:r w:rsidRPr="00283784">
        <w:rPr>
          <w:rFonts w:ascii="Tahoma" w:hAnsi="Tahoma" w:cs="Tahoma"/>
          <w:lang w:val="fr-CH"/>
        </w:rPr>
        <w:t>ersonnes dirigeantes</w:t>
      </w:r>
      <w:r>
        <w:rPr>
          <w:rFonts w:ascii="Tahoma" w:hAnsi="Tahoma" w:cs="Tahoma"/>
          <w:lang w:val="fr-CH"/>
        </w:rPr>
        <w:t>. Nous f</w:t>
      </w:r>
      <w:r w:rsidRPr="00E23AC2">
        <w:rPr>
          <w:rFonts w:ascii="Tahoma" w:hAnsi="Tahoma" w:cs="Tahoma"/>
          <w:lang w:val="fr-CH"/>
        </w:rPr>
        <w:t>aisons remarquer que ceci n’est pas totalement conforme à la norme IPSAS 20. Toutefois, nous estimons, comme lors du bouclement de</w:t>
      </w:r>
      <w:r>
        <w:rPr>
          <w:rFonts w:ascii="Tahoma" w:hAnsi="Tahoma" w:cs="Tahoma"/>
          <w:lang w:val="fr-CH"/>
        </w:rPr>
        <w:t xml:space="preserve"> l’</w:t>
      </w:r>
      <w:r w:rsidRPr="00E23AC2">
        <w:rPr>
          <w:rFonts w:ascii="Tahoma" w:hAnsi="Tahoma" w:cs="Tahoma"/>
          <w:lang w:val="fr-CH"/>
        </w:rPr>
        <w:t>exercice précédent, qu’il n’est pas nécessaire d</w:t>
      </w:r>
      <w:r>
        <w:rPr>
          <w:rFonts w:ascii="Tahoma" w:hAnsi="Tahoma" w:cs="Tahoma"/>
          <w:lang w:val="fr-CH"/>
        </w:rPr>
        <w:t xml:space="preserve">e modifier </w:t>
      </w:r>
      <w:r w:rsidRPr="00E23AC2">
        <w:rPr>
          <w:rFonts w:ascii="Tahoma" w:hAnsi="Tahoma" w:cs="Tahoma"/>
          <w:lang w:val="fr-CH"/>
        </w:rPr>
        <w:t xml:space="preserve">notre opinion d’audit mais qu’il est de notre devoir de </w:t>
      </w:r>
      <w:r>
        <w:rPr>
          <w:rFonts w:ascii="Tahoma" w:hAnsi="Tahoma" w:cs="Tahoma"/>
          <w:lang w:val="fr-CH"/>
        </w:rPr>
        <w:t>V</w:t>
      </w:r>
      <w:r w:rsidRPr="00E23AC2">
        <w:rPr>
          <w:rFonts w:ascii="Tahoma" w:hAnsi="Tahoma" w:cs="Tahoma"/>
          <w:lang w:val="fr-CH"/>
        </w:rPr>
        <w:t>érificateur extérieur des comptes de mentionner ceci à l’intention des Etats membres.</w:t>
      </w:r>
    </w:p>
    <w:p w:rsidR="00C31FC6" w:rsidRPr="006910F1" w:rsidRDefault="00C31FC6" w:rsidP="001949A2">
      <w:pPr>
        <w:pStyle w:val="OI-TITRE"/>
        <w:spacing w:after="480"/>
        <w:ind w:left="851"/>
        <w:rPr>
          <w:rFonts w:ascii="Tahoma" w:hAnsi="Tahoma"/>
        </w:rPr>
      </w:pPr>
      <w:r w:rsidRPr="006910F1">
        <w:rPr>
          <w:rFonts w:ascii="Tahoma" w:hAnsi="Tahoma"/>
        </w:rPr>
        <w:t>reglementation, NORMES et INFORMATIONS</w:t>
      </w:r>
    </w:p>
    <w:p w:rsidR="00C31FC6" w:rsidRPr="006910F1" w:rsidRDefault="00C31FC6" w:rsidP="002A2C3E">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fr-FR"/>
        </w:rPr>
      </w:pPr>
      <w:r w:rsidRPr="006910F1">
        <w:rPr>
          <w:rFonts w:ascii="Tahoma" w:hAnsi="Tahoma"/>
          <w:lang w:val="fr-FR"/>
        </w:rPr>
        <w:t>Réglementation financière et objet de la vérification</w:t>
      </w:r>
    </w:p>
    <w:p w:rsidR="00C31FC6" w:rsidRPr="00EA71E4"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lang w:val="fr-CH"/>
        </w:rPr>
      </w:pPr>
      <w:r w:rsidRPr="00E1560B">
        <w:rPr>
          <w:rFonts w:ascii="Tahoma" w:hAnsi="Tahoma"/>
          <w:lang w:val="fr-CH"/>
        </w:rPr>
        <w:t xml:space="preserve">Les exercices financiers de l’Union sont régis par les dispositions pertinentes des différentes Conventions et par celles du Règlement financier de l'UPOV et de son </w:t>
      </w:r>
      <w:r w:rsidRPr="006910F1">
        <w:rPr>
          <w:rFonts w:ascii="Tahoma" w:hAnsi="Tahoma"/>
          <w:lang w:val="fr-CH"/>
        </w:rPr>
        <w:t>Règlement d'exécution</w:t>
      </w:r>
      <w:r w:rsidRPr="006910F1">
        <w:rPr>
          <w:rStyle w:val="FootnoteReference"/>
          <w:rFonts w:ascii="Tahoma" w:hAnsi="Tahoma" w:cs="Tahoma"/>
          <w:lang w:val="fr-CH"/>
        </w:rPr>
        <w:footnoteReference w:id="2"/>
      </w:r>
      <w:r w:rsidRPr="006910F1">
        <w:rPr>
          <w:rFonts w:ascii="Tahoma" w:hAnsi="Tahoma"/>
          <w:lang w:val="fr-CH"/>
        </w:rPr>
        <w:t xml:space="preserve"> </w:t>
      </w:r>
      <w:r w:rsidRPr="00E1560B">
        <w:rPr>
          <w:rFonts w:ascii="Tahoma" w:hAnsi="Tahoma"/>
          <w:lang w:val="fr-CH"/>
        </w:rPr>
        <w:t>en conformité avec les Normes comptables internationales pour le secteur public (normes IPSAS).</w:t>
      </w:r>
    </w:p>
    <w:p w:rsidR="00C31FC6" w:rsidRPr="00ED717D" w:rsidRDefault="00C31FC6" w:rsidP="00C31FC6">
      <w:pPr>
        <w:pStyle w:val="Normalcentr1"/>
        <w:keepLines/>
        <w:numPr>
          <w:ilvl w:val="0"/>
          <w:numId w:val="2"/>
        </w:numPr>
        <w:tabs>
          <w:tab w:val="left" w:pos="737"/>
          <w:tab w:val="left" w:pos="993"/>
          <w:tab w:val="left" w:pos="1985"/>
          <w:tab w:val="left" w:pos="5057"/>
          <w:tab w:val="right" w:pos="9356"/>
        </w:tabs>
        <w:spacing w:before="360" w:after="120" w:line="240" w:lineRule="atLeast"/>
        <w:ind w:left="851" w:right="284" w:hanging="567"/>
        <w:rPr>
          <w:rFonts w:ascii="Tahoma" w:hAnsi="Tahoma"/>
        </w:rPr>
      </w:pPr>
      <w:r w:rsidRPr="00ED717D">
        <w:rPr>
          <w:rFonts w:ascii="Tahoma" w:hAnsi="Tahoma" w:cs="Tahoma"/>
          <w:lang w:val="fr-CH"/>
        </w:rPr>
        <w:t xml:space="preserve">Les vérifications ont porté sur les états financiers de l’Union arrêtés au 31 décembre 2013, </w:t>
      </w:r>
      <w:r w:rsidRPr="00ED717D">
        <w:rPr>
          <w:rFonts w:ascii="Tahoma" w:hAnsi="Tahoma" w:cs="Tahoma"/>
          <w:lang w:val="fr-CH" w:eastAsia="de-CH"/>
        </w:rPr>
        <w:t xml:space="preserve">comprenant </w:t>
      </w:r>
      <w:r w:rsidRPr="00ED717D">
        <w:rPr>
          <w:rFonts w:ascii="Tahoma" w:hAnsi="Tahoma" w:cs="Tahoma"/>
          <w:lang w:val="fr-CH"/>
        </w:rPr>
        <w:t>l’état de la situation financière</w:t>
      </w:r>
      <w:r w:rsidRPr="00ED717D">
        <w:rPr>
          <w:rFonts w:ascii="Tahoma" w:hAnsi="Tahoma" w:cs="Tahoma"/>
          <w:lang w:val="fr-CH" w:eastAsia="de-CH"/>
        </w:rPr>
        <w:t xml:space="preserve"> (état financier I), l’état de la performance financière (état financier II), l’état des variations des actifs nets (état financier III), l’état des flux de trésorerie (état financier IV) et l’état comparatif des montants budgétaires et des montants réels (état financier V)</w:t>
      </w:r>
      <w:r w:rsidRPr="00ED717D">
        <w:rPr>
          <w:rFonts w:ascii="Tahoma" w:hAnsi="Tahoma" w:cs="Tahoma"/>
          <w:lang w:val="fr-CH"/>
        </w:rPr>
        <w:t xml:space="preserve">, ainsi </w:t>
      </w:r>
      <w:r w:rsidRPr="00ED717D">
        <w:rPr>
          <w:rFonts w:ascii="Tahoma" w:hAnsi="Tahoma" w:cs="Tahoma"/>
          <w:lang w:val="fr-CH" w:eastAsia="de-CH"/>
        </w:rPr>
        <w:t>que des notes jointes aux états financiers</w:t>
      </w:r>
      <w:r w:rsidRPr="00ED717D">
        <w:rPr>
          <w:rFonts w:ascii="Tahoma" w:hAnsi="Tahoma" w:cs="Tahoma"/>
          <w:lang w:val="fr-CH"/>
        </w:rPr>
        <w:t>.</w:t>
      </w:r>
    </w:p>
    <w:p w:rsidR="00C31FC6" w:rsidRPr="00ED717D" w:rsidRDefault="00C31FC6" w:rsidP="00010F5B">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fr-FR"/>
        </w:rPr>
      </w:pPr>
      <w:r w:rsidRPr="00ED717D">
        <w:rPr>
          <w:rFonts w:ascii="Tahoma" w:hAnsi="Tahoma"/>
          <w:lang w:val="fr-FR"/>
        </w:rPr>
        <w:t>Normes d’audit, informations et remerciements</w:t>
      </w:r>
    </w:p>
    <w:p w:rsidR="00C31FC6" w:rsidRPr="0074228F"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CH"/>
        </w:rPr>
      </w:pPr>
      <w:r w:rsidRPr="0074228F">
        <w:rPr>
          <w:rFonts w:ascii="Tahoma" w:hAnsi="Tahoma" w:cs="Tahoma"/>
          <w:lang w:val="fr-CH"/>
        </w:rPr>
        <w:t>Les vérifications ont été effectuées selon les Normes internationales d'audit (Normes ISA</w:t>
      </w:r>
      <w:r w:rsidRPr="0074228F">
        <w:rPr>
          <w:rStyle w:val="FootnoteReference"/>
          <w:rFonts w:ascii="Tahoma" w:hAnsi="Tahoma" w:cs="Tahoma"/>
        </w:rPr>
        <w:footnoteReference w:id="3"/>
      </w:r>
      <w:r w:rsidRPr="0074228F">
        <w:rPr>
          <w:rFonts w:ascii="Tahoma" w:hAnsi="Tahoma" w:cs="Tahoma"/>
          <w:lang w:val="fr-CH"/>
        </w:rPr>
        <w:t>), ainsi qu’en respect du Mandat additionnel faisant partie intégrante du Règlement financier et règlement d’exécution du règlement financier de l’UPOV.</w:t>
      </w:r>
    </w:p>
    <w:p w:rsidR="00C31FC6" w:rsidRPr="0074228F"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cs="Tahoma"/>
        </w:rPr>
      </w:pPr>
      <w:r w:rsidRPr="0074228F">
        <w:rPr>
          <w:rFonts w:ascii="Tahoma" w:hAnsi="Tahoma" w:cs="Tahoma"/>
        </w:rPr>
        <w:lastRenderedPageBreak/>
        <w:t>Lorsque des vérifications par sondages ont été effectuées, nous avons sélectionné les échantillons en fonction des risques ou de l’importance relative des montants enregistrés dans les rubriques examinées.</w:t>
      </w:r>
    </w:p>
    <w:p w:rsidR="00C31FC6" w:rsidRPr="0074228F"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cs="Tahoma"/>
        </w:rPr>
      </w:pPr>
      <w:r w:rsidRPr="0074228F">
        <w:rPr>
          <w:rFonts w:ascii="Tahoma" w:hAnsi="Tahoma" w:cs="Tahoma"/>
        </w:rPr>
        <w:t>Au cours des travaux d’audit, nous nous sommes régulièrement entretenus avec Mme Janice Cook Robbins, Directrice, Service des finances ainsi qu’avec ses collaborateurs, qui ont fourni tous les renseignements et documents utiles à l'accomplissement de notre mandat.</w:t>
      </w:r>
    </w:p>
    <w:p w:rsidR="00C31FC6" w:rsidRPr="0074228F"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cs="Tahoma"/>
        </w:rPr>
      </w:pPr>
      <w:r w:rsidRPr="0074228F">
        <w:rPr>
          <w:rFonts w:ascii="Tahoma" w:hAnsi="Tahoma" w:cs="Tahoma"/>
          <w:lang w:val="fr-CH"/>
        </w:rPr>
        <w:t>Nous tenons à souligner l’excellente collaboration et l’esprit d’ouverture qui a prévalu durant l’exécution de cet audit. Nous exprimons également nos remerciements pour l'obligeance avec laquelle les renseignements et les documents ont été donnés par tous les fonctionnaires de l’UPOV qui ont été sollicités.</w:t>
      </w:r>
    </w:p>
    <w:p w:rsidR="00C31FC6" w:rsidRPr="0074228F"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4228F">
        <w:rPr>
          <w:rFonts w:ascii="Tahoma" w:hAnsi="Tahoma" w:cs="Tahoma"/>
          <w:lang w:val="fr-FR"/>
        </w:rPr>
        <w:t xml:space="preserve">Les résultats de l’audit ont été portés à la connaissance de </w:t>
      </w:r>
      <w:r w:rsidRPr="0074228F">
        <w:rPr>
          <w:rFonts w:ascii="Tahoma" w:hAnsi="Tahoma" w:cs="Tahoma"/>
          <w:lang w:val="fr-CH"/>
        </w:rPr>
        <w:t>M. Peter Button, Secrétaire général adjoint</w:t>
      </w:r>
      <w:r w:rsidRPr="0074228F">
        <w:rPr>
          <w:rFonts w:ascii="Tahoma" w:hAnsi="Tahoma" w:cs="Tahoma"/>
          <w:lang w:val="fr-FR"/>
        </w:rPr>
        <w:t xml:space="preserve"> de l’UPOV lors de la discussion finale du 7 juillet 2014.</w:t>
      </w:r>
    </w:p>
    <w:p w:rsidR="00C31FC6" w:rsidRPr="00C80029"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4228F">
        <w:rPr>
          <w:rFonts w:ascii="Tahoma" w:hAnsi="Tahoma" w:cs="Tahoma"/>
          <w:lang w:val="fr-CH"/>
        </w:rPr>
        <w:t xml:space="preserve">Conformément au chiffre 11 du Mandat additionnel pour la vérification extérieure des comptes concernant les commentaires du Secrétaire général à insérer dans le présent rapport, nous avons reçu par courriel en date du </w:t>
      </w:r>
      <w:r>
        <w:rPr>
          <w:rFonts w:ascii="Tahoma" w:hAnsi="Tahoma" w:cs="Tahoma"/>
          <w:lang w:val="fr-CH"/>
        </w:rPr>
        <w:t>7 juillet 2014</w:t>
      </w:r>
      <w:r w:rsidRPr="0074228F">
        <w:rPr>
          <w:rFonts w:ascii="Tahoma" w:hAnsi="Tahoma" w:cs="Tahoma"/>
          <w:lang w:val="fr-CH"/>
        </w:rPr>
        <w:t xml:space="preserve"> la confirmation de ses collaborateurs qu’il n’y avait aucun commentaire additionnel.</w:t>
      </w:r>
    </w:p>
    <w:p w:rsidR="00C31FC6" w:rsidRPr="0074228F"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166660">
        <w:rPr>
          <w:rFonts w:ascii="Tahoma" w:hAnsi="Tahoma"/>
          <w:lang w:val="fr-CH"/>
        </w:rPr>
        <w:t>La langue originale de rédaction du présent rapport est le français et nous rappelons que c’est la version écrite dans cette langue qui fait foi.</w:t>
      </w:r>
    </w:p>
    <w:p w:rsidR="00C31FC6" w:rsidRPr="00ED717D" w:rsidRDefault="00C31FC6" w:rsidP="001949A2">
      <w:pPr>
        <w:pStyle w:val="OI-TITRE"/>
        <w:spacing w:after="480"/>
        <w:ind w:left="851"/>
        <w:rPr>
          <w:rFonts w:ascii="Tahoma" w:hAnsi="Tahoma" w:cs="Tahoma"/>
        </w:rPr>
      </w:pPr>
      <w:r w:rsidRPr="00ED717D">
        <w:rPr>
          <w:rFonts w:ascii="Tahoma" w:hAnsi="Tahoma" w:cs="Tahoma"/>
        </w:rPr>
        <w:t>suivi des RECOMMANDATIONS</w:t>
      </w:r>
    </w:p>
    <w:p w:rsidR="00C31FC6" w:rsidRPr="00ED717D"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FR"/>
        </w:rPr>
        <w:t xml:space="preserve">Nous rappelons que les </w:t>
      </w:r>
      <w:r w:rsidRPr="00ED717D">
        <w:rPr>
          <w:rFonts w:ascii="Tahoma" w:hAnsi="Tahoma" w:cs="Tahoma"/>
          <w:lang w:val="fr-FR"/>
        </w:rPr>
        <w:t xml:space="preserve">recommandations </w:t>
      </w:r>
      <w:r>
        <w:rPr>
          <w:rFonts w:ascii="Tahoma" w:hAnsi="Tahoma" w:cs="Tahoma"/>
          <w:lang w:val="fr-FR"/>
        </w:rPr>
        <w:t>antérieures à l’exercice 2012 ont toutes été mises en œuvre et qu’aucune nouvelle recommandation n’a été formulée dans notre dernier rapport d’audit du 24 juin 2013.</w:t>
      </w:r>
    </w:p>
    <w:p w:rsidR="00C31FC6" w:rsidRPr="00402295" w:rsidRDefault="00C31FC6" w:rsidP="001949A2">
      <w:pPr>
        <w:pStyle w:val="OI-TITRE"/>
        <w:spacing w:after="480"/>
        <w:ind w:left="851"/>
        <w:rPr>
          <w:rFonts w:ascii="Tahoma" w:hAnsi="Tahoma" w:cs="Tahoma"/>
        </w:rPr>
      </w:pPr>
      <w:r w:rsidRPr="00402295">
        <w:rPr>
          <w:rFonts w:ascii="Tahoma" w:hAnsi="Tahoma" w:cs="Tahoma"/>
        </w:rPr>
        <w:t>Systeme de controle interne (SCI)</w:t>
      </w:r>
    </w:p>
    <w:p w:rsidR="00C31FC6" w:rsidRPr="00E80A7E" w:rsidRDefault="00C31FC6" w:rsidP="009B26EB">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fr-FR"/>
        </w:rPr>
      </w:pPr>
      <w:r w:rsidRPr="00402295">
        <w:rPr>
          <w:rFonts w:ascii="Tahoma" w:hAnsi="Tahoma"/>
          <w:lang w:val="fr-FR"/>
        </w:rPr>
        <w:t>L</w:t>
      </w:r>
      <w:r>
        <w:rPr>
          <w:rFonts w:ascii="Tahoma" w:hAnsi="Tahoma"/>
          <w:lang w:val="fr-FR"/>
        </w:rPr>
        <w:t>a qualité du</w:t>
      </w:r>
      <w:r w:rsidRPr="00402295">
        <w:rPr>
          <w:rFonts w:ascii="Tahoma" w:hAnsi="Tahoma"/>
          <w:lang w:val="fr-FR"/>
        </w:rPr>
        <w:t xml:space="preserve"> système de contrôle interne de l’UPOV </w:t>
      </w:r>
      <w:r>
        <w:rPr>
          <w:rFonts w:ascii="Tahoma" w:hAnsi="Tahoma"/>
          <w:lang w:val="fr-FR"/>
        </w:rPr>
        <w:t>dépend de celle en vigueur</w:t>
      </w:r>
      <w:r w:rsidRPr="00E80A7E">
        <w:rPr>
          <w:rFonts w:ascii="Tahoma" w:hAnsi="Tahoma"/>
          <w:lang w:val="fr-FR"/>
        </w:rPr>
        <w:t xml:space="preserve"> dans les services administratifs de l’OMPI</w:t>
      </w:r>
    </w:p>
    <w:p w:rsidR="00C31FC6"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E80A7E">
        <w:rPr>
          <w:rFonts w:ascii="Tahoma" w:hAnsi="Tahoma" w:cs="Tahoma"/>
          <w:lang w:val="fr-FR"/>
        </w:rPr>
        <w:t xml:space="preserve">L’UPOV est liée à l’OMPI par un accord concernant la gestion financière de ses activités. </w:t>
      </w:r>
      <w:r>
        <w:rPr>
          <w:rFonts w:ascii="Tahoma" w:hAnsi="Tahoma" w:cs="Tahoma"/>
          <w:lang w:val="fr-FR"/>
        </w:rPr>
        <w:t>Par conséquent, l</w:t>
      </w:r>
      <w:r w:rsidRPr="00E80A7E">
        <w:rPr>
          <w:rFonts w:ascii="Tahoma" w:hAnsi="Tahoma" w:cs="Tahoma"/>
          <w:lang w:val="fr-FR"/>
        </w:rPr>
        <w:t xml:space="preserve">’existence </w:t>
      </w:r>
      <w:r>
        <w:rPr>
          <w:rFonts w:ascii="Tahoma" w:hAnsi="Tahoma" w:cs="Tahoma"/>
          <w:lang w:val="fr-FR"/>
        </w:rPr>
        <w:t xml:space="preserve">et la qualité </w:t>
      </w:r>
      <w:r w:rsidRPr="00E80A7E">
        <w:rPr>
          <w:rFonts w:ascii="Tahoma" w:hAnsi="Tahoma" w:cs="Tahoma"/>
          <w:lang w:val="fr-FR"/>
        </w:rPr>
        <w:t>d’un système de contrôle interne (SCI) au sein de l’</w:t>
      </w:r>
      <w:r>
        <w:rPr>
          <w:rFonts w:ascii="Tahoma" w:hAnsi="Tahoma" w:cs="Tahoma"/>
          <w:lang w:val="fr-FR"/>
        </w:rPr>
        <w:t>UPOV dépendent de ce que l’on peut constater au sein des services administratifs de l’OMPI.</w:t>
      </w:r>
      <w:r w:rsidRPr="00E80A7E">
        <w:rPr>
          <w:rFonts w:ascii="Tahoma" w:hAnsi="Tahoma" w:cs="Tahoma"/>
          <w:lang w:val="fr-FR"/>
        </w:rPr>
        <w:t xml:space="preserve"> Notre collaborateur s’est </w:t>
      </w:r>
      <w:r>
        <w:rPr>
          <w:rFonts w:ascii="Tahoma" w:hAnsi="Tahoma" w:cs="Tahoma"/>
          <w:lang w:val="fr-FR"/>
        </w:rPr>
        <w:t xml:space="preserve">donc </w:t>
      </w:r>
      <w:r w:rsidRPr="00E80A7E">
        <w:rPr>
          <w:rFonts w:ascii="Tahoma" w:hAnsi="Tahoma" w:cs="Tahoma"/>
          <w:lang w:val="fr-FR"/>
        </w:rPr>
        <w:t xml:space="preserve">informé sur le degré d’avancement du projet relatif à la mise en place du SCI à l’OMPI. </w:t>
      </w:r>
      <w:r>
        <w:rPr>
          <w:rFonts w:ascii="Tahoma" w:hAnsi="Tahoma" w:cs="Tahoma"/>
          <w:lang w:val="fr-FR"/>
        </w:rPr>
        <w:t>Il a constaté que l</w:t>
      </w:r>
      <w:r w:rsidRPr="00E80A7E">
        <w:rPr>
          <w:rFonts w:ascii="Tahoma" w:hAnsi="Tahoma" w:cs="Tahoma"/>
          <w:lang w:val="fr-FR"/>
        </w:rPr>
        <w:t xml:space="preserve">es diagrammes de flux et les descriptions des processus existent désormais dans les domaines des recettes et des dépenses en général. </w:t>
      </w:r>
      <w:r>
        <w:rPr>
          <w:rFonts w:ascii="Tahoma" w:hAnsi="Tahoma" w:cs="Tahoma"/>
          <w:lang w:val="fr-FR"/>
        </w:rPr>
        <w:t>Par contre, il a noté que dans</w:t>
      </w:r>
      <w:r w:rsidRPr="00E80A7E">
        <w:rPr>
          <w:rFonts w:ascii="Tahoma" w:hAnsi="Tahoma" w:cs="Tahoma"/>
          <w:lang w:val="fr-FR"/>
        </w:rPr>
        <w:t xml:space="preserve"> le </w:t>
      </w:r>
      <w:r>
        <w:rPr>
          <w:rFonts w:ascii="Tahoma" w:hAnsi="Tahoma" w:cs="Tahoma"/>
          <w:lang w:val="fr-FR"/>
        </w:rPr>
        <w:t>secteur financier relatif aux</w:t>
      </w:r>
      <w:r w:rsidRPr="00E80A7E">
        <w:rPr>
          <w:rFonts w:ascii="Tahoma" w:hAnsi="Tahoma" w:cs="Tahoma"/>
          <w:lang w:val="fr-FR"/>
        </w:rPr>
        <w:t xml:space="preserve"> salaires, certains travaux de mise en place du SCI ont été stoppés. Cette situation s’explique par l’implémentation du nouveau logiciel comptable « AIMS HR » qui est encore en cours. Néanmoins, à ce stade, no</w:t>
      </w:r>
      <w:r>
        <w:rPr>
          <w:rFonts w:ascii="Tahoma" w:hAnsi="Tahoma" w:cs="Tahoma"/>
          <w:lang w:val="fr-FR"/>
        </w:rPr>
        <w:t xml:space="preserve">us pouvons </w:t>
      </w:r>
      <w:r w:rsidRPr="00E80A7E">
        <w:rPr>
          <w:rFonts w:ascii="Tahoma" w:hAnsi="Tahoma" w:cs="Tahoma"/>
          <w:lang w:val="fr-FR"/>
        </w:rPr>
        <w:t>confirme</w:t>
      </w:r>
      <w:r>
        <w:rPr>
          <w:rFonts w:ascii="Tahoma" w:hAnsi="Tahoma" w:cs="Tahoma"/>
          <w:lang w:val="fr-FR"/>
        </w:rPr>
        <w:t>r</w:t>
      </w:r>
      <w:r w:rsidRPr="00E80A7E">
        <w:rPr>
          <w:rFonts w:ascii="Tahoma" w:hAnsi="Tahoma" w:cs="Tahoma"/>
          <w:lang w:val="fr-FR"/>
        </w:rPr>
        <w:t xml:space="preserve"> l’existence d’un SCI </w:t>
      </w:r>
      <w:r>
        <w:rPr>
          <w:rFonts w:ascii="Tahoma" w:hAnsi="Tahoma" w:cs="Tahoma"/>
          <w:lang w:val="fr-FR"/>
        </w:rPr>
        <w:t>à l’OMPI</w:t>
      </w:r>
      <w:r w:rsidRPr="00E80A7E">
        <w:rPr>
          <w:rFonts w:ascii="Tahoma" w:hAnsi="Tahoma" w:cs="Tahoma"/>
          <w:lang w:val="fr-FR"/>
        </w:rPr>
        <w:t xml:space="preserve"> qui permet </w:t>
      </w:r>
      <w:r>
        <w:rPr>
          <w:rFonts w:ascii="Tahoma" w:hAnsi="Tahoma" w:cs="Tahoma"/>
          <w:lang w:val="fr-FR"/>
        </w:rPr>
        <w:t xml:space="preserve">à l’UPOV d’établir ses </w:t>
      </w:r>
      <w:r w:rsidRPr="00E80A7E">
        <w:rPr>
          <w:rFonts w:ascii="Tahoma" w:hAnsi="Tahoma" w:cs="Tahoma"/>
          <w:lang w:val="fr-CH" w:eastAsia="de-CH"/>
        </w:rPr>
        <w:t xml:space="preserve">états financiers </w:t>
      </w:r>
      <w:r>
        <w:rPr>
          <w:rFonts w:ascii="Tahoma" w:hAnsi="Tahoma" w:cs="Tahoma"/>
          <w:lang w:val="fr-CH" w:eastAsia="de-CH"/>
        </w:rPr>
        <w:t>sans</w:t>
      </w:r>
      <w:r w:rsidRPr="00E80A7E">
        <w:rPr>
          <w:rFonts w:ascii="Tahoma" w:hAnsi="Tahoma" w:cs="Tahoma"/>
          <w:lang w:val="fr-CH" w:eastAsia="de-CH"/>
        </w:rPr>
        <w:t xml:space="preserve"> anomalie significative</w:t>
      </w:r>
      <w:r w:rsidRPr="00E80A7E">
        <w:rPr>
          <w:rFonts w:ascii="Tahoma" w:hAnsi="Tahoma" w:cs="Tahoma"/>
          <w:lang w:val="fr-FR"/>
        </w:rPr>
        <w:t>.</w:t>
      </w:r>
    </w:p>
    <w:p w:rsidR="00C31FC6" w:rsidRPr="00E80A7E"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FR"/>
        </w:rPr>
        <w:t>Le principe de la signature collective à deux dans les relations bancaires et en matière de décaissements est appliqué. Les droits de signatures sont actualisés pour tous les comptes bancaires et autres autorisations de paiements.</w:t>
      </w:r>
    </w:p>
    <w:p w:rsidR="00C31FC6" w:rsidRPr="00D176AD" w:rsidRDefault="00C31FC6" w:rsidP="001949A2">
      <w:pPr>
        <w:pStyle w:val="OI-TITRE"/>
        <w:keepNext/>
        <w:spacing w:after="480"/>
        <w:ind w:left="851"/>
        <w:rPr>
          <w:rFonts w:ascii="Tahoma" w:hAnsi="Tahoma"/>
        </w:rPr>
      </w:pPr>
      <w:r w:rsidRPr="00D176AD">
        <w:rPr>
          <w:rFonts w:ascii="Tahoma" w:hAnsi="Tahoma"/>
        </w:rPr>
        <w:lastRenderedPageBreak/>
        <w:t>Etablissement des etats financiers selon les normes ipsas</w:t>
      </w:r>
    </w:p>
    <w:p w:rsidR="00C31FC6" w:rsidRPr="00E737EB" w:rsidRDefault="00C31FC6" w:rsidP="001A20A5">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fr-FR"/>
        </w:rPr>
      </w:pPr>
      <w:r w:rsidRPr="00E737EB">
        <w:rPr>
          <w:rFonts w:ascii="Tahoma" w:hAnsi="Tahoma"/>
          <w:lang w:val="fr-FR"/>
        </w:rPr>
        <w:t xml:space="preserve">La présentation </w:t>
      </w:r>
      <w:r>
        <w:rPr>
          <w:rFonts w:ascii="Tahoma" w:hAnsi="Tahoma"/>
          <w:lang w:val="fr-FR"/>
        </w:rPr>
        <w:t xml:space="preserve">des </w:t>
      </w:r>
      <w:r w:rsidRPr="00E737EB">
        <w:rPr>
          <w:rFonts w:ascii="Tahoma" w:hAnsi="Tahoma"/>
          <w:lang w:val="fr-FR"/>
        </w:rPr>
        <w:t>états financiers 2013 tient compte des nouvelles normes IPSAS applicables depuis le 1</w:t>
      </w:r>
      <w:r w:rsidRPr="00E737EB">
        <w:rPr>
          <w:rFonts w:ascii="Tahoma" w:hAnsi="Tahoma"/>
          <w:vertAlign w:val="superscript"/>
          <w:lang w:val="fr-FR"/>
        </w:rPr>
        <w:t>er</w:t>
      </w:r>
      <w:r w:rsidRPr="00E737EB">
        <w:rPr>
          <w:rFonts w:ascii="Tahoma" w:hAnsi="Tahoma"/>
          <w:lang w:val="fr-FR"/>
        </w:rPr>
        <w:t xml:space="preserve"> janvier 2013</w:t>
      </w:r>
    </w:p>
    <w:p w:rsidR="00C31FC6" w:rsidRPr="00BB0913"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BB0913">
        <w:rPr>
          <w:rFonts w:ascii="Tahoma" w:hAnsi="Tahoma" w:cs="Tahoma"/>
          <w:lang w:val="fr-FR"/>
        </w:rPr>
        <w:t>L’UPOV a clôturé ses états financiers au 31 décembre 2013 pour la deuxième fois selon les normes IPSAS. Par ailleurs, la présentation des comptes a été faite en tenant compte des nouvelles normes IPSAS 28 à 30</w:t>
      </w:r>
      <w:r w:rsidRPr="00BB0913">
        <w:rPr>
          <w:rFonts w:ascii="Tahoma" w:hAnsi="Tahoma" w:cs="Tahoma"/>
          <w:vertAlign w:val="superscript"/>
          <w:lang w:val="fr-FR"/>
        </w:rPr>
        <w:footnoteReference w:id="4"/>
      </w:r>
      <w:r w:rsidRPr="00BB0913">
        <w:rPr>
          <w:rFonts w:ascii="Tahoma" w:hAnsi="Tahoma" w:cs="Tahoma"/>
          <w:lang w:val="fr-FR"/>
        </w:rPr>
        <w:t xml:space="preserve"> applicables depuis le 1er janvier de l’année sous revue. Leur mise en place a été facilitée par le savoir-faire et l’expérience des collaborateurs du Service des finances de l’OMPI qui sont en charge de l’établissement des états financiers de l’UPOV. </w:t>
      </w:r>
      <w:r>
        <w:rPr>
          <w:rFonts w:ascii="Tahoma" w:hAnsi="Tahoma" w:cs="Tahoma"/>
          <w:lang w:val="fr-FR"/>
        </w:rPr>
        <w:t>Par ailleurs, nous relevons qu’une mise à jour du</w:t>
      </w:r>
      <w:r w:rsidRPr="00BB0913">
        <w:rPr>
          <w:rFonts w:ascii="Tahoma" w:hAnsi="Tahoma" w:cs="Tahoma"/>
          <w:lang w:val="fr-FR"/>
        </w:rPr>
        <w:t xml:space="preserve"> document « POLICY GUIDANCE MANUAL FOR INTERNATIONAL PUBLIC SECTOR ACCOUNTING STANDARDS » de l’OMPI (version 14 de 2012) </w:t>
      </w:r>
      <w:r>
        <w:rPr>
          <w:rFonts w:ascii="Tahoma" w:hAnsi="Tahoma" w:cs="Tahoma"/>
          <w:lang w:val="fr-FR"/>
        </w:rPr>
        <w:t xml:space="preserve">et </w:t>
      </w:r>
      <w:r w:rsidRPr="00BB0913">
        <w:rPr>
          <w:rFonts w:ascii="Tahoma" w:hAnsi="Tahoma" w:cs="Tahoma"/>
          <w:lang w:val="fr-FR"/>
        </w:rPr>
        <w:t xml:space="preserve">qui s’applique aux besoins de l’UPOV est </w:t>
      </w:r>
      <w:r>
        <w:rPr>
          <w:rFonts w:ascii="Tahoma" w:hAnsi="Tahoma" w:cs="Tahoma"/>
          <w:lang w:val="fr-FR"/>
        </w:rPr>
        <w:t xml:space="preserve">actuellement </w:t>
      </w:r>
      <w:r w:rsidRPr="00BB0913">
        <w:rPr>
          <w:rFonts w:ascii="Tahoma" w:hAnsi="Tahoma" w:cs="Tahoma"/>
          <w:lang w:val="fr-FR"/>
        </w:rPr>
        <w:t>en cours</w:t>
      </w:r>
      <w:r>
        <w:rPr>
          <w:rFonts w:ascii="Tahoma" w:hAnsi="Tahoma" w:cs="Tahoma"/>
          <w:lang w:val="fr-FR"/>
        </w:rPr>
        <w:t xml:space="preserve"> au Service des finances.</w:t>
      </w:r>
    </w:p>
    <w:p w:rsidR="00C31FC6" w:rsidRPr="00E669ED" w:rsidRDefault="00C31FC6" w:rsidP="001949A2">
      <w:pPr>
        <w:pStyle w:val="OI-TITRE"/>
        <w:spacing w:after="480"/>
        <w:ind w:left="851"/>
        <w:rPr>
          <w:rFonts w:ascii="Tahoma" w:hAnsi="Tahoma" w:cs="Tahoma"/>
        </w:rPr>
      </w:pPr>
      <w:r w:rsidRPr="00E669ED">
        <w:rPr>
          <w:rFonts w:ascii="Tahoma" w:hAnsi="Tahoma" w:cs="Tahoma"/>
        </w:rPr>
        <w:t>AUDIT DE l’execution budgetaire 2013</w:t>
      </w:r>
    </w:p>
    <w:p w:rsidR="00C31FC6" w:rsidRPr="00E669ED" w:rsidRDefault="00C31FC6" w:rsidP="009B26EB">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fr-FR"/>
        </w:rPr>
      </w:pPr>
      <w:r w:rsidRPr="00E669ED">
        <w:rPr>
          <w:rFonts w:ascii="Tahoma" w:hAnsi="Tahoma"/>
          <w:lang w:val="fr-CH"/>
        </w:rPr>
        <w:t>L’année 2013 a vu d</w:t>
      </w:r>
      <w:r w:rsidRPr="00E669ED">
        <w:rPr>
          <w:rFonts w:ascii="Tahoma" w:hAnsi="Tahoma"/>
          <w:lang w:val="fr-FR"/>
        </w:rPr>
        <w:t xml:space="preserve">es recettes budgétaires conformes à la planification </w:t>
      </w:r>
      <w:r>
        <w:rPr>
          <w:rFonts w:ascii="Tahoma" w:hAnsi="Tahoma"/>
          <w:lang w:val="fr-FR"/>
        </w:rPr>
        <w:t>prévue</w:t>
      </w:r>
    </w:p>
    <w:p w:rsidR="00C31FC6" w:rsidRPr="005B221C"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5B221C">
        <w:rPr>
          <w:rFonts w:ascii="Tahoma" w:hAnsi="Tahoma" w:cs="Tahoma"/>
          <w:lang w:val="fr-FR"/>
        </w:rPr>
        <w:t>Le budget de l'exercice biennal 2012-2013 adopté par le Conseil lors de la quarante-cinquième session ordinaire du 20 octobre 2011 prévoyait un résultat équilibré pour l’exercice 2013. Le résultat final présente un excédent de recettes de 73'000 francs avant les ajustements et les charges nettes des « Funds in Trust ». La comparaison entre la situation budgétaire 2013 et les états financiers 2013 peut se résumer comme suit :</w:t>
      </w:r>
    </w:p>
    <w:tbl>
      <w:tblPr>
        <w:tblW w:w="6540" w:type="dxa"/>
        <w:jc w:val="center"/>
        <w:tblInd w:w="55" w:type="dxa"/>
        <w:tblCellMar>
          <w:left w:w="70" w:type="dxa"/>
          <w:right w:w="70" w:type="dxa"/>
        </w:tblCellMar>
        <w:tblLook w:val="04A0" w:firstRow="1" w:lastRow="0" w:firstColumn="1" w:lastColumn="0" w:noHBand="0" w:noVBand="1"/>
      </w:tblPr>
      <w:tblGrid>
        <w:gridCol w:w="1200"/>
        <w:gridCol w:w="1440"/>
        <w:gridCol w:w="1440"/>
        <w:gridCol w:w="1304"/>
        <w:gridCol w:w="1156"/>
      </w:tblGrid>
      <w:tr w:rsidR="00C31FC6" w:rsidRPr="00E23AFC" w:rsidTr="00E4617C">
        <w:trPr>
          <w:trHeight w:val="465"/>
          <w:jc w:val="center"/>
        </w:trPr>
        <w:tc>
          <w:tcPr>
            <w:tcW w:w="1200" w:type="dxa"/>
            <w:tcBorders>
              <w:top w:val="nil"/>
              <w:left w:val="nil"/>
              <w:bottom w:val="nil"/>
              <w:right w:val="nil"/>
            </w:tcBorders>
            <w:shd w:val="clear" w:color="auto" w:fill="auto"/>
            <w:noWrap/>
            <w:hideMark/>
          </w:tcPr>
          <w:p w:rsidR="00C31FC6" w:rsidRPr="00E4617C" w:rsidRDefault="00C31FC6" w:rsidP="00E4617C">
            <w:pPr>
              <w:rPr>
                <w:sz w:val="22"/>
                <w:szCs w:val="22"/>
                <w:lang w:val="fr-CH" w:eastAsia="fr-CH"/>
              </w:rPr>
            </w:pPr>
          </w:p>
        </w:tc>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31FC6" w:rsidRPr="00E4617C" w:rsidRDefault="00C31FC6" w:rsidP="00E4617C">
            <w:pPr>
              <w:jc w:val="center"/>
              <w:rPr>
                <w:rFonts w:ascii="Tahoma" w:hAnsi="Tahoma" w:cs="Tahoma"/>
                <w:b/>
                <w:bCs/>
                <w:i/>
                <w:iCs/>
                <w:sz w:val="18"/>
                <w:szCs w:val="18"/>
                <w:lang w:val="fr-CH" w:eastAsia="fr-CH"/>
              </w:rPr>
            </w:pPr>
            <w:r w:rsidRPr="00E4617C">
              <w:rPr>
                <w:rFonts w:ascii="Tahoma" w:hAnsi="Tahoma" w:cs="Tahoma"/>
                <w:b/>
                <w:bCs/>
                <w:i/>
                <w:iCs/>
                <w:sz w:val="18"/>
                <w:szCs w:val="18"/>
                <w:lang w:val="fr-FR" w:eastAsia="fr-CH"/>
              </w:rPr>
              <w:t>Budget (CHF)</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C31FC6" w:rsidRPr="00E4617C" w:rsidRDefault="00C31FC6" w:rsidP="00E4617C">
            <w:pPr>
              <w:jc w:val="center"/>
              <w:rPr>
                <w:rFonts w:ascii="Tahoma" w:hAnsi="Tahoma" w:cs="Tahoma"/>
                <w:b/>
                <w:bCs/>
                <w:i/>
                <w:iCs/>
                <w:sz w:val="18"/>
                <w:szCs w:val="18"/>
                <w:lang w:val="fr-CH" w:eastAsia="fr-CH"/>
              </w:rPr>
            </w:pPr>
            <w:r w:rsidRPr="00E4617C">
              <w:rPr>
                <w:rFonts w:ascii="Tahoma" w:hAnsi="Tahoma" w:cs="Tahoma"/>
                <w:b/>
                <w:bCs/>
                <w:i/>
                <w:iCs/>
                <w:sz w:val="18"/>
                <w:szCs w:val="18"/>
                <w:lang w:val="fr-FR" w:eastAsia="fr-CH"/>
              </w:rPr>
              <w:t>Comptes (CHF)</w:t>
            </w:r>
          </w:p>
        </w:tc>
        <w:tc>
          <w:tcPr>
            <w:tcW w:w="2460" w:type="dxa"/>
            <w:gridSpan w:val="2"/>
            <w:tcBorders>
              <w:top w:val="single" w:sz="8" w:space="0" w:color="auto"/>
              <w:left w:val="nil"/>
              <w:bottom w:val="single" w:sz="8" w:space="0" w:color="auto"/>
              <w:right w:val="single" w:sz="8" w:space="0" w:color="000000"/>
            </w:tcBorders>
            <w:shd w:val="clear" w:color="000000" w:fill="FFFFFF"/>
            <w:vAlign w:val="center"/>
            <w:hideMark/>
          </w:tcPr>
          <w:p w:rsidR="00C31FC6" w:rsidRPr="00E4617C" w:rsidRDefault="00C31FC6" w:rsidP="00E4617C">
            <w:pPr>
              <w:jc w:val="center"/>
              <w:rPr>
                <w:rFonts w:ascii="Tahoma" w:hAnsi="Tahoma" w:cs="Tahoma"/>
                <w:b/>
                <w:bCs/>
                <w:i/>
                <w:iCs/>
                <w:sz w:val="18"/>
                <w:szCs w:val="18"/>
                <w:lang w:val="fr-CH" w:eastAsia="fr-CH"/>
              </w:rPr>
            </w:pPr>
            <w:r w:rsidRPr="00E4617C">
              <w:rPr>
                <w:rFonts w:ascii="Tahoma" w:hAnsi="Tahoma" w:cs="Tahoma"/>
                <w:b/>
                <w:bCs/>
                <w:i/>
                <w:iCs/>
                <w:sz w:val="18"/>
                <w:szCs w:val="18"/>
                <w:lang w:val="fr-FR" w:eastAsia="fr-CH"/>
              </w:rPr>
              <w:t xml:space="preserve">Ecart comptes vs budget </w:t>
            </w:r>
            <w:r w:rsidRPr="00E4617C">
              <w:rPr>
                <w:rFonts w:ascii="Tahoma" w:hAnsi="Tahoma" w:cs="Tahoma"/>
                <w:b/>
                <w:bCs/>
                <w:i/>
                <w:iCs/>
                <w:sz w:val="18"/>
                <w:szCs w:val="18"/>
                <w:lang w:val="fr-FR" w:eastAsia="fr-CH"/>
              </w:rPr>
              <w:br/>
              <w:t>(CHF et %)</w:t>
            </w:r>
          </w:p>
        </w:tc>
      </w:tr>
      <w:tr w:rsidR="00C31FC6" w:rsidRPr="00E4617C" w:rsidTr="00E4617C">
        <w:trPr>
          <w:trHeight w:val="27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1FC6" w:rsidRPr="00E4617C" w:rsidRDefault="00C31FC6" w:rsidP="00E4617C">
            <w:pPr>
              <w:rPr>
                <w:rFonts w:ascii="Tahoma" w:hAnsi="Tahoma" w:cs="Tahoma"/>
                <w:sz w:val="18"/>
                <w:szCs w:val="18"/>
                <w:lang w:val="fr-CH" w:eastAsia="fr-CH"/>
              </w:rPr>
            </w:pPr>
            <w:r w:rsidRPr="00E4617C">
              <w:rPr>
                <w:rFonts w:ascii="Tahoma" w:hAnsi="Tahoma" w:cs="Tahoma"/>
                <w:sz w:val="18"/>
                <w:szCs w:val="18"/>
                <w:lang w:eastAsia="fr-CH"/>
              </w:rPr>
              <w:t xml:space="preserve">Recettes </w:t>
            </w:r>
          </w:p>
        </w:tc>
        <w:tc>
          <w:tcPr>
            <w:tcW w:w="1440"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3'404'000</w:t>
            </w:r>
          </w:p>
        </w:tc>
        <w:tc>
          <w:tcPr>
            <w:tcW w:w="1440"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3'403'000</w:t>
            </w:r>
          </w:p>
        </w:tc>
        <w:tc>
          <w:tcPr>
            <w:tcW w:w="1304"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-1'000.00</w:t>
            </w:r>
          </w:p>
        </w:tc>
        <w:tc>
          <w:tcPr>
            <w:tcW w:w="1156"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-0.18%</w:t>
            </w:r>
          </w:p>
        </w:tc>
      </w:tr>
      <w:tr w:rsidR="00C31FC6" w:rsidRPr="00E4617C" w:rsidTr="00E4617C">
        <w:trPr>
          <w:trHeight w:val="27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31FC6" w:rsidRPr="00E4617C" w:rsidRDefault="00C31FC6" w:rsidP="00E4617C">
            <w:pPr>
              <w:rPr>
                <w:rFonts w:ascii="Tahoma" w:hAnsi="Tahoma" w:cs="Tahoma"/>
                <w:sz w:val="18"/>
                <w:szCs w:val="18"/>
                <w:lang w:val="fr-CH" w:eastAsia="fr-CH"/>
              </w:rPr>
            </w:pPr>
            <w:r w:rsidRPr="00E4617C">
              <w:rPr>
                <w:rFonts w:ascii="Tahoma" w:hAnsi="Tahoma" w:cs="Tahoma"/>
                <w:sz w:val="18"/>
                <w:szCs w:val="18"/>
                <w:lang w:eastAsia="fr-CH"/>
              </w:rPr>
              <w:t>Charges</w:t>
            </w:r>
          </w:p>
        </w:tc>
        <w:tc>
          <w:tcPr>
            <w:tcW w:w="1440"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-3'404'000</w:t>
            </w:r>
          </w:p>
        </w:tc>
        <w:tc>
          <w:tcPr>
            <w:tcW w:w="1440"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-3'330'000</w:t>
            </w:r>
          </w:p>
        </w:tc>
        <w:tc>
          <w:tcPr>
            <w:tcW w:w="1304"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74'000.00</w:t>
            </w:r>
          </w:p>
        </w:tc>
        <w:tc>
          <w:tcPr>
            <w:tcW w:w="1156"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sz w:val="18"/>
                <w:szCs w:val="18"/>
                <w:lang w:val="fr-CH" w:eastAsia="fr-CH"/>
              </w:rPr>
            </w:pPr>
            <w:r w:rsidRPr="00E4617C">
              <w:rPr>
                <w:rFonts w:ascii="Tahoma" w:hAnsi="Tahoma" w:cs="Tahoma"/>
                <w:sz w:val="18"/>
                <w:szCs w:val="18"/>
                <w:lang w:eastAsia="fr-CH"/>
              </w:rPr>
              <w:t>-12.96%</w:t>
            </w:r>
          </w:p>
        </w:tc>
      </w:tr>
      <w:tr w:rsidR="00C31FC6" w:rsidRPr="00E4617C" w:rsidTr="00E4617C">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31FC6" w:rsidRPr="00E4617C" w:rsidRDefault="00C31FC6" w:rsidP="00E4617C">
            <w:pPr>
              <w:rPr>
                <w:rFonts w:ascii="Tahoma" w:hAnsi="Tahoma" w:cs="Tahoma"/>
                <w:b/>
                <w:bCs/>
                <w:sz w:val="18"/>
                <w:szCs w:val="18"/>
                <w:lang w:val="fr-CH" w:eastAsia="fr-CH"/>
              </w:rPr>
            </w:pPr>
            <w:r w:rsidRPr="00E4617C">
              <w:rPr>
                <w:rFonts w:ascii="Tahoma" w:hAnsi="Tahoma" w:cs="Tahoma"/>
                <w:b/>
                <w:bCs/>
                <w:sz w:val="18"/>
                <w:szCs w:val="18"/>
                <w:lang w:eastAsia="fr-CH"/>
              </w:rPr>
              <w:t>Résultat</w:t>
            </w:r>
          </w:p>
        </w:tc>
        <w:tc>
          <w:tcPr>
            <w:tcW w:w="1440"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b/>
                <w:bCs/>
                <w:sz w:val="18"/>
                <w:szCs w:val="18"/>
                <w:lang w:val="fr-CH" w:eastAsia="fr-CH"/>
              </w:rPr>
            </w:pPr>
            <w:r w:rsidRPr="00E4617C">
              <w:rPr>
                <w:rFonts w:ascii="Tahoma" w:hAnsi="Tahoma" w:cs="Tahoma"/>
                <w:b/>
                <w:bCs/>
                <w:sz w:val="18"/>
                <w:szCs w:val="18"/>
                <w:lang w:eastAsia="fr-CH"/>
              </w:rPr>
              <w:t>0</w:t>
            </w:r>
          </w:p>
        </w:tc>
        <w:tc>
          <w:tcPr>
            <w:tcW w:w="1440"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b/>
                <w:bCs/>
                <w:sz w:val="18"/>
                <w:szCs w:val="18"/>
                <w:lang w:val="fr-CH" w:eastAsia="fr-CH"/>
              </w:rPr>
            </w:pPr>
            <w:r w:rsidRPr="00E4617C">
              <w:rPr>
                <w:rFonts w:ascii="Tahoma" w:hAnsi="Tahoma" w:cs="Tahoma"/>
                <w:b/>
                <w:bCs/>
                <w:sz w:val="18"/>
                <w:szCs w:val="18"/>
                <w:lang w:eastAsia="fr-CH"/>
              </w:rPr>
              <w:t>73'000</w:t>
            </w:r>
          </w:p>
        </w:tc>
        <w:tc>
          <w:tcPr>
            <w:tcW w:w="1304" w:type="dxa"/>
            <w:tcBorders>
              <w:top w:val="nil"/>
              <w:left w:val="nil"/>
              <w:bottom w:val="single" w:sz="8" w:space="0" w:color="auto"/>
              <w:right w:val="single" w:sz="8" w:space="0" w:color="auto"/>
            </w:tcBorders>
            <w:shd w:val="clear" w:color="auto" w:fill="auto"/>
            <w:noWrap/>
            <w:vAlign w:val="center"/>
            <w:hideMark/>
          </w:tcPr>
          <w:p w:rsidR="00C31FC6" w:rsidRPr="00E4617C" w:rsidRDefault="00C31FC6" w:rsidP="00E4617C">
            <w:pPr>
              <w:jc w:val="right"/>
              <w:rPr>
                <w:rFonts w:ascii="Tahoma" w:hAnsi="Tahoma" w:cs="Tahoma"/>
                <w:b/>
                <w:bCs/>
                <w:sz w:val="18"/>
                <w:szCs w:val="18"/>
                <w:lang w:val="fr-CH" w:eastAsia="fr-CH"/>
              </w:rPr>
            </w:pPr>
            <w:r w:rsidRPr="00E4617C">
              <w:rPr>
                <w:rFonts w:ascii="Tahoma" w:hAnsi="Tahoma" w:cs="Tahoma"/>
                <w:b/>
                <w:bCs/>
                <w:sz w:val="18"/>
                <w:szCs w:val="18"/>
                <w:lang w:eastAsia="fr-CH"/>
              </w:rPr>
              <w:t>73'000</w:t>
            </w:r>
          </w:p>
        </w:tc>
        <w:tc>
          <w:tcPr>
            <w:tcW w:w="1156" w:type="dxa"/>
            <w:tcBorders>
              <w:top w:val="nil"/>
              <w:left w:val="nil"/>
              <w:bottom w:val="nil"/>
              <w:right w:val="nil"/>
            </w:tcBorders>
            <w:shd w:val="clear" w:color="auto" w:fill="auto"/>
            <w:noWrap/>
            <w:hideMark/>
          </w:tcPr>
          <w:p w:rsidR="00C31FC6" w:rsidRPr="00E4617C" w:rsidRDefault="00C31FC6" w:rsidP="00E4617C">
            <w:pPr>
              <w:rPr>
                <w:sz w:val="22"/>
                <w:szCs w:val="22"/>
                <w:lang w:val="fr-CH" w:eastAsia="fr-CH"/>
              </w:rPr>
            </w:pPr>
          </w:p>
        </w:tc>
      </w:tr>
    </w:tbl>
    <w:p w:rsidR="00C31FC6" w:rsidRPr="00823792" w:rsidRDefault="00C31FC6" w:rsidP="004F43CD">
      <w:pPr>
        <w:tabs>
          <w:tab w:val="left" w:pos="737"/>
          <w:tab w:val="left" w:pos="993"/>
          <w:tab w:val="left" w:pos="1985"/>
          <w:tab w:val="right" w:pos="9356"/>
        </w:tabs>
        <w:overflowPunct w:val="0"/>
        <w:autoSpaceDE w:val="0"/>
        <w:autoSpaceDN w:val="0"/>
        <w:adjustRightInd w:val="0"/>
        <w:spacing w:after="120"/>
        <w:ind w:right="284"/>
        <w:textAlignment w:val="baseline"/>
        <w:rPr>
          <w:rFonts w:ascii="Tahoma" w:hAnsi="Tahoma" w:cs="Tahoma"/>
          <w:lang w:val="fr-FR"/>
        </w:rPr>
      </w:pPr>
    </w:p>
    <w:p w:rsidR="00C31FC6" w:rsidRPr="00823792"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823792">
        <w:rPr>
          <w:rFonts w:ascii="Tahoma" w:hAnsi="Tahoma" w:cs="Tahoma"/>
          <w:lang w:val="fr-FR"/>
        </w:rPr>
        <w:t xml:space="preserve">Pour l'exécution budgétaire, nous renvoyons aux commentaires du Secrétaire général </w:t>
      </w:r>
      <w:r>
        <w:rPr>
          <w:rFonts w:ascii="Tahoma" w:hAnsi="Tahoma" w:cs="Tahoma"/>
          <w:lang w:val="fr-FR"/>
        </w:rPr>
        <w:t>mentionnés</w:t>
      </w:r>
      <w:r w:rsidRPr="00823792">
        <w:rPr>
          <w:rFonts w:ascii="Tahoma" w:hAnsi="Tahoma" w:cs="Tahoma"/>
          <w:lang w:val="fr-FR"/>
        </w:rPr>
        <w:t xml:space="preserve"> dans le Rapport de gestion financière. L’état financier V « Etat comparatif entre le budget 2013 et les comptes clôturés au 31 décembre 2013 » affiche les principales variations entre le budget et les chiffres réels de l’année sous revue. En complément à ce tableau, l’état financier V « Etat comparatif entre le budget </w:t>
      </w:r>
      <w:r>
        <w:rPr>
          <w:rFonts w:ascii="Tahoma" w:hAnsi="Tahoma" w:cs="Tahoma"/>
          <w:lang w:val="fr-FR"/>
        </w:rPr>
        <w:t xml:space="preserve">et les comptes </w:t>
      </w:r>
      <w:r w:rsidRPr="00823792">
        <w:rPr>
          <w:rFonts w:ascii="Tahoma" w:hAnsi="Tahoma" w:cs="Tahoma"/>
          <w:lang w:val="fr-FR"/>
        </w:rPr>
        <w:t>de l’exercice biennal 2012-2013</w:t>
      </w:r>
      <w:r>
        <w:rPr>
          <w:rFonts w:ascii="Tahoma" w:hAnsi="Tahoma" w:cs="Tahoma"/>
          <w:lang w:val="fr-FR"/>
        </w:rPr>
        <w:t xml:space="preserve"> </w:t>
      </w:r>
      <w:r w:rsidRPr="00823792">
        <w:rPr>
          <w:rFonts w:ascii="Tahoma" w:hAnsi="Tahoma" w:cs="Tahoma"/>
          <w:lang w:val="fr-FR"/>
        </w:rPr>
        <w:t xml:space="preserve">» présente les valeurs de l’exercice biennal 2012-2013. Les résultats cumulés des deux années figurant sur l’état financier II correspondent à l’état financier V de l’exercice biennal, soit un résultat net </w:t>
      </w:r>
      <w:r>
        <w:rPr>
          <w:rFonts w:ascii="Tahoma" w:hAnsi="Tahoma" w:cs="Tahoma"/>
          <w:lang w:val="fr-FR"/>
        </w:rPr>
        <w:t>ajusté de 504'000 francs.</w:t>
      </w:r>
    </w:p>
    <w:p w:rsidR="00C31FC6" w:rsidRDefault="00C31FC6">
      <w:pPr>
        <w:rPr>
          <w:rFonts w:ascii="Tahoma" w:hAnsi="Tahoma" w:cs="Tahoma"/>
          <w:b/>
          <w:caps/>
          <w:kern w:val="28"/>
          <w:lang w:val="fr-CH"/>
        </w:rPr>
      </w:pPr>
      <w:r w:rsidRPr="00EF3D14">
        <w:rPr>
          <w:rFonts w:ascii="Tahoma" w:hAnsi="Tahoma" w:cs="Tahoma"/>
          <w:lang w:val="fr-CH"/>
        </w:rPr>
        <w:br w:type="page"/>
      </w:r>
    </w:p>
    <w:p w:rsidR="00C31FC6" w:rsidRPr="00823792" w:rsidRDefault="00C31FC6" w:rsidP="001949A2">
      <w:pPr>
        <w:pStyle w:val="OI-TITRE"/>
        <w:spacing w:after="480"/>
        <w:ind w:left="851"/>
        <w:rPr>
          <w:rFonts w:ascii="Tahoma" w:hAnsi="Tahoma" w:cs="Tahoma"/>
        </w:rPr>
      </w:pPr>
      <w:r w:rsidRPr="00823792">
        <w:rPr>
          <w:rFonts w:ascii="Tahoma" w:hAnsi="Tahoma" w:cs="Tahoma"/>
        </w:rPr>
        <w:lastRenderedPageBreak/>
        <w:t xml:space="preserve">AUDIT DES ETATS FINANCIERS </w:t>
      </w:r>
      <w:r>
        <w:rPr>
          <w:rFonts w:ascii="Tahoma" w:hAnsi="Tahoma" w:cs="Tahoma"/>
        </w:rPr>
        <w:t>2013</w:t>
      </w:r>
    </w:p>
    <w:p w:rsidR="00C31FC6" w:rsidRPr="001573F9" w:rsidRDefault="00C31FC6" w:rsidP="009B26EB">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fr-FR"/>
        </w:rPr>
      </w:pPr>
      <w:r>
        <w:rPr>
          <w:rFonts w:ascii="Tahoma" w:hAnsi="Tahoma" w:cs="Tahoma"/>
          <w:lang w:val="fr-FR"/>
        </w:rPr>
        <w:t>L</w:t>
      </w:r>
      <w:r w:rsidRPr="001573F9">
        <w:rPr>
          <w:rFonts w:ascii="Tahoma" w:hAnsi="Tahoma" w:cs="Tahoma"/>
          <w:lang w:val="fr-FR"/>
        </w:rPr>
        <w:t xml:space="preserve">es </w:t>
      </w:r>
      <w:r w:rsidRPr="001573F9">
        <w:rPr>
          <w:rFonts w:ascii="Tahoma" w:hAnsi="Tahoma"/>
          <w:lang w:val="fr-FR"/>
        </w:rPr>
        <w:t xml:space="preserve">états financiers 2013 </w:t>
      </w:r>
      <w:r>
        <w:rPr>
          <w:rFonts w:ascii="Tahoma" w:hAnsi="Tahoma"/>
          <w:lang w:val="fr-FR"/>
        </w:rPr>
        <w:t>confirment une</w:t>
      </w:r>
      <w:r w:rsidRPr="001573F9">
        <w:rPr>
          <w:rFonts w:ascii="Tahoma" w:hAnsi="Tahoma"/>
          <w:lang w:val="fr-FR"/>
        </w:rPr>
        <w:t xml:space="preserve"> situation financière </w:t>
      </w:r>
      <w:r>
        <w:rPr>
          <w:rFonts w:ascii="Tahoma" w:hAnsi="Tahoma"/>
          <w:lang w:val="fr-FR"/>
        </w:rPr>
        <w:t>saine</w:t>
      </w:r>
    </w:p>
    <w:p w:rsidR="00C31FC6"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5C17AC">
        <w:rPr>
          <w:rFonts w:ascii="Tahoma" w:hAnsi="Tahoma" w:cs="Tahoma"/>
          <w:lang w:val="fr-FR"/>
        </w:rPr>
        <w:t xml:space="preserve">Le tableau </w:t>
      </w:r>
      <w:r>
        <w:rPr>
          <w:rFonts w:ascii="Tahoma" w:hAnsi="Tahoma" w:cs="Tahoma"/>
          <w:lang w:val="fr-FR"/>
        </w:rPr>
        <w:t>ci-dessous offre une comparaison des principales</w:t>
      </w:r>
      <w:r w:rsidRPr="005C17AC">
        <w:rPr>
          <w:rFonts w:ascii="Tahoma" w:hAnsi="Tahoma" w:cs="Tahoma"/>
          <w:lang w:val="fr-FR"/>
        </w:rPr>
        <w:t xml:space="preserve"> valeurs des bilans des années 201</w:t>
      </w:r>
      <w:r>
        <w:rPr>
          <w:rFonts w:ascii="Tahoma" w:hAnsi="Tahoma" w:cs="Tahoma"/>
          <w:lang w:val="fr-FR"/>
        </w:rPr>
        <w:t>3</w:t>
      </w:r>
      <w:r w:rsidRPr="005C17AC">
        <w:rPr>
          <w:rFonts w:ascii="Tahoma" w:hAnsi="Tahoma" w:cs="Tahoma"/>
          <w:lang w:val="fr-FR"/>
        </w:rPr>
        <w:t xml:space="preserve"> et 201</w:t>
      </w:r>
      <w:r>
        <w:rPr>
          <w:rFonts w:ascii="Tahoma" w:hAnsi="Tahoma" w:cs="Tahoma"/>
          <w:lang w:val="fr-FR"/>
        </w:rPr>
        <w:t>2 sans autres remarques particulières de notre part et nous renvoyons aux positions significatives</w:t>
      </w:r>
      <w:r w:rsidRPr="005C17AC">
        <w:rPr>
          <w:rFonts w:ascii="Tahoma" w:hAnsi="Tahoma" w:cs="Tahoma"/>
          <w:lang w:val="fr-FR"/>
        </w:rPr>
        <w:t xml:space="preserve"> des comptes 201</w:t>
      </w:r>
      <w:r>
        <w:rPr>
          <w:rFonts w:ascii="Tahoma" w:hAnsi="Tahoma" w:cs="Tahoma"/>
          <w:lang w:val="fr-FR"/>
        </w:rPr>
        <w:t xml:space="preserve">3 pour lesquelles nous avons faits </w:t>
      </w:r>
      <w:r w:rsidRPr="005C17AC">
        <w:rPr>
          <w:rFonts w:ascii="Tahoma" w:hAnsi="Tahoma" w:cs="Tahoma"/>
          <w:lang w:val="fr-FR"/>
        </w:rPr>
        <w:t>des commentaires spécifiques.</w:t>
      </w:r>
    </w:p>
    <w:tbl>
      <w:tblPr>
        <w:tblW w:w="7327" w:type="dxa"/>
        <w:jc w:val="center"/>
        <w:tblInd w:w="55" w:type="dxa"/>
        <w:tblCellMar>
          <w:left w:w="70" w:type="dxa"/>
          <w:right w:w="70" w:type="dxa"/>
        </w:tblCellMar>
        <w:tblLook w:val="04A0" w:firstRow="1" w:lastRow="0" w:firstColumn="1" w:lastColumn="0" w:noHBand="0" w:noVBand="1"/>
      </w:tblPr>
      <w:tblGrid>
        <w:gridCol w:w="3187"/>
        <w:gridCol w:w="1332"/>
        <w:gridCol w:w="1331"/>
        <w:gridCol w:w="1477"/>
      </w:tblGrid>
      <w:tr w:rsidR="00C31FC6" w:rsidRPr="00431D74" w:rsidTr="00431D74">
        <w:trPr>
          <w:trHeight w:val="300"/>
          <w:jc w:val="center"/>
        </w:trPr>
        <w:tc>
          <w:tcPr>
            <w:tcW w:w="3187" w:type="dxa"/>
            <w:tcBorders>
              <w:top w:val="nil"/>
              <w:left w:val="nil"/>
              <w:bottom w:val="nil"/>
              <w:right w:val="nil"/>
            </w:tcBorders>
            <w:shd w:val="clear" w:color="auto" w:fill="auto"/>
            <w:noWrap/>
            <w:hideMark/>
          </w:tcPr>
          <w:p w:rsidR="00C31FC6" w:rsidRPr="00431D74" w:rsidRDefault="00C31FC6" w:rsidP="00431D74">
            <w:pPr>
              <w:rPr>
                <w:sz w:val="22"/>
                <w:szCs w:val="22"/>
                <w:lang w:val="fr-CH" w:eastAsia="fr-CH"/>
              </w:rPr>
            </w:pPr>
          </w:p>
        </w:tc>
        <w:tc>
          <w:tcPr>
            <w:tcW w:w="414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C31FC6" w:rsidRPr="00431D74" w:rsidRDefault="00C31FC6" w:rsidP="00431D74">
            <w:pPr>
              <w:jc w:val="center"/>
              <w:rPr>
                <w:rFonts w:ascii="Tahoma" w:hAnsi="Tahoma" w:cs="Tahoma"/>
                <w:b/>
                <w:bCs/>
                <w:sz w:val="18"/>
                <w:szCs w:val="18"/>
                <w:lang w:val="fr-CH" w:eastAsia="fr-CH"/>
              </w:rPr>
            </w:pPr>
            <w:r w:rsidRPr="00431D74">
              <w:rPr>
                <w:rFonts w:ascii="Tahoma" w:hAnsi="Tahoma" w:cs="Tahoma"/>
                <w:b/>
                <w:bCs/>
                <w:sz w:val="18"/>
                <w:szCs w:val="18"/>
                <w:lang w:val="fr-CH" w:eastAsia="fr-CH"/>
              </w:rPr>
              <w:t>Montants en CHF</w:t>
            </w:r>
          </w:p>
        </w:tc>
      </w:tr>
      <w:tr w:rsidR="00C31FC6" w:rsidRPr="00431D74" w:rsidTr="00431D74">
        <w:trPr>
          <w:trHeight w:val="270"/>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hideMark/>
          </w:tcPr>
          <w:p w:rsidR="00C31FC6" w:rsidRPr="00431D74" w:rsidRDefault="00C31FC6" w:rsidP="00431D74">
            <w:pPr>
              <w:rPr>
                <w:rFonts w:ascii="Tahoma" w:hAnsi="Tahoma" w:cs="Tahoma"/>
                <w:b/>
                <w:bCs/>
                <w:sz w:val="18"/>
                <w:szCs w:val="18"/>
                <w:lang w:val="fr-CH" w:eastAsia="fr-CH"/>
              </w:rPr>
            </w:pPr>
            <w:r w:rsidRPr="00431D74">
              <w:rPr>
                <w:rFonts w:ascii="Tahoma" w:hAnsi="Tahoma" w:cs="Tahoma"/>
                <w:b/>
                <w:bCs/>
                <w:sz w:val="18"/>
                <w:szCs w:val="18"/>
                <w:lang w:val="fr-CH" w:eastAsia="fr-CH"/>
              </w:rPr>
              <w:t>Référence</w:t>
            </w:r>
          </w:p>
        </w:tc>
        <w:tc>
          <w:tcPr>
            <w:tcW w:w="1332" w:type="dxa"/>
            <w:tcBorders>
              <w:top w:val="nil"/>
              <w:left w:val="nil"/>
              <w:bottom w:val="nil"/>
              <w:right w:val="single" w:sz="8" w:space="0" w:color="auto"/>
            </w:tcBorders>
            <w:shd w:val="clear" w:color="000000" w:fill="D9D9D9"/>
            <w:noWrap/>
            <w:vAlign w:val="center"/>
            <w:hideMark/>
          </w:tcPr>
          <w:p w:rsidR="00C31FC6" w:rsidRPr="00431D74" w:rsidRDefault="00C31FC6" w:rsidP="00431D74">
            <w:pPr>
              <w:jc w:val="center"/>
              <w:rPr>
                <w:rFonts w:ascii="Tahoma" w:hAnsi="Tahoma" w:cs="Tahoma"/>
                <w:b/>
                <w:bCs/>
                <w:sz w:val="18"/>
                <w:szCs w:val="18"/>
                <w:lang w:val="fr-CH" w:eastAsia="fr-CH"/>
              </w:rPr>
            </w:pPr>
            <w:r w:rsidRPr="00431D74">
              <w:rPr>
                <w:rFonts w:ascii="Tahoma" w:hAnsi="Tahoma" w:cs="Tahoma"/>
                <w:b/>
                <w:bCs/>
                <w:sz w:val="18"/>
                <w:szCs w:val="18"/>
                <w:lang w:val="fr-CH" w:eastAsia="fr-CH"/>
              </w:rPr>
              <w:t>2013</w:t>
            </w:r>
          </w:p>
        </w:tc>
        <w:tc>
          <w:tcPr>
            <w:tcW w:w="1331" w:type="dxa"/>
            <w:tcBorders>
              <w:top w:val="nil"/>
              <w:left w:val="nil"/>
              <w:bottom w:val="nil"/>
              <w:right w:val="single" w:sz="8" w:space="0" w:color="auto"/>
            </w:tcBorders>
            <w:shd w:val="clear" w:color="000000" w:fill="D9D9D9"/>
            <w:noWrap/>
            <w:vAlign w:val="center"/>
            <w:hideMark/>
          </w:tcPr>
          <w:p w:rsidR="00C31FC6" w:rsidRPr="00431D74" w:rsidRDefault="00C31FC6" w:rsidP="00431D74">
            <w:pPr>
              <w:jc w:val="center"/>
              <w:rPr>
                <w:rFonts w:ascii="Tahoma" w:hAnsi="Tahoma" w:cs="Tahoma"/>
                <w:b/>
                <w:bCs/>
                <w:sz w:val="18"/>
                <w:szCs w:val="18"/>
                <w:lang w:val="fr-CH" w:eastAsia="fr-CH"/>
              </w:rPr>
            </w:pPr>
            <w:r w:rsidRPr="00431D74">
              <w:rPr>
                <w:rFonts w:ascii="Tahoma" w:hAnsi="Tahoma" w:cs="Tahoma"/>
                <w:b/>
                <w:bCs/>
                <w:sz w:val="18"/>
                <w:szCs w:val="18"/>
                <w:lang w:val="fr-CH" w:eastAsia="fr-CH"/>
              </w:rPr>
              <w:t>2012</w:t>
            </w:r>
          </w:p>
        </w:tc>
        <w:tc>
          <w:tcPr>
            <w:tcW w:w="1477" w:type="dxa"/>
            <w:tcBorders>
              <w:top w:val="nil"/>
              <w:left w:val="nil"/>
              <w:bottom w:val="nil"/>
              <w:right w:val="single" w:sz="8" w:space="0" w:color="auto"/>
            </w:tcBorders>
            <w:shd w:val="clear" w:color="000000" w:fill="D9D9D9"/>
            <w:noWrap/>
            <w:vAlign w:val="center"/>
            <w:hideMark/>
          </w:tcPr>
          <w:p w:rsidR="00C31FC6" w:rsidRPr="00431D74" w:rsidRDefault="00C31FC6" w:rsidP="00431D74">
            <w:pPr>
              <w:jc w:val="center"/>
              <w:rPr>
                <w:rFonts w:ascii="Tahoma" w:hAnsi="Tahoma" w:cs="Tahoma"/>
                <w:b/>
                <w:bCs/>
                <w:sz w:val="18"/>
                <w:szCs w:val="18"/>
                <w:lang w:val="fr-CH" w:eastAsia="fr-CH"/>
              </w:rPr>
            </w:pPr>
            <w:r w:rsidRPr="001573F9">
              <w:rPr>
                <w:rFonts w:ascii="Tahoma" w:hAnsi="Tahoma" w:cs="Tahoma"/>
                <w:b/>
                <w:bCs/>
                <w:sz w:val="18"/>
                <w:szCs w:val="18"/>
                <w:lang w:val="fr-CH" w:eastAsia="fr-CH"/>
              </w:rPr>
              <w:t>Variation</w:t>
            </w:r>
          </w:p>
        </w:tc>
      </w:tr>
      <w:tr w:rsidR="00C31FC6" w:rsidRPr="00431D74" w:rsidTr="00431D74">
        <w:trPr>
          <w:trHeight w:val="270"/>
          <w:jc w:val="center"/>
        </w:trPr>
        <w:tc>
          <w:tcPr>
            <w:tcW w:w="31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Total du bilan</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3'896'303</w:t>
            </w:r>
          </w:p>
        </w:tc>
        <w:tc>
          <w:tcPr>
            <w:tcW w:w="1331" w:type="dxa"/>
            <w:tcBorders>
              <w:top w:val="single" w:sz="8" w:space="0" w:color="auto"/>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3'388'206</w:t>
            </w: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508'097 </w:t>
            </w:r>
          </w:p>
        </w:tc>
      </w:tr>
      <w:tr w:rsidR="00C31FC6" w:rsidRPr="00431D74" w:rsidTr="00431D74">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Liquidités</w:t>
            </w:r>
          </w:p>
        </w:tc>
        <w:tc>
          <w:tcPr>
            <w:tcW w:w="1332"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3'728'930</w:t>
            </w:r>
          </w:p>
        </w:tc>
        <w:tc>
          <w:tcPr>
            <w:tcW w:w="1331"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3'316'037</w:t>
            </w:r>
          </w:p>
        </w:tc>
        <w:tc>
          <w:tcPr>
            <w:tcW w:w="1477"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412'893 </w:t>
            </w:r>
          </w:p>
        </w:tc>
      </w:tr>
      <w:tr w:rsidR="00C31FC6" w:rsidRPr="00431D74" w:rsidTr="00431D74">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Autres actifs</w:t>
            </w:r>
          </w:p>
        </w:tc>
        <w:tc>
          <w:tcPr>
            <w:tcW w:w="1332"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167'373</w:t>
            </w:r>
          </w:p>
        </w:tc>
        <w:tc>
          <w:tcPr>
            <w:tcW w:w="1331"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72'169</w:t>
            </w:r>
          </w:p>
        </w:tc>
        <w:tc>
          <w:tcPr>
            <w:tcW w:w="1477"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95'204 </w:t>
            </w:r>
          </w:p>
        </w:tc>
      </w:tr>
      <w:tr w:rsidR="00C31FC6" w:rsidRPr="00431D74" w:rsidTr="00431D74">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Fonds étrangers</w:t>
            </w:r>
          </w:p>
        </w:tc>
        <w:tc>
          <w:tcPr>
            <w:tcW w:w="1332"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944'589</w:t>
            </w:r>
          </w:p>
        </w:tc>
        <w:tc>
          <w:tcPr>
            <w:tcW w:w="1331"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603'926</w:t>
            </w:r>
          </w:p>
        </w:tc>
        <w:tc>
          <w:tcPr>
            <w:tcW w:w="1477"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340'663 </w:t>
            </w:r>
          </w:p>
        </w:tc>
      </w:tr>
      <w:tr w:rsidR="00C31FC6" w:rsidRPr="00431D74" w:rsidTr="00431D74">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Provisions pour avantages au personnel</w:t>
            </w:r>
          </w:p>
        </w:tc>
        <w:tc>
          <w:tcPr>
            <w:tcW w:w="1332"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1'207'420</w:t>
            </w:r>
          </w:p>
        </w:tc>
        <w:tc>
          <w:tcPr>
            <w:tcW w:w="1331"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1'146'994</w:t>
            </w:r>
          </w:p>
        </w:tc>
        <w:tc>
          <w:tcPr>
            <w:tcW w:w="1477"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60'426 </w:t>
            </w:r>
          </w:p>
        </w:tc>
      </w:tr>
      <w:tr w:rsidR="00C31FC6" w:rsidRPr="00431D74" w:rsidTr="00431D74">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Fonds de réserve</w:t>
            </w:r>
          </w:p>
        </w:tc>
        <w:tc>
          <w:tcPr>
            <w:tcW w:w="1332"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1'204'283</w:t>
            </w:r>
          </w:p>
        </w:tc>
        <w:tc>
          <w:tcPr>
            <w:tcW w:w="1331"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1'097'275</w:t>
            </w:r>
          </w:p>
        </w:tc>
        <w:tc>
          <w:tcPr>
            <w:tcW w:w="1477"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107'008 </w:t>
            </w:r>
          </w:p>
        </w:tc>
      </w:tr>
      <w:tr w:rsidR="00C31FC6" w:rsidRPr="00431D74" w:rsidTr="00431D74">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C31FC6" w:rsidRPr="00431D74" w:rsidRDefault="00C31FC6" w:rsidP="00431D74">
            <w:pPr>
              <w:rPr>
                <w:rFonts w:ascii="Tahoma" w:hAnsi="Tahoma" w:cs="Tahoma"/>
                <w:sz w:val="18"/>
                <w:szCs w:val="18"/>
                <w:lang w:val="fr-CH" w:eastAsia="fr-CH"/>
              </w:rPr>
            </w:pPr>
            <w:r w:rsidRPr="00431D74">
              <w:rPr>
                <w:rFonts w:ascii="Tahoma" w:hAnsi="Tahoma" w:cs="Tahoma"/>
                <w:sz w:val="18"/>
                <w:szCs w:val="18"/>
                <w:lang w:val="fr-CH" w:eastAsia="fr-CH"/>
              </w:rPr>
              <w:t>Fonds de roulement</w:t>
            </w:r>
          </w:p>
        </w:tc>
        <w:tc>
          <w:tcPr>
            <w:tcW w:w="1332"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540'011</w:t>
            </w:r>
          </w:p>
        </w:tc>
        <w:tc>
          <w:tcPr>
            <w:tcW w:w="1331"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540'011</w:t>
            </w:r>
          </w:p>
        </w:tc>
        <w:tc>
          <w:tcPr>
            <w:tcW w:w="1477" w:type="dxa"/>
            <w:tcBorders>
              <w:top w:val="nil"/>
              <w:left w:val="nil"/>
              <w:bottom w:val="single" w:sz="8" w:space="0" w:color="auto"/>
              <w:right w:val="single" w:sz="8" w:space="0" w:color="auto"/>
            </w:tcBorders>
            <w:shd w:val="clear" w:color="auto" w:fill="auto"/>
            <w:noWrap/>
            <w:vAlign w:val="center"/>
            <w:hideMark/>
          </w:tcPr>
          <w:p w:rsidR="00C31FC6" w:rsidRPr="00431D74" w:rsidRDefault="00C31FC6" w:rsidP="00431D74">
            <w:pPr>
              <w:jc w:val="right"/>
              <w:rPr>
                <w:rFonts w:ascii="Tahoma" w:hAnsi="Tahoma" w:cs="Tahoma"/>
                <w:sz w:val="18"/>
                <w:szCs w:val="18"/>
                <w:lang w:val="fr-CH" w:eastAsia="fr-CH"/>
              </w:rPr>
            </w:pPr>
            <w:r w:rsidRPr="00431D74">
              <w:rPr>
                <w:rFonts w:ascii="Tahoma" w:hAnsi="Tahoma" w:cs="Tahoma"/>
                <w:sz w:val="18"/>
                <w:szCs w:val="18"/>
                <w:lang w:val="fr-CH" w:eastAsia="fr-CH"/>
              </w:rPr>
              <w:t xml:space="preserve">0 </w:t>
            </w:r>
          </w:p>
        </w:tc>
      </w:tr>
    </w:tbl>
    <w:p w:rsidR="00C31FC6" w:rsidRPr="00431D74" w:rsidRDefault="00C31FC6" w:rsidP="00E14559">
      <w:pPr>
        <w:tabs>
          <w:tab w:val="left" w:pos="737"/>
          <w:tab w:val="left" w:pos="993"/>
          <w:tab w:val="left" w:pos="1985"/>
          <w:tab w:val="right" w:pos="9356"/>
        </w:tabs>
        <w:overflowPunct w:val="0"/>
        <w:autoSpaceDE w:val="0"/>
        <w:autoSpaceDN w:val="0"/>
        <w:adjustRightInd w:val="0"/>
        <w:spacing w:after="240"/>
        <w:ind w:right="284"/>
        <w:jc w:val="center"/>
        <w:textAlignment w:val="baseline"/>
        <w:rPr>
          <w:rFonts w:ascii="Tahoma" w:hAnsi="Tahoma" w:cs="Tahoma"/>
          <w:b/>
          <w:lang w:val="fr-FR"/>
        </w:rPr>
      </w:pPr>
      <w:r w:rsidRPr="00431D74">
        <w:rPr>
          <w:rFonts w:ascii="Tahoma" w:hAnsi="Tahoma" w:cs="Tahoma"/>
          <w:b/>
          <w:lang w:val="fr-FR"/>
        </w:rPr>
        <w:t>Tableau 1 : Chiffres-clé 2013</w:t>
      </w:r>
    </w:p>
    <w:p w:rsidR="00C31FC6" w:rsidRPr="00F0068A"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lang w:val="fr-FR"/>
        </w:rPr>
      </w:pPr>
      <w:r w:rsidRPr="00236935">
        <w:rPr>
          <w:rFonts w:ascii="Tahoma" w:hAnsi="Tahoma" w:cs="Tahoma"/>
          <w:lang w:val="fr-FR"/>
        </w:rPr>
        <w:t>Liquidités, des mouvements de fonds confirmés par la banque</w:t>
      </w:r>
    </w:p>
    <w:p w:rsidR="00C31FC6" w:rsidRPr="003B12FB"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3B12FB">
        <w:rPr>
          <w:rFonts w:ascii="Tahoma" w:hAnsi="Tahoma" w:cs="Tahoma"/>
          <w:lang w:val="fr-FR"/>
        </w:rPr>
        <w:t>Quelque 532'000 francs sont détenus par l’UBS au 31</w:t>
      </w:r>
      <w:r>
        <w:rPr>
          <w:rFonts w:ascii="Tahoma" w:hAnsi="Tahoma" w:cs="Tahoma"/>
          <w:lang w:val="fr-FR"/>
        </w:rPr>
        <w:t xml:space="preserve"> décembre </w:t>
      </w:r>
      <w:r w:rsidRPr="003B12FB">
        <w:rPr>
          <w:rFonts w:ascii="Tahoma" w:hAnsi="Tahoma" w:cs="Tahoma"/>
          <w:lang w:val="fr-FR"/>
        </w:rPr>
        <w:t xml:space="preserve">2013. Celle-ci atteste cette disposition dans sa « confirmation de relation d’affaires » dûment libellée. Les vérifications par sondages des mouvements comptables relatifs aux fonds liquides n’ont pas révélé d’erreur et confirment la régularité des opérations. Les deux comptes auprès de l’UBS affichent une baisse des fonds disponibles de 352'000 </w:t>
      </w:r>
      <w:r>
        <w:rPr>
          <w:rFonts w:ascii="Tahoma" w:hAnsi="Tahoma" w:cs="Tahoma"/>
          <w:lang w:val="fr-FR"/>
        </w:rPr>
        <w:t xml:space="preserve">francs </w:t>
      </w:r>
      <w:r w:rsidRPr="003B12FB">
        <w:rPr>
          <w:rFonts w:ascii="Tahoma" w:hAnsi="Tahoma" w:cs="Tahoma"/>
          <w:lang w:val="fr-FR"/>
        </w:rPr>
        <w:t>environ comparativement à 2012.</w:t>
      </w:r>
    </w:p>
    <w:p w:rsidR="00C31FC6" w:rsidRPr="003B12FB"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lang w:val="fr-FR"/>
        </w:rPr>
      </w:pPr>
      <w:r w:rsidRPr="00236935">
        <w:rPr>
          <w:rFonts w:ascii="Tahoma" w:hAnsi="Tahoma" w:cs="Tahoma"/>
          <w:lang w:val="fr-FR"/>
        </w:rPr>
        <w:t xml:space="preserve">Des placements à terme </w:t>
      </w:r>
      <w:r>
        <w:rPr>
          <w:rFonts w:ascii="Tahoma" w:hAnsi="Tahoma" w:cs="Tahoma"/>
          <w:lang w:val="fr-FR"/>
        </w:rPr>
        <w:t xml:space="preserve">sont ouverts auprès </w:t>
      </w:r>
      <w:r w:rsidRPr="00236935">
        <w:rPr>
          <w:rFonts w:ascii="Tahoma" w:hAnsi="Tahoma"/>
          <w:lang w:val="fr-FR"/>
        </w:rPr>
        <w:t>de la Confédération suisse</w:t>
      </w:r>
    </w:p>
    <w:p w:rsidR="00C31FC6" w:rsidRPr="00B075A8"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3B12FB">
        <w:rPr>
          <w:rFonts w:ascii="Tahoma" w:hAnsi="Tahoma" w:cs="Tahoma"/>
          <w:lang w:val="fr-FR"/>
        </w:rPr>
        <w:t xml:space="preserve">Près de 3.2 millions de francs sont placés à terme auprès de la Confédération suisse. Cette somme est confirmée sur les extraits de comptes spécifiques établis par l’Administration fédérale des finances. A ce sujet, il y a lieu de relever que cette dernière a demandé </w:t>
      </w:r>
      <w:r>
        <w:rPr>
          <w:rFonts w:ascii="Tahoma" w:hAnsi="Tahoma" w:cs="Tahoma"/>
          <w:lang w:val="fr-FR"/>
        </w:rPr>
        <w:t xml:space="preserve">aux entités externes à l’Etat suisse, dont </w:t>
      </w:r>
      <w:r w:rsidRPr="003B12FB">
        <w:rPr>
          <w:rFonts w:ascii="Tahoma" w:hAnsi="Tahoma" w:cs="Tahoma"/>
          <w:lang w:val="fr-FR"/>
        </w:rPr>
        <w:t>l’UPOV</w:t>
      </w:r>
      <w:r>
        <w:rPr>
          <w:rFonts w:ascii="Tahoma" w:hAnsi="Tahoma" w:cs="Tahoma"/>
          <w:lang w:val="fr-FR"/>
        </w:rPr>
        <w:t>,</w:t>
      </w:r>
      <w:r w:rsidRPr="003B12FB">
        <w:rPr>
          <w:rFonts w:ascii="Tahoma" w:hAnsi="Tahoma" w:cs="Tahoma"/>
          <w:lang w:val="fr-FR"/>
        </w:rPr>
        <w:t xml:space="preserve"> de clore les deux comptes existants d’ici à la fin de l’année 2015. </w:t>
      </w:r>
      <w:r>
        <w:rPr>
          <w:rFonts w:ascii="Tahoma" w:hAnsi="Tahoma" w:cs="Tahoma"/>
          <w:lang w:val="fr-FR"/>
        </w:rPr>
        <w:t>L’UPOV devra donc trouver une nouvelle solution de placement de ses fonds liquides.</w:t>
      </w:r>
    </w:p>
    <w:p w:rsidR="00C31FC6" w:rsidRPr="00B075A8"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B075A8">
        <w:rPr>
          <w:rFonts w:ascii="Tahoma" w:hAnsi="Tahoma" w:cs="Tahoma"/>
          <w:lang w:val="fr-FR"/>
        </w:rPr>
        <w:t xml:space="preserve">Les contrôles des mouvements dans ces deux comptes n’appellent pas de commentaire particulier. Nous relevons toutefois que le solde cumulé des deux comptes a fortement augmenté la suite d’un versement de 750'000 francs en mars 2013. Les trois autres écritures sur ces comptes </w:t>
      </w:r>
      <w:r>
        <w:rPr>
          <w:rFonts w:ascii="Tahoma" w:hAnsi="Tahoma" w:cs="Tahoma"/>
          <w:lang w:val="fr-FR"/>
        </w:rPr>
        <w:t>concernent</w:t>
      </w:r>
      <w:r w:rsidRPr="00B075A8">
        <w:rPr>
          <w:rFonts w:ascii="Tahoma" w:hAnsi="Tahoma" w:cs="Tahoma"/>
          <w:lang w:val="fr-FR"/>
        </w:rPr>
        <w:t xml:space="preserve"> essentiellement la bonification des intérêts</w:t>
      </w:r>
      <w:r>
        <w:rPr>
          <w:rFonts w:ascii="Tahoma" w:hAnsi="Tahoma" w:cs="Tahoma"/>
          <w:lang w:val="fr-FR"/>
        </w:rPr>
        <w:t>.</w:t>
      </w:r>
    </w:p>
    <w:p w:rsidR="00C31FC6" w:rsidRPr="00C06EC9"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lang w:val="fr-CH"/>
        </w:rPr>
      </w:pPr>
      <w:r w:rsidRPr="00D104D5">
        <w:rPr>
          <w:rFonts w:ascii="Tahoma" w:hAnsi="Tahoma" w:cs="Tahoma"/>
          <w:lang w:val="fr-CH"/>
        </w:rPr>
        <w:t xml:space="preserve">Les </w:t>
      </w:r>
      <w:r>
        <w:rPr>
          <w:rFonts w:ascii="Tahoma" w:hAnsi="Tahoma" w:cs="Tahoma"/>
          <w:lang w:val="fr-CH"/>
        </w:rPr>
        <w:t>arriérés de</w:t>
      </w:r>
      <w:r w:rsidRPr="00C06EC9">
        <w:rPr>
          <w:rFonts w:ascii="Tahoma" w:hAnsi="Tahoma" w:cs="Tahoma"/>
          <w:lang w:val="fr-CH"/>
        </w:rPr>
        <w:t xml:space="preserve"> contributions statutaires </w:t>
      </w:r>
      <w:r>
        <w:rPr>
          <w:rFonts w:ascii="Tahoma" w:hAnsi="Tahoma" w:cs="Tahoma"/>
          <w:lang w:val="fr-CH"/>
        </w:rPr>
        <w:t>ne concernent plus que deux Etats membres</w:t>
      </w:r>
    </w:p>
    <w:p w:rsidR="00C31FC6" w:rsidRPr="00C06EC9"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C06EC9">
        <w:rPr>
          <w:rFonts w:ascii="Tahoma" w:hAnsi="Tahoma" w:cs="Tahoma"/>
          <w:lang w:val="fr-FR"/>
        </w:rPr>
        <w:t xml:space="preserve">Les créances ouvertes envers des Etats </w:t>
      </w:r>
      <w:r>
        <w:rPr>
          <w:rFonts w:ascii="Tahoma" w:hAnsi="Tahoma" w:cs="Tahoma"/>
          <w:lang w:val="fr-FR"/>
        </w:rPr>
        <w:t>m</w:t>
      </w:r>
      <w:r w:rsidRPr="00C06EC9">
        <w:rPr>
          <w:rFonts w:ascii="Tahoma" w:hAnsi="Tahoma" w:cs="Tahoma"/>
          <w:lang w:val="fr-FR"/>
        </w:rPr>
        <w:t xml:space="preserve">embres concernent la République Dominicaine et l’Equateur qui sont redevables de quelque 12'500 francs au total à fin 2013. Par ailleurs, des contributions FIT de presque 155'000 </w:t>
      </w:r>
      <w:r>
        <w:rPr>
          <w:rFonts w:ascii="Tahoma" w:hAnsi="Tahoma" w:cs="Tahoma"/>
          <w:lang w:val="fr-FR"/>
        </w:rPr>
        <w:t xml:space="preserve">francs </w:t>
      </w:r>
      <w:r w:rsidRPr="00C06EC9">
        <w:rPr>
          <w:rFonts w:ascii="Tahoma" w:hAnsi="Tahoma" w:cs="Tahoma"/>
          <w:lang w:val="fr-FR"/>
        </w:rPr>
        <w:t>étaient en suspens à fin 2013. Leur règlement par les Etats-Unis d’Amérique a été opéré au cours du 1</w:t>
      </w:r>
      <w:r w:rsidRPr="00C06EC9">
        <w:rPr>
          <w:rFonts w:ascii="Tahoma" w:hAnsi="Tahoma" w:cs="Tahoma"/>
          <w:vertAlign w:val="superscript"/>
          <w:lang w:val="fr-FR"/>
        </w:rPr>
        <w:t>er</w:t>
      </w:r>
      <w:r>
        <w:rPr>
          <w:rFonts w:ascii="Tahoma" w:hAnsi="Tahoma" w:cs="Tahoma"/>
          <w:lang w:val="fr-FR"/>
        </w:rPr>
        <w:t xml:space="preserve"> trimestre 2014.</w:t>
      </w:r>
    </w:p>
    <w:p w:rsidR="00C31FC6" w:rsidRPr="004C0A1C"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4C0A1C">
        <w:rPr>
          <w:rFonts w:ascii="Tahoma" w:hAnsi="Tahoma" w:cs="Tahoma"/>
          <w:lang w:val="fr-FR"/>
        </w:rPr>
        <w:t xml:space="preserve">A l’instar de l’année 2012, les contributions statutaires des Etats Membres ont représenté 3’323'050 francs en 2013. Elles correspondent au budget de l’année. Le contrôle des recettes permet de confirmer leur </w:t>
      </w:r>
      <w:r>
        <w:rPr>
          <w:rFonts w:ascii="Tahoma" w:hAnsi="Tahoma" w:cs="Tahoma"/>
          <w:lang w:val="fr-FR"/>
        </w:rPr>
        <w:t>exactitude et leur intégralité.</w:t>
      </w:r>
    </w:p>
    <w:p w:rsidR="00C31FC6"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FR"/>
        </w:rPr>
        <w:t>Les encaissements relatifs aux contributions des Etats membres payées par avance représentent plus de 236'000 francs. Ces versements anticipés émanent des pays</w:t>
      </w:r>
      <w:r w:rsidRPr="004C0A1C">
        <w:rPr>
          <w:rFonts w:ascii="Tahoma" w:hAnsi="Tahoma" w:cs="Tahoma"/>
          <w:lang w:val="fr-FR"/>
        </w:rPr>
        <w:t xml:space="preserve"> </w:t>
      </w:r>
      <w:r>
        <w:rPr>
          <w:rFonts w:ascii="Tahoma" w:hAnsi="Tahoma" w:cs="Tahoma"/>
          <w:lang w:val="fr-FR"/>
        </w:rPr>
        <w:t>suivants :</w:t>
      </w:r>
    </w:p>
    <w:tbl>
      <w:tblPr>
        <w:tblW w:w="4764" w:type="dxa"/>
        <w:jc w:val="center"/>
        <w:tblInd w:w="386" w:type="dxa"/>
        <w:tblCellMar>
          <w:left w:w="70" w:type="dxa"/>
          <w:right w:w="70" w:type="dxa"/>
        </w:tblCellMar>
        <w:tblLook w:val="04A0" w:firstRow="1" w:lastRow="0" w:firstColumn="1" w:lastColumn="0" w:noHBand="0" w:noVBand="1"/>
      </w:tblPr>
      <w:tblGrid>
        <w:gridCol w:w="1319"/>
        <w:gridCol w:w="1015"/>
        <w:gridCol w:w="206"/>
        <w:gridCol w:w="1259"/>
        <w:gridCol w:w="965"/>
      </w:tblGrid>
      <w:tr w:rsidR="00C31FC6" w:rsidRPr="00FB3763" w:rsidTr="003016F1">
        <w:trPr>
          <w:trHeight w:val="244"/>
          <w:jc w:val="center"/>
        </w:trPr>
        <w:tc>
          <w:tcPr>
            <w:tcW w:w="13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1FC6" w:rsidRPr="00D51914" w:rsidRDefault="00C31FC6" w:rsidP="00FB3763">
            <w:pPr>
              <w:rPr>
                <w:rFonts w:ascii="Tahoma" w:hAnsi="Tahoma" w:cs="Tahoma"/>
                <w:b/>
                <w:bCs/>
                <w:sz w:val="16"/>
                <w:szCs w:val="16"/>
                <w:lang w:val="fr-CH" w:eastAsia="fr-CH"/>
              </w:rPr>
            </w:pPr>
            <w:r w:rsidRPr="00D51914">
              <w:rPr>
                <w:rFonts w:ascii="Tahoma" w:hAnsi="Tahoma" w:cs="Tahoma"/>
                <w:b/>
                <w:bCs/>
                <w:sz w:val="16"/>
                <w:szCs w:val="16"/>
                <w:lang w:val="fr-CH" w:eastAsia="fr-CH"/>
              </w:rPr>
              <w:t>Etat Membre</w:t>
            </w:r>
          </w:p>
        </w:tc>
        <w:tc>
          <w:tcPr>
            <w:tcW w:w="1015" w:type="dxa"/>
            <w:tcBorders>
              <w:top w:val="single" w:sz="4" w:space="0" w:color="auto"/>
              <w:left w:val="nil"/>
              <w:bottom w:val="single" w:sz="4" w:space="0" w:color="auto"/>
              <w:right w:val="single" w:sz="4" w:space="0" w:color="auto"/>
            </w:tcBorders>
            <w:shd w:val="clear" w:color="000000" w:fill="D9D9D9"/>
            <w:noWrap/>
            <w:vAlign w:val="center"/>
            <w:hideMark/>
          </w:tcPr>
          <w:p w:rsidR="00C31FC6" w:rsidRPr="00D51914" w:rsidRDefault="00C31FC6" w:rsidP="00FB3763">
            <w:pPr>
              <w:jc w:val="center"/>
              <w:rPr>
                <w:rFonts w:ascii="Tahoma" w:hAnsi="Tahoma" w:cs="Tahoma"/>
                <w:b/>
                <w:bCs/>
                <w:sz w:val="16"/>
                <w:szCs w:val="16"/>
                <w:lang w:val="fr-CH" w:eastAsia="fr-CH"/>
              </w:rPr>
            </w:pPr>
            <w:r w:rsidRPr="00D51914">
              <w:rPr>
                <w:rFonts w:ascii="Tahoma" w:hAnsi="Tahoma" w:cs="Tahoma"/>
                <w:b/>
                <w:bCs/>
                <w:sz w:val="16"/>
                <w:szCs w:val="16"/>
                <w:lang w:val="fr-CH" w:eastAsia="fr-CH"/>
              </w:rPr>
              <w:t>CHF</w:t>
            </w:r>
          </w:p>
        </w:tc>
        <w:tc>
          <w:tcPr>
            <w:tcW w:w="206"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31FC6" w:rsidRPr="00FB3763" w:rsidRDefault="00C31FC6" w:rsidP="00FB3763">
            <w:pPr>
              <w:jc w:val="center"/>
              <w:rPr>
                <w:lang w:val="fr-CH" w:eastAsia="fr-CH"/>
              </w:rPr>
            </w:pPr>
            <w:r w:rsidRPr="00FB3763">
              <w:rPr>
                <w:lang w:val="fr-CH" w:eastAsia="fr-CH"/>
              </w:rPr>
              <w:t> </w:t>
            </w:r>
          </w:p>
        </w:tc>
        <w:tc>
          <w:tcPr>
            <w:tcW w:w="1259" w:type="dxa"/>
            <w:tcBorders>
              <w:top w:val="single" w:sz="4" w:space="0" w:color="auto"/>
              <w:left w:val="nil"/>
              <w:bottom w:val="single" w:sz="4" w:space="0" w:color="auto"/>
              <w:right w:val="single" w:sz="4" w:space="0" w:color="auto"/>
            </w:tcBorders>
            <w:shd w:val="clear" w:color="000000" w:fill="D9D9D9"/>
            <w:noWrap/>
            <w:vAlign w:val="center"/>
            <w:hideMark/>
          </w:tcPr>
          <w:p w:rsidR="00C31FC6" w:rsidRPr="00D51914" w:rsidRDefault="00C31FC6" w:rsidP="00FB3763">
            <w:pPr>
              <w:rPr>
                <w:rFonts w:ascii="Tahoma" w:hAnsi="Tahoma" w:cs="Tahoma"/>
                <w:b/>
                <w:bCs/>
                <w:sz w:val="16"/>
                <w:szCs w:val="16"/>
                <w:lang w:val="fr-CH" w:eastAsia="fr-CH"/>
              </w:rPr>
            </w:pPr>
            <w:r w:rsidRPr="00D51914">
              <w:rPr>
                <w:rFonts w:ascii="Tahoma" w:hAnsi="Tahoma" w:cs="Tahoma"/>
                <w:b/>
                <w:bCs/>
                <w:sz w:val="16"/>
                <w:szCs w:val="16"/>
                <w:lang w:val="fr-CH" w:eastAsia="fr-CH"/>
              </w:rPr>
              <w:t>Etat Membre</w:t>
            </w:r>
          </w:p>
        </w:tc>
        <w:tc>
          <w:tcPr>
            <w:tcW w:w="965" w:type="dxa"/>
            <w:tcBorders>
              <w:top w:val="single" w:sz="4" w:space="0" w:color="auto"/>
              <w:left w:val="nil"/>
              <w:bottom w:val="single" w:sz="4" w:space="0" w:color="auto"/>
              <w:right w:val="single" w:sz="4" w:space="0" w:color="auto"/>
            </w:tcBorders>
            <w:shd w:val="clear" w:color="000000" w:fill="D9D9D9"/>
            <w:noWrap/>
            <w:vAlign w:val="center"/>
            <w:hideMark/>
          </w:tcPr>
          <w:p w:rsidR="00C31FC6" w:rsidRPr="00D51914" w:rsidRDefault="00C31FC6" w:rsidP="00FB3763">
            <w:pPr>
              <w:jc w:val="center"/>
              <w:rPr>
                <w:rFonts w:ascii="Tahoma" w:hAnsi="Tahoma" w:cs="Tahoma"/>
                <w:b/>
                <w:bCs/>
                <w:sz w:val="16"/>
                <w:szCs w:val="16"/>
                <w:lang w:val="fr-CH" w:eastAsia="fr-CH"/>
              </w:rPr>
            </w:pPr>
            <w:r w:rsidRPr="00D51914">
              <w:rPr>
                <w:rFonts w:ascii="Tahoma" w:hAnsi="Tahoma" w:cs="Tahoma"/>
                <w:b/>
                <w:bCs/>
                <w:sz w:val="16"/>
                <w:szCs w:val="16"/>
                <w:lang w:val="fr-CH" w:eastAsia="fr-CH"/>
              </w:rPr>
              <w:t>CHF</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Australia</w:t>
            </w:r>
          </w:p>
        </w:tc>
        <w:tc>
          <w:tcPr>
            <w:tcW w:w="101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53'641</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000000" w:fill="FDE9D9"/>
            <w:noWrap/>
            <w:vAlign w:val="center"/>
            <w:hideMark/>
          </w:tcPr>
          <w:p w:rsidR="00C31FC6" w:rsidRPr="00D51914" w:rsidRDefault="00C31FC6" w:rsidP="00FB3763">
            <w:pPr>
              <w:rPr>
                <w:rFonts w:ascii="Tahoma" w:hAnsi="Tahoma" w:cs="Tahoma"/>
                <w:b/>
                <w:bCs/>
                <w:sz w:val="16"/>
                <w:szCs w:val="16"/>
                <w:lang w:val="fr-CH" w:eastAsia="fr-CH"/>
              </w:rPr>
            </w:pPr>
            <w:r w:rsidRPr="00D51914">
              <w:rPr>
                <w:rFonts w:ascii="Tahoma" w:hAnsi="Tahoma" w:cs="Tahoma"/>
                <w:b/>
                <w:bCs/>
                <w:sz w:val="16"/>
                <w:szCs w:val="16"/>
                <w:lang w:val="fr-CH" w:eastAsia="fr-CH"/>
              </w:rPr>
              <w:t>Report</w:t>
            </w:r>
          </w:p>
        </w:tc>
        <w:tc>
          <w:tcPr>
            <w:tcW w:w="965" w:type="dxa"/>
            <w:tcBorders>
              <w:top w:val="nil"/>
              <w:left w:val="nil"/>
              <w:bottom w:val="single" w:sz="4" w:space="0" w:color="auto"/>
              <w:right w:val="single" w:sz="4" w:space="0" w:color="auto"/>
            </w:tcBorders>
            <w:shd w:val="clear" w:color="000000" w:fill="FDE9D9"/>
            <w:noWrap/>
            <w:vAlign w:val="center"/>
            <w:hideMark/>
          </w:tcPr>
          <w:p w:rsidR="00C31FC6" w:rsidRPr="00D51914" w:rsidRDefault="00C31FC6" w:rsidP="003016F1">
            <w:pPr>
              <w:jc w:val="right"/>
              <w:rPr>
                <w:rFonts w:ascii="Tahoma" w:hAnsi="Tahoma" w:cs="Tahoma"/>
                <w:b/>
                <w:bCs/>
                <w:sz w:val="16"/>
                <w:szCs w:val="16"/>
                <w:lang w:val="fr-CH" w:eastAsia="fr-CH"/>
              </w:rPr>
            </w:pPr>
            <w:r w:rsidRPr="00D51914">
              <w:rPr>
                <w:rFonts w:ascii="Tahoma" w:hAnsi="Tahoma" w:cs="Tahoma"/>
                <w:b/>
                <w:bCs/>
                <w:sz w:val="16"/>
                <w:szCs w:val="16"/>
                <w:lang w:val="fr-CH" w:eastAsia="fr-CH"/>
              </w:rPr>
              <w:t>119'668</w:t>
            </w:r>
            <w:r>
              <w:rPr>
                <w:rFonts w:ascii="Tahoma" w:hAnsi="Tahoma" w:cs="Tahoma"/>
                <w:b/>
                <w:bCs/>
                <w:sz w:val="16"/>
                <w:szCs w:val="16"/>
                <w:lang w:val="fr-CH" w:eastAsia="fr-CH"/>
              </w:rPr>
              <w:t xml:space="preserve"> </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Colombia</w:t>
            </w:r>
          </w:p>
        </w:tc>
        <w:tc>
          <w:tcPr>
            <w:tcW w:w="101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10'728</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Mexico</w:t>
            </w:r>
          </w:p>
        </w:tc>
        <w:tc>
          <w:tcPr>
            <w:tcW w:w="96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40'231</w:t>
            </w:r>
            <w:r>
              <w:rPr>
                <w:rFonts w:ascii="Tahoma" w:hAnsi="Tahoma" w:cs="Tahoma"/>
                <w:sz w:val="16"/>
                <w:szCs w:val="16"/>
                <w:lang w:val="fr-CH" w:eastAsia="fr-CH"/>
              </w:rPr>
              <w:t xml:space="preserve"> </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lastRenderedPageBreak/>
              <w:t>Bulgaria</w:t>
            </w:r>
          </w:p>
        </w:tc>
        <w:tc>
          <w:tcPr>
            <w:tcW w:w="101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10'728</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Norway</w:t>
            </w:r>
          </w:p>
        </w:tc>
        <w:tc>
          <w:tcPr>
            <w:tcW w:w="96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53'641</w:t>
            </w:r>
            <w:r>
              <w:rPr>
                <w:rFonts w:ascii="Tahoma" w:hAnsi="Tahoma" w:cs="Tahoma"/>
                <w:sz w:val="16"/>
                <w:szCs w:val="16"/>
                <w:lang w:val="fr-CH" w:eastAsia="fr-CH"/>
              </w:rPr>
              <w:t xml:space="preserve"> </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Latvia</w:t>
            </w:r>
          </w:p>
        </w:tc>
        <w:tc>
          <w:tcPr>
            <w:tcW w:w="101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7'023</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Panama</w:t>
            </w:r>
          </w:p>
        </w:tc>
        <w:tc>
          <w:tcPr>
            <w:tcW w:w="96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648</w:t>
            </w:r>
            <w:r>
              <w:rPr>
                <w:rFonts w:ascii="Tahoma" w:hAnsi="Tahoma" w:cs="Tahoma"/>
                <w:sz w:val="16"/>
                <w:szCs w:val="16"/>
                <w:lang w:val="fr-CH" w:eastAsia="fr-CH"/>
              </w:rPr>
              <w:t xml:space="preserve"> </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Slovakia</w:t>
            </w:r>
          </w:p>
        </w:tc>
        <w:tc>
          <w:tcPr>
            <w:tcW w:w="101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26'820</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Mexico (2015)</w:t>
            </w:r>
          </w:p>
        </w:tc>
        <w:tc>
          <w:tcPr>
            <w:tcW w:w="96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11'568</w:t>
            </w:r>
            <w:r>
              <w:rPr>
                <w:rFonts w:ascii="Tahoma" w:hAnsi="Tahoma" w:cs="Tahoma"/>
                <w:sz w:val="16"/>
                <w:szCs w:val="16"/>
                <w:lang w:val="fr-CH" w:eastAsia="fr-CH"/>
              </w:rPr>
              <w:t xml:space="preserve"> </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Costa Rica</w:t>
            </w:r>
          </w:p>
        </w:tc>
        <w:tc>
          <w:tcPr>
            <w:tcW w:w="101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10'728</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FB3763">
            <w:pPr>
              <w:rPr>
                <w:rFonts w:ascii="Tahoma" w:hAnsi="Tahoma" w:cs="Tahoma"/>
                <w:sz w:val="16"/>
                <w:szCs w:val="16"/>
                <w:lang w:val="fr-CH" w:eastAsia="fr-CH"/>
              </w:rPr>
            </w:pPr>
            <w:r w:rsidRPr="00D51914">
              <w:rPr>
                <w:rFonts w:ascii="Tahoma" w:hAnsi="Tahoma" w:cs="Tahoma"/>
                <w:sz w:val="16"/>
                <w:szCs w:val="16"/>
                <w:lang w:val="fr-CH" w:eastAsia="fr-CH"/>
              </w:rPr>
              <w:t>Bulgaria (2015)</w:t>
            </w:r>
          </w:p>
        </w:tc>
        <w:tc>
          <w:tcPr>
            <w:tcW w:w="965" w:type="dxa"/>
            <w:tcBorders>
              <w:top w:val="nil"/>
              <w:left w:val="nil"/>
              <w:bottom w:val="single" w:sz="4" w:space="0" w:color="auto"/>
              <w:right w:val="single" w:sz="4" w:space="0" w:color="auto"/>
            </w:tcBorders>
            <w:shd w:val="clear" w:color="auto" w:fill="auto"/>
            <w:noWrap/>
            <w:vAlign w:val="center"/>
            <w:hideMark/>
          </w:tcPr>
          <w:p w:rsidR="00C31FC6" w:rsidRPr="00D51914" w:rsidRDefault="00C31FC6" w:rsidP="003016F1">
            <w:pPr>
              <w:jc w:val="right"/>
              <w:rPr>
                <w:rFonts w:ascii="Tahoma" w:hAnsi="Tahoma" w:cs="Tahoma"/>
                <w:sz w:val="16"/>
                <w:szCs w:val="16"/>
                <w:lang w:val="fr-CH" w:eastAsia="fr-CH"/>
              </w:rPr>
            </w:pPr>
            <w:r w:rsidRPr="00D51914">
              <w:rPr>
                <w:rFonts w:ascii="Tahoma" w:hAnsi="Tahoma" w:cs="Tahoma"/>
                <w:sz w:val="16"/>
                <w:szCs w:val="16"/>
                <w:lang w:val="fr-CH" w:eastAsia="fr-CH"/>
              </w:rPr>
              <w:t>10'728</w:t>
            </w:r>
            <w:r>
              <w:rPr>
                <w:rFonts w:ascii="Tahoma" w:hAnsi="Tahoma" w:cs="Tahoma"/>
                <w:sz w:val="16"/>
                <w:szCs w:val="16"/>
                <w:lang w:val="fr-CH" w:eastAsia="fr-CH"/>
              </w:rPr>
              <w:t xml:space="preserve"> </w:t>
            </w:r>
          </w:p>
        </w:tc>
      </w:tr>
      <w:tr w:rsidR="00C31FC6" w:rsidRPr="00FB3763" w:rsidTr="003016F1">
        <w:trPr>
          <w:trHeight w:val="244"/>
          <w:jc w:val="center"/>
        </w:trPr>
        <w:tc>
          <w:tcPr>
            <w:tcW w:w="1319" w:type="dxa"/>
            <w:tcBorders>
              <w:top w:val="nil"/>
              <w:left w:val="single" w:sz="4" w:space="0" w:color="auto"/>
              <w:bottom w:val="single" w:sz="4" w:space="0" w:color="auto"/>
              <w:right w:val="single" w:sz="4" w:space="0" w:color="auto"/>
            </w:tcBorders>
            <w:shd w:val="clear" w:color="000000" w:fill="FDE9D9"/>
            <w:noWrap/>
            <w:vAlign w:val="center"/>
            <w:hideMark/>
          </w:tcPr>
          <w:p w:rsidR="00C31FC6" w:rsidRPr="00D51914" w:rsidRDefault="00C31FC6" w:rsidP="00FB3763">
            <w:pPr>
              <w:rPr>
                <w:rFonts w:ascii="Tahoma" w:hAnsi="Tahoma" w:cs="Tahoma"/>
                <w:b/>
                <w:bCs/>
                <w:sz w:val="16"/>
                <w:szCs w:val="16"/>
                <w:lang w:val="fr-CH" w:eastAsia="fr-CH"/>
              </w:rPr>
            </w:pPr>
            <w:r w:rsidRPr="00D51914">
              <w:rPr>
                <w:rFonts w:ascii="Tahoma" w:hAnsi="Tahoma" w:cs="Tahoma"/>
                <w:b/>
                <w:bCs/>
                <w:sz w:val="16"/>
                <w:szCs w:val="16"/>
                <w:lang w:val="fr-CH" w:eastAsia="fr-CH"/>
              </w:rPr>
              <w:t>A reporter</w:t>
            </w:r>
          </w:p>
        </w:tc>
        <w:tc>
          <w:tcPr>
            <w:tcW w:w="1015" w:type="dxa"/>
            <w:tcBorders>
              <w:top w:val="nil"/>
              <w:left w:val="nil"/>
              <w:bottom w:val="single" w:sz="4" w:space="0" w:color="auto"/>
              <w:right w:val="single" w:sz="4" w:space="0" w:color="auto"/>
            </w:tcBorders>
            <w:shd w:val="clear" w:color="000000" w:fill="FDE9D9"/>
            <w:noWrap/>
            <w:vAlign w:val="center"/>
            <w:hideMark/>
          </w:tcPr>
          <w:p w:rsidR="00C31FC6" w:rsidRPr="00D51914" w:rsidRDefault="00C31FC6" w:rsidP="003016F1">
            <w:pPr>
              <w:jc w:val="right"/>
              <w:rPr>
                <w:rFonts w:ascii="Tahoma" w:hAnsi="Tahoma" w:cs="Tahoma"/>
                <w:b/>
                <w:bCs/>
                <w:sz w:val="16"/>
                <w:szCs w:val="16"/>
                <w:lang w:val="fr-CH" w:eastAsia="fr-CH"/>
              </w:rPr>
            </w:pPr>
            <w:r w:rsidRPr="00D51914">
              <w:rPr>
                <w:rFonts w:ascii="Tahoma" w:hAnsi="Tahoma" w:cs="Tahoma"/>
                <w:b/>
                <w:bCs/>
                <w:sz w:val="16"/>
                <w:szCs w:val="16"/>
                <w:lang w:val="fr-CH" w:eastAsia="fr-CH"/>
              </w:rPr>
              <w:t>119'668</w:t>
            </w:r>
            <w:r>
              <w:rPr>
                <w:rFonts w:ascii="Tahoma" w:hAnsi="Tahoma" w:cs="Tahoma"/>
                <w:b/>
                <w:bCs/>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hideMark/>
          </w:tcPr>
          <w:p w:rsidR="00C31FC6" w:rsidRPr="00FB3763" w:rsidRDefault="00C31FC6" w:rsidP="00FB3763">
            <w:pPr>
              <w:rPr>
                <w:lang w:val="fr-CH" w:eastAsia="fr-CH"/>
              </w:rPr>
            </w:pPr>
          </w:p>
        </w:tc>
        <w:tc>
          <w:tcPr>
            <w:tcW w:w="1259" w:type="dxa"/>
            <w:tcBorders>
              <w:top w:val="nil"/>
              <w:left w:val="nil"/>
              <w:bottom w:val="single" w:sz="4" w:space="0" w:color="auto"/>
              <w:right w:val="single" w:sz="4" w:space="0" w:color="auto"/>
            </w:tcBorders>
            <w:shd w:val="clear" w:color="000000" w:fill="FFC000"/>
            <w:noWrap/>
            <w:vAlign w:val="center"/>
            <w:hideMark/>
          </w:tcPr>
          <w:p w:rsidR="00C31FC6" w:rsidRPr="00D51914" w:rsidRDefault="00C31FC6" w:rsidP="00FB3763">
            <w:pPr>
              <w:rPr>
                <w:rFonts w:ascii="Tahoma" w:hAnsi="Tahoma" w:cs="Tahoma"/>
                <w:b/>
                <w:bCs/>
                <w:sz w:val="16"/>
                <w:szCs w:val="16"/>
                <w:lang w:val="fr-CH" w:eastAsia="fr-CH"/>
              </w:rPr>
            </w:pPr>
            <w:r w:rsidRPr="00D51914">
              <w:rPr>
                <w:rFonts w:ascii="Tahoma" w:hAnsi="Tahoma" w:cs="Tahoma"/>
                <w:b/>
                <w:bCs/>
                <w:sz w:val="16"/>
                <w:szCs w:val="16"/>
                <w:lang w:val="fr-CH" w:eastAsia="fr-CH"/>
              </w:rPr>
              <w:t>Total avances</w:t>
            </w:r>
          </w:p>
        </w:tc>
        <w:tc>
          <w:tcPr>
            <w:tcW w:w="965" w:type="dxa"/>
            <w:tcBorders>
              <w:top w:val="nil"/>
              <w:left w:val="nil"/>
              <w:bottom w:val="single" w:sz="4" w:space="0" w:color="auto"/>
              <w:right w:val="single" w:sz="4" w:space="0" w:color="auto"/>
            </w:tcBorders>
            <w:shd w:val="clear" w:color="000000" w:fill="FFC000"/>
            <w:noWrap/>
            <w:vAlign w:val="center"/>
            <w:hideMark/>
          </w:tcPr>
          <w:p w:rsidR="00C31FC6" w:rsidRPr="00D51914" w:rsidRDefault="00C31FC6" w:rsidP="003016F1">
            <w:pPr>
              <w:jc w:val="right"/>
              <w:rPr>
                <w:rFonts w:ascii="Tahoma" w:hAnsi="Tahoma" w:cs="Tahoma"/>
                <w:b/>
                <w:bCs/>
                <w:sz w:val="16"/>
                <w:szCs w:val="16"/>
                <w:lang w:val="fr-CH" w:eastAsia="fr-CH"/>
              </w:rPr>
            </w:pPr>
            <w:r w:rsidRPr="00D51914">
              <w:rPr>
                <w:rFonts w:ascii="Tahoma" w:hAnsi="Tahoma" w:cs="Tahoma"/>
                <w:b/>
                <w:bCs/>
                <w:sz w:val="16"/>
                <w:szCs w:val="16"/>
                <w:lang w:val="fr-CH" w:eastAsia="fr-CH"/>
              </w:rPr>
              <w:t>236'484</w:t>
            </w:r>
            <w:r>
              <w:rPr>
                <w:rFonts w:ascii="Tahoma" w:hAnsi="Tahoma" w:cs="Tahoma"/>
                <w:b/>
                <w:bCs/>
                <w:sz w:val="16"/>
                <w:szCs w:val="16"/>
                <w:lang w:val="fr-CH" w:eastAsia="fr-CH"/>
              </w:rPr>
              <w:t xml:space="preserve"> </w:t>
            </w:r>
          </w:p>
        </w:tc>
      </w:tr>
    </w:tbl>
    <w:p w:rsidR="00C31FC6" w:rsidRPr="00A03CEA" w:rsidRDefault="00C31FC6" w:rsidP="00E14559">
      <w:pPr>
        <w:tabs>
          <w:tab w:val="left" w:pos="737"/>
          <w:tab w:val="left" w:pos="993"/>
          <w:tab w:val="left" w:pos="1985"/>
          <w:tab w:val="left" w:pos="2410"/>
          <w:tab w:val="right" w:pos="9356"/>
        </w:tabs>
        <w:overflowPunct w:val="0"/>
        <w:autoSpaceDE w:val="0"/>
        <w:autoSpaceDN w:val="0"/>
        <w:adjustRightInd w:val="0"/>
        <w:spacing w:after="240"/>
        <w:ind w:left="851" w:right="284"/>
        <w:textAlignment w:val="baseline"/>
        <w:rPr>
          <w:rFonts w:ascii="Tahoma" w:hAnsi="Tahoma" w:cs="Tahoma"/>
          <w:highlight w:val="yellow"/>
          <w:lang w:val="fr-FR"/>
        </w:rPr>
      </w:pPr>
      <w:r>
        <w:rPr>
          <w:rFonts w:ascii="Tahoma" w:hAnsi="Tahoma" w:cs="Tahoma"/>
          <w:b/>
          <w:lang w:val="fr-FR"/>
        </w:rPr>
        <w:tab/>
      </w:r>
      <w:r>
        <w:rPr>
          <w:rFonts w:ascii="Tahoma" w:hAnsi="Tahoma" w:cs="Tahoma"/>
          <w:b/>
          <w:lang w:val="fr-FR"/>
        </w:rPr>
        <w:tab/>
      </w:r>
      <w:r>
        <w:rPr>
          <w:rFonts w:ascii="Tahoma" w:hAnsi="Tahoma" w:cs="Tahoma"/>
          <w:b/>
          <w:lang w:val="fr-FR"/>
        </w:rPr>
        <w:tab/>
      </w:r>
      <w:r w:rsidRPr="00431D74">
        <w:rPr>
          <w:rFonts w:ascii="Tahoma" w:hAnsi="Tahoma" w:cs="Tahoma"/>
          <w:b/>
          <w:lang w:val="fr-FR"/>
        </w:rPr>
        <w:t xml:space="preserve">Tableau </w:t>
      </w:r>
      <w:r>
        <w:rPr>
          <w:rFonts w:ascii="Tahoma" w:hAnsi="Tahoma" w:cs="Tahoma"/>
          <w:b/>
          <w:lang w:val="fr-FR"/>
        </w:rPr>
        <w:t>2</w:t>
      </w:r>
      <w:r w:rsidRPr="00431D74">
        <w:rPr>
          <w:rFonts w:ascii="Tahoma" w:hAnsi="Tahoma" w:cs="Tahoma"/>
          <w:b/>
          <w:lang w:val="fr-FR"/>
        </w:rPr>
        <w:t> :</w:t>
      </w:r>
      <w:r>
        <w:rPr>
          <w:rFonts w:ascii="Tahoma" w:hAnsi="Tahoma" w:cs="Tahoma"/>
          <w:b/>
          <w:lang w:val="fr-FR"/>
        </w:rPr>
        <w:t xml:space="preserve"> Etats membres en avance de paiement</w:t>
      </w:r>
    </w:p>
    <w:p w:rsidR="00C31FC6" w:rsidRPr="00C000C5"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C000C5">
        <w:rPr>
          <w:rFonts w:ascii="Tahoma" w:hAnsi="Tahoma" w:cs="Tahoma"/>
          <w:lang w:val="fr-FR"/>
        </w:rPr>
        <w:t>Le Japon et les Etats-Unis d’Amérique contribuent de manière volontaire à des dépenses spécifique</w:t>
      </w:r>
      <w:r>
        <w:rPr>
          <w:rFonts w:ascii="Tahoma" w:hAnsi="Tahoma" w:cs="Tahoma"/>
          <w:lang w:val="fr-FR"/>
        </w:rPr>
        <w:t>s</w:t>
      </w:r>
      <w:r w:rsidRPr="00C000C5">
        <w:rPr>
          <w:rFonts w:ascii="Tahoma" w:hAnsi="Tahoma" w:cs="Tahoma"/>
          <w:lang w:val="fr-FR"/>
        </w:rPr>
        <w:t>. Le contrôle par sondages de mouvements comptables permet de valider cette rubrique.</w:t>
      </w:r>
    </w:p>
    <w:p w:rsidR="00C31FC6" w:rsidRPr="000A7CC8"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fr-CH"/>
        </w:rPr>
      </w:pPr>
      <w:r w:rsidRPr="000A7CC8">
        <w:rPr>
          <w:rFonts w:ascii="Tahoma" w:hAnsi="Tahoma" w:cs="Tahoma"/>
          <w:lang w:val="fr-CH"/>
        </w:rPr>
        <w:t>Les transactions intersociétés passent par des comptes de liaison</w:t>
      </w:r>
    </w:p>
    <w:p w:rsidR="00C31FC6" w:rsidRPr="000A7CC8"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0A7CC8">
        <w:rPr>
          <w:rFonts w:ascii="Tahoma" w:hAnsi="Tahoma" w:cs="Tahoma"/>
          <w:lang w:val="fr-CH"/>
        </w:rPr>
        <w:t xml:space="preserve">Les </w:t>
      </w:r>
      <w:r>
        <w:rPr>
          <w:rFonts w:ascii="Tahoma" w:hAnsi="Tahoma" w:cs="Tahoma"/>
          <w:lang w:val="fr-CH"/>
        </w:rPr>
        <w:t xml:space="preserve">transactions financières </w:t>
      </w:r>
      <w:r w:rsidRPr="000A7CC8">
        <w:rPr>
          <w:rFonts w:ascii="Tahoma" w:hAnsi="Tahoma" w:cs="Tahoma"/>
          <w:lang w:val="fr-CH"/>
        </w:rPr>
        <w:t xml:space="preserve">entre </w:t>
      </w:r>
      <w:r>
        <w:rPr>
          <w:rFonts w:ascii="Tahoma" w:hAnsi="Tahoma" w:cs="Tahoma"/>
          <w:lang w:val="fr-CH"/>
        </w:rPr>
        <w:t>l’OMPI, l’UPOV et FITSU (fonds volontaires) sont comptabili</w:t>
      </w:r>
      <w:r>
        <w:rPr>
          <w:rFonts w:ascii="Tahoma" w:hAnsi="Tahoma" w:cs="Tahoma"/>
          <w:lang w:val="fr-CH"/>
        </w:rPr>
        <w:softHyphen/>
        <w:t xml:space="preserve">sées par le biais de comptes de passage. Les soldes des comptes en lien avec l’OMPI ont pu être validés à l’appui d’un extrait du bilan de l’OMPI. </w:t>
      </w:r>
      <w:r w:rsidRPr="000A7CC8">
        <w:rPr>
          <w:rFonts w:ascii="Tahoma" w:hAnsi="Tahoma" w:cs="Tahoma"/>
          <w:lang w:val="fr-CH"/>
        </w:rPr>
        <w:t>Les soldes de clôture de ces comptes peuvent être actifs ou passifs. La vérification par sondages d’</w:t>
      </w:r>
      <w:r>
        <w:rPr>
          <w:rFonts w:ascii="Tahoma" w:hAnsi="Tahoma" w:cs="Tahoma"/>
          <w:lang w:val="fr-CH"/>
        </w:rPr>
        <w:t>écritures comptabilisées en 2013</w:t>
      </w:r>
      <w:r w:rsidRPr="000A7CC8">
        <w:rPr>
          <w:rFonts w:ascii="Tahoma" w:hAnsi="Tahoma" w:cs="Tahoma"/>
          <w:lang w:val="fr-CH"/>
        </w:rPr>
        <w:t xml:space="preserve"> </w:t>
      </w:r>
      <w:r>
        <w:rPr>
          <w:rFonts w:ascii="Tahoma" w:hAnsi="Tahoma" w:cs="Tahoma"/>
          <w:lang w:val="fr-CH"/>
        </w:rPr>
        <w:t>nous</w:t>
      </w:r>
      <w:r w:rsidRPr="000A7CC8">
        <w:rPr>
          <w:rFonts w:ascii="Tahoma" w:hAnsi="Tahoma" w:cs="Tahoma"/>
          <w:lang w:val="fr-CH"/>
        </w:rPr>
        <w:t xml:space="preserve"> permet de confirmer</w:t>
      </w:r>
      <w:r>
        <w:rPr>
          <w:rFonts w:ascii="Tahoma" w:hAnsi="Tahoma" w:cs="Tahoma"/>
          <w:lang w:val="fr-CH"/>
        </w:rPr>
        <w:t xml:space="preserve"> les deux soldes à fin 2013. Ils sont </w:t>
      </w:r>
      <w:r w:rsidRPr="000A7CC8">
        <w:rPr>
          <w:rFonts w:ascii="Tahoma" w:hAnsi="Tahoma" w:cs="Tahoma"/>
          <w:lang w:val="fr-CH"/>
        </w:rPr>
        <w:t xml:space="preserve">présentés au passif du bilan pour une valeur globale proche de </w:t>
      </w:r>
      <w:r>
        <w:rPr>
          <w:rFonts w:ascii="Tahoma" w:hAnsi="Tahoma" w:cs="Tahoma"/>
          <w:lang w:val="fr-CH"/>
        </w:rPr>
        <w:t>542</w:t>
      </w:r>
      <w:r w:rsidRPr="000A7CC8">
        <w:rPr>
          <w:rFonts w:ascii="Tahoma" w:hAnsi="Tahoma" w:cs="Tahoma"/>
          <w:lang w:val="fr-CH"/>
        </w:rPr>
        <w:t>'000</w:t>
      </w:r>
      <w:r>
        <w:rPr>
          <w:rFonts w:ascii="Tahoma" w:hAnsi="Tahoma" w:cs="Tahoma"/>
          <w:lang w:val="fr-CH"/>
        </w:rPr>
        <w:t xml:space="preserve"> francs</w:t>
      </w:r>
      <w:r w:rsidRPr="000A7CC8">
        <w:rPr>
          <w:rFonts w:ascii="Tahoma" w:hAnsi="Tahoma" w:cs="Tahoma"/>
          <w:lang w:val="fr-CH"/>
        </w:rPr>
        <w:t>.</w:t>
      </w:r>
    </w:p>
    <w:p w:rsidR="00C31FC6" w:rsidRPr="00C36CC5"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lang w:val="fr-CH"/>
        </w:rPr>
      </w:pPr>
      <w:r w:rsidRPr="00C36CC5">
        <w:rPr>
          <w:rFonts w:ascii="Tahoma" w:hAnsi="Tahoma" w:cs="Tahoma"/>
          <w:lang w:val="fr-CH"/>
        </w:rPr>
        <w:t xml:space="preserve">Avantages au personnel : des provisions </w:t>
      </w:r>
      <w:r>
        <w:rPr>
          <w:rFonts w:ascii="Tahoma" w:hAnsi="Tahoma" w:cs="Tahoma"/>
          <w:lang w:val="fr-CH"/>
        </w:rPr>
        <w:t xml:space="preserve">conformes aux normes </w:t>
      </w:r>
      <w:r w:rsidRPr="00C36CC5">
        <w:rPr>
          <w:rFonts w:ascii="Tahoma" w:hAnsi="Tahoma" w:cs="Tahoma"/>
          <w:lang w:val="fr-CH"/>
        </w:rPr>
        <w:t>IPSAS</w:t>
      </w:r>
    </w:p>
    <w:p w:rsidR="00C31FC6" w:rsidRPr="00E92944"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E92944">
        <w:rPr>
          <w:rFonts w:ascii="Tahoma" w:hAnsi="Tahoma" w:cs="Tahoma"/>
          <w:lang w:val="fr-FR"/>
        </w:rPr>
        <w:t xml:space="preserve">Comparativement à 2013, les provisions pour les avantages au personnel sont de 5% plus élevées qu’en 2012. </w:t>
      </w:r>
      <w:r>
        <w:rPr>
          <w:rFonts w:ascii="Tahoma" w:hAnsi="Tahoma" w:cs="Tahoma"/>
          <w:lang w:val="fr-FR"/>
        </w:rPr>
        <w:t>En effet, e</w:t>
      </w:r>
      <w:r w:rsidRPr="00E92944">
        <w:rPr>
          <w:rFonts w:ascii="Tahoma" w:hAnsi="Tahoma" w:cs="Tahoma"/>
          <w:lang w:val="fr-FR"/>
        </w:rPr>
        <w:t>lles s</w:t>
      </w:r>
      <w:r>
        <w:rPr>
          <w:rFonts w:ascii="Tahoma" w:hAnsi="Tahoma" w:cs="Tahoma"/>
          <w:lang w:val="fr-FR"/>
        </w:rPr>
        <w:t>e montent à plus de 1'</w:t>
      </w:r>
      <w:r w:rsidRPr="00E92944">
        <w:rPr>
          <w:rFonts w:ascii="Tahoma" w:hAnsi="Tahoma" w:cs="Tahoma"/>
          <w:lang w:val="fr-FR"/>
        </w:rPr>
        <w:t>2</w:t>
      </w:r>
      <w:r>
        <w:rPr>
          <w:rFonts w:ascii="Tahoma" w:hAnsi="Tahoma" w:cs="Tahoma"/>
          <w:lang w:val="fr-FR"/>
        </w:rPr>
        <w:t>07’000</w:t>
      </w:r>
      <w:r w:rsidRPr="00E92944">
        <w:rPr>
          <w:rFonts w:ascii="Tahoma" w:hAnsi="Tahoma" w:cs="Tahoma"/>
          <w:lang w:val="fr-FR"/>
        </w:rPr>
        <w:t xml:space="preserve"> francs. L</w:t>
      </w:r>
      <w:r>
        <w:rPr>
          <w:rFonts w:ascii="Tahoma" w:hAnsi="Tahoma" w:cs="Tahoma"/>
          <w:lang w:val="fr-FR"/>
        </w:rPr>
        <w:t>eur</w:t>
      </w:r>
      <w:r w:rsidRPr="00E92944">
        <w:rPr>
          <w:rFonts w:ascii="Tahoma" w:hAnsi="Tahoma" w:cs="Tahoma"/>
          <w:lang w:val="fr-FR"/>
        </w:rPr>
        <w:t xml:space="preserve"> hausse provient </w:t>
      </w:r>
      <w:r>
        <w:rPr>
          <w:rFonts w:ascii="Tahoma" w:hAnsi="Tahoma" w:cs="Tahoma"/>
          <w:lang w:val="fr-FR"/>
        </w:rPr>
        <w:t xml:space="preserve">principalement </w:t>
      </w:r>
      <w:r w:rsidRPr="00E92944">
        <w:rPr>
          <w:rFonts w:ascii="Tahoma" w:hAnsi="Tahoma" w:cs="Tahoma"/>
          <w:lang w:val="fr-FR"/>
        </w:rPr>
        <w:t>des engagements à plus d’un an</w:t>
      </w:r>
      <w:r>
        <w:rPr>
          <w:rFonts w:ascii="Tahoma" w:hAnsi="Tahoma" w:cs="Tahoma"/>
          <w:lang w:val="fr-FR"/>
        </w:rPr>
        <w:t>, comme le démontre le tableau ci-dessous :</w:t>
      </w:r>
    </w:p>
    <w:tbl>
      <w:tblPr>
        <w:tblW w:w="7771" w:type="dxa"/>
        <w:jc w:val="center"/>
        <w:tblInd w:w="55" w:type="dxa"/>
        <w:tblCellMar>
          <w:left w:w="70" w:type="dxa"/>
          <w:right w:w="70" w:type="dxa"/>
        </w:tblCellMar>
        <w:tblLook w:val="04A0" w:firstRow="1" w:lastRow="0" w:firstColumn="1" w:lastColumn="0" w:noHBand="0" w:noVBand="1"/>
      </w:tblPr>
      <w:tblGrid>
        <w:gridCol w:w="4171"/>
        <w:gridCol w:w="1215"/>
        <w:gridCol w:w="1215"/>
        <w:gridCol w:w="1170"/>
      </w:tblGrid>
      <w:tr w:rsidR="00C31FC6" w:rsidRPr="00E8432D" w:rsidTr="00E92944">
        <w:trPr>
          <w:trHeight w:val="399"/>
          <w:jc w:val="center"/>
        </w:trPr>
        <w:tc>
          <w:tcPr>
            <w:tcW w:w="417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31FC6" w:rsidRPr="00E8432D" w:rsidRDefault="00C31FC6" w:rsidP="00D83C1E">
            <w:pPr>
              <w:rPr>
                <w:rFonts w:ascii="Tahoma" w:hAnsi="Tahoma" w:cs="Tahoma"/>
                <w:b/>
                <w:bCs/>
                <w:sz w:val="18"/>
                <w:szCs w:val="18"/>
                <w:lang w:val="fr-CH" w:eastAsia="fr-CH"/>
              </w:rPr>
            </w:pPr>
            <w:r w:rsidRPr="00E8432D">
              <w:rPr>
                <w:rFonts w:ascii="Tahoma" w:hAnsi="Tahoma" w:cs="Tahoma"/>
                <w:b/>
                <w:bCs/>
                <w:sz w:val="18"/>
                <w:szCs w:val="18"/>
                <w:lang w:val="fr-FR" w:eastAsia="fr-CH"/>
              </w:rPr>
              <w:t xml:space="preserve">Avantages au personnel courants  </w:t>
            </w:r>
          </w:p>
        </w:tc>
        <w:tc>
          <w:tcPr>
            <w:tcW w:w="1215" w:type="dxa"/>
            <w:tcBorders>
              <w:top w:val="single" w:sz="8" w:space="0" w:color="auto"/>
              <w:left w:val="nil"/>
              <w:bottom w:val="single" w:sz="8" w:space="0" w:color="auto"/>
              <w:right w:val="single" w:sz="8" w:space="0" w:color="auto"/>
            </w:tcBorders>
            <w:shd w:val="clear" w:color="000000" w:fill="D9D9D9"/>
            <w:noWrap/>
            <w:vAlign w:val="center"/>
            <w:hideMark/>
          </w:tcPr>
          <w:p w:rsidR="00C31FC6" w:rsidRPr="00E8432D" w:rsidRDefault="00C31FC6" w:rsidP="00D83C1E">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31.12.2013</w:t>
            </w:r>
          </w:p>
        </w:tc>
        <w:tc>
          <w:tcPr>
            <w:tcW w:w="1215" w:type="dxa"/>
            <w:tcBorders>
              <w:top w:val="single" w:sz="8" w:space="0" w:color="auto"/>
              <w:left w:val="nil"/>
              <w:bottom w:val="single" w:sz="8" w:space="0" w:color="auto"/>
              <w:right w:val="single" w:sz="8" w:space="0" w:color="auto"/>
            </w:tcBorders>
            <w:shd w:val="clear" w:color="000000" w:fill="D9D9D9"/>
            <w:noWrap/>
            <w:vAlign w:val="center"/>
            <w:hideMark/>
          </w:tcPr>
          <w:p w:rsidR="00C31FC6" w:rsidRPr="00E8432D" w:rsidRDefault="00C31FC6" w:rsidP="00D83C1E">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31.12.2012</w:t>
            </w:r>
          </w:p>
        </w:tc>
        <w:tc>
          <w:tcPr>
            <w:tcW w:w="1170" w:type="dxa"/>
            <w:tcBorders>
              <w:top w:val="single" w:sz="8" w:space="0" w:color="auto"/>
              <w:left w:val="nil"/>
              <w:bottom w:val="single" w:sz="8" w:space="0" w:color="auto"/>
              <w:right w:val="single" w:sz="8" w:space="0" w:color="auto"/>
            </w:tcBorders>
            <w:shd w:val="clear" w:color="000000" w:fill="D9D9D9"/>
            <w:vAlign w:val="center"/>
            <w:hideMark/>
          </w:tcPr>
          <w:p w:rsidR="00C31FC6" w:rsidRPr="00E8432D" w:rsidRDefault="00C31FC6" w:rsidP="00D83C1E">
            <w:pPr>
              <w:jc w:val="center"/>
              <w:rPr>
                <w:rFonts w:ascii="Tahoma" w:hAnsi="Tahoma" w:cs="Tahoma"/>
                <w:b/>
                <w:bCs/>
                <w:sz w:val="18"/>
                <w:szCs w:val="18"/>
                <w:lang w:val="fr-CH" w:eastAsia="fr-CH"/>
              </w:rPr>
            </w:pPr>
            <w:r w:rsidRPr="00E8432D">
              <w:rPr>
                <w:rFonts w:ascii="Tahoma" w:hAnsi="Tahoma" w:cs="Tahoma"/>
                <w:b/>
                <w:bCs/>
                <w:sz w:val="18"/>
                <w:szCs w:val="18"/>
                <w:lang w:val="fr-CH" w:eastAsia="fr-CH"/>
              </w:rPr>
              <w:t xml:space="preserve">Ecart 2013 </w:t>
            </w:r>
            <w:r w:rsidRPr="00E8432D">
              <w:rPr>
                <w:rFonts w:ascii="Tahoma" w:hAnsi="Tahoma" w:cs="Tahoma"/>
                <w:b/>
                <w:bCs/>
                <w:sz w:val="18"/>
                <w:szCs w:val="18"/>
                <w:lang w:val="fr-CH" w:eastAsia="fr-CH"/>
              </w:rPr>
              <w:br/>
              <w:t>vs 2012</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ASHI (caisse maladie)</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-80'260</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-82'444</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2'184</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prime de rapatriement</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-16'127</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-11'884</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-4'243</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pour congé accumulés</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-29'551</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-49'318</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19'768</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  frais d'étude</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-12'054</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0</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-12'054</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pour congé dans les foyers</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0</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-6'202</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6'202</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p. heures supplémentaires et variables</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-14'533</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-6'069</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-8'464</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000000" w:fill="D8E4BC"/>
            <w:noWrap/>
            <w:vAlign w:val="center"/>
            <w:hideMark/>
          </w:tcPr>
          <w:p w:rsidR="00C31FC6" w:rsidRPr="00E8432D" w:rsidRDefault="00C31FC6" w:rsidP="00D83C1E">
            <w:pPr>
              <w:rPr>
                <w:rFonts w:ascii="Tahoma" w:hAnsi="Tahoma" w:cs="Tahoma"/>
                <w:b/>
                <w:bCs/>
                <w:sz w:val="18"/>
                <w:szCs w:val="18"/>
                <w:lang w:val="fr-CH" w:eastAsia="fr-CH"/>
              </w:rPr>
            </w:pPr>
            <w:r w:rsidRPr="00E8432D">
              <w:rPr>
                <w:rFonts w:ascii="Tahoma" w:hAnsi="Tahoma" w:cs="Tahoma"/>
                <w:b/>
                <w:bCs/>
                <w:sz w:val="18"/>
                <w:szCs w:val="18"/>
                <w:lang w:val="fr-CH" w:eastAsia="fr-CH"/>
              </w:rPr>
              <w:t>Total des avantages sociaux courants</w:t>
            </w:r>
          </w:p>
        </w:tc>
        <w:tc>
          <w:tcPr>
            <w:tcW w:w="1215" w:type="dxa"/>
            <w:tcBorders>
              <w:top w:val="nil"/>
              <w:left w:val="nil"/>
              <w:bottom w:val="single" w:sz="8" w:space="0" w:color="auto"/>
              <w:right w:val="single" w:sz="8" w:space="0" w:color="auto"/>
            </w:tcBorders>
            <w:shd w:val="clear" w:color="000000" w:fill="D8E4BC"/>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-152'525</w:t>
            </w:r>
          </w:p>
        </w:tc>
        <w:tc>
          <w:tcPr>
            <w:tcW w:w="1215" w:type="dxa"/>
            <w:tcBorders>
              <w:top w:val="nil"/>
              <w:left w:val="nil"/>
              <w:bottom w:val="single" w:sz="8" w:space="0" w:color="auto"/>
              <w:right w:val="single" w:sz="8" w:space="0" w:color="auto"/>
            </w:tcBorders>
            <w:shd w:val="clear" w:color="000000" w:fill="D8E4BC"/>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-155'918</w:t>
            </w:r>
          </w:p>
        </w:tc>
        <w:tc>
          <w:tcPr>
            <w:tcW w:w="1170" w:type="dxa"/>
            <w:tcBorders>
              <w:top w:val="nil"/>
              <w:left w:val="nil"/>
              <w:bottom w:val="single" w:sz="8" w:space="0" w:color="auto"/>
              <w:right w:val="single" w:sz="8" w:space="0" w:color="auto"/>
            </w:tcBorders>
            <w:shd w:val="clear" w:color="000000" w:fill="D8E4BC"/>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3'392</w:t>
            </w:r>
          </w:p>
        </w:tc>
      </w:tr>
      <w:tr w:rsidR="00C31FC6" w:rsidRPr="00E8432D" w:rsidTr="00E92944">
        <w:trPr>
          <w:trHeight w:val="116"/>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 </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 </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 </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 </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000000" w:fill="D9D9D9"/>
            <w:noWrap/>
            <w:vAlign w:val="center"/>
            <w:hideMark/>
          </w:tcPr>
          <w:p w:rsidR="00C31FC6" w:rsidRPr="00E8432D" w:rsidRDefault="00C31FC6" w:rsidP="00D83C1E">
            <w:pPr>
              <w:rPr>
                <w:rFonts w:ascii="Tahoma" w:hAnsi="Tahoma" w:cs="Tahoma"/>
                <w:b/>
                <w:bCs/>
                <w:sz w:val="18"/>
                <w:szCs w:val="18"/>
                <w:lang w:val="fr-CH" w:eastAsia="fr-CH"/>
              </w:rPr>
            </w:pPr>
            <w:r w:rsidRPr="00E8432D">
              <w:rPr>
                <w:rFonts w:ascii="Tahoma" w:hAnsi="Tahoma" w:cs="Tahoma"/>
                <w:b/>
                <w:bCs/>
                <w:sz w:val="18"/>
                <w:szCs w:val="18"/>
                <w:lang w:val="fr-FR" w:eastAsia="fr-CH"/>
              </w:rPr>
              <w:t>Avantages au personnel non courants (long terme)</w:t>
            </w:r>
          </w:p>
        </w:tc>
        <w:tc>
          <w:tcPr>
            <w:tcW w:w="1215" w:type="dxa"/>
            <w:tcBorders>
              <w:top w:val="nil"/>
              <w:left w:val="nil"/>
              <w:bottom w:val="single" w:sz="8" w:space="0" w:color="auto"/>
              <w:right w:val="single" w:sz="8" w:space="0" w:color="auto"/>
            </w:tcBorders>
            <w:shd w:val="clear" w:color="000000" w:fill="D9D9D9"/>
            <w:noWrap/>
            <w:vAlign w:val="center"/>
            <w:hideMark/>
          </w:tcPr>
          <w:p w:rsidR="00C31FC6" w:rsidRPr="00E8432D" w:rsidRDefault="00C31FC6" w:rsidP="00D83C1E">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31.12.2013</w:t>
            </w:r>
          </w:p>
        </w:tc>
        <w:tc>
          <w:tcPr>
            <w:tcW w:w="1215" w:type="dxa"/>
            <w:tcBorders>
              <w:top w:val="nil"/>
              <w:left w:val="nil"/>
              <w:bottom w:val="single" w:sz="8" w:space="0" w:color="auto"/>
              <w:right w:val="single" w:sz="8" w:space="0" w:color="auto"/>
            </w:tcBorders>
            <w:shd w:val="clear" w:color="000000" w:fill="D9D9D9"/>
            <w:noWrap/>
            <w:vAlign w:val="center"/>
            <w:hideMark/>
          </w:tcPr>
          <w:p w:rsidR="00C31FC6" w:rsidRPr="00E8432D" w:rsidRDefault="00C31FC6" w:rsidP="00D83C1E">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31.12.2012</w:t>
            </w:r>
          </w:p>
        </w:tc>
        <w:tc>
          <w:tcPr>
            <w:tcW w:w="1170" w:type="dxa"/>
            <w:tcBorders>
              <w:top w:val="nil"/>
              <w:left w:val="nil"/>
              <w:bottom w:val="single" w:sz="8" w:space="0" w:color="auto"/>
              <w:right w:val="single" w:sz="8" w:space="0" w:color="auto"/>
            </w:tcBorders>
            <w:shd w:val="clear" w:color="000000" w:fill="D9D9D9"/>
            <w:noWrap/>
            <w:vAlign w:val="center"/>
            <w:hideMark/>
          </w:tcPr>
          <w:p w:rsidR="00C31FC6" w:rsidRPr="00E8432D" w:rsidRDefault="00C31FC6" w:rsidP="00D83C1E">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31.12.2012</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ASHI (caisse maladie)</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-887'555</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-833'289</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-54'266</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prime de rapatriement</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-91'373</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-82'244</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-9'129</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C31FC6" w:rsidRPr="00E8432D" w:rsidRDefault="00C31FC6" w:rsidP="00D83C1E">
            <w:pPr>
              <w:rPr>
                <w:rFonts w:ascii="Tahoma" w:hAnsi="Tahoma" w:cs="Tahoma"/>
                <w:sz w:val="18"/>
                <w:szCs w:val="18"/>
                <w:lang w:val="fr-CH" w:eastAsia="fr-CH"/>
              </w:rPr>
            </w:pPr>
            <w:r w:rsidRPr="00E8432D">
              <w:rPr>
                <w:rFonts w:ascii="Tahoma" w:hAnsi="Tahoma" w:cs="Tahoma"/>
                <w:sz w:val="18"/>
                <w:szCs w:val="18"/>
                <w:lang w:val="fr-CH" w:eastAsia="fr-CH"/>
              </w:rPr>
              <w:t>Provision pour congé accumulés</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-75'967</w:t>
            </w:r>
          </w:p>
        </w:tc>
        <w:tc>
          <w:tcPr>
            <w:tcW w:w="1215"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-75'544</w:t>
            </w:r>
          </w:p>
        </w:tc>
        <w:tc>
          <w:tcPr>
            <w:tcW w:w="1170" w:type="dxa"/>
            <w:tcBorders>
              <w:top w:val="nil"/>
              <w:left w:val="nil"/>
              <w:bottom w:val="single" w:sz="8" w:space="0" w:color="auto"/>
              <w:right w:val="single" w:sz="8" w:space="0" w:color="auto"/>
            </w:tcBorders>
            <w:shd w:val="clear" w:color="auto" w:fill="auto"/>
            <w:noWrap/>
            <w:vAlign w:val="center"/>
            <w:hideMark/>
          </w:tcPr>
          <w:p w:rsidR="00C31FC6" w:rsidRPr="00E8432D" w:rsidRDefault="00C31FC6" w:rsidP="00D83C1E">
            <w:pPr>
              <w:jc w:val="right"/>
              <w:rPr>
                <w:rFonts w:ascii="Tahoma" w:hAnsi="Tahoma" w:cs="Tahoma"/>
                <w:sz w:val="18"/>
                <w:szCs w:val="18"/>
                <w:lang w:val="fr-CH" w:eastAsia="fr-CH"/>
              </w:rPr>
            </w:pPr>
            <w:r w:rsidRPr="00E8432D">
              <w:rPr>
                <w:rFonts w:ascii="Tahoma" w:hAnsi="Tahoma" w:cs="Tahoma"/>
                <w:sz w:val="18"/>
                <w:szCs w:val="18"/>
                <w:lang w:val="fr-CH" w:eastAsia="fr-CH"/>
              </w:rPr>
              <w:t>-422</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000000" w:fill="D8E4BC"/>
            <w:noWrap/>
            <w:vAlign w:val="center"/>
            <w:hideMark/>
          </w:tcPr>
          <w:p w:rsidR="00C31FC6" w:rsidRPr="00E8432D" w:rsidRDefault="00C31FC6" w:rsidP="00D83C1E">
            <w:pPr>
              <w:rPr>
                <w:rFonts w:ascii="Tahoma" w:hAnsi="Tahoma" w:cs="Tahoma"/>
                <w:b/>
                <w:bCs/>
                <w:sz w:val="18"/>
                <w:szCs w:val="18"/>
                <w:lang w:val="fr-CH" w:eastAsia="fr-CH"/>
              </w:rPr>
            </w:pPr>
            <w:r w:rsidRPr="00E8432D">
              <w:rPr>
                <w:rFonts w:ascii="Tahoma" w:hAnsi="Tahoma" w:cs="Tahoma"/>
                <w:b/>
                <w:bCs/>
                <w:sz w:val="18"/>
                <w:szCs w:val="18"/>
                <w:lang w:val="fr-CH" w:eastAsia="fr-CH"/>
              </w:rPr>
              <w:t>Total des avantages sociaux non courants</w:t>
            </w:r>
          </w:p>
        </w:tc>
        <w:tc>
          <w:tcPr>
            <w:tcW w:w="1215" w:type="dxa"/>
            <w:tcBorders>
              <w:top w:val="nil"/>
              <w:left w:val="nil"/>
              <w:bottom w:val="single" w:sz="8" w:space="0" w:color="auto"/>
              <w:right w:val="single" w:sz="8" w:space="0" w:color="auto"/>
            </w:tcBorders>
            <w:shd w:val="clear" w:color="000000" w:fill="D8E4BC"/>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-1'054'895</w:t>
            </w:r>
          </w:p>
        </w:tc>
        <w:tc>
          <w:tcPr>
            <w:tcW w:w="1215" w:type="dxa"/>
            <w:tcBorders>
              <w:top w:val="nil"/>
              <w:left w:val="nil"/>
              <w:bottom w:val="single" w:sz="8" w:space="0" w:color="auto"/>
              <w:right w:val="single" w:sz="8" w:space="0" w:color="auto"/>
            </w:tcBorders>
            <w:shd w:val="clear" w:color="000000" w:fill="D8E4BC"/>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-991'077</w:t>
            </w:r>
          </w:p>
        </w:tc>
        <w:tc>
          <w:tcPr>
            <w:tcW w:w="1170" w:type="dxa"/>
            <w:tcBorders>
              <w:top w:val="nil"/>
              <w:left w:val="nil"/>
              <w:bottom w:val="single" w:sz="8" w:space="0" w:color="auto"/>
              <w:right w:val="single" w:sz="8" w:space="0" w:color="auto"/>
            </w:tcBorders>
            <w:shd w:val="clear" w:color="000000" w:fill="D8E4BC"/>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-63'817</w:t>
            </w:r>
          </w:p>
        </w:tc>
      </w:tr>
      <w:tr w:rsidR="00C31FC6" w:rsidRPr="00E8432D" w:rsidTr="00E92944">
        <w:trPr>
          <w:trHeight w:val="232"/>
          <w:jc w:val="center"/>
        </w:trPr>
        <w:tc>
          <w:tcPr>
            <w:tcW w:w="4171" w:type="dxa"/>
            <w:tcBorders>
              <w:top w:val="nil"/>
              <w:left w:val="single" w:sz="8" w:space="0" w:color="auto"/>
              <w:bottom w:val="single" w:sz="8" w:space="0" w:color="auto"/>
              <w:right w:val="single" w:sz="8" w:space="0" w:color="auto"/>
            </w:tcBorders>
            <w:shd w:val="clear" w:color="000000" w:fill="FFC000"/>
            <w:noWrap/>
            <w:vAlign w:val="center"/>
            <w:hideMark/>
          </w:tcPr>
          <w:p w:rsidR="00C31FC6" w:rsidRPr="00E8432D" w:rsidRDefault="00C31FC6" w:rsidP="00D83C1E">
            <w:pPr>
              <w:rPr>
                <w:rFonts w:ascii="Tahoma" w:hAnsi="Tahoma" w:cs="Tahoma"/>
                <w:b/>
                <w:bCs/>
                <w:sz w:val="18"/>
                <w:szCs w:val="18"/>
                <w:lang w:val="fr-CH" w:eastAsia="fr-CH"/>
              </w:rPr>
            </w:pPr>
            <w:r w:rsidRPr="00E8432D">
              <w:rPr>
                <w:rFonts w:ascii="Tahoma" w:hAnsi="Tahoma" w:cs="Tahoma"/>
                <w:b/>
                <w:bCs/>
                <w:sz w:val="18"/>
                <w:szCs w:val="18"/>
                <w:lang w:val="fr-CH" w:eastAsia="fr-CH"/>
              </w:rPr>
              <w:t>Total des provisions au personnel</w:t>
            </w:r>
          </w:p>
        </w:tc>
        <w:tc>
          <w:tcPr>
            <w:tcW w:w="1215" w:type="dxa"/>
            <w:tcBorders>
              <w:top w:val="nil"/>
              <w:left w:val="nil"/>
              <w:bottom w:val="single" w:sz="8" w:space="0" w:color="auto"/>
              <w:right w:val="single" w:sz="8" w:space="0" w:color="auto"/>
            </w:tcBorders>
            <w:shd w:val="clear" w:color="000000" w:fill="FFC000"/>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-1'207'420</w:t>
            </w:r>
          </w:p>
        </w:tc>
        <w:tc>
          <w:tcPr>
            <w:tcW w:w="1215" w:type="dxa"/>
            <w:tcBorders>
              <w:top w:val="nil"/>
              <w:left w:val="nil"/>
              <w:bottom w:val="single" w:sz="8" w:space="0" w:color="auto"/>
              <w:right w:val="single" w:sz="8" w:space="0" w:color="auto"/>
            </w:tcBorders>
            <w:shd w:val="clear" w:color="000000" w:fill="FFC000"/>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-1'146'995</w:t>
            </w:r>
          </w:p>
        </w:tc>
        <w:tc>
          <w:tcPr>
            <w:tcW w:w="1170" w:type="dxa"/>
            <w:tcBorders>
              <w:top w:val="nil"/>
              <w:left w:val="nil"/>
              <w:bottom w:val="single" w:sz="8" w:space="0" w:color="auto"/>
              <w:right w:val="single" w:sz="8" w:space="0" w:color="auto"/>
            </w:tcBorders>
            <w:shd w:val="clear" w:color="000000" w:fill="FFC000"/>
            <w:noWrap/>
            <w:vAlign w:val="center"/>
            <w:hideMark/>
          </w:tcPr>
          <w:p w:rsidR="00C31FC6" w:rsidRPr="00E8432D" w:rsidRDefault="00C31FC6" w:rsidP="00D83C1E">
            <w:pPr>
              <w:jc w:val="right"/>
              <w:rPr>
                <w:rFonts w:ascii="Tahoma" w:hAnsi="Tahoma" w:cs="Tahoma"/>
                <w:b/>
                <w:bCs/>
                <w:sz w:val="18"/>
                <w:szCs w:val="18"/>
                <w:lang w:val="fr-CH" w:eastAsia="fr-CH"/>
              </w:rPr>
            </w:pPr>
            <w:r w:rsidRPr="00E8432D">
              <w:rPr>
                <w:rFonts w:ascii="Tahoma" w:hAnsi="Tahoma" w:cs="Tahoma"/>
                <w:b/>
                <w:bCs/>
                <w:sz w:val="18"/>
                <w:szCs w:val="18"/>
                <w:lang w:val="fr-CH" w:eastAsia="fr-CH"/>
              </w:rPr>
              <w:t>-60'425</w:t>
            </w:r>
          </w:p>
        </w:tc>
      </w:tr>
    </w:tbl>
    <w:p w:rsidR="00C31FC6" w:rsidRPr="00145187" w:rsidRDefault="00C31FC6" w:rsidP="00C0370F">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ascii="Tahoma" w:hAnsi="Tahoma" w:cs="Tahoma"/>
          <w:b/>
          <w:lang w:val="fr-FR"/>
        </w:rPr>
      </w:pPr>
      <w:r w:rsidRPr="00145187">
        <w:rPr>
          <w:rFonts w:ascii="Tahoma" w:hAnsi="Tahoma" w:cs="Tahoma"/>
          <w:b/>
          <w:lang w:val="fr-FR"/>
        </w:rPr>
        <w:t>Tableau 3 : Provisions pour avantages sociaux en faveur du personnel</w:t>
      </w:r>
    </w:p>
    <w:p w:rsidR="00C31FC6" w:rsidRPr="00705CE3"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145187">
        <w:rPr>
          <w:rFonts w:ascii="Tahoma" w:hAnsi="Tahoma" w:cs="Tahoma"/>
          <w:lang w:val="fr-FR"/>
        </w:rPr>
        <w:t xml:space="preserve">L’étude actuarielle élaborée par le cabinet spécialisé Mercer sert de base à la détermination de la plupart des provisions figurant au bilan 2013. Cette analyse est consignée dans le document « Consolidated Total for All Plans » du 26 mars 2014, formellement validée le 16 juin 2014 par deux représentants de ladite société. La hauteur des montants provisionnés dans les avantages </w:t>
      </w:r>
      <w:r w:rsidRPr="00705CE3">
        <w:rPr>
          <w:rFonts w:ascii="Tahoma" w:hAnsi="Tahoma" w:cs="Tahoma"/>
          <w:lang w:val="fr-FR"/>
        </w:rPr>
        <w:t xml:space="preserve">au personnel fait une distinction entre de potentielles dépenses « courantes » et « non courantes ». Cette évaluation correspond aux standards en la matière. </w:t>
      </w:r>
      <w:r>
        <w:rPr>
          <w:rFonts w:ascii="Tahoma" w:hAnsi="Tahoma" w:cs="Tahoma"/>
          <w:lang w:val="fr-FR"/>
        </w:rPr>
        <w:t xml:space="preserve">Notre </w:t>
      </w:r>
      <w:r w:rsidRPr="00705CE3">
        <w:rPr>
          <w:rFonts w:ascii="Tahoma" w:hAnsi="Tahoma" w:cs="Tahoma"/>
          <w:lang w:val="fr-FR"/>
        </w:rPr>
        <w:t xml:space="preserve">analyse de </w:t>
      </w:r>
      <w:r>
        <w:rPr>
          <w:rFonts w:ascii="Tahoma" w:hAnsi="Tahoma" w:cs="Tahoma"/>
          <w:lang w:val="fr-FR"/>
        </w:rPr>
        <w:t>l’</w:t>
      </w:r>
      <w:r w:rsidRPr="00705CE3">
        <w:rPr>
          <w:rFonts w:ascii="Tahoma" w:hAnsi="Tahoma" w:cs="Tahoma"/>
          <w:lang w:val="fr-FR"/>
        </w:rPr>
        <w:t xml:space="preserve">étude actuarielle </w:t>
      </w:r>
      <w:r>
        <w:rPr>
          <w:rFonts w:ascii="Tahoma" w:hAnsi="Tahoma" w:cs="Tahoma"/>
          <w:lang w:val="fr-FR"/>
        </w:rPr>
        <w:t>nous permet de considérer l</w:t>
      </w:r>
      <w:r w:rsidRPr="00705CE3">
        <w:rPr>
          <w:rFonts w:ascii="Tahoma" w:hAnsi="Tahoma" w:cs="Tahoma"/>
          <w:lang w:val="fr-FR"/>
        </w:rPr>
        <w:t>es valeurs de celle-ci comme correctes.</w:t>
      </w:r>
    </w:p>
    <w:p w:rsidR="00C31FC6" w:rsidRPr="00705CE3"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05CE3">
        <w:rPr>
          <w:rFonts w:ascii="Tahoma" w:hAnsi="Tahoma" w:cs="Tahoma"/>
          <w:lang w:val="fr-FR"/>
        </w:rPr>
        <w:t>Il y a lieu de relever que les provisions pour congés accumulés, pour congés dans les foyers et pour heures supplémentaires et heures variables reposent sur les droits effectifs des collaborateurs de l’UPOV au 31 décembre 2013. Les sommes des provisions correspondent aux besoins en la matière.</w:t>
      </w:r>
    </w:p>
    <w:p w:rsidR="00C31FC6" w:rsidRPr="00705CE3" w:rsidRDefault="00C31FC6" w:rsidP="0005424F">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fr-FR"/>
        </w:rPr>
      </w:pPr>
      <w:r w:rsidRPr="00705CE3">
        <w:rPr>
          <w:rFonts w:ascii="Tahoma" w:hAnsi="Tahoma"/>
          <w:lang w:val="fr-FR"/>
        </w:rPr>
        <w:lastRenderedPageBreak/>
        <w:t>Caisse commune des pensions du Personnel des Nations Unies</w:t>
      </w:r>
    </w:p>
    <w:p w:rsidR="00C31FC6" w:rsidRPr="00705CE3"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rPr>
      </w:pPr>
      <w:r w:rsidRPr="00705CE3">
        <w:rPr>
          <w:rFonts w:ascii="Tahoma" w:hAnsi="Tahoma"/>
        </w:rPr>
        <w:t>L’UPOV est affiliée à la Caisse commune des Pensions du Personnel des Nations Unies (CCPPNU) par le biais de sa dizaine de collaborateurs. Comme l’an dernier, nous constatons qu’aucun engagement actuariel n’a été prévu pour le fonds de retraite principal des employés de l’Union. Nous sommes d’avis que, dans le respect des dispositions de la norme IPSAS 25, l’engagement actuariel relatif aux pensions des employés de l’UPOV auprès de la CCPPNU devrait figurer au bilan. En effet, le plan auquel l’entité participe présente les caractéristiques d’un plan « defined benefit plan where the participating entities are under common control » selon IPSAS 25, en raison des éléments suivants :</w:t>
      </w:r>
    </w:p>
    <w:p w:rsidR="00C31FC6" w:rsidRPr="00705CE3" w:rsidRDefault="00C31FC6" w:rsidP="00C31FC6">
      <w:pPr>
        <w:pStyle w:val="Normalcentr1"/>
        <w:numPr>
          <w:ilvl w:val="0"/>
          <w:numId w:val="3"/>
        </w:numPr>
        <w:tabs>
          <w:tab w:val="left" w:pos="737"/>
          <w:tab w:val="left" w:pos="1985"/>
          <w:tab w:val="right" w:pos="9356"/>
        </w:tabs>
        <w:spacing w:after="120"/>
        <w:ind w:right="283" w:firstLine="0"/>
        <w:rPr>
          <w:rFonts w:ascii="Tahoma" w:hAnsi="Tahoma"/>
        </w:rPr>
      </w:pPr>
      <w:r w:rsidRPr="00705CE3">
        <w:rPr>
          <w:rFonts w:ascii="Tahoma" w:hAnsi="Tahoma"/>
        </w:rPr>
        <w:t>Participation au risque des organisations sujettes au plan;</w:t>
      </w:r>
    </w:p>
    <w:p w:rsidR="00C31FC6" w:rsidRPr="00705CE3" w:rsidRDefault="00C31FC6" w:rsidP="00C31FC6">
      <w:pPr>
        <w:pStyle w:val="Normalcentr1"/>
        <w:numPr>
          <w:ilvl w:val="0"/>
          <w:numId w:val="3"/>
        </w:numPr>
        <w:tabs>
          <w:tab w:val="left" w:pos="737"/>
          <w:tab w:val="left" w:pos="1985"/>
          <w:tab w:val="right" w:pos="9356"/>
        </w:tabs>
        <w:spacing w:after="120"/>
        <w:ind w:right="283" w:firstLine="0"/>
        <w:rPr>
          <w:rFonts w:ascii="Tahoma" w:hAnsi="Tahoma"/>
        </w:rPr>
      </w:pPr>
      <w:r w:rsidRPr="00705CE3">
        <w:rPr>
          <w:rFonts w:ascii="Tahoma" w:hAnsi="Tahoma"/>
        </w:rPr>
        <w:t>Statuts de la CCPPNU  en matière de quote-part des contributions futures;</w:t>
      </w:r>
    </w:p>
    <w:p w:rsidR="00C31FC6" w:rsidRPr="00705CE3" w:rsidRDefault="00C31FC6" w:rsidP="00C31FC6">
      <w:pPr>
        <w:pStyle w:val="Normalcentr1"/>
        <w:numPr>
          <w:ilvl w:val="0"/>
          <w:numId w:val="3"/>
        </w:numPr>
        <w:tabs>
          <w:tab w:val="left" w:pos="737"/>
          <w:tab w:val="left" w:pos="1985"/>
          <w:tab w:val="right" w:pos="9356"/>
        </w:tabs>
        <w:spacing w:after="120"/>
        <w:ind w:right="283" w:firstLine="0"/>
        <w:rPr>
          <w:rFonts w:ascii="Tahoma" w:hAnsi="Tahoma"/>
        </w:rPr>
      </w:pPr>
      <w:r w:rsidRPr="00705CE3">
        <w:rPr>
          <w:rFonts w:ascii="Tahoma" w:hAnsi="Tahoma"/>
        </w:rPr>
        <w:t>Structure organisationnelle CCPPNU – organisations affiliées.</w:t>
      </w:r>
    </w:p>
    <w:p w:rsidR="00C31FC6" w:rsidRPr="005F7B62"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cs="Tahoma"/>
        </w:rPr>
      </w:pPr>
      <w:r w:rsidRPr="00705CE3">
        <w:rPr>
          <w:rFonts w:ascii="Tahoma" w:hAnsi="Tahoma"/>
        </w:rPr>
        <w:t>L’impact d’un tel engagement sur les états financiers de l’Union serait important. Nous admettons que la part de l’UPOV à la dette actuarielle théorique de la CCPPNU serait assez faible, puisqu’elle serait calculée au prorata du nombre de collaborateurs.</w:t>
      </w:r>
      <w:r w:rsidRPr="00FA4942">
        <w:rPr>
          <w:rFonts w:ascii="Tahoma" w:hAnsi="Tahoma" w:cs="Tahoma"/>
          <w:lang w:val="fr-CH"/>
        </w:rPr>
        <w:t xml:space="preserve"> </w:t>
      </w:r>
      <w:r w:rsidRPr="003B6C3E">
        <w:rPr>
          <w:rFonts w:ascii="Tahoma" w:hAnsi="Tahoma" w:cs="Tahoma"/>
          <w:lang w:val="fr-CH"/>
        </w:rPr>
        <w:t xml:space="preserve">Néanmoins, à l’heure actuelle et selon </w:t>
      </w:r>
      <w:r>
        <w:rPr>
          <w:rFonts w:ascii="Tahoma" w:hAnsi="Tahoma" w:cs="Tahoma"/>
          <w:lang w:val="fr-CH"/>
        </w:rPr>
        <w:t>nos</w:t>
      </w:r>
      <w:r w:rsidRPr="003B6C3E">
        <w:rPr>
          <w:rFonts w:ascii="Tahoma" w:hAnsi="Tahoma" w:cs="Tahoma"/>
          <w:lang w:val="fr-CH"/>
        </w:rPr>
        <w:t xml:space="preserve"> informations, la CCPPNU n’était pas en mesure de fournir un calcul des engagements de prévoyance selon la norme IPSAS 25. Un calcul du risque encouru à ce niveau-là ne peut donc pas être estimé de manière fiable.</w:t>
      </w:r>
    </w:p>
    <w:p w:rsidR="00C31FC6" w:rsidRPr="00CF2397"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cs="Tahoma"/>
        </w:rPr>
      </w:pPr>
      <w:r w:rsidRPr="00CF2397">
        <w:rPr>
          <w:rFonts w:ascii="Tahoma" w:hAnsi="Tahoma" w:cs="Tahoma"/>
        </w:rPr>
        <w:t>Comme l’application de la norme IPSAS 25 sous cette forme ne concerne pas que</w:t>
      </w:r>
      <w:r>
        <w:rPr>
          <w:rFonts w:ascii="Tahoma" w:hAnsi="Tahoma" w:cs="Tahoma"/>
        </w:rPr>
        <w:t xml:space="preserve"> l’UPOV</w:t>
      </w:r>
      <w:r w:rsidRPr="00CF2397">
        <w:rPr>
          <w:rFonts w:ascii="Tahoma" w:hAnsi="Tahoma" w:cs="Tahoma"/>
        </w:rPr>
        <w:t xml:space="preserve"> mais l’ensemble des agences des Nations Unies et des autres organisations affiliées, </w:t>
      </w:r>
      <w:r w:rsidRPr="003B6C3E">
        <w:rPr>
          <w:rFonts w:ascii="Tahoma" w:hAnsi="Tahoma" w:cs="Tahoma"/>
          <w:lang w:val="fr-CH"/>
        </w:rPr>
        <w:t xml:space="preserve">cette problématique </w:t>
      </w:r>
      <w:r>
        <w:rPr>
          <w:rFonts w:ascii="Tahoma" w:hAnsi="Tahoma" w:cs="Tahoma"/>
          <w:lang w:val="fr-CH"/>
        </w:rPr>
        <w:t>a été soumise a</w:t>
      </w:r>
      <w:r w:rsidRPr="003B6C3E">
        <w:rPr>
          <w:rFonts w:ascii="Tahoma" w:hAnsi="Tahoma" w:cs="Tahoma"/>
          <w:lang w:val="fr-CH"/>
        </w:rPr>
        <w:t>u Panel des auditeurs externes des Nations Unies. Même si, au cours d’une session spéciale en juillet 2011, le Groupe technique du Panel et la Task Force IPSAS</w:t>
      </w:r>
      <w:r w:rsidRPr="005E2AD6">
        <w:rPr>
          <w:rFonts w:ascii="Tahoma" w:hAnsi="Tahoma" w:cs="Tahoma"/>
          <w:lang w:val="fr-CH"/>
        </w:rPr>
        <w:t xml:space="preserve"> des Nations Unies se sont mis d’accord pour dire qu’il n’y a pas de nécessité de provisionner des engagements de prévoyance au niveau des agences, </w:t>
      </w:r>
      <w:r>
        <w:rPr>
          <w:rFonts w:ascii="Tahoma" w:hAnsi="Tahoma" w:cs="Tahoma"/>
          <w:lang w:val="fr-CH"/>
        </w:rPr>
        <w:t xml:space="preserve">nous </w:t>
      </w:r>
      <w:r w:rsidRPr="005E2AD6">
        <w:rPr>
          <w:rFonts w:ascii="Tahoma" w:hAnsi="Tahoma" w:cs="Tahoma"/>
          <w:lang w:val="fr-CH"/>
        </w:rPr>
        <w:t>considér</w:t>
      </w:r>
      <w:r>
        <w:rPr>
          <w:rFonts w:ascii="Tahoma" w:hAnsi="Tahoma" w:cs="Tahoma"/>
          <w:lang w:val="fr-CH"/>
        </w:rPr>
        <w:t>ons</w:t>
      </w:r>
      <w:r w:rsidRPr="005E2AD6">
        <w:rPr>
          <w:rFonts w:ascii="Tahoma" w:hAnsi="Tahoma" w:cs="Tahoma"/>
          <w:lang w:val="fr-CH"/>
        </w:rPr>
        <w:t xml:space="preserve"> toutefois qu’il est de </w:t>
      </w:r>
      <w:r>
        <w:rPr>
          <w:rFonts w:ascii="Tahoma" w:hAnsi="Tahoma" w:cs="Tahoma"/>
          <w:lang w:val="fr-CH"/>
        </w:rPr>
        <w:t xml:space="preserve">notre </w:t>
      </w:r>
      <w:r w:rsidRPr="005E2AD6">
        <w:rPr>
          <w:rFonts w:ascii="Tahoma" w:hAnsi="Tahoma" w:cs="Tahoma"/>
          <w:lang w:val="fr-CH"/>
        </w:rPr>
        <w:t>devoir de Vérificateur extérieur des comptes de l’</w:t>
      </w:r>
      <w:r>
        <w:rPr>
          <w:rFonts w:ascii="Tahoma" w:hAnsi="Tahoma" w:cs="Tahoma"/>
          <w:lang w:val="fr-CH"/>
        </w:rPr>
        <w:t>UPOV</w:t>
      </w:r>
      <w:r w:rsidRPr="005E2AD6">
        <w:rPr>
          <w:rFonts w:ascii="Tahoma" w:hAnsi="Tahoma" w:cs="Tahoma"/>
          <w:lang w:val="fr-CH"/>
        </w:rPr>
        <w:t xml:space="preserve"> </w:t>
      </w:r>
      <w:r w:rsidRPr="003B6C3E">
        <w:rPr>
          <w:rFonts w:ascii="Tahoma" w:hAnsi="Tahoma" w:cs="Tahoma"/>
          <w:lang w:val="fr-CH"/>
        </w:rPr>
        <w:t xml:space="preserve">de rendre attentif les </w:t>
      </w:r>
      <w:r>
        <w:rPr>
          <w:rFonts w:ascii="Tahoma" w:hAnsi="Tahoma" w:cs="Tahoma"/>
          <w:lang w:val="fr-CH"/>
        </w:rPr>
        <w:t>Etats</w:t>
      </w:r>
      <w:r w:rsidRPr="003B6C3E">
        <w:rPr>
          <w:rFonts w:ascii="Tahoma" w:hAnsi="Tahoma" w:cs="Tahoma"/>
          <w:lang w:val="fr-CH"/>
        </w:rPr>
        <w:t xml:space="preserve"> membres sur ce genre de risque potentiellement significatif</w:t>
      </w:r>
      <w:r>
        <w:rPr>
          <w:rFonts w:ascii="Tahoma" w:hAnsi="Tahoma" w:cs="Tahoma"/>
          <w:lang w:val="fr-CH"/>
        </w:rPr>
        <w:t xml:space="preserve">. Nous </w:t>
      </w:r>
      <w:r w:rsidRPr="003B6C3E">
        <w:rPr>
          <w:rFonts w:ascii="Tahoma" w:hAnsi="Tahoma" w:cs="Tahoma"/>
          <w:lang w:val="fr-CH"/>
        </w:rPr>
        <w:t>estim</w:t>
      </w:r>
      <w:r>
        <w:rPr>
          <w:rFonts w:ascii="Tahoma" w:hAnsi="Tahoma" w:cs="Tahoma"/>
          <w:lang w:val="fr-CH"/>
        </w:rPr>
        <w:t>ons</w:t>
      </w:r>
      <w:r w:rsidRPr="003B6C3E">
        <w:rPr>
          <w:rFonts w:ascii="Tahoma" w:hAnsi="Tahoma" w:cs="Tahoma"/>
          <w:lang w:val="fr-CH"/>
        </w:rPr>
        <w:t xml:space="preserve"> qu’il </w:t>
      </w:r>
      <w:r w:rsidRPr="005E2AD6">
        <w:rPr>
          <w:rFonts w:ascii="Tahoma" w:hAnsi="Tahoma" w:cs="Tahoma"/>
          <w:lang w:val="fr-CH"/>
        </w:rPr>
        <w:t>n’y a pas encore le recul nécessaire quant à une interprétation véritablement économique de la norme IPSAS 25.</w:t>
      </w:r>
    </w:p>
    <w:p w:rsidR="00C31FC6" w:rsidRPr="00B73032" w:rsidRDefault="00C31FC6" w:rsidP="00C31FC6">
      <w:pPr>
        <w:pStyle w:val="Normalcentr1"/>
        <w:numPr>
          <w:ilvl w:val="0"/>
          <w:numId w:val="2"/>
        </w:numPr>
        <w:tabs>
          <w:tab w:val="left" w:pos="737"/>
          <w:tab w:val="left" w:pos="1985"/>
          <w:tab w:val="right" w:pos="9356"/>
        </w:tabs>
        <w:spacing w:after="120"/>
        <w:ind w:left="851" w:right="284" w:hanging="567"/>
        <w:rPr>
          <w:rFonts w:ascii="Tahoma" w:hAnsi="Tahoma" w:cs="Tahoma"/>
        </w:rPr>
      </w:pPr>
      <w:r w:rsidRPr="005F7B62">
        <w:rPr>
          <w:rFonts w:ascii="Tahoma" w:hAnsi="Tahoma" w:cs="Tahoma"/>
        </w:rPr>
        <w:t>En conclusion, comme la situation n’est pas du ressort unique de l’</w:t>
      </w:r>
      <w:r>
        <w:rPr>
          <w:rFonts w:ascii="Tahoma" w:hAnsi="Tahoma" w:cs="Tahoma"/>
        </w:rPr>
        <w:t>UPOV</w:t>
      </w:r>
      <w:r w:rsidRPr="005F7B62">
        <w:rPr>
          <w:rFonts w:ascii="Tahoma" w:hAnsi="Tahoma" w:cs="Tahoma"/>
        </w:rPr>
        <w:t xml:space="preserve">, </w:t>
      </w:r>
      <w:r>
        <w:rPr>
          <w:rFonts w:ascii="Tahoma" w:hAnsi="Tahoma" w:cs="Tahoma"/>
          <w:lang w:val="fr-CH"/>
        </w:rPr>
        <w:t xml:space="preserve">nous estimons, comme lors du bouclement précédent, </w:t>
      </w:r>
      <w:r w:rsidRPr="003B6C3E">
        <w:rPr>
          <w:rFonts w:ascii="Tahoma" w:hAnsi="Tahoma" w:cs="Tahoma"/>
          <w:lang w:val="fr-CH"/>
        </w:rPr>
        <w:t xml:space="preserve">qu’il n’est pas nécessaire pour l’instant d’exprimer une réserve ou de le mentionner spécifiquement dans </w:t>
      </w:r>
      <w:r>
        <w:rPr>
          <w:rFonts w:ascii="Tahoma" w:hAnsi="Tahoma" w:cs="Tahoma"/>
          <w:lang w:val="fr-CH"/>
        </w:rPr>
        <w:t>notre</w:t>
      </w:r>
      <w:r w:rsidRPr="003B6C3E">
        <w:rPr>
          <w:rFonts w:ascii="Tahoma" w:hAnsi="Tahoma" w:cs="Tahoma"/>
          <w:lang w:val="fr-CH"/>
        </w:rPr>
        <w:t xml:space="preserve"> opinion d’audit des états financiers 2013.</w:t>
      </w:r>
    </w:p>
    <w:p w:rsidR="00C31FC6" w:rsidRPr="00612707"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fr-CH"/>
        </w:rPr>
      </w:pPr>
      <w:r>
        <w:rPr>
          <w:rFonts w:ascii="Tahoma" w:hAnsi="Tahoma" w:cs="Tahoma"/>
          <w:lang w:val="fr-CH"/>
        </w:rPr>
        <w:t>Le</w:t>
      </w:r>
      <w:r w:rsidRPr="00612707">
        <w:rPr>
          <w:rFonts w:ascii="Tahoma" w:hAnsi="Tahoma" w:cs="Tahoma"/>
          <w:lang w:val="fr-CH"/>
        </w:rPr>
        <w:t xml:space="preserve"> fonds de réserve </w:t>
      </w:r>
      <w:r>
        <w:rPr>
          <w:rFonts w:ascii="Tahoma" w:hAnsi="Tahoma" w:cs="Tahoma"/>
          <w:lang w:val="fr-CH"/>
        </w:rPr>
        <w:t>en hausse grâce au report du résultat de l’exercice 2012</w:t>
      </w:r>
    </w:p>
    <w:p w:rsidR="00C31FC6" w:rsidRPr="00612707"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FR"/>
        </w:rPr>
        <w:t>Pour mémoire, l</w:t>
      </w:r>
      <w:r w:rsidRPr="00612707">
        <w:rPr>
          <w:rFonts w:ascii="Tahoma" w:hAnsi="Tahoma" w:cs="Tahoma"/>
          <w:lang w:val="fr-FR"/>
        </w:rPr>
        <w:t xml:space="preserve">e fonds de réserve avait </w:t>
      </w:r>
      <w:r>
        <w:rPr>
          <w:rFonts w:ascii="Tahoma" w:hAnsi="Tahoma" w:cs="Tahoma"/>
          <w:lang w:val="fr-FR"/>
        </w:rPr>
        <w:t>enregistré</w:t>
      </w:r>
      <w:r w:rsidRPr="00612707">
        <w:rPr>
          <w:rFonts w:ascii="Tahoma" w:hAnsi="Tahoma" w:cs="Tahoma"/>
          <w:lang w:val="fr-FR"/>
        </w:rPr>
        <w:t xml:space="preserve"> en fin d’année 2012</w:t>
      </w:r>
      <w:r>
        <w:rPr>
          <w:rFonts w:ascii="Tahoma" w:hAnsi="Tahoma" w:cs="Tahoma"/>
          <w:lang w:val="fr-FR"/>
        </w:rPr>
        <w:t xml:space="preserve"> </w:t>
      </w:r>
      <w:r w:rsidRPr="00612707">
        <w:rPr>
          <w:rFonts w:ascii="Tahoma" w:hAnsi="Tahoma" w:cs="Tahoma"/>
          <w:lang w:val="fr-FR"/>
        </w:rPr>
        <w:t>une forte réduction de valeur à la suite des ajustements IPSAS. Au 31 décembre 2013, le fonds de réserve affiche un montant de 1'204’000 francs, compte tenu du résultat excédentaire de 397'000 francs de l’exercice comptable 2012</w:t>
      </w:r>
      <w:r>
        <w:rPr>
          <w:rFonts w:ascii="Tahoma" w:hAnsi="Tahoma" w:cs="Tahoma"/>
          <w:lang w:val="fr-FR"/>
        </w:rPr>
        <w:t>.</w:t>
      </w:r>
      <w:r w:rsidRPr="00612707">
        <w:rPr>
          <w:rFonts w:ascii="Tahoma" w:hAnsi="Tahoma" w:cs="Tahoma"/>
          <w:lang w:val="fr-FR"/>
        </w:rPr>
        <w:t xml:space="preserve"> L’affectation du bénéfice d’exploitation de l’exercice 2013 </w:t>
      </w:r>
      <w:r>
        <w:rPr>
          <w:rFonts w:ascii="Tahoma" w:hAnsi="Tahoma" w:cs="Tahoma"/>
          <w:lang w:val="fr-FR"/>
        </w:rPr>
        <w:t>de près de 107'000 francs</w:t>
      </w:r>
      <w:r w:rsidRPr="00612707">
        <w:rPr>
          <w:rFonts w:ascii="Tahoma" w:hAnsi="Tahoma" w:cs="Tahoma"/>
          <w:lang w:val="fr-FR"/>
        </w:rPr>
        <w:t xml:space="preserve"> est également inclus dans le total du fonds de réserve, même si ce montant n’est pas encore </w:t>
      </w:r>
      <w:r>
        <w:rPr>
          <w:rFonts w:ascii="Tahoma" w:hAnsi="Tahoma" w:cs="Tahoma"/>
          <w:lang w:val="fr-FR"/>
        </w:rPr>
        <w:t>« comptablement »</w:t>
      </w:r>
      <w:r w:rsidRPr="00612707">
        <w:rPr>
          <w:rFonts w:ascii="Tahoma" w:hAnsi="Tahoma" w:cs="Tahoma"/>
          <w:lang w:val="fr-FR"/>
        </w:rPr>
        <w:t xml:space="preserve"> transféré au fonds. </w:t>
      </w:r>
      <w:r>
        <w:rPr>
          <w:rFonts w:ascii="Tahoma" w:hAnsi="Tahoma" w:cs="Tahoma"/>
          <w:lang w:val="fr-FR"/>
        </w:rPr>
        <w:t xml:space="preserve">En effet, le virement définitif se fera </w:t>
      </w:r>
      <w:r w:rsidRPr="00612707">
        <w:rPr>
          <w:rFonts w:ascii="Tahoma" w:hAnsi="Tahoma" w:cs="Tahoma"/>
          <w:lang w:val="fr-FR"/>
        </w:rPr>
        <w:t>dans le couran</w:t>
      </w:r>
      <w:r>
        <w:rPr>
          <w:rFonts w:ascii="Tahoma" w:hAnsi="Tahoma" w:cs="Tahoma"/>
          <w:lang w:val="fr-FR"/>
        </w:rPr>
        <w:t>t de 2014.</w:t>
      </w:r>
    </w:p>
    <w:p w:rsidR="00C31FC6" w:rsidRPr="007C2C4C"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C2C4C">
        <w:rPr>
          <w:rFonts w:ascii="Tahoma" w:hAnsi="Tahoma" w:cs="Tahoma"/>
          <w:lang w:val="fr-FR"/>
        </w:rPr>
        <w:t>Le budget de la période biennale 2012-2013 estimait le fonds de réserve à 1'037'000</w:t>
      </w:r>
      <w:r>
        <w:rPr>
          <w:rFonts w:ascii="Tahoma" w:hAnsi="Tahoma" w:cs="Tahoma"/>
          <w:lang w:val="fr-FR"/>
        </w:rPr>
        <w:t xml:space="preserve"> francs</w:t>
      </w:r>
      <w:r w:rsidRPr="007C2C4C">
        <w:rPr>
          <w:rStyle w:val="FootnoteReference"/>
          <w:rFonts w:ascii="Tahoma" w:hAnsi="Tahoma"/>
        </w:rPr>
        <w:footnoteReference w:id="5"/>
      </w:r>
      <w:r w:rsidRPr="007C2C4C">
        <w:rPr>
          <w:rFonts w:ascii="Tahoma" w:hAnsi="Tahoma" w:cs="Tahoma"/>
          <w:lang w:val="fr-FR"/>
        </w:rPr>
        <w:t xml:space="preserve"> en tenant compte de charges d’exploitation de 6'798'000 francs. </w:t>
      </w:r>
      <w:r>
        <w:rPr>
          <w:rFonts w:ascii="Tahoma" w:hAnsi="Tahoma" w:cs="Tahoma"/>
          <w:lang w:val="fr-FR"/>
        </w:rPr>
        <w:t xml:space="preserve">Sous réserve de </w:t>
      </w:r>
      <w:r w:rsidRPr="007C2C4C">
        <w:rPr>
          <w:rFonts w:ascii="Tahoma" w:hAnsi="Tahoma" w:cs="Tahoma"/>
          <w:lang w:val="fr-FR"/>
        </w:rPr>
        <w:t>l’attribution du résultat d’exploitation 2013 au fonds de réserve, celui</w:t>
      </w:r>
      <w:r>
        <w:rPr>
          <w:rFonts w:ascii="Tahoma" w:hAnsi="Tahoma" w:cs="Tahoma"/>
          <w:lang w:val="fr-FR"/>
        </w:rPr>
        <w:t>-ci</w:t>
      </w:r>
      <w:r w:rsidRPr="007C2C4C">
        <w:rPr>
          <w:rFonts w:ascii="Tahoma" w:hAnsi="Tahoma" w:cs="Tahoma"/>
          <w:lang w:val="fr-FR"/>
        </w:rPr>
        <w:t xml:space="preserve"> affiche donc une valeur potentielle de 167'000 </w:t>
      </w:r>
      <w:r>
        <w:rPr>
          <w:rFonts w:ascii="Tahoma" w:hAnsi="Tahoma" w:cs="Tahoma"/>
          <w:lang w:val="fr-FR"/>
        </w:rPr>
        <w:t xml:space="preserve">francs </w:t>
      </w:r>
      <w:r w:rsidRPr="007C2C4C">
        <w:rPr>
          <w:rFonts w:ascii="Tahoma" w:hAnsi="Tahoma" w:cs="Tahoma"/>
          <w:lang w:val="fr-FR"/>
        </w:rPr>
        <w:t xml:space="preserve">supérieure aux </w:t>
      </w:r>
      <w:r>
        <w:rPr>
          <w:rFonts w:ascii="Tahoma" w:hAnsi="Tahoma" w:cs="Tahoma"/>
          <w:lang w:val="fr-FR"/>
        </w:rPr>
        <w:t>prévisions</w:t>
      </w:r>
      <w:r w:rsidRPr="007C2C4C">
        <w:rPr>
          <w:rFonts w:ascii="Tahoma" w:hAnsi="Tahoma" w:cs="Tahoma"/>
          <w:lang w:val="fr-FR"/>
        </w:rPr>
        <w:t>. Dans cette hypothèse, l</w:t>
      </w:r>
      <w:r>
        <w:rPr>
          <w:rFonts w:ascii="Tahoma" w:hAnsi="Tahoma" w:cs="Tahoma"/>
          <w:lang w:val="fr-FR"/>
        </w:rPr>
        <w:t>e</w:t>
      </w:r>
      <w:r w:rsidRPr="007C2C4C">
        <w:rPr>
          <w:rFonts w:ascii="Tahoma" w:hAnsi="Tahoma" w:cs="Tahoma"/>
          <w:lang w:val="fr-FR"/>
        </w:rPr>
        <w:t xml:space="preserve"> fonds de réserve à fin 2013 représente un taux </w:t>
      </w:r>
      <w:r>
        <w:rPr>
          <w:rFonts w:ascii="Tahoma" w:hAnsi="Tahoma" w:cs="Tahoma"/>
          <w:lang w:val="fr-FR"/>
        </w:rPr>
        <w:t xml:space="preserve">de </w:t>
      </w:r>
      <w:r w:rsidRPr="007C2C4C">
        <w:rPr>
          <w:rFonts w:ascii="Tahoma" w:hAnsi="Tahoma" w:cs="Tahoma"/>
          <w:lang w:val="fr-FR"/>
        </w:rPr>
        <w:t xml:space="preserve">17.7% par rapport aux charges d’exploitation budgétisées pour l’exercice biennal 2012-2013. </w:t>
      </w:r>
      <w:r>
        <w:rPr>
          <w:rFonts w:ascii="Tahoma" w:hAnsi="Tahoma" w:cs="Tahoma"/>
          <w:lang w:val="fr-FR"/>
        </w:rPr>
        <w:t>Aussi, l</w:t>
      </w:r>
      <w:r w:rsidRPr="007C2C4C">
        <w:rPr>
          <w:rFonts w:ascii="Tahoma" w:hAnsi="Tahoma" w:cs="Tahoma"/>
          <w:lang w:val="fr-FR"/>
        </w:rPr>
        <w:t>a performance est légèrement supérieure aux attentes</w:t>
      </w:r>
      <w:r>
        <w:rPr>
          <w:rFonts w:ascii="Tahoma" w:hAnsi="Tahoma" w:cs="Tahoma"/>
          <w:lang w:val="fr-FR"/>
        </w:rPr>
        <w:t xml:space="preserve"> budgétaires</w:t>
      </w:r>
      <w:r w:rsidRPr="007C2C4C">
        <w:rPr>
          <w:rFonts w:ascii="Tahoma" w:hAnsi="Tahoma" w:cs="Tahoma"/>
          <w:lang w:val="fr-FR"/>
        </w:rPr>
        <w:t>.</w:t>
      </w:r>
    </w:p>
    <w:p w:rsidR="00C31FC6" w:rsidRPr="007C2C4C"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C2C4C">
        <w:rPr>
          <w:rFonts w:ascii="Tahoma" w:hAnsi="Tahoma" w:cs="Tahoma"/>
          <w:lang w:val="fr-FR"/>
        </w:rPr>
        <w:t>Le fonds de roulement (Working Capital Fund/WCF) est demeuré inchangé en 2013 par rapport à 2012. Son solde se monte à quelque 540'000 francs.</w:t>
      </w:r>
    </w:p>
    <w:p w:rsidR="00C31FC6" w:rsidRPr="007B76B5" w:rsidRDefault="00C31FC6" w:rsidP="0005424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fr-CH"/>
        </w:rPr>
      </w:pPr>
      <w:r>
        <w:rPr>
          <w:rFonts w:ascii="Tahoma" w:hAnsi="Tahoma" w:cs="Tahoma"/>
          <w:lang w:val="fr-CH"/>
        </w:rPr>
        <w:lastRenderedPageBreak/>
        <w:t>Les d</w:t>
      </w:r>
      <w:r w:rsidRPr="007B76B5">
        <w:rPr>
          <w:rFonts w:ascii="Tahoma" w:hAnsi="Tahoma" w:cs="Tahoma"/>
          <w:lang w:val="fr-CH"/>
        </w:rPr>
        <w:t xml:space="preserve">épenses de l’UPOV </w:t>
      </w:r>
      <w:r>
        <w:rPr>
          <w:rFonts w:ascii="Tahoma" w:hAnsi="Tahoma" w:cs="Tahoma"/>
          <w:lang w:val="fr-CH"/>
        </w:rPr>
        <w:t xml:space="preserve">sont </w:t>
      </w:r>
      <w:r w:rsidRPr="007B76B5">
        <w:rPr>
          <w:rFonts w:ascii="Tahoma" w:hAnsi="Tahoma" w:cs="Tahoma"/>
          <w:lang w:val="fr-CH"/>
        </w:rPr>
        <w:t>en hausse par rapport à l’année 2012</w:t>
      </w:r>
    </w:p>
    <w:p w:rsidR="00C31FC6" w:rsidRPr="007B76B5"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CH"/>
        </w:rPr>
      </w:pPr>
      <w:r>
        <w:rPr>
          <w:rFonts w:ascii="Tahoma" w:hAnsi="Tahoma" w:cs="Tahoma"/>
          <w:lang w:val="fr-CH"/>
        </w:rPr>
        <w:t xml:space="preserve">Les </w:t>
      </w:r>
      <w:r w:rsidRPr="007B76B5">
        <w:rPr>
          <w:rFonts w:ascii="Tahoma" w:hAnsi="Tahoma" w:cs="Tahoma"/>
          <w:lang w:val="fr-CH"/>
        </w:rPr>
        <w:t xml:space="preserve">charges </w:t>
      </w:r>
      <w:r>
        <w:rPr>
          <w:rFonts w:ascii="Tahoma" w:hAnsi="Tahoma" w:cs="Tahoma"/>
          <w:lang w:val="fr-CH"/>
        </w:rPr>
        <w:t>de</w:t>
      </w:r>
      <w:r w:rsidRPr="007B76B5">
        <w:rPr>
          <w:rFonts w:ascii="Tahoma" w:hAnsi="Tahoma" w:cs="Tahoma"/>
          <w:lang w:val="fr-CH"/>
        </w:rPr>
        <w:t xml:space="preserve"> l’année 2013 </w:t>
      </w:r>
      <w:r>
        <w:rPr>
          <w:rFonts w:ascii="Tahoma" w:hAnsi="Tahoma" w:cs="Tahoma"/>
          <w:lang w:val="fr-CH"/>
        </w:rPr>
        <w:t>ont été supérieures de 12.3% par rapport à celles de 2012. Elles se sont établies à plus de 3'643’000 francs. La répartition des dépenses par nature dans le graphique ci-dessous démontre schématiquement leur évolution.</w:t>
      </w:r>
    </w:p>
    <w:p w:rsidR="00C31FC6" w:rsidRDefault="00C31FC6" w:rsidP="007B76B5">
      <w:pPr>
        <w:tabs>
          <w:tab w:val="left" w:pos="737"/>
          <w:tab w:val="left" w:pos="993"/>
          <w:tab w:val="left" w:pos="1985"/>
          <w:tab w:val="right" w:pos="9356"/>
        </w:tabs>
        <w:overflowPunct w:val="0"/>
        <w:autoSpaceDE w:val="0"/>
        <w:autoSpaceDN w:val="0"/>
        <w:adjustRightInd w:val="0"/>
        <w:spacing w:after="120"/>
        <w:ind w:left="851" w:right="284"/>
        <w:jc w:val="center"/>
        <w:textAlignment w:val="baseline"/>
        <w:rPr>
          <w:rFonts w:ascii="Tahoma" w:hAnsi="Tahoma" w:cs="Tahoma"/>
          <w:b/>
          <w:lang w:val="fr-FR"/>
        </w:rPr>
      </w:pPr>
      <w:r>
        <w:rPr>
          <w:noProof/>
        </w:rPr>
        <w:drawing>
          <wp:inline distT="0" distB="0" distL="0" distR="0" wp14:anchorId="19109362" wp14:editId="2BF2CFD9">
            <wp:extent cx="4623206" cy="2721254"/>
            <wp:effectExtent l="0" t="0" r="25400" b="22225"/>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1FC6" w:rsidRPr="007B76B5" w:rsidRDefault="00C31FC6" w:rsidP="007B0D18">
      <w:pPr>
        <w:tabs>
          <w:tab w:val="left" w:pos="737"/>
          <w:tab w:val="left" w:pos="993"/>
          <w:tab w:val="left" w:pos="1985"/>
          <w:tab w:val="right" w:pos="9356"/>
        </w:tabs>
        <w:overflowPunct w:val="0"/>
        <w:autoSpaceDE w:val="0"/>
        <w:autoSpaceDN w:val="0"/>
        <w:adjustRightInd w:val="0"/>
        <w:spacing w:after="240"/>
        <w:ind w:left="851" w:right="284"/>
        <w:jc w:val="center"/>
        <w:textAlignment w:val="baseline"/>
        <w:rPr>
          <w:rFonts w:ascii="Tahoma" w:hAnsi="Tahoma" w:cs="Tahoma"/>
          <w:lang w:val="fr-FR"/>
        </w:rPr>
      </w:pPr>
      <w:r>
        <w:rPr>
          <w:rFonts w:ascii="Tahoma" w:hAnsi="Tahoma" w:cs="Tahoma"/>
          <w:b/>
          <w:lang w:val="fr-FR"/>
        </w:rPr>
        <w:t>Graphique 1</w:t>
      </w:r>
      <w:r w:rsidRPr="00145187">
        <w:rPr>
          <w:rFonts w:ascii="Tahoma" w:hAnsi="Tahoma" w:cs="Tahoma"/>
          <w:b/>
          <w:lang w:val="fr-FR"/>
        </w:rPr>
        <w:t xml:space="preserve"> : </w:t>
      </w:r>
      <w:r>
        <w:rPr>
          <w:rFonts w:ascii="Tahoma" w:hAnsi="Tahoma" w:cs="Tahoma"/>
          <w:b/>
          <w:lang w:val="fr-FR"/>
        </w:rPr>
        <w:t>Charges 2013 et 2012 par nature de dépenses</w:t>
      </w:r>
    </w:p>
    <w:p w:rsidR="00C31FC6"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B76B5">
        <w:rPr>
          <w:rFonts w:ascii="Tahoma" w:hAnsi="Tahoma" w:cs="Tahoma"/>
          <w:lang w:val="fr-CH"/>
        </w:rPr>
        <w:t>No</w:t>
      </w:r>
      <w:r>
        <w:rPr>
          <w:rFonts w:ascii="Tahoma" w:hAnsi="Tahoma" w:cs="Tahoma"/>
          <w:lang w:val="fr-CH"/>
        </w:rPr>
        <w:t xml:space="preserve">us avons </w:t>
      </w:r>
      <w:r w:rsidRPr="007B76B5">
        <w:rPr>
          <w:rFonts w:ascii="Tahoma" w:hAnsi="Tahoma" w:cs="Tahoma"/>
          <w:lang w:val="fr-FR"/>
        </w:rPr>
        <w:t xml:space="preserve">procédé à différents contrôles par sondages dans les comptes de charges de l’exercice comptable 2013. Les mouvements ont été </w:t>
      </w:r>
      <w:r>
        <w:rPr>
          <w:rFonts w:ascii="Tahoma" w:hAnsi="Tahoma" w:cs="Tahoma"/>
          <w:lang w:val="fr-FR"/>
        </w:rPr>
        <w:t xml:space="preserve">vérifiés à l’appui </w:t>
      </w:r>
      <w:r w:rsidRPr="007B76B5">
        <w:rPr>
          <w:rFonts w:ascii="Tahoma" w:hAnsi="Tahoma" w:cs="Tahoma"/>
          <w:lang w:val="fr-FR"/>
        </w:rPr>
        <w:t xml:space="preserve">des justificatifs comptables disponibles. Les examens </w:t>
      </w:r>
      <w:r>
        <w:rPr>
          <w:rFonts w:ascii="Tahoma" w:hAnsi="Tahoma" w:cs="Tahoma"/>
          <w:lang w:val="fr-FR"/>
        </w:rPr>
        <w:t xml:space="preserve">de détail </w:t>
      </w:r>
      <w:r w:rsidRPr="007B76B5">
        <w:rPr>
          <w:rFonts w:ascii="Tahoma" w:hAnsi="Tahoma" w:cs="Tahoma"/>
          <w:lang w:val="fr-FR"/>
        </w:rPr>
        <w:t>effectués n'ont pas révélé d’erreur</w:t>
      </w:r>
      <w:r>
        <w:rPr>
          <w:rFonts w:ascii="Tahoma" w:hAnsi="Tahoma" w:cs="Tahoma"/>
          <w:lang w:val="fr-FR"/>
        </w:rPr>
        <w:t>. Nous nous limitons à relever quelques constatations que nous mentionnons ci-après.</w:t>
      </w:r>
    </w:p>
    <w:p w:rsidR="00C31FC6" w:rsidRPr="0031326D"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FR"/>
        </w:rPr>
        <w:t>Les dépenses de personnel représentent la plus grande part des dépenses de l’UPOV. Leur hausse en 2013 par rapport à 2012 a représenté environ 91'000 francs (+ 4.4%). Les dépenses 2013 se sont établies à quelque 2'077'000 francs.</w:t>
      </w:r>
    </w:p>
    <w:p w:rsidR="00C31FC6" w:rsidRPr="0031326D"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7B76B5">
        <w:rPr>
          <w:rFonts w:ascii="Tahoma" w:hAnsi="Tahoma" w:cs="Tahoma"/>
          <w:lang w:val="fr-CH"/>
        </w:rPr>
        <w:t xml:space="preserve">L’augmentation des charges de missions </w:t>
      </w:r>
      <w:r>
        <w:rPr>
          <w:rFonts w:ascii="Tahoma" w:hAnsi="Tahoma" w:cs="Tahoma"/>
          <w:lang w:val="fr-CH"/>
        </w:rPr>
        <w:t xml:space="preserve">et boursiers </w:t>
      </w:r>
      <w:r w:rsidRPr="007B76B5">
        <w:rPr>
          <w:rFonts w:ascii="Tahoma" w:hAnsi="Tahoma" w:cs="Tahoma"/>
          <w:lang w:val="fr-CH"/>
        </w:rPr>
        <w:t xml:space="preserve">(+ 19.3%) s’explique surtout par des participations aux conférences. </w:t>
      </w:r>
      <w:r>
        <w:rPr>
          <w:rFonts w:ascii="Tahoma" w:hAnsi="Tahoma" w:cs="Tahoma"/>
          <w:lang w:val="fr-CH"/>
        </w:rPr>
        <w:t>En effet, les dépenses liées aux « Funds in trust » ont plus que doublé entre 2012 et 2013 pour s’afficher à 290'000 francs environ.</w:t>
      </w:r>
    </w:p>
    <w:p w:rsidR="00C31FC6" w:rsidRPr="00B1146B"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CH"/>
        </w:rPr>
        <w:t>L</w:t>
      </w:r>
      <w:r w:rsidRPr="007B76B5">
        <w:rPr>
          <w:rFonts w:ascii="Tahoma" w:hAnsi="Tahoma" w:cs="Tahoma"/>
          <w:lang w:val="fr-CH"/>
        </w:rPr>
        <w:t xml:space="preserve">es services contractuels </w:t>
      </w:r>
      <w:r>
        <w:rPr>
          <w:rFonts w:ascii="Tahoma" w:hAnsi="Tahoma" w:cs="Tahoma"/>
          <w:lang w:val="fr-CH"/>
        </w:rPr>
        <w:t>ont</w:t>
      </w:r>
      <w:r w:rsidRPr="007B76B5">
        <w:rPr>
          <w:rFonts w:ascii="Tahoma" w:hAnsi="Tahoma" w:cs="Tahoma"/>
          <w:lang w:val="fr-CH"/>
        </w:rPr>
        <w:t xml:space="preserve"> </w:t>
      </w:r>
      <w:r>
        <w:rPr>
          <w:rFonts w:ascii="Tahoma" w:hAnsi="Tahoma" w:cs="Tahoma"/>
          <w:lang w:val="fr-CH"/>
        </w:rPr>
        <w:t>coûté presque trois fois plus en 2013 qu’en 2012. En effet, les charges de 2012 affichaient 117'000 francs contre 337'000 francs pour la période sous revue. Leur hausse a surtout été enregistrée pour des prestations contractuelles individuelles (compte 73801 : 65'000 francs), des prestations de services IT (compte 73810 : 117'600 francs) et d’autres prestataires commerciaux de services (compte 73812 : 44'000 francs).</w:t>
      </w:r>
    </w:p>
    <w:p w:rsidR="00C31FC6" w:rsidRPr="007B76B5"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Pr>
          <w:rFonts w:ascii="Tahoma" w:hAnsi="Tahoma" w:cs="Tahoma"/>
          <w:lang w:val="fr-CH"/>
        </w:rPr>
        <w:t xml:space="preserve">Les dépenses d’exploitation de 622'000 francs ont été très proches en 2013 de celles de 2012. Dans cette rubrique figurent presque exclusivement les prestations administratives que fournit l’OMPI en faveur de l’UPOV (620'000 francs). Elles sont fixées dans un accord entre les deux entités. </w:t>
      </w:r>
    </w:p>
    <w:p w:rsidR="00C31FC6" w:rsidRPr="00D217A2" w:rsidRDefault="00C31FC6" w:rsidP="00C87ED3">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fr-CH"/>
        </w:rPr>
      </w:pPr>
      <w:r w:rsidRPr="00D217A2">
        <w:rPr>
          <w:rFonts w:ascii="Tahoma" w:hAnsi="Tahoma" w:cs="Tahoma"/>
          <w:lang w:val="fr-CH"/>
        </w:rPr>
        <w:t>Les recettes budgétées par l’UPOV en 2013 correspondent aux encaissements effectifs</w:t>
      </w:r>
    </w:p>
    <w:p w:rsidR="00C31FC6" w:rsidRPr="009847FD"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9847FD">
        <w:rPr>
          <w:rFonts w:ascii="Tahoma" w:hAnsi="Tahoma" w:cs="Tahoma"/>
          <w:lang w:val="fr-FR"/>
        </w:rPr>
        <w:t xml:space="preserve">Le budget prévoyait des recettes </w:t>
      </w:r>
      <w:r>
        <w:rPr>
          <w:rFonts w:ascii="Tahoma" w:hAnsi="Tahoma" w:cs="Tahoma"/>
          <w:lang w:val="fr-FR"/>
        </w:rPr>
        <w:t>2013 à hauteur de 3'</w:t>
      </w:r>
      <w:r w:rsidRPr="009847FD">
        <w:rPr>
          <w:rFonts w:ascii="Tahoma" w:hAnsi="Tahoma" w:cs="Tahoma"/>
          <w:lang w:val="fr-FR"/>
        </w:rPr>
        <w:t>404</w:t>
      </w:r>
      <w:r>
        <w:rPr>
          <w:rFonts w:ascii="Tahoma" w:hAnsi="Tahoma" w:cs="Tahoma"/>
          <w:lang w:val="fr-FR"/>
        </w:rPr>
        <w:t xml:space="preserve">'000 </w:t>
      </w:r>
      <w:r w:rsidRPr="009847FD">
        <w:rPr>
          <w:rFonts w:ascii="Tahoma" w:hAnsi="Tahoma" w:cs="Tahoma"/>
          <w:lang w:val="fr-FR"/>
        </w:rPr>
        <w:t>francs. Les encaissements effectifs ont été légèrement inférieurs, puisqu’ils ont représenté 3</w:t>
      </w:r>
      <w:r>
        <w:rPr>
          <w:rFonts w:ascii="Tahoma" w:hAnsi="Tahoma" w:cs="Tahoma"/>
          <w:lang w:val="fr-FR"/>
        </w:rPr>
        <w:t>'</w:t>
      </w:r>
      <w:r w:rsidRPr="009847FD">
        <w:rPr>
          <w:rFonts w:ascii="Tahoma" w:hAnsi="Tahoma" w:cs="Tahoma"/>
          <w:lang w:val="fr-FR"/>
        </w:rPr>
        <w:t>403</w:t>
      </w:r>
      <w:r>
        <w:rPr>
          <w:rFonts w:ascii="Tahoma" w:hAnsi="Tahoma" w:cs="Tahoma"/>
          <w:lang w:val="fr-FR"/>
        </w:rPr>
        <w:t>’000</w:t>
      </w:r>
      <w:r w:rsidRPr="009847FD">
        <w:rPr>
          <w:rFonts w:ascii="Tahoma" w:hAnsi="Tahoma" w:cs="Tahoma"/>
          <w:lang w:val="fr-FR"/>
        </w:rPr>
        <w:t xml:space="preserve"> francs. L’écart entre les deux valeurs peut êt</w:t>
      </w:r>
      <w:r>
        <w:rPr>
          <w:rFonts w:ascii="Tahoma" w:hAnsi="Tahoma" w:cs="Tahoma"/>
          <w:lang w:val="fr-FR"/>
        </w:rPr>
        <w:t>re considéré comme insignifiant.</w:t>
      </w:r>
    </w:p>
    <w:p w:rsidR="00C31FC6" w:rsidRPr="009847FD"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9847FD">
        <w:rPr>
          <w:rFonts w:ascii="Tahoma" w:hAnsi="Tahoma" w:cs="Tahoma"/>
          <w:lang w:val="fr-FR"/>
        </w:rPr>
        <w:t>Les contributions statutaires de 2013 ont été identiques à celles de l’année 2012. Elles se sont élevées à quelque 3</w:t>
      </w:r>
      <w:r>
        <w:rPr>
          <w:rFonts w:ascii="Tahoma" w:hAnsi="Tahoma" w:cs="Tahoma"/>
          <w:lang w:val="fr-FR"/>
        </w:rPr>
        <w:t>'</w:t>
      </w:r>
      <w:r w:rsidRPr="009847FD">
        <w:rPr>
          <w:rFonts w:ascii="Tahoma" w:hAnsi="Tahoma" w:cs="Tahoma"/>
          <w:lang w:val="fr-FR"/>
        </w:rPr>
        <w:t>323</w:t>
      </w:r>
      <w:r>
        <w:rPr>
          <w:rFonts w:ascii="Tahoma" w:hAnsi="Tahoma" w:cs="Tahoma"/>
          <w:lang w:val="fr-FR"/>
        </w:rPr>
        <w:t>’000</w:t>
      </w:r>
      <w:r w:rsidRPr="009847FD">
        <w:rPr>
          <w:rFonts w:ascii="Tahoma" w:hAnsi="Tahoma" w:cs="Tahoma"/>
          <w:lang w:val="fr-FR"/>
        </w:rPr>
        <w:t xml:space="preserve"> francs, soit 88,6% des recettes globales. Les contributions volontaires ont dépassé 395'000 francs, ce qui représente 10.5% des produits 2013</w:t>
      </w:r>
      <w:r>
        <w:rPr>
          <w:rFonts w:ascii="Tahoma" w:hAnsi="Tahoma" w:cs="Tahoma"/>
          <w:lang w:val="fr-FR"/>
        </w:rPr>
        <w:t>.</w:t>
      </w:r>
    </w:p>
    <w:p w:rsidR="00C31FC6" w:rsidRPr="00D67C8D" w:rsidRDefault="00C31FC6" w:rsidP="00E02596">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fr-CH"/>
        </w:rPr>
      </w:pPr>
      <w:r w:rsidRPr="00D67C8D">
        <w:rPr>
          <w:rFonts w:ascii="Tahoma" w:hAnsi="Tahoma" w:cs="Tahoma"/>
          <w:lang w:val="fr-CH"/>
        </w:rPr>
        <w:lastRenderedPageBreak/>
        <w:t xml:space="preserve">Informations </w:t>
      </w:r>
      <w:r>
        <w:rPr>
          <w:rFonts w:ascii="Tahoma" w:hAnsi="Tahoma" w:cs="Tahoma"/>
          <w:lang w:val="fr-CH"/>
        </w:rPr>
        <w:t>sur les opérations entre</w:t>
      </w:r>
      <w:r w:rsidRPr="00D67C8D">
        <w:rPr>
          <w:rFonts w:ascii="Tahoma" w:hAnsi="Tahoma" w:cs="Tahoma"/>
          <w:lang w:val="fr-CH"/>
        </w:rPr>
        <w:t xml:space="preserve"> parties liées</w:t>
      </w:r>
    </w:p>
    <w:p w:rsidR="00C31FC6" w:rsidRPr="00BB0913"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BB0913">
        <w:rPr>
          <w:rFonts w:ascii="Tahoma" w:hAnsi="Tahoma" w:cs="Tahoma"/>
          <w:lang w:val="fr-FR"/>
        </w:rPr>
        <w:t>La note 10 des états financiers présente, pour 2013, un montant de 1'047’215 francs correspondant aux salaires de 5.19 postes équivalent plein temps pour des fonctionnaires considérés comme des personnes-clé de l’UPOV. Comme cela est précisé dans ladite note, le Directeur général de l’OMPI a décliné toute rémunération dans sa fonction de Secrétaire général de l’UPOV. Le seul autre cadre de niveau supérieur de l’entité est le Secrétaire général adjoint, puisque l’UPOV n’a pas de directeur de secteur. La présentation figurant sous « P</w:t>
      </w:r>
      <w:r w:rsidRPr="00BB0913">
        <w:rPr>
          <w:rFonts w:ascii="Tahoma" w:hAnsi="Tahoma" w:cs="Tahoma"/>
          <w:lang w:val="fr-CH"/>
        </w:rPr>
        <w:t>rincipaux dirigeants</w:t>
      </w:r>
      <w:r w:rsidRPr="00BB0913">
        <w:rPr>
          <w:rFonts w:ascii="Tahoma" w:hAnsi="Tahoma" w:cs="Tahoma"/>
          <w:lang w:val="fr-FR"/>
        </w:rPr>
        <w:t xml:space="preserve"> </w:t>
      </w:r>
      <w:r w:rsidRPr="00BB0913">
        <w:rPr>
          <w:rFonts w:ascii="Tahoma" w:hAnsi="Tahoma" w:cs="Tahoma"/>
          <w:lang w:val="fr-CH"/>
        </w:rPr>
        <w:t>et leur rémunération</w:t>
      </w:r>
      <w:r w:rsidRPr="00BB0913">
        <w:rPr>
          <w:rFonts w:ascii="Tahoma" w:hAnsi="Tahoma" w:cs="Tahoma"/>
          <w:lang w:val="fr-FR"/>
        </w:rPr>
        <w:t xml:space="preserve"> </w:t>
      </w:r>
      <w:r w:rsidRPr="00BB0913">
        <w:rPr>
          <w:rFonts w:ascii="Tahoma" w:hAnsi="Tahoma" w:cs="Tahoma"/>
          <w:lang w:val="fr-CH"/>
        </w:rPr>
        <w:t>globale »</w:t>
      </w:r>
      <w:r w:rsidRPr="00BB0913">
        <w:rPr>
          <w:rFonts w:ascii="Tahoma" w:hAnsi="Tahoma" w:cs="Tahoma"/>
          <w:lang w:val="fr-FR"/>
        </w:rPr>
        <w:t xml:space="preserve"> de la note 10 ne fait pas de distinction entre le Secrétaire général adjoint et les autres collaborateurs pris en considération dans les parties liées. Ceci n’est pas complètement conforme aux dispositions du chiffre 34, lettre a de la norme IPSAS 20 qui prévoient une telle distinction.</w:t>
      </w:r>
    </w:p>
    <w:p w:rsidR="00C31FC6" w:rsidRPr="00B11876" w:rsidRDefault="00C31FC6" w:rsidP="00BB3750">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lang w:val="fr-FR"/>
        </w:rPr>
      </w:pPr>
      <w:r>
        <w:rPr>
          <w:rFonts w:ascii="Tahoma" w:hAnsi="Tahoma" w:cs="Tahoma"/>
          <w:b/>
          <w:lang w:val="fr-FR"/>
        </w:rPr>
        <w:t>Remarque</w:t>
      </w:r>
      <w:r w:rsidRPr="006228B5">
        <w:rPr>
          <w:rFonts w:ascii="Tahoma" w:hAnsi="Tahoma" w:cs="Tahoma"/>
          <w:b/>
          <w:lang w:val="fr-CH"/>
        </w:rPr>
        <w:t xml:space="preserve"> : </w:t>
      </w:r>
      <w:r>
        <w:rPr>
          <w:rFonts w:ascii="Tahoma" w:hAnsi="Tahoma" w:cs="Tahoma"/>
          <w:lang w:val="fr-FR"/>
        </w:rPr>
        <w:t>Nous prenons acte de la volonté de l’UPOV et faisons remarquer que ceci n’est pas totalement conforme à la norme IPSAS 20. Toutefois, nous estimons comme lors du bouclement de l’exercice précédent, qu’il n’est pas nécessaire de modifier notre opinion d’audit. Mais il est de notre devoir de Vérificateur extérieur de mentionner ceci à l’intention des Etats membres.</w:t>
      </w:r>
    </w:p>
    <w:p w:rsidR="00C31FC6" w:rsidRPr="00493AED" w:rsidRDefault="00C31FC6" w:rsidP="001949A2">
      <w:pPr>
        <w:pStyle w:val="OI-TITRE"/>
        <w:spacing w:after="480"/>
        <w:ind w:left="851"/>
        <w:rPr>
          <w:rFonts w:ascii="Tahoma" w:hAnsi="Tahoma" w:cs="Tahoma"/>
        </w:rPr>
      </w:pPr>
      <w:r w:rsidRPr="00493AED">
        <w:rPr>
          <w:rFonts w:ascii="Tahoma" w:hAnsi="Tahoma" w:cs="Tahoma"/>
        </w:rPr>
        <w:t>CONCLUSION</w:t>
      </w:r>
    </w:p>
    <w:p w:rsidR="00C31FC6" w:rsidRPr="00493AED" w:rsidRDefault="00C31FC6" w:rsidP="00C31FC6">
      <w:pPr>
        <w:numPr>
          <w:ilvl w:val="0"/>
          <w:numId w:val="2"/>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493AED">
        <w:rPr>
          <w:rFonts w:ascii="Tahoma" w:hAnsi="Tahoma" w:cs="Tahoma"/>
          <w:lang w:val="fr-FR"/>
        </w:rPr>
        <w:t xml:space="preserve">A la suite des travaux effectués, nous sommes en mesure de délivrer l'opinion de vérification jointe en annexe au présent rapport et établie conformément au paragraphe 5 du Mandat pour la </w:t>
      </w:r>
      <w:r>
        <w:rPr>
          <w:rFonts w:ascii="Tahoma" w:hAnsi="Tahoma" w:cs="Tahoma"/>
          <w:lang w:val="fr-FR"/>
        </w:rPr>
        <w:t>V</w:t>
      </w:r>
      <w:r w:rsidRPr="00493AED">
        <w:rPr>
          <w:rFonts w:ascii="Tahoma" w:hAnsi="Tahoma" w:cs="Tahoma"/>
          <w:lang w:val="fr-FR"/>
        </w:rPr>
        <w:t>érification des comptes.</w:t>
      </w:r>
    </w:p>
    <w:p w:rsidR="00C31FC6" w:rsidRPr="00493AED" w:rsidRDefault="00C31FC6" w:rsidP="00D743E4">
      <w:pPr>
        <w:ind w:left="851" w:right="113"/>
        <w:rPr>
          <w:rFonts w:ascii="Tahoma" w:hAnsi="Tahoma"/>
          <w:lang w:val="fr-CH"/>
        </w:rPr>
      </w:pPr>
    </w:p>
    <w:p w:rsidR="00C31FC6" w:rsidRDefault="00C31FC6" w:rsidP="009A09E3">
      <w:pPr>
        <w:ind w:left="851" w:right="113"/>
        <w:rPr>
          <w:rFonts w:ascii="Tahoma" w:hAnsi="Tahoma"/>
          <w:lang w:val="fr-CH"/>
        </w:rPr>
      </w:pPr>
    </w:p>
    <w:p w:rsidR="00C31FC6" w:rsidRPr="00AC66ED" w:rsidRDefault="00C31FC6" w:rsidP="009A09E3">
      <w:pPr>
        <w:tabs>
          <w:tab w:val="right" w:pos="-284"/>
          <w:tab w:val="left" w:pos="0"/>
        </w:tabs>
        <w:ind w:left="851" w:right="113"/>
        <w:rPr>
          <w:rFonts w:ascii="Tahoma" w:hAnsi="Tahoma" w:cs="Tahoma"/>
          <w:lang w:val="fr-CH"/>
        </w:rPr>
      </w:pPr>
      <w:r w:rsidRPr="00AC66ED">
        <w:rPr>
          <w:rFonts w:ascii="Tahoma" w:hAnsi="Tahoma" w:cs="Tahoma"/>
          <w:lang w:val="fr-CH"/>
        </w:rPr>
        <w:t>CONTROLE FEDERAL DES FINANCES</w:t>
      </w:r>
    </w:p>
    <w:p w:rsidR="00C31FC6" w:rsidRPr="00AC66ED" w:rsidRDefault="00C31FC6" w:rsidP="009A09E3">
      <w:pPr>
        <w:tabs>
          <w:tab w:val="right" w:pos="-284"/>
          <w:tab w:val="left" w:pos="0"/>
        </w:tabs>
        <w:ind w:left="851" w:right="113"/>
        <w:rPr>
          <w:rFonts w:ascii="Tahoma" w:hAnsi="Tahoma" w:cs="Tahoma"/>
          <w:lang w:val="fr-CH"/>
        </w:rPr>
      </w:pPr>
      <w:r w:rsidRPr="00AC66ED">
        <w:rPr>
          <w:rFonts w:ascii="Tahoma" w:hAnsi="Tahoma" w:cs="Tahoma"/>
          <w:lang w:val="fr-CH"/>
        </w:rPr>
        <w:t>DE LA CONFEDERATION SUISSE</w:t>
      </w:r>
    </w:p>
    <w:p w:rsidR="00C31FC6" w:rsidRPr="00A868AD" w:rsidRDefault="00C31FC6" w:rsidP="009A09E3">
      <w:pPr>
        <w:tabs>
          <w:tab w:val="left" w:pos="1872"/>
          <w:tab w:val="left" w:pos="5670"/>
          <w:tab w:val="right" w:pos="9356"/>
        </w:tabs>
        <w:ind w:left="851" w:right="284"/>
        <w:rPr>
          <w:rFonts w:ascii="Tahoma" w:hAnsi="Tahoma" w:cs="Tahoma"/>
          <w:lang w:val="fr-FR"/>
        </w:rPr>
      </w:pPr>
      <w:r w:rsidRPr="00A868AD">
        <w:rPr>
          <w:rFonts w:ascii="Tahoma" w:hAnsi="Tahoma" w:cs="Tahoma"/>
          <w:lang w:val="fr-FR"/>
        </w:rPr>
        <w:t>(Vérificateur extérieur)</w:t>
      </w:r>
    </w:p>
    <w:p w:rsidR="00C31FC6" w:rsidRDefault="00C31FC6" w:rsidP="009A09E3">
      <w:pPr>
        <w:ind w:left="851" w:right="113"/>
        <w:rPr>
          <w:rFonts w:ascii="Tahoma" w:hAnsi="Tahoma"/>
          <w:lang w:val="fr-CH"/>
        </w:rPr>
      </w:pPr>
    </w:p>
    <w:p w:rsidR="00C31FC6" w:rsidRDefault="00C31FC6" w:rsidP="009A09E3">
      <w:pPr>
        <w:ind w:left="851" w:right="113"/>
        <w:rPr>
          <w:rFonts w:ascii="Tahoma" w:hAnsi="Tahoma"/>
          <w:lang w:val="fr-CH"/>
        </w:rPr>
      </w:pPr>
    </w:p>
    <w:p w:rsidR="00C31FC6" w:rsidRDefault="00C31FC6" w:rsidP="009A09E3">
      <w:pPr>
        <w:ind w:left="851" w:right="113"/>
        <w:rPr>
          <w:rFonts w:ascii="Tahoma" w:hAnsi="Tahoma"/>
          <w:lang w:val="fr-CH"/>
        </w:rPr>
      </w:pPr>
    </w:p>
    <w:p w:rsidR="00C31FC6" w:rsidRDefault="00C31FC6" w:rsidP="009A09E3">
      <w:pPr>
        <w:ind w:left="851" w:right="113"/>
        <w:rPr>
          <w:rFonts w:ascii="Tahoma" w:hAnsi="Tahoma"/>
          <w:lang w:val="fr-CH"/>
        </w:rPr>
      </w:pPr>
    </w:p>
    <w:p w:rsidR="00C31FC6" w:rsidRDefault="00C31FC6" w:rsidP="009A09E3">
      <w:pPr>
        <w:tabs>
          <w:tab w:val="left" w:pos="5954"/>
        </w:tabs>
        <w:ind w:left="851" w:right="113"/>
        <w:rPr>
          <w:rFonts w:ascii="Tahoma" w:hAnsi="Tahoma"/>
          <w:lang w:val="fr-CH"/>
        </w:rPr>
      </w:pPr>
      <w:r>
        <w:rPr>
          <w:rFonts w:ascii="Tahoma" w:hAnsi="Tahoma"/>
          <w:lang w:val="fr-CH"/>
        </w:rPr>
        <w:t>Eric-Serge Jeannet</w:t>
      </w:r>
      <w:r>
        <w:rPr>
          <w:rFonts w:ascii="Tahoma" w:hAnsi="Tahoma"/>
          <w:lang w:val="fr-CH"/>
        </w:rPr>
        <w:tab/>
        <w:t>Didier Monnot</w:t>
      </w:r>
    </w:p>
    <w:p w:rsidR="00C31FC6" w:rsidRPr="006F646E" w:rsidRDefault="00C31FC6" w:rsidP="009A09E3">
      <w:pPr>
        <w:tabs>
          <w:tab w:val="left" w:pos="5954"/>
        </w:tabs>
        <w:ind w:left="851" w:right="113"/>
        <w:rPr>
          <w:rFonts w:ascii="Tahoma" w:hAnsi="Tahoma"/>
          <w:lang w:val="fr-CH"/>
        </w:rPr>
      </w:pPr>
      <w:r>
        <w:rPr>
          <w:rFonts w:ascii="Tahoma" w:hAnsi="Tahoma"/>
          <w:lang w:val="fr-CH"/>
        </w:rPr>
        <w:t>Vice-d</w:t>
      </w:r>
      <w:r w:rsidRPr="006F646E">
        <w:rPr>
          <w:rFonts w:ascii="Tahoma" w:hAnsi="Tahoma"/>
          <w:lang w:val="fr-CH"/>
        </w:rPr>
        <w:t>irecteur</w:t>
      </w:r>
      <w:r>
        <w:rPr>
          <w:rFonts w:ascii="Tahoma" w:hAnsi="Tahoma"/>
          <w:lang w:val="fr-CH"/>
        </w:rPr>
        <w:tab/>
        <w:t>Responsable de mandats</w:t>
      </w:r>
    </w:p>
    <w:p w:rsidR="00C31FC6" w:rsidRDefault="00C31FC6" w:rsidP="009A09E3">
      <w:pPr>
        <w:tabs>
          <w:tab w:val="left" w:pos="1985"/>
          <w:tab w:val="left" w:pos="5670"/>
          <w:tab w:val="right" w:pos="9356"/>
        </w:tabs>
        <w:ind w:left="1305" w:right="851" w:hanging="454"/>
        <w:rPr>
          <w:rFonts w:ascii="Tahoma" w:hAnsi="Tahoma" w:cs="Tahoma"/>
          <w:lang w:val="fr-FR"/>
        </w:rPr>
      </w:pPr>
    </w:p>
    <w:p w:rsidR="00C31FC6" w:rsidRPr="008B2D49" w:rsidRDefault="00C31FC6" w:rsidP="009A09E3">
      <w:pPr>
        <w:tabs>
          <w:tab w:val="left" w:pos="1872"/>
          <w:tab w:val="left" w:pos="5670"/>
          <w:tab w:val="right" w:pos="9356"/>
        </w:tabs>
        <w:spacing w:line="300" w:lineRule="exact"/>
        <w:ind w:left="851" w:right="282"/>
        <w:rPr>
          <w:rFonts w:ascii="Tahoma" w:hAnsi="Tahoma" w:cs="Tahoma"/>
          <w:highlight w:val="yellow"/>
          <w:lang w:val="fr-FR"/>
        </w:rPr>
      </w:pPr>
    </w:p>
    <w:p w:rsidR="00C31FC6" w:rsidRPr="006B684E" w:rsidRDefault="00C31FC6" w:rsidP="009A09E3">
      <w:pPr>
        <w:tabs>
          <w:tab w:val="left" w:pos="1985"/>
          <w:tab w:val="left" w:pos="5670"/>
          <w:tab w:val="right" w:pos="9356"/>
        </w:tabs>
        <w:ind w:left="1305" w:right="851" w:hanging="454"/>
        <w:rPr>
          <w:rFonts w:ascii="Tahoma" w:hAnsi="Tahoma" w:cs="Tahoma"/>
          <w:lang w:val="fr-CH"/>
        </w:rPr>
      </w:pPr>
      <w:r w:rsidRPr="006B684E">
        <w:rPr>
          <w:rFonts w:ascii="Tahoma" w:hAnsi="Tahoma" w:cs="Tahoma"/>
          <w:u w:val="single"/>
          <w:lang w:val="fr-CH"/>
        </w:rPr>
        <w:t>Annexe</w:t>
      </w:r>
      <w:r w:rsidRPr="006B684E">
        <w:rPr>
          <w:rFonts w:ascii="Tahoma" w:hAnsi="Tahoma" w:cs="Tahoma"/>
          <w:lang w:val="fr-CH"/>
        </w:rPr>
        <w:t>:</w:t>
      </w:r>
    </w:p>
    <w:p w:rsidR="00C31FC6" w:rsidRPr="006B684E" w:rsidRDefault="00C31FC6" w:rsidP="00C31FC6">
      <w:pPr>
        <w:pStyle w:val="ListParagraph"/>
        <w:numPr>
          <w:ilvl w:val="0"/>
          <w:numId w:val="4"/>
        </w:numPr>
        <w:tabs>
          <w:tab w:val="left" w:pos="1985"/>
          <w:tab w:val="left" w:pos="5670"/>
          <w:tab w:val="right" w:pos="9356"/>
        </w:tabs>
        <w:ind w:right="851"/>
        <w:rPr>
          <w:rFonts w:ascii="Tahoma" w:hAnsi="Tahoma" w:cs="Tahoma"/>
          <w:lang w:val="fr-CH"/>
        </w:rPr>
      </w:pPr>
      <w:r w:rsidRPr="006B684E">
        <w:rPr>
          <w:rFonts w:ascii="Tahoma" w:hAnsi="Tahoma" w:cs="Tahoma"/>
          <w:lang w:val="fr-CH"/>
        </w:rPr>
        <w:t>Opinion d’audit</w:t>
      </w:r>
    </w:p>
    <w:p w:rsidR="00C31FC6" w:rsidRDefault="00C31FC6" w:rsidP="009A09E3">
      <w:pPr>
        <w:tabs>
          <w:tab w:val="left" w:pos="1985"/>
          <w:tab w:val="left" w:pos="5670"/>
          <w:tab w:val="right" w:pos="9356"/>
        </w:tabs>
        <w:ind w:left="1305" w:right="851" w:hanging="454"/>
        <w:rPr>
          <w:rFonts w:ascii="Tahoma" w:hAnsi="Tahoma" w:cs="Tahoma"/>
          <w:lang w:val="fr-FR"/>
        </w:rPr>
      </w:pPr>
    </w:p>
    <w:p w:rsidR="00C31FC6" w:rsidRPr="00493AED" w:rsidRDefault="00C31FC6" w:rsidP="009A09E3">
      <w:pPr>
        <w:pStyle w:val="ListParagraph"/>
        <w:tabs>
          <w:tab w:val="left" w:pos="1985"/>
          <w:tab w:val="left" w:pos="5670"/>
          <w:tab w:val="right" w:pos="9356"/>
        </w:tabs>
        <w:ind w:left="1305" w:right="851" w:hanging="454"/>
        <w:contextualSpacing w:val="0"/>
        <w:jc w:val="both"/>
        <w:rPr>
          <w:rFonts w:ascii="Tahoma" w:hAnsi="Tahoma" w:cs="Tahoma"/>
          <w:lang w:val="fr-CH"/>
        </w:rPr>
      </w:pPr>
    </w:p>
    <w:p w:rsidR="00C31FC6" w:rsidRPr="00A03CEA" w:rsidRDefault="00C31FC6" w:rsidP="009A09E3">
      <w:pPr>
        <w:tabs>
          <w:tab w:val="left" w:pos="1985"/>
          <w:tab w:val="left" w:pos="5670"/>
          <w:tab w:val="right" w:pos="9356"/>
        </w:tabs>
        <w:ind w:left="1305" w:right="851" w:hanging="454"/>
        <w:rPr>
          <w:rFonts w:ascii="Tahoma" w:hAnsi="Tahoma" w:cs="Tahoma"/>
          <w:highlight w:val="yellow"/>
          <w:lang w:val="fr-FR"/>
        </w:rPr>
        <w:sectPr w:rsidR="00C31FC6" w:rsidRPr="00A03CEA" w:rsidSect="000B13F7">
          <w:headerReference w:type="default" r:id="rId18"/>
          <w:footerReference w:type="first" r:id="rId19"/>
          <w:pgSz w:w="11907" w:h="16840" w:code="9"/>
          <w:pgMar w:top="510" w:right="1134" w:bottom="1134" w:left="1134" w:header="510" w:footer="680" w:gutter="0"/>
          <w:pgNumType w:start="1"/>
          <w:cols w:space="720"/>
          <w:titlePg/>
        </w:sectPr>
      </w:pPr>
    </w:p>
    <w:p w:rsidR="00C31FC6" w:rsidRPr="005F7B62" w:rsidRDefault="00C31FC6" w:rsidP="00EC60A3">
      <w:pPr>
        <w:tabs>
          <w:tab w:val="left" w:pos="1872"/>
          <w:tab w:val="left" w:pos="5670"/>
          <w:tab w:val="right" w:pos="9356"/>
        </w:tabs>
        <w:ind w:left="-284" w:right="-427"/>
        <w:rPr>
          <w:rFonts w:ascii="Tahoma" w:hAnsi="Tahoma" w:cs="Tahoma"/>
          <w:lang w:val="fr-CH"/>
        </w:rPr>
      </w:pPr>
      <w:r w:rsidRPr="00A03CEA">
        <w:rPr>
          <w:rFonts w:ascii="Tahoma" w:hAnsi="Tahoma"/>
          <w:lang w:val="fr-CH"/>
        </w:rPr>
        <w:lastRenderedPageBreak/>
        <w:t>Annexe à 1.14307.946.00335.</w:t>
      </w:r>
      <w:r>
        <w:rPr>
          <w:rFonts w:ascii="Tahoma" w:hAnsi="Tahoma"/>
          <w:lang w:val="fr-CH"/>
        </w:rPr>
        <w:t>04</w:t>
      </w:r>
    </w:p>
    <w:p w:rsidR="00C31FC6" w:rsidRPr="005F7B62" w:rsidRDefault="00C31FC6" w:rsidP="00EC60A3">
      <w:pPr>
        <w:spacing w:before="160"/>
        <w:ind w:left="-284"/>
        <w:rPr>
          <w:rFonts w:ascii="Tahoma" w:hAnsi="Tahoma" w:cs="Tahoma"/>
          <w:b/>
          <w:lang w:val="fr-FR"/>
        </w:rPr>
      </w:pPr>
      <w:r w:rsidRPr="005F7B62">
        <w:rPr>
          <w:rFonts w:ascii="Tahoma" w:hAnsi="Tahoma" w:cs="Tahoma"/>
          <w:b/>
          <w:lang w:val="fr-FR"/>
        </w:rPr>
        <w:t>OPINION D’AUDIT DU VERIFICATEUR EXTERIEUR</w:t>
      </w:r>
    </w:p>
    <w:p w:rsidR="00C31FC6" w:rsidRPr="005F7B62" w:rsidRDefault="00C31FC6" w:rsidP="00EC60A3">
      <w:pPr>
        <w:ind w:left="-284"/>
        <w:rPr>
          <w:rFonts w:ascii="Tahoma" w:hAnsi="Tahoma" w:cs="Tahoma"/>
          <w:sz w:val="16"/>
          <w:szCs w:val="16"/>
          <w:lang w:val="fr-CH"/>
        </w:rPr>
      </w:pPr>
    </w:p>
    <w:p w:rsidR="00C31FC6" w:rsidRPr="005F7B62" w:rsidRDefault="00C31FC6" w:rsidP="00EC60A3">
      <w:pPr>
        <w:ind w:left="-284"/>
        <w:rPr>
          <w:rFonts w:ascii="Tahoma" w:hAnsi="Tahoma" w:cs="Tahoma"/>
          <w:lang w:val="fr-FR"/>
        </w:rPr>
      </w:pPr>
      <w:r w:rsidRPr="00A03CEA">
        <w:rPr>
          <w:rFonts w:ascii="Tahoma" w:hAnsi="Tahoma" w:cs="Tahoma"/>
          <w:lang w:val="fr-CH" w:eastAsia="de-CH"/>
        </w:rPr>
        <w:t xml:space="preserve">Nous effectué l'audit des états financiers au 31 décembre 2013 de </w:t>
      </w:r>
      <w:r w:rsidRPr="00A03CEA">
        <w:rPr>
          <w:rFonts w:ascii="Tahoma" w:hAnsi="Tahoma" w:cs="Tahoma"/>
          <w:lang w:val="fr-FR"/>
        </w:rPr>
        <w:t>l'Union internationale pour la protection des obtentions végétales (UPOV)</w:t>
      </w:r>
      <w:r w:rsidRPr="00A03CEA">
        <w:rPr>
          <w:rFonts w:ascii="Tahoma" w:hAnsi="Tahoma" w:cs="Tahoma"/>
          <w:lang w:val="fr-CH" w:eastAsia="de-CH"/>
        </w:rPr>
        <w:t xml:space="preserve"> comprenant </w:t>
      </w:r>
      <w:r w:rsidRPr="00A03CEA">
        <w:rPr>
          <w:rFonts w:ascii="Tahoma" w:hAnsi="Tahoma" w:cs="Tahoma"/>
          <w:lang w:val="fr-CH"/>
        </w:rPr>
        <w:t>l’état de la situation financière</w:t>
      </w:r>
      <w:r w:rsidRPr="00A03CEA">
        <w:rPr>
          <w:rFonts w:ascii="Tahoma" w:hAnsi="Tahoma" w:cs="Tahoma"/>
          <w:lang w:val="fr-CH" w:eastAsia="de-CH"/>
        </w:rPr>
        <w:t xml:space="preserve"> (état financier I), l’état de la performance financière (état financier II), l’état des variations des actifs nets (état financier III), l’état des flux de trésorerie (état financier IV) et l’état comparatif des montants budgétaires et des montants réels (état financier V)</w:t>
      </w:r>
      <w:r w:rsidRPr="00A03CEA">
        <w:rPr>
          <w:rFonts w:ascii="Tahoma" w:hAnsi="Tahoma" w:cs="Tahoma"/>
          <w:lang w:val="fr-CH"/>
        </w:rPr>
        <w:t xml:space="preserve">, ainsi </w:t>
      </w:r>
      <w:r w:rsidRPr="00A03CEA">
        <w:rPr>
          <w:rFonts w:ascii="Tahoma" w:hAnsi="Tahoma" w:cs="Tahoma"/>
          <w:lang w:val="fr-CH" w:eastAsia="de-CH"/>
        </w:rPr>
        <w:t>que des notes jointes aux états financiers</w:t>
      </w:r>
      <w:r w:rsidRPr="00A03CEA">
        <w:rPr>
          <w:rFonts w:ascii="Tahoma" w:hAnsi="Tahoma" w:cs="Tahoma"/>
          <w:lang w:val="fr-CH"/>
        </w:rPr>
        <w:t>.</w:t>
      </w:r>
    </w:p>
    <w:p w:rsidR="00C31FC6" w:rsidRPr="005F7B62" w:rsidRDefault="00C31FC6" w:rsidP="00EC60A3">
      <w:pPr>
        <w:ind w:left="-284"/>
        <w:rPr>
          <w:rFonts w:ascii="Tahoma" w:hAnsi="Tahoma" w:cs="Tahoma"/>
          <w:sz w:val="16"/>
          <w:szCs w:val="16"/>
          <w:lang w:val="fr-FR"/>
        </w:rPr>
      </w:pPr>
    </w:p>
    <w:p w:rsidR="00C31FC6" w:rsidRPr="00A03CEA" w:rsidRDefault="00C31FC6" w:rsidP="00EC60A3">
      <w:pPr>
        <w:ind w:left="-284"/>
        <w:rPr>
          <w:rFonts w:ascii="Tahoma" w:hAnsi="Tahoma" w:cs="Tahoma"/>
          <w:b/>
          <w:bCs/>
          <w:lang w:val="fr-CH" w:eastAsia="de-CH"/>
        </w:rPr>
      </w:pPr>
      <w:r w:rsidRPr="00A03CEA">
        <w:rPr>
          <w:rFonts w:ascii="Tahoma" w:hAnsi="Tahoma" w:cs="Tahoma"/>
          <w:b/>
          <w:bCs/>
          <w:lang w:val="fr-CH" w:eastAsia="de-CH"/>
        </w:rPr>
        <w:t>Responsabilité de la direction de l’UPOV pour les états financiers</w:t>
      </w:r>
    </w:p>
    <w:p w:rsidR="00C31FC6" w:rsidRPr="00A03CEA" w:rsidRDefault="00C31FC6" w:rsidP="00EC60A3">
      <w:pPr>
        <w:ind w:left="-284"/>
        <w:rPr>
          <w:rFonts w:ascii="Tahoma" w:hAnsi="Tahoma" w:cs="Tahoma"/>
          <w:bCs/>
          <w:lang w:val="fr-CH" w:eastAsia="de-CH"/>
        </w:rPr>
      </w:pPr>
      <w:r w:rsidRPr="00A03CEA">
        <w:rPr>
          <w:rFonts w:ascii="Tahoma" w:hAnsi="Tahoma" w:cs="Tahoma"/>
          <w:lang w:val="fr-CH" w:eastAsia="de-CH"/>
        </w:rPr>
        <w:t xml:space="preserve">La direction est responsable de l'établissement et de la présentation sincère de ses états financiers conformément aux dispositions fixées dans </w:t>
      </w:r>
      <w:r w:rsidRPr="00A03CEA">
        <w:rPr>
          <w:rFonts w:ascii="Tahoma" w:hAnsi="Tahoma"/>
          <w:lang w:val="fr-FR"/>
        </w:rPr>
        <w:t xml:space="preserve">les </w:t>
      </w:r>
      <w:r w:rsidRPr="00A03CEA">
        <w:rPr>
          <w:rFonts w:ascii="Tahoma" w:hAnsi="Tahoma"/>
          <w:lang w:val="fr-CH"/>
        </w:rPr>
        <w:t xml:space="preserve">normes comptables internationales pour le secteur public (normes IPSAS) </w:t>
      </w:r>
      <w:r w:rsidRPr="00A03CEA">
        <w:rPr>
          <w:rFonts w:ascii="Tahoma" w:hAnsi="Tahoma" w:cs="Tahoma"/>
          <w:lang w:val="fr-CH" w:eastAsia="de-CH"/>
        </w:rPr>
        <w:t>et dans le Règlement financier et Règlement d’exécution du Règlement financier de l'UPOV. En outre, la direction est responsable de l’établissement d'un contrôle interne qu'elle juge nécessaire pour permettre l'établissement d'états financiers ne comportant pas d'anomalies significatives, que celles-ci proviennent de fraudes ou résultent d'erreurs.</w:t>
      </w:r>
    </w:p>
    <w:p w:rsidR="00C31FC6" w:rsidRPr="00A03CEA" w:rsidRDefault="00C31FC6" w:rsidP="00EC60A3">
      <w:pPr>
        <w:ind w:left="-284"/>
        <w:rPr>
          <w:rFonts w:ascii="Tahoma" w:hAnsi="Tahoma" w:cs="Tahoma"/>
          <w:sz w:val="16"/>
          <w:szCs w:val="16"/>
          <w:highlight w:val="yellow"/>
          <w:lang w:val="fr-FR"/>
        </w:rPr>
      </w:pPr>
    </w:p>
    <w:p w:rsidR="00C31FC6" w:rsidRPr="00A03CEA" w:rsidRDefault="00C31FC6" w:rsidP="00EC60A3">
      <w:pPr>
        <w:ind w:left="-284"/>
        <w:rPr>
          <w:rFonts w:ascii="Tahoma" w:hAnsi="Tahoma" w:cs="Tahoma"/>
          <w:b/>
          <w:bCs/>
          <w:lang w:val="fr-CH" w:eastAsia="de-CH"/>
        </w:rPr>
      </w:pPr>
      <w:r w:rsidRPr="00A03CEA">
        <w:rPr>
          <w:rFonts w:ascii="Tahoma" w:hAnsi="Tahoma" w:cs="Tahoma"/>
          <w:b/>
          <w:bCs/>
          <w:lang w:val="fr-CH" w:eastAsia="de-CH"/>
        </w:rPr>
        <w:t>Responsabilité de l'auditeur</w:t>
      </w:r>
    </w:p>
    <w:p w:rsidR="00C31FC6" w:rsidRPr="00A03CEA" w:rsidRDefault="00C31FC6" w:rsidP="00EC60A3">
      <w:pPr>
        <w:ind w:left="-284"/>
        <w:rPr>
          <w:rFonts w:ascii="Tahoma" w:hAnsi="Tahoma" w:cs="Tahoma"/>
          <w:lang w:val="fr-CH" w:eastAsia="de-CH"/>
        </w:rPr>
      </w:pPr>
      <w:r w:rsidRPr="00A03CEA">
        <w:rPr>
          <w:rFonts w:ascii="Tahoma" w:hAnsi="Tahoma" w:cs="Tahoma"/>
          <w:lang w:val="fr-CH" w:eastAsia="de-CH"/>
        </w:rPr>
        <w:t>Notre responsabilité est d'exprimer une opinion sur les états financiers de l'UPOV sur la base de notre audit. Nous avons effectué notre vérification selon les Normes internationales d'audit, publiées par l'IAASB (International Auditing and Assurance Standards Board). Ces normes requièrent de notre part de nous conformer aux règles d'éthique, de planifier et de réaliser l'audit en vue d'obtenir une assurance raisonnable que les états financiers ne comportent pas d'anomalies significatives. Un audit implique la mise en œuvre de procédures en vue de recueillir des éléments probants concernant les montants et les informations fournies dans les états financiers. Le choix des procédures relève du jugement de l'auditeur, de même que l'évaluation des risques que les états financiers comportent des anomalies significatives, que celles-ci proviennent de fraudes ou résultent d'erreurs. En procédant à cette évaluation, l'auditeur prend en compte le contrôle interne en vigueur dans l'entité relatif à l'établissement des états financiers afin de définir des procédures d'audit appropriées en la circonstance, et non dans le but d'exprimer une opinion sur le fonctionnement efficace du contrôle interne de l'entité. Un audit comporte également l'appréciation du caractère approprié des méthodes comptables retenues et le caractère raisonnable des estimations comptables faites par la direction, de même que l'appréciation de la présentation d'ensemble des états financiers. Nous estimons que les éléments probants recueillis sont suffisants et appropriés pour fonder notre opinion.</w:t>
      </w:r>
    </w:p>
    <w:p w:rsidR="00C31FC6" w:rsidRPr="00A03CEA" w:rsidRDefault="00C31FC6" w:rsidP="00EC60A3">
      <w:pPr>
        <w:ind w:left="-284"/>
        <w:rPr>
          <w:rFonts w:ascii="Tahoma" w:hAnsi="Tahoma" w:cs="Tahoma"/>
          <w:sz w:val="16"/>
          <w:szCs w:val="16"/>
          <w:highlight w:val="yellow"/>
          <w:lang w:val="fr-FR"/>
        </w:rPr>
      </w:pPr>
    </w:p>
    <w:p w:rsidR="00C31FC6" w:rsidRPr="00A03CEA" w:rsidRDefault="00C31FC6" w:rsidP="00EC60A3">
      <w:pPr>
        <w:ind w:left="-284"/>
        <w:rPr>
          <w:rFonts w:ascii="Tahoma" w:hAnsi="Tahoma" w:cs="Tahoma"/>
          <w:b/>
          <w:bCs/>
          <w:lang w:val="fr-CH" w:eastAsia="de-CH"/>
        </w:rPr>
      </w:pPr>
      <w:r w:rsidRPr="00A03CEA">
        <w:rPr>
          <w:rFonts w:ascii="Tahoma" w:hAnsi="Tahoma" w:cs="Tahoma"/>
          <w:b/>
          <w:bCs/>
          <w:lang w:val="fr-CH" w:eastAsia="de-CH"/>
        </w:rPr>
        <w:t>Opinion</w:t>
      </w:r>
    </w:p>
    <w:p w:rsidR="00C31FC6" w:rsidRPr="00A03CEA" w:rsidRDefault="00C31FC6" w:rsidP="006874AD">
      <w:pPr>
        <w:ind w:left="-284"/>
        <w:rPr>
          <w:rFonts w:ascii="Tahoma" w:hAnsi="Tahoma" w:cs="Tahoma"/>
          <w:lang w:val="fr-FR"/>
        </w:rPr>
      </w:pPr>
      <w:r w:rsidRPr="00A03CEA">
        <w:rPr>
          <w:rFonts w:ascii="Tahoma" w:hAnsi="Tahoma" w:cs="Tahoma"/>
          <w:lang w:val="fr-CH" w:eastAsia="de-CH"/>
        </w:rPr>
        <w:t xml:space="preserve">A notre avis, les états financiers donnent une image fidèle, dans tous leurs aspects significatifs, de la situation financière de l'UPOV au 31 décembre 2013, ainsi que de sa performance financière et de ses flux de trésorerie pour l'exercice clos à cette date, conformément aux Normes comptables internationales pour le secteur public (normes IPSAS) et au </w:t>
      </w:r>
      <w:r w:rsidRPr="00A03CEA">
        <w:rPr>
          <w:rFonts w:ascii="Tahoma" w:hAnsi="Tahoma" w:cs="Tahoma"/>
          <w:lang w:val="fr-FR"/>
        </w:rPr>
        <w:t>Règlement financier et règlement d’exécution du règlement financier de l'UPOV</w:t>
      </w:r>
      <w:r w:rsidRPr="00A03CEA">
        <w:rPr>
          <w:rFonts w:ascii="Tahoma" w:hAnsi="Tahoma" w:cs="Tahoma"/>
          <w:lang w:val="fr-CH" w:eastAsia="de-CH"/>
        </w:rPr>
        <w:t>.</w:t>
      </w:r>
      <w:r>
        <w:rPr>
          <w:rFonts w:ascii="Tahoma" w:hAnsi="Tahoma" w:cs="Tahoma"/>
          <w:lang w:val="fr-CH" w:eastAsia="de-CH"/>
        </w:rPr>
        <w:t xml:space="preserve"> </w:t>
      </w:r>
      <w:r w:rsidRPr="00A03CEA">
        <w:rPr>
          <w:rFonts w:ascii="Tahoma" w:hAnsi="Tahoma" w:cs="Tahoma"/>
          <w:lang w:val="fr-FR"/>
        </w:rPr>
        <w:t xml:space="preserve">Conformément à l’annexe II « Mandat pour la vérification externe des comptes » du Règlement financier et Règlement d’exécution du Règlement financier de l'UPOV, nous avons également établi un rapport détaillé sur notre vérification des états financiers de l'UPOV, document daté </w:t>
      </w:r>
      <w:r w:rsidRPr="00080D06">
        <w:rPr>
          <w:rFonts w:ascii="Tahoma" w:hAnsi="Tahoma" w:cs="Tahoma"/>
          <w:lang w:val="fr-FR"/>
        </w:rPr>
        <w:t>du 7 juillet 2014.</w:t>
      </w:r>
    </w:p>
    <w:p w:rsidR="00C31FC6" w:rsidRPr="00A03CEA" w:rsidRDefault="00C31FC6" w:rsidP="00EC60A3">
      <w:pPr>
        <w:ind w:left="-284"/>
        <w:rPr>
          <w:rFonts w:ascii="Tahoma" w:hAnsi="Tahoma" w:cs="Tahoma"/>
          <w:sz w:val="16"/>
          <w:szCs w:val="16"/>
          <w:highlight w:val="yellow"/>
          <w:lang w:val="fr-FR"/>
        </w:rPr>
      </w:pPr>
    </w:p>
    <w:p w:rsidR="00C31FC6" w:rsidRPr="00080D06" w:rsidRDefault="00C31FC6" w:rsidP="00EC60A3">
      <w:pPr>
        <w:ind w:left="-284"/>
        <w:rPr>
          <w:rFonts w:ascii="Tahoma" w:hAnsi="Tahoma"/>
          <w:lang w:val="fr-FR"/>
        </w:rPr>
      </w:pPr>
      <w:r w:rsidRPr="00080D06">
        <w:rPr>
          <w:rFonts w:ascii="Tahoma" w:hAnsi="Tahoma"/>
          <w:lang w:val="fr-FR"/>
        </w:rPr>
        <w:t>Berne, le 7 juillet 2014</w:t>
      </w:r>
    </w:p>
    <w:p w:rsidR="00C31FC6" w:rsidRPr="00D852F1" w:rsidRDefault="00C31FC6" w:rsidP="00EC60A3">
      <w:pPr>
        <w:tabs>
          <w:tab w:val="left" w:pos="1872"/>
          <w:tab w:val="left" w:pos="5670"/>
          <w:tab w:val="right" w:pos="9356"/>
        </w:tabs>
        <w:ind w:left="-284"/>
        <w:rPr>
          <w:rFonts w:ascii="Tahoma" w:hAnsi="Tahoma" w:cs="Tahoma"/>
          <w:sz w:val="16"/>
          <w:szCs w:val="16"/>
          <w:highlight w:val="green"/>
          <w:lang w:val="fr-CH"/>
        </w:rPr>
      </w:pPr>
    </w:p>
    <w:p w:rsidR="00C31FC6" w:rsidRPr="00F757CC" w:rsidRDefault="00C31FC6" w:rsidP="00EC60A3">
      <w:pPr>
        <w:ind w:left="-284" w:right="113"/>
        <w:rPr>
          <w:rFonts w:ascii="Tahoma" w:hAnsi="Tahoma" w:cs="Tahoma"/>
          <w:lang w:val="fr-CH"/>
        </w:rPr>
      </w:pPr>
      <w:r>
        <w:rPr>
          <w:rFonts w:ascii="Tahoma" w:hAnsi="Tahoma" w:cs="Tahoma"/>
          <w:lang w:val="fr-CH"/>
        </w:rPr>
        <w:t>CONTROLE FEDERAL DES FINANCES</w:t>
      </w:r>
    </w:p>
    <w:p w:rsidR="00C31FC6" w:rsidRPr="00F757CC" w:rsidRDefault="00C31FC6" w:rsidP="00EC60A3">
      <w:pPr>
        <w:ind w:left="-284" w:right="113"/>
        <w:rPr>
          <w:rFonts w:ascii="Tahoma" w:hAnsi="Tahoma" w:cs="Tahoma"/>
          <w:lang w:val="fr-CH"/>
        </w:rPr>
      </w:pPr>
      <w:r>
        <w:rPr>
          <w:rFonts w:ascii="Tahoma" w:hAnsi="Tahoma"/>
          <w:lang w:val="fr-CH"/>
        </w:rPr>
        <w:t>DE LA CONFEDERATION SUISSE</w:t>
      </w:r>
      <w:r w:rsidRPr="00F757CC">
        <w:rPr>
          <w:rStyle w:val="FootnoteReference"/>
          <w:rFonts w:ascii="Tahoma" w:hAnsi="Tahoma" w:cs="Tahoma"/>
        </w:rPr>
        <w:footnoteReference w:id="6"/>
      </w:r>
    </w:p>
    <w:p w:rsidR="00C31FC6" w:rsidRPr="00F757CC" w:rsidRDefault="00C31FC6" w:rsidP="00EC60A3">
      <w:pPr>
        <w:tabs>
          <w:tab w:val="left" w:pos="1872"/>
          <w:tab w:val="left" w:pos="5670"/>
          <w:tab w:val="right" w:pos="9356"/>
        </w:tabs>
        <w:ind w:left="-284" w:right="284"/>
        <w:rPr>
          <w:rFonts w:ascii="Tahoma" w:hAnsi="Tahoma" w:cs="Tahoma"/>
          <w:lang w:val="fr-FR"/>
        </w:rPr>
      </w:pPr>
      <w:r w:rsidRPr="00F757CC">
        <w:rPr>
          <w:rFonts w:ascii="Tahoma" w:hAnsi="Tahoma" w:cs="Tahoma"/>
          <w:lang w:val="fr-FR"/>
        </w:rPr>
        <w:t>(Vérificateur extérieur)</w:t>
      </w:r>
    </w:p>
    <w:p w:rsidR="00C31FC6" w:rsidRDefault="00C31FC6" w:rsidP="00EC60A3">
      <w:pPr>
        <w:ind w:left="-284" w:right="113"/>
        <w:rPr>
          <w:rFonts w:ascii="Tahoma" w:hAnsi="Tahoma"/>
          <w:lang w:val="fr-CH"/>
        </w:rPr>
      </w:pPr>
    </w:p>
    <w:p w:rsidR="00C31FC6" w:rsidRDefault="00C31FC6" w:rsidP="00EC60A3">
      <w:pPr>
        <w:ind w:left="-284" w:right="113"/>
        <w:rPr>
          <w:rFonts w:ascii="Tahoma" w:hAnsi="Tahoma"/>
          <w:lang w:val="fr-CH"/>
        </w:rPr>
      </w:pPr>
    </w:p>
    <w:p w:rsidR="00C31FC6" w:rsidRPr="00F757CC" w:rsidRDefault="00C31FC6" w:rsidP="00EC60A3">
      <w:pPr>
        <w:ind w:left="-284" w:right="113"/>
        <w:rPr>
          <w:rFonts w:ascii="Tahoma" w:hAnsi="Tahoma"/>
          <w:lang w:val="fr-CH"/>
        </w:rPr>
      </w:pPr>
    </w:p>
    <w:p w:rsidR="00C31FC6" w:rsidRPr="00F757CC" w:rsidRDefault="00C31FC6" w:rsidP="00EC60A3">
      <w:pPr>
        <w:ind w:left="-284" w:right="113"/>
        <w:rPr>
          <w:rFonts w:ascii="Tahoma" w:hAnsi="Tahoma"/>
          <w:lang w:val="fr-CH"/>
        </w:rPr>
      </w:pPr>
    </w:p>
    <w:p w:rsidR="00C31FC6" w:rsidRPr="00F757CC" w:rsidRDefault="00C31FC6" w:rsidP="00EC60A3">
      <w:pPr>
        <w:tabs>
          <w:tab w:val="left" w:pos="5954"/>
        </w:tabs>
        <w:ind w:left="-284" w:right="113"/>
        <w:rPr>
          <w:rFonts w:ascii="Tahoma" w:hAnsi="Tahoma"/>
          <w:lang w:val="fr-CH"/>
        </w:rPr>
      </w:pPr>
      <w:r w:rsidRPr="00F757CC">
        <w:rPr>
          <w:rFonts w:ascii="Tahoma" w:hAnsi="Tahoma"/>
          <w:lang w:val="fr-CH"/>
        </w:rPr>
        <w:t>Eric-Serge Jeannet</w:t>
      </w:r>
      <w:r w:rsidRPr="00F757CC">
        <w:rPr>
          <w:rFonts w:ascii="Tahoma" w:hAnsi="Tahoma"/>
          <w:lang w:val="fr-CH"/>
        </w:rPr>
        <w:tab/>
        <w:t>Didier Monnot</w:t>
      </w:r>
    </w:p>
    <w:p w:rsidR="00C31FC6" w:rsidRPr="00A60B15" w:rsidRDefault="00C31FC6" w:rsidP="00A60B15">
      <w:pPr>
        <w:tabs>
          <w:tab w:val="left" w:pos="5954"/>
          <w:tab w:val="right" w:pos="9356"/>
        </w:tabs>
        <w:ind w:left="-284"/>
        <w:rPr>
          <w:rFonts w:ascii="Tahoma" w:hAnsi="Tahoma" w:cs="Tahoma"/>
          <w:highlight w:val="green"/>
          <w:lang w:val="fr-CH"/>
        </w:rPr>
      </w:pPr>
      <w:r w:rsidRPr="00F757CC">
        <w:rPr>
          <w:rFonts w:ascii="Tahoma" w:hAnsi="Tahoma"/>
          <w:lang w:val="fr-CH"/>
        </w:rPr>
        <w:t>Vice-directeur</w:t>
      </w:r>
      <w:r w:rsidRPr="00F757CC">
        <w:rPr>
          <w:rFonts w:ascii="Tahoma" w:hAnsi="Tahoma"/>
          <w:lang w:val="fr-CH"/>
        </w:rPr>
        <w:tab/>
        <w:t>Responsable de mandats</w:t>
      </w:r>
    </w:p>
    <w:sectPr w:rsidR="00C31FC6" w:rsidRPr="00A60B15" w:rsidSect="00224D05">
      <w:headerReference w:type="even" r:id="rId20"/>
      <w:headerReference w:type="default" r:id="rId21"/>
      <w:headerReference w:type="first" r:id="rId22"/>
      <w:pgSz w:w="11906" w:h="16838" w:code="9"/>
      <w:pgMar w:top="510" w:right="1134" w:bottom="1134" w:left="1134"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2A" w:rsidRDefault="00EF6A2A" w:rsidP="00F45372">
      <w:r>
        <w:separator/>
      </w:r>
    </w:p>
    <w:p w:rsidR="00EF6A2A" w:rsidRDefault="00EF6A2A" w:rsidP="00F45372"/>
    <w:p w:rsidR="00EF6A2A" w:rsidRDefault="00EF6A2A" w:rsidP="00F45372"/>
  </w:endnote>
  <w:endnote w:type="continuationSeparator" w:id="0">
    <w:p w:rsidR="00EF6A2A" w:rsidRDefault="00EF6A2A" w:rsidP="00F45372">
      <w:r>
        <w:separator/>
      </w:r>
    </w:p>
    <w:p w:rsidR="00EF6A2A" w:rsidRPr="00813041" w:rsidRDefault="00EF6A2A" w:rsidP="0014714C">
      <w:pPr>
        <w:pStyle w:val="Footer"/>
        <w:rPr>
          <w:lang w:val="fr-FR"/>
        </w:rPr>
      </w:pPr>
      <w:r w:rsidRPr="00813041">
        <w:rPr>
          <w:lang w:val="fr-FR"/>
        </w:rPr>
        <w:t>[Suite de la note de la page précédente]</w:t>
      </w:r>
    </w:p>
    <w:p w:rsidR="00EF6A2A" w:rsidRPr="00813041" w:rsidRDefault="00EF6A2A" w:rsidP="00F45372">
      <w:pPr>
        <w:rPr>
          <w:lang w:val="fr-FR"/>
        </w:rPr>
      </w:pPr>
    </w:p>
    <w:p w:rsidR="00EF6A2A" w:rsidRPr="00813041" w:rsidRDefault="00EF6A2A" w:rsidP="00F45372">
      <w:pPr>
        <w:rPr>
          <w:lang w:val="fr-FR"/>
        </w:rPr>
      </w:pPr>
    </w:p>
  </w:endnote>
  <w:endnote w:type="continuationNotice" w:id="1">
    <w:p w:rsidR="00EF6A2A" w:rsidRPr="00813041" w:rsidRDefault="00EF6A2A" w:rsidP="00F45372">
      <w:pPr>
        <w:rPr>
          <w:lang w:val="fr-FR"/>
        </w:rPr>
      </w:pPr>
      <w:r w:rsidRPr="00813041">
        <w:rPr>
          <w:lang w:val="fr-FR"/>
        </w:rPr>
        <w:t>[Suite de la note page suivante]</w:t>
      </w:r>
    </w:p>
    <w:p w:rsidR="00EF6A2A" w:rsidRPr="00813041" w:rsidRDefault="00EF6A2A" w:rsidP="00F45372">
      <w:pPr>
        <w:rPr>
          <w:lang w:val="fr-FR"/>
        </w:rPr>
      </w:pPr>
    </w:p>
    <w:p w:rsidR="00EF6A2A" w:rsidRPr="00813041" w:rsidRDefault="00EF6A2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C6" w:rsidRDefault="00C31FC6">
    <w:pPr>
      <w:pStyle w:val="Footer"/>
    </w:pPr>
  </w:p>
  <w:p w:rsidR="00C31FC6" w:rsidRDefault="00C31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2A" w:rsidRDefault="00EF6A2A" w:rsidP="0014714C">
      <w:pPr>
        <w:spacing w:before="120"/>
      </w:pPr>
      <w:r>
        <w:separator/>
      </w:r>
    </w:p>
  </w:footnote>
  <w:footnote w:type="continuationSeparator" w:id="0">
    <w:p w:rsidR="00EF6A2A" w:rsidRDefault="00EF6A2A" w:rsidP="00F45372">
      <w:r>
        <w:separator/>
      </w:r>
    </w:p>
    <w:p w:rsidR="00EF6A2A" w:rsidRPr="00813041" w:rsidRDefault="00EF6A2A" w:rsidP="0014714C">
      <w:pPr>
        <w:pStyle w:val="Footer"/>
        <w:rPr>
          <w:lang w:val="fr-FR"/>
        </w:rPr>
      </w:pPr>
      <w:r w:rsidRPr="00813041">
        <w:rPr>
          <w:lang w:val="fr-FR"/>
        </w:rPr>
        <w:t>[Suite de la note de la page précédente]</w:t>
      </w:r>
    </w:p>
  </w:footnote>
  <w:footnote w:type="continuationNotice" w:id="1">
    <w:p w:rsidR="00EF6A2A" w:rsidRPr="00813041" w:rsidRDefault="00EF6A2A" w:rsidP="00F45372">
      <w:pPr>
        <w:rPr>
          <w:sz w:val="12"/>
          <w:lang w:val="fr-FR"/>
        </w:rPr>
      </w:pPr>
      <w:r w:rsidRPr="00813041">
        <w:rPr>
          <w:sz w:val="12"/>
          <w:lang w:val="fr-FR"/>
        </w:rPr>
        <w:t>[Suite de la note page suivante]</w:t>
      </w:r>
    </w:p>
  </w:footnote>
  <w:footnote w:id="2">
    <w:p w:rsidR="00C31FC6" w:rsidRPr="00F32B7A" w:rsidRDefault="00C31FC6" w:rsidP="001949A2">
      <w:pPr>
        <w:pStyle w:val="FootnoteText"/>
        <w:rPr>
          <w:sz w:val="18"/>
          <w:szCs w:val="18"/>
        </w:rPr>
      </w:pPr>
      <w:r w:rsidRPr="00F32B7A">
        <w:rPr>
          <w:rStyle w:val="FootnoteReference"/>
          <w:rFonts w:ascii="Tahoma" w:hAnsi="Tahoma" w:cs="Tahoma"/>
          <w:sz w:val="18"/>
          <w:szCs w:val="18"/>
        </w:rPr>
        <w:footnoteRef/>
      </w:r>
      <w:r w:rsidR="00BE4446">
        <w:rPr>
          <w:rStyle w:val="FootnoteReference"/>
          <w:rFonts w:ascii="Tahoma" w:hAnsi="Tahoma" w:cs="Tahoma"/>
          <w:sz w:val="18"/>
          <w:szCs w:val="18"/>
        </w:rPr>
        <w:tab/>
      </w:r>
      <w:r w:rsidRPr="00F32B7A">
        <w:rPr>
          <w:rStyle w:val="FootnoteReference"/>
          <w:rFonts w:ascii="Tahoma" w:hAnsi="Tahoma" w:cs="Tahoma"/>
          <w:sz w:val="18"/>
          <w:szCs w:val="18"/>
        </w:rPr>
        <w:t xml:space="preserve"> </w:t>
      </w:r>
      <w:r w:rsidRPr="00F32B7A">
        <w:rPr>
          <w:rStyle w:val="FootnoteReference"/>
          <w:rFonts w:ascii="Tahoma" w:hAnsi="Tahoma" w:cs="Tahoma"/>
          <w:szCs w:val="16"/>
        </w:rPr>
        <w:t>Règlement financier de l'UPOV et  Règlement d'exécution du règlement financier de l’UPOV  adopté par le Conseil</w:t>
      </w:r>
      <w:r>
        <w:t xml:space="preserve"> </w:t>
      </w:r>
      <w:r w:rsidRPr="00F32B7A">
        <w:rPr>
          <w:rStyle w:val="FootnoteReference"/>
          <w:rFonts w:ascii="Tahoma" w:hAnsi="Tahoma" w:cs="Tahoma"/>
          <w:szCs w:val="16"/>
        </w:rPr>
        <w:t xml:space="preserve">à sa vingt-neuvième </w:t>
      </w:r>
      <w:r>
        <w:br/>
        <w:t xml:space="preserve">  </w:t>
      </w:r>
      <w:r w:rsidRPr="00F32B7A">
        <w:rPr>
          <w:rStyle w:val="FootnoteReference"/>
          <w:rFonts w:ascii="Tahoma" w:hAnsi="Tahoma" w:cs="Tahoma"/>
          <w:szCs w:val="16"/>
        </w:rPr>
        <w:t>session extraordinaire du 30 mars 2012</w:t>
      </w:r>
      <w:r>
        <w:t>.</w:t>
      </w:r>
    </w:p>
  </w:footnote>
  <w:footnote w:id="3">
    <w:p w:rsidR="00C31FC6" w:rsidRPr="00C4466C" w:rsidRDefault="00C31FC6" w:rsidP="001949A2">
      <w:pPr>
        <w:pStyle w:val="FootnoteText"/>
        <w:rPr>
          <w:rStyle w:val="FootnoteReference"/>
          <w:rFonts w:ascii="Tahoma" w:hAnsi="Tahoma" w:cs="Tahoma"/>
          <w:szCs w:val="16"/>
          <w:lang w:val="fr-CH"/>
        </w:rPr>
      </w:pPr>
      <w:r w:rsidRPr="00C76172">
        <w:rPr>
          <w:rStyle w:val="FootnoteReference"/>
          <w:rFonts w:ascii="Tahoma" w:hAnsi="Tahoma" w:cs="Tahoma"/>
          <w:szCs w:val="16"/>
        </w:rPr>
        <w:footnoteRef/>
      </w:r>
      <w:r w:rsidRPr="004536D5">
        <w:rPr>
          <w:rStyle w:val="FootnoteReference"/>
          <w:rFonts w:ascii="Tahoma" w:hAnsi="Tahoma" w:cs="Tahoma"/>
          <w:szCs w:val="16"/>
          <w:lang w:val="fr-CH"/>
        </w:rPr>
        <w:t xml:space="preserve"> </w:t>
      </w:r>
      <w:r w:rsidR="00BE4446">
        <w:rPr>
          <w:rStyle w:val="FootnoteReference"/>
          <w:rFonts w:ascii="Tahoma" w:hAnsi="Tahoma" w:cs="Tahoma"/>
          <w:szCs w:val="16"/>
          <w:lang w:val="fr-CH"/>
        </w:rPr>
        <w:tab/>
      </w:r>
      <w:r w:rsidRPr="004536D5">
        <w:rPr>
          <w:rStyle w:val="FootnoteReference"/>
          <w:rFonts w:ascii="Tahoma" w:hAnsi="Tahoma" w:cs="Tahoma"/>
          <w:szCs w:val="16"/>
          <w:lang w:val="fr-CH"/>
        </w:rPr>
        <w:t>International Standards on Auditing (ISA) publiés par l'IAASB (International Auditing and Assurance Standards Board)</w:t>
      </w:r>
    </w:p>
  </w:footnote>
  <w:footnote w:id="4">
    <w:p w:rsidR="00C31FC6" w:rsidRPr="001742CE" w:rsidRDefault="00C31FC6" w:rsidP="001949A2">
      <w:pPr>
        <w:pStyle w:val="FootnoteText"/>
        <w:rPr>
          <w:rStyle w:val="FootnoteReference"/>
          <w:rFonts w:ascii="Tahoma" w:hAnsi="Tahoma" w:cs="Tahoma"/>
          <w:szCs w:val="16"/>
          <w:lang w:val="fr-CH"/>
        </w:rPr>
      </w:pPr>
      <w:r w:rsidRPr="006F581D">
        <w:rPr>
          <w:rStyle w:val="FootnoteReference"/>
          <w:rFonts w:ascii="Tahoma" w:hAnsi="Tahoma" w:cs="Tahoma"/>
          <w:szCs w:val="16"/>
        </w:rPr>
        <w:footnoteRef/>
      </w:r>
      <w:r w:rsidR="001949A2">
        <w:rPr>
          <w:lang w:val="fr-CH"/>
        </w:rPr>
        <w:tab/>
        <w:t xml:space="preserve">  </w:t>
      </w:r>
      <w:r w:rsidRPr="001742CE">
        <w:rPr>
          <w:lang w:val="fr-CH"/>
        </w:rPr>
        <w:t>Norme IPSAS 28 : Interprétation des instruments financiers</w:t>
      </w:r>
      <w:r w:rsidRPr="001742CE">
        <w:rPr>
          <w:lang w:val="fr-CH"/>
        </w:rPr>
        <w:br/>
        <w:t xml:space="preserve">  Norme IPSAS 29 : Comptabilité et évaluation des instruments financiers</w:t>
      </w:r>
      <w:r w:rsidRPr="001742CE">
        <w:rPr>
          <w:lang w:val="fr-CH"/>
        </w:rPr>
        <w:br/>
        <w:t xml:space="preserve">  Norme IPSAS 30 : Informations à fournir sur les instruments financiers</w:t>
      </w:r>
    </w:p>
  </w:footnote>
  <w:footnote w:id="5">
    <w:p w:rsidR="00C31FC6" w:rsidRPr="0098132F" w:rsidRDefault="00C31FC6" w:rsidP="001949A2">
      <w:pPr>
        <w:pStyle w:val="FootnoteText"/>
        <w:rPr>
          <w:rStyle w:val="FootnoteReference"/>
          <w:rFonts w:ascii="Tahoma" w:hAnsi="Tahoma"/>
          <w:szCs w:val="16"/>
          <w:lang w:val="fr-CH"/>
        </w:rPr>
      </w:pPr>
      <w:r w:rsidRPr="0098132F">
        <w:rPr>
          <w:rStyle w:val="FootnoteReference"/>
          <w:rFonts w:ascii="Tahoma" w:hAnsi="Tahoma"/>
          <w:szCs w:val="16"/>
        </w:rPr>
        <w:footnoteRef/>
      </w:r>
      <w:r w:rsidRPr="0098132F">
        <w:rPr>
          <w:rStyle w:val="FootnoteReference"/>
          <w:rFonts w:ascii="Tahoma" w:hAnsi="Tahoma"/>
          <w:szCs w:val="16"/>
          <w:lang w:val="fr-CH"/>
        </w:rPr>
        <w:t xml:space="preserve"> </w:t>
      </w:r>
      <w:r>
        <w:rPr>
          <w:lang w:val="fr-CH"/>
        </w:rPr>
        <w:t xml:space="preserve">Programme et budget pour l’exercice biennal 2012-2013 adopté le 20 octobre 2011, doc </w:t>
      </w:r>
      <w:r w:rsidRPr="00061447">
        <w:rPr>
          <w:lang w:val="fr-CH"/>
        </w:rPr>
        <w:t>C/45/4 Rev.2</w:t>
      </w:r>
      <w:r w:rsidRPr="0098132F">
        <w:rPr>
          <w:lang w:val="fr-CH"/>
        </w:rPr>
        <w:t>.</w:t>
      </w:r>
    </w:p>
  </w:footnote>
  <w:footnote w:id="6">
    <w:p w:rsidR="00C31FC6" w:rsidRPr="002B6D18" w:rsidRDefault="00C31FC6" w:rsidP="001949A2">
      <w:pPr>
        <w:pStyle w:val="FootnoteText"/>
        <w:rPr>
          <w:rStyle w:val="FootnoteReference"/>
          <w:rFonts w:ascii="Tahoma" w:hAnsi="Tahoma"/>
          <w:szCs w:val="16"/>
          <w:highlight w:val="yellow"/>
          <w:lang w:val="it-IT"/>
        </w:rPr>
      </w:pPr>
      <w:r w:rsidRPr="004E0AB1">
        <w:rPr>
          <w:rStyle w:val="FootnoteReference"/>
          <w:rFonts w:ascii="Tahoma" w:hAnsi="Tahoma"/>
          <w:szCs w:val="16"/>
        </w:rPr>
        <w:footnoteRef/>
      </w:r>
      <w:r w:rsidRPr="002B6D18">
        <w:rPr>
          <w:rStyle w:val="FootnoteReference"/>
          <w:rFonts w:ascii="Tahoma" w:hAnsi="Tahoma"/>
          <w:szCs w:val="16"/>
          <w:lang w:val="it-IT"/>
        </w:rPr>
        <w:t xml:space="preserve"> </w:t>
      </w:r>
      <w:r w:rsidRPr="002B6D18">
        <w:rPr>
          <w:lang w:val="it-IT"/>
        </w:rPr>
        <w:t>Adresse postale: Monbijoustrasse 45, CH-3003 Berne.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5F" w:rsidRPr="00997029" w:rsidRDefault="00F9505F" w:rsidP="00EB048E">
    <w:pPr>
      <w:pStyle w:val="Header"/>
      <w:rPr>
        <w:rStyle w:val="PageNumber"/>
      </w:rPr>
    </w:pPr>
    <w:r>
      <w:rPr>
        <w:rStyle w:val="PageNumber"/>
      </w:rPr>
      <w:t>C/4</w:t>
    </w:r>
    <w:r w:rsidR="00E4565F">
      <w:rPr>
        <w:rStyle w:val="PageNumber"/>
      </w:rPr>
      <w:t>8</w:t>
    </w:r>
    <w:r w:rsidRPr="00997029">
      <w:rPr>
        <w:rStyle w:val="PageNumber"/>
      </w:rPr>
      <w:t>/</w:t>
    </w:r>
  </w:p>
  <w:p w:rsidR="00F9505F" w:rsidRPr="00997029" w:rsidRDefault="00F9505F"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F7F3D">
      <w:rPr>
        <w:rStyle w:val="PageNumber"/>
        <w:noProof/>
      </w:rPr>
      <w:t>1</w:t>
    </w:r>
    <w:r w:rsidRPr="00997029">
      <w:rPr>
        <w:rStyle w:val="PageNumber"/>
      </w:rPr>
      <w:fldChar w:fldCharType="end"/>
    </w:r>
  </w:p>
  <w:p w:rsidR="00F9505F" w:rsidRPr="00997029" w:rsidRDefault="00F9505F"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86" w:rsidRDefault="00825F86" w:rsidP="00825F86">
    <w:pPr>
      <w:jc w:val="center"/>
      <w:rPr>
        <w:lang w:val="fr-CH"/>
      </w:rPr>
    </w:pPr>
    <w:r>
      <w:rPr>
        <w:lang w:val="fr-CH"/>
      </w:rPr>
      <w:t>C</w:t>
    </w:r>
    <w:r w:rsidR="001949A2">
      <w:rPr>
        <w:lang w:val="fr-CH"/>
      </w:rPr>
      <w:t>/4</w:t>
    </w:r>
    <w:r>
      <w:rPr>
        <w:lang w:val="fr-CH"/>
      </w:rPr>
      <w:t>8/14</w:t>
    </w:r>
  </w:p>
  <w:p w:rsidR="00825F86" w:rsidRDefault="00825F86" w:rsidP="00825F86">
    <w:pPr>
      <w:jc w:val="center"/>
      <w:rPr>
        <w:lang w:val="fr-CH"/>
      </w:rPr>
    </w:pPr>
    <w:r>
      <w:rPr>
        <w:lang w:val="fr-CH"/>
      </w:rPr>
      <w:t xml:space="preserve">Annexe, page </w:t>
    </w:r>
    <w:r w:rsidRPr="00825F86">
      <w:rPr>
        <w:lang w:val="fr-CH"/>
      </w:rPr>
      <w:fldChar w:fldCharType="begin"/>
    </w:r>
    <w:r w:rsidRPr="00825F86">
      <w:rPr>
        <w:lang w:val="fr-CH"/>
      </w:rPr>
      <w:instrText xml:space="preserve"> PAGE   \* MERGEFORMAT </w:instrText>
    </w:r>
    <w:r w:rsidRPr="00825F86">
      <w:rPr>
        <w:lang w:val="fr-CH"/>
      </w:rPr>
      <w:fldChar w:fldCharType="separate"/>
    </w:r>
    <w:r w:rsidR="00CA10E3">
      <w:rPr>
        <w:noProof/>
        <w:lang w:val="fr-CH"/>
      </w:rPr>
      <w:t>9</w:t>
    </w:r>
    <w:r w:rsidRPr="00825F86">
      <w:rPr>
        <w:noProof/>
        <w:lang w:val="fr-CH"/>
      </w:rPr>
      <w:fldChar w:fldCharType="end"/>
    </w:r>
  </w:p>
  <w:p w:rsidR="00C31FC6" w:rsidRPr="00C31FC6" w:rsidRDefault="00C31FC6" w:rsidP="00C31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95" w:rsidRDefault="00CA10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95" w:rsidRPr="002F1C81" w:rsidRDefault="00CA10E3" w:rsidP="002F1C81">
    <w:pPr>
      <w:pStyle w:val="Header"/>
      <w:pBdr>
        <w:bottom w:val="single" w:sz="4" w:space="1" w:color="auto"/>
      </w:pBdr>
      <w:tabs>
        <w:tab w:val="right" w:leader="underscore" w:pos="9072"/>
      </w:tabs>
      <w:jc w:val="right"/>
      <w:rPr>
        <w:rFonts w:ascii="Tahoma" w:hAnsi="Tahom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05" w:rsidRDefault="00224D05" w:rsidP="00224D05">
    <w:pPr>
      <w:jc w:val="center"/>
      <w:rPr>
        <w:lang w:val="fr-CH"/>
      </w:rPr>
    </w:pPr>
    <w:r>
      <w:rPr>
        <w:noProof/>
      </w:rPr>
      <w:drawing>
        <wp:anchor distT="0" distB="0" distL="114300" distR="114300" simplePos="0" relativeHeight="251658240" behindDoc="0" locked="0" layoutInCell="1" allowOverlap="1" wp14:anchorId="00504C38" wp14:editId="2388B52C">
          <wp:simplePos x="0" y="0"/>
          <wp:positionH relativeFrom="column">
            <wp:posOffset>3996690</wp:posOffset>
          </wp:positionH>
          <wp:positionV relativeFrom="paragraph">
            <wp:posOffset>-123825</wp:posOffset>
          </wp:positionV>
          <wp:extent cx="2162175" cy="685800"/>
          <wp:effectExtent l="0" t="0" r="9525" b="0"/>
          <wp:wrapNone/>
          <wp:docPr id="10" name="Image 4"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world/doculib/homepage/Neue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fr-CH"/>
      </w:rPr>
      <w:t>C/48/14</w:t>
    </w:r>
  </w:p>
  <w:p w:rsidR="00224D05" w:rsidRDefault="00224D05" w:rsidP="00224D05">
    <w:pPr>
      <w:jc w:val="center"/>
      <w:rPr>
        <w:lang w:val="fr-CH"/>
      </w:rPr>
    </w:pPr>
    <w:r>
      <w:rPr>
        <w:lang w:val="fr-CH"/>
      </w:rPr>
      <w:t xml:space="preserve">Annexe, page </w:t>
    </w:r>
    <w:r w:rsidRPr="00825F86">
      <w:rPr>
        <w:lang w:val="fr-CH"/>
      </w:rPr>
      <w:fldChar w:fldCharType="begin"/>
    </w:r>
    <w:r w:rsidRPr="00825F86">
      <w:rPr>
        <w:lang w:val="fr-CH"/>
      </w:rPr>
      <w:instrText xml:space="preserve"> PAGE   \* MERGEFORMAT </w:instrText>
    </w:r>
    <w:r w:rsidRPr="00825F86">
      <w:rPr>
        <w:lang w:val="fr-CH"/>
      </w:rPr>
      <w:fldChar w:fldCharType="separate"/>
    </w:r>
    <w:r w:rsidR="00CA10E3">
      <w:rPr>
        <w:noProof/>
        <w:lang w:val="fr-CH"/>
      </w:rPr>
      <w:t>10</w:t>
    </w:r>
    <w:r w:rsidRPr="00825F86">
      <w:rPr>
        <w:noProof/>
        <w:lang w:val="fr-CH"/>
      </w:rPr>
      <w:fldChar w:fldCharType="end"/>
    </w:r>
  </w:p>
  <w:p w:rsidR="00224D05" w:rsidRPr="00C31FC6" w:rsidRDefault="00224D05" w:rsidP="00224D05">
    <w:pPr>
      <w:pStyle w:val="Header"/>
    </w:pPr>
  </w:p>
  <w:p w:rsidR="00686A95" w:rsidRDefault="00CA1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2814C8"/>
    <w:lvl w:ilvl="0">
      <w:start w:val="1"/>
      <w:numFmt w:val="decimal"/>
      <w:lvlText w:val="%1."/>
      <w:lvlJc w:val="left"/>
      <w:pPr>
        <w:tabs>
          <w:tab w:val="num" w:pos="360"/>
        </w:tabs>
        <w:ind w:left="360" w:hanging="360"/>
      </w:pPr>
      <w:rPr>
        <w:rFonts w:cs="Times New Roman"/>
      </w:rPr>
    </w:lvl>
  </w:abstractNum>
  <w:abstractNum w:abstractNumId="1">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2">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3">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2A"/>
    <w:rsid w:val="00010CF3"/>
    <w:rsid w:val="00011E27"/>
    <w:rsid w:val="000148BC"/>
    <w:rsid w:val="00024AB8"/>
    <w:rsid w:val="00030854"/>
    <w:rsid w:val="00036028"/>
    <w:rsid w:val="00044642"/>
    <w:rsid w:val="000446B9"/>
    <w:rsid w:val="00047E21"/>
    <w:rsid w:val="00066C42"/>
    <w:rsid w:val="00085505"/>
    <w:rsid w:val="000B13F7"/>
    <w:rsid w:val="000B6E8B"/>
    <w:rsid w:val="000C7021"/>
    <w:rsid w:val="000D6BBC"/>
    <w:rsid w:val="000D7780"/>
    <w:rsid w:val="00105929"/>
    <w:rsid w:val="001131D5"/>
    <w:rsid w:val="00141DB8"/>
    <w:rsid w:val="0014714C"/>
    <w:rsid w:val="0017474A"/>
    <w:rsid w:val="001758C6"/>
    <w:rsid w:val="00176792"/>
    <w:rsid w:val="001949A2"/>
    <w:rsid w:val="001E141C"/>
    <w:rsid w:val="0021332C"/>
    <w:rsid w:val="00213982"/>
    <w:rsid w:val="00224D05"/>
    <w:rsid w:val="00235267"/>
    <w:rsid w:val="0024416D"/>
    <w:rsid w:val="00276F75"/>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7E71"/>
    <w:rsid w:val="003F12BC"/>
    <w:rsid w:val="00415D2A"/>
    <w:rsid w:val="00422BD2"/>
    <w:rsid w:val="0043005A"/>
    <w:rsid w:val="00431459"/>
    <w:rsid w:val="00444A88"/>
    <w:rsid w:val="00474DA4"/>
    <w:rsid w:val="00483F7E"/>
    <w:rsid w:val="004D047D"/>
    <w:rsid w:val="004E242A"/>
    <w:rsid w:val="004F305A"/>
    <w:rsid w:val="00512164"/>
    <w:rsid w:val="00520297"/>
    <w:rsid w:val="005338F9"/>
    <w:rsid w:val="0054281C"/>
    <w:rsid w:val="0055268D"/>
    <w:rsid w:val="00576BE4"/>
    <w:rsid w:val="005A400A"/>
    <w:rsid w:val="005B61A9"/>
    <w:rsid w:val="005C59E6"/>
    <w:rsid w:val="00612379"/>
    <w:rsid w:val="0061555F"/>
    <w:rsid w:val="00641200"/>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D4543"/>
    <w:rsid w:val="007F498F"/>
    <w:rsid w:val="0080679D"/>
    <w:rsid w:val="008108B0"/>
    <w:rsid w:val="00811B20"/>
    <w:rsid w:val="00813041"/>
    <w:rsid w:val="0082296E"/>
    <w:rsid w:val="00824099"/>
    <w:rsid w:val="00825F86"/>
    <w:rsid w:val="00857FCB"/>
    <w:rsid w:val="00867AC1"/>
    <w:rsid w:val="008A743F"/>
    <w:rsid w:val="008C0970"/>
    <w:rsid w:val="008D2CF7"/>
    <w:rsid w:val="008D3729"/>
    <w:rsid w:val="008F403F"/>
    <w:rsid w:val="00900C26"/>
    <w:rsid w:val="0090197F"/>
    <w:rsid w:val="00906DDC"/>
    <w:rsid w:val="00934E09"/>
    <w:rsid w:val="00936253"/>
    <w:rsid w:val="00952DD4"/>
    <w:rsid w:val="00970FED"/>
    <w:rsid w:val="009809C6"/>
    <w:rsid w:val="00997029"/>
    <w:rsid w:val="009D690D"/>
    <w:rsid w:val="009E65B6"/>
    <w:rsid w:val="009F40E4"/>
    <w:rsid w:val="00A42AC3"/>
    <w:rsid w:val="00A430CF"/>
    <w:rsid w:val="00A47CDB"/>
    <w:rsid w:val="00A54309"/>
    <w:rsid w:val="00A60B15"/>
    <w:rsid w:val="00AB2B93"/>
    <w:rsid w:val="00AB7E5B"/>
    <w:rsid w:val="00AD6403"/>
    <w:rsid w:val="00AE0EF1"/>
    <w:rsid w:val="00B07301"/>
    <w:rsid w:val="00B224DE"/>
    <w:rsid w:val="00B314D5"/>
    <w:rsid w:val="00B438DE"/>
    <w:rsid w:val="00B80A2D"/>
    <w:rsid w:val="00B84BBD"/>
    <w:rsid w:val="00BA43FB"/>
    <w:rsid w:val="00BC127D"/>
    <w:rsid w:val="00BC1FE6"/>
    <w:rsid w:val="00BE3621"/>
    <w:rsid w:val="00BE4446"/>
    <w:rsid w:val="00BF7F3D"/>
    <w:rsid w:val="00C061B6"/>
    <w:rsid w:val="00C13808"/>
    <w:rsid w:val="00C23554"/>
    <w:rsid w:val="00C2446C"/>
    <w:rsid w:val="00C31FC6"/>
    <w:rsid w:val="00C36AE5"/>
    <w:rsid w:val="00C41F17"/>
    <w:rsid w:val="00C5791C"/>
    <w:rsid w:val="00C66290"/>
    <w:rsid w:val="00C72B7A"/>
    <w:rsid w:val="00C734F7"/>
    <w:rsid w:val="00C973F2"/>
    <w:rsid w:val="00CA10E3"/>
    <w:rsid w:val="00CA774A"/>
    <w:rsid w:val="00CC11B0"/>
    <w:rsid w:val="00CF7E36"/>
    <w:rsid w:val="00D3708D"/>
    <w:rsid w:val="00D40426"/>
    <w:rsid w:val="00D57C96"/>
    <w:rsid w:val="00D91203"/>
    <w:rsid w:val="00D95174"/>
    <w:rsid w:val="00DA6F36"/>
    <w:rsid w:val="00DB596E"/>
    <w:rsid w:val="00DC00EA"/>
    <w:rsid w:val="00DD20C4"/>
    <w:rsid w:val="00E4565F"/>
    <w:rsid w:val="00E72D49"/>
    <w:rsid w:val="00E7593C"/>
    <w:rsid w:val="00E7678A"/>
    <w:rsid w:val="00E935F1"/>
    <w:rsid w:val="00E94A81"/>
    <w:rsid w:val="00EA1FFB"/>
    <w:rsid w:val="00EA5245"/>
    <w:rsid w:val="00EB048E"/>
    <w:rsid w:val="00ED7F5E"/>
    <w:rsid w:val="00EE34DF"/>
    <w:rsid w:val="00EF2F89"/>
    <w:rsid w:val="00EF6A2A"/>
    <w:rsid w:val="00F1237A"/>
    <w:rsid w:val="00F22CBD"/>
    <w:rsid w:val="00F45372"/>
    <w:rsid w:val="00F560F7"/>
    <w:rsid w:val="00F6334D"/>
    <w:rsid w:val="00F9505F"/>
    <w:rsid w:val="00FA49AB"/>
    <w:rsid w:val="00FC540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Normal Indent"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link w:val="Heading2Char"/>
    <w:autoRedefine/>
    <w:uiPriority w:val="99"/>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uiPriority w:val="99"/>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uiPriority w:val="99"/>
    <w:rsid w:val="001949A2"/>
    <w:pPr>
      <w:spacing w:before="60"/>
      <w:ind w:left="567" w:right="-17" w:hanging="567"/>
    </w:pPr>
    <w:rPr>
      <w:rFonts w:ascii="Arial" w:hAnsi="Arial"/>
      <w:sz w:val="16"/>
    </w:rPr>
  </w:style>
  <w:style w:type="character" w:styleId="FootnoteReference">
    <w:name w:val="footnote reference"/>
    <w:basedOn w:val="DefaultParagraphFont"/>
    <w:uiPriority w:val="99"/>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C31FC6"/>
    <w:pPr>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customStyle="1" w:styleId="Inf4Heading3">
    <w:name w:val="Inf_4_Heading_3"/>
    <w:basedOn w:val="Heading3"/>
    <w:rsid w:val="00FC5404"/>
    <w:pPr>
      <w:spacing w:before="240"/>
    </w:pPr>
    <w:rPr>
      <w:b/>
      <w:bCs/>
      <w:i w:val="0"/>
      <w:lang w:val="fr-FR"/>
    </w:rPr>
  </w:style>
  <w:style w:type="paragraph" w:customStyle="1" w:styleId="Inf4Heading4">
    <w:name w:val="Inf_4_Heading_4"/>
    <w:basedOn w:val="Heading4"/>
    <w:next w:val="Normal"/>
    <w:rsid w:val="00FC5404"/>
    <w:pPr>
      <w:spacing w:before="120"/>
      <w:ind w:left="0"/>
    </w:pPr>
    <w:rPr>
      <w:b/>
      <w:bCs/>
      <w:i w:val="0"/>
    </w:rPr>
  </w:style>
  <w:style w:type="paragraph" w:customStyle="1" w:styleId="Inf4Normal">
    <w:name w:val="Inf_4_Normal"/>
    <w:basedOn w:val="Normal"/>
    <w:link w:val="Inf4NormalChar"/>
    <w:rsid w:val="00FC5404"/>
    <w:pPr>
      <w:spacing w:before="108"/>
    </w:pPr>
    <w:rPr>
      <w:lang w:val="fr-FR"/>
    </w:rPr>
  </w:style>
  <w:style w:type="character" w:customStyle="1" w:styleId="Inf4NormalChar">
    <w:name w:val="Inf_4_Normal Char"/>
    <w:basedOn w:val="DefaultParagraphFont"/>
    <w:link w:val="Inf4Normal"/>
    <w:rsid w:val="00FC5404"/>
    <w:rPr>
      <w:rFonts w:ascii="Arial" w:hAnsi="Arial"/>
      <w:lang w:val="fr-FR"/>
    </w:rPr>
  </w:style>
  <w:style w:type="character" w:customStyle="1" w:styleId="Heading2Char">
    <w:name w:val="Heading 2 Char"/>
    <w:basedOn w:val="DefaultParagraphFont"/>
    <w:link w:val="Heading2"/>
    <w:uiPriority w:val="99"/>
    <w:locked/>
    <w:rsid w:val="00C31FC6"/>
    <w:rPr>
      <w:rFonts w:ascii="Arial" w:hAnsi="Arial"/>
      <w:u w:val="single"/>
    </w:rPr>
  </w:style>
  <w:style w:type="character" w:customStyle="1" w:styleId="HeaderChar">
    <w:name w:val="Header Char"/>
    <w:basedOn w:val="DefaultParagraphFont"/>
    <w:link w:val="Header"/>
    <w:uiPriority w:val="99"/>
    <w:locked/>
    <w:rsid w:val="00C31FC6"/>
    <w:rPr>
      <w:rFonts w:ascii="Arial" w:hAnsi="Arial"/>
      <w:lang w:val="fr-FR"/>
    </w:rPr>
  </w:style>
  <w:style w:type="character" w:customStyle="1" w:styleId="FooterChar">
    <w:name w:val="Footer Char"/>
    <w:aliases w:val="doc_path_name Char"/>
    <w:basedOn w:val="DefaultParagraphFont"/>
    <w:link w:val="Footer"/>
    <w:uiPriority w:val="99"/>
    <w:locked/>
    <w:rsid w:val="00C31FC6"/>
    <w:rPr>
      <w:rFonts w:ascii="Arial" w:hAnsi="Arial"/>
      <w:sz w:val="12"/>
    </w:rPr>
  </w:style>
  <w:style w:type="character" w:customStyle="1" w:styleId="FootnoteTextChar">
    <w:name w:val="Footnote Text Char"/>
    <w:basedOn w:val="DefaultParagraphFont"/>
    <w:link w:val="FootnoteText"/>
    <w:uiPriority w:val="99"/>
    <w:locked/>
    <w:rsid w:val="001949A2"/>
    <w:rPr>
      <w:rFonts w:ascii="Arial" w:hAnsi="Arial"/>
      <w:sz w:val="16"/>
    </w:rPr>
  </w:style>
  <w:style w:type="paragraph" w:styleId="NormalIndent">
    <w:name w:val="Normal Indent"/>
    <w:basedOn w:val="Normal"/>
    <w:qFormat/>
    <w:rsid w:val="00C31FC6"/>
    <w:pPr>
      <w:ind w:left="851"/>
      <w:jc w:val="left"/>
    </w:pPr>
    <w:rPr>
      <w:rFonts w:cs="Arial"/>
      <w:color w:val="000000"/>
      <w:lang w:val="de-CH"/>
    </w:rPr>
  </w:style>
  <w:style w:type="paragraph" w:styleId="ListParagraph">
    <w:name w:val="List Paragraph"/>
    <w:basedOn w:val="Normal"/>
    <w:uiPriority w:val="98"/>
    <w:qFormat/>
    <w:rsid w:val="00C31FC6"/>
    <w:pPr>
      <w:contextualSpacing/>
      <w:jc w:val="left"/>
    </w:pPr>
    <w:rPr>
      <w:rFonts w:cs="Arial"/>
      <w:color w:val="000000"/>
      <w:lang w:val="de-CH"/>
    </w:rPr>
  </w:style>
  <w:style w:type="paragraph" w:customStyle="1" w:styleId="Normalcentr1">
    <w:name w:val="Normal centré1"/>
    <w:basedOn w:val="Normal"/>
    <w:rsid w:val="00C31FC6"/>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C31FC6"/>
    <w:pPr>
      <w:spacing w:before="840" w:after="840"/>
      <w:ind w:left="567"/>
      <w:jc w:val="both"/>
      <w:outlineLvl w:val="0"/>
    </w:pPr>
    <w:rPr>
      <w:rFonts w:cs="Arial"/>
      <w:sz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Normal Indent"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link w:val="Heading2Char"/>
    <w:autoRedefine/>
    <w:uiPriority w:val="99"/>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uiPriority w:val="99"/>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uiPriority w:val="99"/>
    <w:rsid w:val="001949A2"/>
    <w:pPr>
      <w:spacing w:before="60"/>
      <w:ind w:left="567" w:right="-17" w:hanging="567"/>
    </w:pPr>
    <w:rPr>
      <w:rFonts w:ascii="Arial" w:hAnsi="Arial"/>
      <w:sz w:val="16"/>
    </w:rPr>
  </w:style>
  <w:style w:type="character" w:styleId="FootnoteReference">
    <w:name w:val="footnote reference"/>
    <w:basedOn w:val="DefaultParagraphFont"/>
    <w:uiPriority w:val="99"/>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C31FC6"/>
    <w:pPr>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customStyle="1" w:styleId="Inf4Heading3">
    <w:name w:val="Inf_4_Heading_3"/>
    <w:basedOn w:val="Heading3"/>
    <w:rsid w:val="00FC5404"/>
    <w:pPr>
      <w:spacing w:before="240"/>
    </w:pPr>
    <w:rPr>
      <w:b/>
      <w:bCs/>
      <w:i w:val="0"/>
      <w:lang w:val="fr-FR"/>
    </w:rPr>
  </w:style>
  <w:style w:type="paragraph" w:customStyle="1" w:styleId="Inf4Heading4">
    <w:name w:val="Inf_4_Heading_4"/>
    <w:basedOn w:val="Heading4"/>
    <w:next w:val="Normal"/>
    <w:rsid w:val="00FC5404"/>
    <w:pPr>
      <w:spacing w:before="120"/>
      <w:ind w:left="0"/>
    </w:pPr>
    <w:rPr>
      <w:b/>
      <w:bCs/>
      <w:i w:val="0"/>
    </w:rPr>
  </w:style>
  <w:style w:type="paragraph" w:customStyle="1" w:styleId="Inf4Normal">
    <w:name w:val="Inf_4_Normal"/>
    <w:basedOn w:val="Normal"/>
    <w:link w:val="Inf4NormalChar"/>
    <w:rsid w:val="00FC5404"/>
    <w:pPr>
      <w:spacing w:before="108"/>
    </w:pPr>
    <w:rPr>
      <w:lang w:val="fr-FR"/>
    </w:rPr>
  </w:style>
  <w:style w:type="character" w:customStyle="1" w:styleId="Inf4NormalChar">
    <w:name w:val="Inf_4_Normal Char"/>
    <w:basedOn w:val="DefaultParagraphFont"/>
    <w:link w:val="Inf4Normal"/>
    <w:rsid w:val="00FC5404"/>
    <w:rPr>
      <w:rFonts w:ascii="Arial" w:hAnsi="Arial"/>
      <w:lang w:val="fr-FR"/>
    </w:rPr>
  </w:style>
  <w:style w:type="character" w:customStyle="1" w:styleId="Heading2Char">
    <w:name w:val="Heading 2 Char"/>
    <w:basedOn w:val="DefaultParagraphFont"/>
    <w:link w:val="Heading2"/>
    <w:uiPriority w:val="99"/>
    <w:locked/>
    <w:rsid w:val="00C31FC6"/>
    <w:rPr>
      <w:rFonts w:ascii="Arial" w:hAnsi="Arial"/>
      <w:u w:val="single"/>
    </w:rPr>
  </w:style>
  <w:style w:type="character" w:customStyle="1" w:styleId="HeaderChar">
    <w:name w:val="Header Char"/>
    <w:basedOn w:val="DefaultParagraphFont"/>
    <w:link w:val="Header"/>
    <w:uiPriority w:val="99"/>
    <w:locked/>
    <w:rsid w:val="00C31FC6"/>
    <w:rPr>
      <w:rFonts w:ascii="Arial" w:hAnsi="Arial"/>
      <w:lang w:val="fr-FR"/>
    </w:rPr>
  </w:style>
  <w:style w:type="character" w:customStyle="1" w:styleId="FooterChar">
    <w:name w:val="Footer Char"/>
    <w:aliases w:val="doc_path_name Char"/>
    <w:basedOn w:val="DefaultParagraphFont"/>
    <w:link w:val="Footer"/>
    <w:uiPriority w:val="99"/>
    <w:locked/>
    <w:rsid w:val="00C31FC6"/>
    <w:rPr>
      <w:rFonts w:ascii="Arial" w:hAnsi="Arial"/>
      <w:sz w:val="12"/>
    </w:rPr>
  </w:style>
  <w:style w:type="character" w:customStyle="1" w:styleId="FootnoteTextChar">
    <w:name w:val="Footnote Text Char"/>
    <w:basedOn w:val="DefaultParagraphFont"/>
    <w:link w:val="FootnoteText"/>
    <w:uiPriority w:val="99"/>
    <w:locked/>
    <w:rsid w:val="001949A2"/>
    <w:rPr>
      <w:rFonts w:ascii="Arial" w:hAnsi="Arial"/>
      <w:sz w:val="16"/>
    </w:rPr>
  </w:style>
  <w:style w:type="paragraph" w:styleId="NormalIndent">
    <w:name w:val="Normal Indent"/>
    <w:basedOn w:val="Normal"/>
    <w:qFormat/>
    <w:rsid w:val="00C31FC6"/>
    <w:pPr>
      <w:ind w:left="851"/>
      <w:jc w:val="left"/>
    </w:pPr>
    <w:rPr>
      <w:rFonts w:cs="Arial"/>
      <w:color w:val="000000"/>
      <w:lang w:val="de-CH"/>
    </w:rPr>
  </w:style>
  <w:style w:type="paragraph" w:styleId="ListParagraph">
    <w:name w:val="List Paragraph"/>
    <w:basedOn w:val="Normal"/>
    <w:uiPriority w:val="98"/>
    <w:qFormat/>
    <w:rsid w:val="00C31FC6"/>
    <w:pPr>
      <w:contextualSpacing/>
      <w:jc w:val="left"/>
    </w:pPr>
    <w:rPr>
      <w:rFonts w:cs="Arial"/>
      <w:color w:val="000000"/>
      <w:lang w:val="de-CH"/>
    </w:rPr>
  </w:style>
  <w:style w:type="paragraph" w:customStyle="1" w:styleId="Normalcentr1">
    <w:name w:val="Normal centré1"/>
    <w:basedOn w:val="Normal"/>
    <w:rsid w:val="00C31FC6"/>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C31FC6"/>
    <w:pPr>
      <w:spacing w:before="840" w:after="840"/>
      <w:ind w:left="567"/>
      <w:jc w:val="both"/>
      <w:outlineLvl w:val="0"/>
    </w:pPr>
    <w:rPr>
      <w:rFonts w:cs="Arial"/>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30.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F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UPOV\14307_UPOV_final%202013\005%20Notes\14307RN_005-4_Bilan_CR%20de%20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Année 2012</c:v>
          </c:tx>
          <c:spPr>
            <a:solidFill>
              <a:schemeClr val="accent3">
                <a:lumMod val="50000"/>
              </a:schemeClr>
            </a:solidFill>
          </c:spPr>
          <c:invertIfNegative val="0"/>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2013 - 2012'!$K$184:$K$188</c:f>
              <c:numCache>
                <c:formatCode>General</c:formatCode>
                <c:ptCount val="5"/>
              </c:numCache>
            </c:numRef>
          </c:val>
        </c:ser>
        <c:ser>
          <c:idx val="1"/>
          <c:order val="1"/>
          <c:tx>
            <c:v>Année 2013</c:v>
          </c:tx>
          <c:spPr>
            <a:solidFill>
              <a:schemeClr val="accent1">
                <a:lumMod val="75000"/>
              </a:schemeClr>
            </a:solidFill>
          </c:spPr>
          <c:invertIfNegative val="0"/>
          <c:dLbls>
            <c:dLbl>
              <c:idx val="0"/>
              <c:layout>
                <c:manualLayout>
                  <c:x val="-2.5000000000000001E-2"/>
                  <c:y val="1.9467774861475648E-2"/>
                </c:manualLayout>
              </c:layout>
              <c:dLblPos val="outEnd"/>
              <c:showLegendKey val="0"/>
              <c:showVal val="1"/>
              <c:showCatName val="0"/>
              <c:showSerName val="0"/>
              <c:showPercent val="0"/>
              <c:showBubbleSize val="0"/>
            </c:dLbl>
            <c:dLbl>
              <c:idx val="1"/>
              <c:layout>
                <c:manualLayout>
                  <c:x val="-1.9841269841269878E-2"/>
                  <c:y val="3.477747099794344E-3"/>
                </c:manualLayout>
              </c:layout>
              <c:dLblPos val="outEnd"/>
              <c:showLegendKey val="0"/>
              <c:showVal val="1"/>
              <c:showCatName val="0"/>
              <c:showSerName val="0"/>
              <c:showPercent val="0"/>
              <c:showBubbleSize val="0"/>
            </c:dLbl>
            <c:dLbl>
              <c:idx val="2"/>
              <c:layout>
                <c:manualLayout>
                  <c:x val="-2.5793650793650792E-2"/>
                  <c:y val="9.2497528718001164E-3"/>
                </c:manualLayout>
              </c:layout>
              <c:dLblPos val="outEnd"/>
              <c:showLegendKey val="0"/>
              <c:showVal val="1"/>
              <c:showCatName val="0"/>
              <c:showSerName val="0"/>
              <c:showPercent val="0"/>
              <c:showBubbleSize val="0"/>
            </c:dLbl>
            <c:dLbl>
              <c:idx val="3"/>
              <c:layout>
                <c:manualLayout>
                  <c:x val="-3.3730158730158659E-2"/>
                  <c:y val="1.5021758643805888E-2"/>
                </c:manualLayout>
              </c:layout>
              <c:dLblPos val="outEnd"/>
              <c:showLegendKey val="0"/>
              <c:showVal val="1"/>
              <c:showCatName val="0"/>
              <c:showSerName val="0"/>
              <c:showPercent val="0"/>
              <c:showBubbleSize val="0"/>
            </c:dLbl>
            <c:txPr>
              <a:bodyPr/>
              <a:lstStyle/>
              <a:p>
                <a:pPr>
                  <a:defRPr b="1">
                    <a:solidFill>
                      <a:schemeClr val="accent1">
                        <a:lumMod val="75000"/>
                      </a:schemeClr>
                    </a:solidFill>
                  </a:defRPr>
                </a:pPr>
                <a:endParaRPr lang="en-US"/>
              </a:p>
            </c:txPr>
            <c:dLblPos val="inEnd"/>
            <c:showLegendKey val="0"/>
            <c:showVal val="1"/>
            <c:showCatName val="0"/>
            <c:showSerName val="0"/>
            <c:showPercent val="0"/>
            <c:showBubbleSize val="0"/>
            <c:showLeaderLines val="0"/>
          </c:dLbls>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2013 - 2012'!$L$184:$L$188</c:f>
              <c:numCache>
                <c:formatCode>#,##0;\-#,##0;\-</c:formatCode>
                <c:ptCount val="5"/>
                <c:pt idx="0">
                  <c:v>2077</c:v>
                </c:pt>
                <c:pt idx="1">
                  <c:v>585</c:v>
                </c:pt>
                <c:pt idx="2">
                  <c:v>337</c:v>
                </c:pt>
                <c:pt idx="3">
                  <c:v>622</c:v>
                </c:pt>
                <c:pt idx="4">
                  <c:v>23</c:v>
                </c:pt>
              </c:numCache>
            </c:numRef>
          </c:val>
        </c:ser>
        <c:ser>
          <c:idx val="2"/>
          <c:order val="2"/>
          <c:invertIfNegative val="0"/>
          <c:dLbls>
            <c:dLbl>
              <c:idx val="0"/>
              <c:layout>
                <c:manualLayout>
                  <c:x val="4.1666666666666664E-2"/>
                  <c:y val="7.50233304170312E-2"/>
                </c:manualLayout>
              </c:layout>
              <c:dLblPos val="outEnd"/>
              <c:showLegendKey val="0"/>
              <c:showVal val="1"/>
              <c:showCatName val="0"/>
              <c:showSerName val="0"/>
              <c:showPercent val="0"/>
              <c:showBubbleSize val="0"/>
            </c:dLbl>
            <c:dLbl>
              <c:idx val="1"/>
              <c:layout>
                <c:manualLayout>
                  <c:x val="1.1904761904761904E-2"/>
                  <c:y val="-1.6724273102225858E-2"/>
                </c:manualLayout>
              </c:layout>
              <c:dLblPos val="outEnd"/>
              <c:showLegendKey val="0"/>
              <c:showVal val="1"/>
              <c:showCatName val="0"/>
              <c:showSerName val="0"/>
              <c:showPercent val="0"/>
              <c:showBubbleSize val="0"/>
            </c:dLbl>
            <c:dLbl>
              <c:idx val="2"/>
              <c:layout>
                <c:manualLayout>
                  <c:x val="9.9206349206349201E-3"/>
                  <c:y val="1.0132597061730921E-2"/>
                </c:manualLayout>
              </c:layout>
              <c:dLblPos val="outEnd"/>
              <c:showLegendKey val="0"/>
              <c:showVal val="1"/>
              <c:showCatName val="0"/>
              <c:showSerName val="0"/>
              <c:showPercent val="0"/>
              <c:showBubbleSize val="0"/>
            </c:dLbl>
            <c:dLbl>
              <c:idx val="3"/>
              <c:layout>
                <c:manualLayout>
                  <c:x val="4.1666666666666664E-2"/>
                  <c:y val="2.0793764415811659E-2"/>
                </c:manualLayout>
              </c:layout>
              <c:dLblPos val="outEnd"/>
              <c:showLegendKey val="0"/>
              <c:showVal val="1"/>
              <c:showCatName val="0"/>
              <c:showSerName val="0"/>
              <c:showPercent val="0"/>
              <c:showBubbleSize val="0"/>
            </c:dLbl>
            <c:txPr>
              <a:bodyPr/>
              <a:lstStyle/>
              <a:p>
                <a:pPr>
                  <a:defRPr b="1">
                    <a:solidFill>
                      <a:schemeClr val="accent3">
                        <a:lumMod val="50000"/>
                      </a:schemeClr>
                    </a:solidFill>
                  </a:defRPr>
                </a:pPr>
                <a:endParaRPr lang="en-US"/>
              </a:p>
            </c:txPr>
            <c:dLblPos val="inEnd"/>
            <c:showLegendKey val="0"/>
            <c:showVal val="1"/>
            <c:showCatName val="0"/>
            <c:showSerName val="0"/>
            <c:showPercent val="0"/>
            <c:showBubbleSize val="0"/>
            <c:showLeaderLines val="0"/>
          </c:dLbls>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2013 - 2012'!$M$184:$M$188</c:f>
              <c:numCache>
                <c:formatCode>#,##0;\-#,##0;\-</c:formatCode>
                <c:ptCount val="5"/>
                <c:pt idx="0">
                  <c:v>1986</c:v>
                </c:pt>
                <c:pt idx="1">
                  <c:v>472</c:v>
                </c:pt>
                <c:pt idx="2">
                  <c:v>117</c:v>
                </c:pt>
                <c:pt idx="3">
                  <c:v>621</c:v>
                </c:pt>
                <c:pt idx="4">
                  <c:v>1</c:v>
                </c:pt>
              </c:numCache>
            </c:numRef>
          </c:val>
        </c:ser>
        <c:dLbls>
          <c:dLblPos val="inEnd"/>
          <c:showLegendKey val="0"/>
          <c:showVal val="1"/>
          <c:showCatName val="0"/>
          <c:showSerName val="0"/>
          <c:showPercent val="0"/>
          <c:showBubbleSize val="0"/>
        </c:dLbls>
        <c:gapWidth val="150"/>
        <c:axId val="111177728"/>
        <c:axId val="111179648"/>
      </c:barChart>
      <c:catAx>
        <c:axId val="111177728"/>
        <c:scaling>
          <c:orientation val="minMax"/>
        </c:scaling>
        <c:delete val="0"/>
        <c:axPos val="b"/>
        <c:title>
          <c:tx>
            <c:rich>
              <a:bodyPr/>
              <a:lstStyle/>
              <a:p>
                <a:pPr>
                  <a:defRPr sz="900">
                    <a:latin typeface="Tahoma" panose="020B0604030504040204" pitchFamily="34" charset="0"/>
                    <a:ea typeface="Tahoma" panose="020B0604030504040204" pitchFamily="34" charset="0"/>
                    <a:cs typeface="Tahoma" panose="020B0604030504040204" pitchFamily="34" charset="0"/>
                  </a:defRPr>
                </a:pPr>
                <a:r>
                  <a:rPr lang="en-US" sz="900">
                    <a:latin typeface="Tahoma" panose="020B0604030504040204" pitchFamily="34" charset="0"/>
                    <a:ea typeface="Tahoma" panose="020B0604030504040204" pitchFamily="34" charset="0"/>
                    <a:cs typeface="Tahoma" panose="020B0604030504040204" pitchFamily="34" charset="0"/>
                  </a:rPr>
                  <a:t>Nature des dépenses</a:t>
                </a:r>
              </a:p>
            </c:rich>
          </c:tx>
          <c:overlay val="0"/>
        </c:title>
        <c:majorTickMark val="out"/>
        <c:minorTickMark val="none"/>
        <c:tickLblPos val="nextTo"/>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crossAx val="111179648"/>
        <c:crosses val="autoZero"/>
        <c:auto val="1"/>
        <c:lblAlgn val="ctr"/>
        <c:lblOffset val="100"/>
        <c:noMultiLvlLbl val="0"/>
      </c:catAx>
      <c:valAx>
        <c:axId val="111179648"/>
        <c:scaling>
          <c:orientation val="minMax"/>
        </c:scaling>
        <c:delete val="0"/>
        <c:axPos val="l"/>
        <c:majorGridlines/>
        <c:title>
          <c:tx>
            <c:rich>
              <a:bodyPr rot="-5400000" vert="horz"/>
              <a:lstStyle/>
              <a:p>
                <a:pPr>
                  <a:defRPr sz="900">
                    <a:latin typeface="Tahoma" panose="020B0604030504040204" pitchFamily="34" charset="0"/>
                    <a:ea typeface="Tahoma" panose="020B0604030504040204" pitchFamily="34" charset="0"/>
                    <a:cs typeface="Tahoma" panose="020B0604030504040204" pitchFamily="34" charset="0"/>
                  </a:defRPr>
                </a:pPr>
                <a:r>
                  <a:rPr lang="en-US" sz="900">
                    <a:latin typeface="Tahoma" panose="020B0604030504040204" pitchFamily="34" charset="0"/>
                    <a:ea typeface="Tahoma" panose="020B0604030504040204" pitchFamily="34" charset="0"/>
                    <a:cs typeface="Tahoma" panose="020B0604030504040204" pitchFamily="34" charset="0"/>
                  </a:rPr>
                  <a:t>En milliers de francs</a:t>
                </a:r>
              </a:p>
            </c:rich>
          </c:tx>
          <c:overlay val="0"/>
        </c:title>
        <c:numFmt formatCode="General" sourceLinked="1"/>
        <c:majorTickMark val="out"/>
        <c:minorTickMark val="none"/>
        <c:tickLblPos val="nextTo"/>
        <c:crossAx val="111177728"/>
        <c:crosses val="autoZero"/>
        <c:crossBetween val="between"/>
      </c:valAx>
    </c:plotArea>
    <c:legend>
      <c:legendPos val="r"/>
      <c:legendEntry>
        <c:idx val="0"/>
        <c:txPr>
          <a:bodyPr/>
          <a:lstStyle/>
          <a:p>
            <a:pPr>
              <a:defRPr sz="800" b="1">
                <a:solidFill>
                  <a:schemeClr val="accent3">
                    <a:lumMod val="50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Entry>
      <c:legendEntry>
        <c:idx val="1"/>
        <c:txPr>
          <a:bodyPr/>
          <a:lstStyle/>
          <a:p>
            <a:pPr>
              <a:defRPr sz="800" b="1">
                <a:solidFill>
                  <a:schemeClr val="tx2">
                    <a:lumMod val="60000"/>
                    <a:lumOff val="40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Entry>
      <c:legendEntry>
        <c:idx val="2"/>
        <c:delete val="1"/>
      </c:legendEntry>
      <c:overlay val="0"/>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C_48_FR.dotx</Template>
  <TotalTime>63</TotalTime>
  <Pages>11</Pages>
  <Words>4273</Words>
  <Characters>23884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C/48/14</vt:lpstr>
    </vt:vector>
  </TitlesOfParts>
  <Company>UPOV</Company>
  <LinksUpToDate>false</LinksUpToDate>
  <CharactersWithSpaces>28101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C/48/14</dc:title>
  <dc:creator/>
  <cp:lastModifiedBy>BESSE Ariane</cp:lastModifiedBy>
  <cp:revision>16</cp:revision>
  <cp:lastPrinted>2014-08-27T10:00:00Z</cp:lastPrinted>
  <dcterms:created xsi:type="dcterms:W3CDTF">2014-05-30T08:51:00Z</dcterms:created>
  <dcterms:modified xsi:type="dcterms:W3CDTF">2014-08-29T13:31:00Z</dcterms:modified>
</cp:coreProperties>
</file>