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22D8E" w:rsidRPr="00622D8E" w:rsidTr="0044011C">
        <w:trPr>
          <w:trHeight w:val="1760"/>
        </w:trPr>
        <w:tc>
          <w:tcPr>
            <w:tcW w:w="4243" w:type="dxa"/>
          </w:tcPr>
          <w:p w:rsidR="0009674B" w:rsidRPr="00622D8E" w:rsidRDefault="0009674B" w:rsidP="0044011C"/>
        </w:tc>
        <w:tc>
          <w:tcPr>
            <w:tcW w:w="1646" w:type="dxa"/>
            <w:vAlign w:val="center"/>
          </w:tcPr>
          <w:p w:rsidR="0009674B" w:rsidRPr="00622D8E" w:rsidRDefault="0009674B" w:rsidP="0044011C">
            <w:pPr>
              <w:pStyle w:val="LogoUPOV"/>
            </w:pPr>
            <w:r w:rsidRPr="00622D8E">
              <w:rPr>
                <w:noProof/>
                <w:lang w:val="en-US"/>
              </w:rPr>
              <w:drawing>
                <wp:inline distT="0" distB="0" distL="0" distR="0" wp14:anchorId="0116F3BB" wp14:editId="6890FC5C">
                  <wp:extent cx="981710" cy="481330"/>
                  <wp:effectExtent l="0" t="0" r="8890" b="0"/>
                  <wp:docPr id="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9674B" w:rsidRPr="00622D8E" w:rsidRDefault="0009674B" w:rsidP="0044011C">
            <w:pPr>
              <w:pStyle w:val="Lettrine"/>
            </w:pPr>
            <w:r w:rsidRPr="00622D8E">
              <w:t>S</w:t>
            </w:r>
          </w:p>
          <w:p w:rsidR="0009674B" w:rsidRPr="00622D8E" w:rsidRDefault="0009674B" w:rsidP="0044011C">
            <w:pPr>
              <w:pStyle w:val="Docoriginal"/>
              <w:ind w:left="1050"/>
              <w:jc w:val="left"/>
            </w:pPr>
            <w:r w:rsidRPr="00622D8E">
              <w:t>CAJ/70/</w:t>
            </w:r>
            <w:bookmarkStart w:id="0" w:name="Code"/>
            <w:bookmarkEnd w:id="0"/>
            <w:r w:rsidRPr="00622D8E">
              <w:t>6</w:t>
            </w:r>
          </w:p>
          <w:p w:rsidR="0009674B" w:rsidRPr="00622D8E" w:rsidRDefault="0009674B" w:rsidP="0044011C">
            <w:pPr>
              <w:pStyle w:val="Docoriginal"/>
              <w:ind w:left="1050"/>
              <w:jc w:val="left"/>
            </w:pPr>
            <w:r w:rsidRPr="00622D8E">
              <w:rPr>
                <w:rStyle w:val="StyleDoclangBold"/>
                <w:b/>
                <w:bCs/>
                <w:spacing w:val="0"/>
                <w:lang w:val="es-ES_tradnl"/>
              </w:rPr>
              <w:t>ORIGINAL:</w:t>
            </w:r>
            <w:r w:rsidRPr="00622D8E">
              <w:rPr>
                <w:rStyle w:val="StyleDocoriginalNotBold1"/>
                <w:spacing w:val="0"/>
                <w:lang w:val="es-ES_tradnl"/>
              </w:rPr>
              <w:t xml:space="preserve">  </w:t>
            </w:r>
            <w:bookmarkStart w:id="1" w:name="Original"/>
            <w:bookmarkEnd w:id="1"/>
            <w:r w:rsidRPr="00622D8E">
              <w:rPr>
                <w:b w:val="0"/>
                <w:spacing w:val="0"/>
              </w:rPr>
              <w:t>Inglés</w:t>
            </w:r>
          </w:p>
          <w:p w:rsidR="0009674B" w:rsidRPr="00622D8E" w:rsidRDefault="0009674B" w:rsidP="005B543E">
            <w:pPr>
              <w:pStyle w:val="Docoriginal"/>
              <w:ind w:left="1050"/>
              <w:jc w:val="left"/>
            </w:pPr>
            <w:r w:rsidRPr="00622D8E">
              <w:rPr>
                <w:spacing w:val="0"/>
              </w:rPr>
              <w:t>FECHA:</w:t>
            </w:r>
            <w:r w:rsidRPr="00622D8E">
              <w:rPr>
                <w:b w:val="0"/>
                <w:spacing w:val="0"/>
              </w:rPr>
              <w:t xml:space="preserve"> </w:t>
            </w:r>
            <w:r w:rsidRPr="00622D8E">
              <w:rPr>
                <w:rStyle w:val="StyleDocoriginalNotBold1"/>
                <w:spacing w:val="0"/>
                <w:lang w:val="es-ES_tradnl"/>
              </w:rPr>
              <w:t xml:space="preserve"> </w:t>
            </w:r>
            <w:bookmarkStart w:id="2" w:name="Date"/>
            <w:bookmarkEnd w:id="2"/>
            <w:r w:rsidR="005B543E">
              <w:rPr>
                <w:rStyle w:val="StyleDocoriginalNotBold1"/>
                <w:spacing w:val="0"/>
                <w:lang w:val="es-ES_tradnl"/>
              </w:rPr>
              <w:t>6</w:t>
            </w:r>
            <w:r w:rsidRPr="00622D8E">
              <w:rPr>
                <w:rStyle w:val="StyleDocoriginalNotBold1"/>
                <w:spacing w:val="0"/>
                <w:lang w:val="es-ES_tradnl"/>
              </w:rPr>
              <w:t xml:space="preserve"> de </w:t>
            </w:r>
            <w:r w:rsidR="005B543E">
              <w:rPr>
                <w:rStyle w:val="StyleDocoriginalNotBold1"/>
                <w:spacing w:val="0"/>
                <w:lang w:val="es-ES_tradnl"/>
              </w:rPr>
              <w:t>agosto</w:t>
            </w:r>
            <w:bookmarkStart w:id="3" w:name="_GoBack"/>
            <w:bookmarkEnd w:id="3"/>
            <w:r w:rsidRPr="00622D8E">
              <w:rPr>
                <w:rStyle w:val="StyleDocoriginalNotBold1"/>
                <w:spacing w:val="0"/>
                <w:lang w:val="es-ES_tradnl"/>
              </w:rPr>
              <w:t xml:space="preserve"> de </w:t>
            </w:r>
            <w:r w:rsidRPr="00622D8E">
              <w:rPr>
                <w:b w:val="0"/>
                <w:spacing w:val="0"/>
              </w:rPr>
              <w:t>2014</w:t>
            </w:r>
          </w:p>
        </w:tc>
      </w:tr>
      <w:tr w:rsidR="00622D8E" w:rsidRPr="00622D8E" w:rsidTr="0044011C">
        <w:tc>
          <w:tcPr>
            <w:tcW w:w="10131" w:type="dxa"/>
            <w:gridSpan w:val="3"/>
          </w:tcPr>
          <w:p w:rsidR="0009674B" w:rsidRPr="00622D8E" w:rsidRDefault="0009674B" w:rsidP="0044011C">
            <w:pPr>
              <w:pStyle w:val="upove"/>
              <w:rPr>
                <w:spacing w:val="2"/>
                <w:sz w:val="28"/>
              </w:rPr>
            </w:pPr>
            <w:r w:rsidRPr="00622D8E">
              <w:rPr>
                <w:spacing w:val="2"/>
              </w:rPr>
              <w:t>UNIÓN INTERNACIONAL PARA LA PROTECCIÓN DE LAS OBTENCIONES VEGETALES</w:t>
            </w:r>
          </w:p>
        </w:tc>
      </w:tr>
      <w:tr w:rsidR="00622D8E" w:rsidRPr="00622D8E" w:rsidTr="0044011C">
        <w:tc>
          <w:tcPr>
            <w:tcW w:w="10131" w:type="dxa"/>
            <w:gridSpan w:val="3"/>
          </w:tcPr>
          <w:p w:rsidR="0009674B" w:rsidRPr="00622D8E" w:rsidRDefault="0009674B" w:rsidP="0044011C">
            <w:pPr>
              <w:pStyle w:val="Country"/>
            </w:pPr>
            <w:r w:rsidRPr="00622D8E">
              <w:t>Ginebra</w:t>
            </w:r>
          </w:p>
        </w:tc>
      </w:tr>
    </w:tbl>
    <w:p w:rsidR="0009674B" w:rsidRPr="00622D8E" w:rsidRDefault="0009674B" w:rsidP="0009674B">
      <w:pPr>
        <w:pStyle w:val="Sessiontc"/>
      </w:pPr>
      <w:r w:rsidRPr="00622D8E">
        <w:t>Comité Administrativo y Jurídico</w:t>
      </w:r>
    </w:p>
    <w:p w:rsidR="00361821" w:rsidRPr="00622D8E" w:rsidRDefault="00F1053E" w:rsidP="0080679D">
      <w:pPr>
        <w:pStyle w:val="Sessiontcplacedate"/>
      </w:pPr>
      <w:r w:rsidRPr="00622D8E">
        <w:t>Se</w:t>
      </w:r>
      <w:r w:rsidR="00586055" w:rsidRPr="00622D8E">
        <w:t>ptua</w:t>
      </w:r>
      <w:r w:rsidRPr="00622D8E">
        <w:t xml:space="preserve">gésima </w:t>
      </w:r>
      <w:r w:rsidR="0064104D" w:rsidRPr="00622D8E">
        <w:t>sesión</w:t>
      </w:r>
      <w:r w:rsidR="00FB0D37" w:rsidRPr="00622D8E">
        <w:t xml:space="preserve"> </w:t>
      </w:r>
      <w:r w:rsidR="0064104D" w:rsidRPr="00622D8E">
        <w:br/>
        <w:t xml:space="preserve">Ginebra, </w:t>
      </w:r>
      <w:r w:rsidR="00126C00" w:rsidRPr="00622D8E">
        <w:t>1</w:t>
      </w:r>
      <w:r w:rsidR="00586055" w:rsidRPr="00622D8E">
        <w:t>3</w:t>
      </w:r>
      <w:r w:rsidR="007136A6" w:rsidRPr="00622D8E">
        <w:t xml:space="preserve"> </w:t>
      </w:r>
      <w:r w:rsidRPr="00622D8E">
        <w:t xml:space="preserve">de </w:t>
      </w:r>
      <w:r w:rsidR="00586055" w:rsidRPr="00622D8E">
        <w:t xml:space="preserve">octubre </w:t>
      </w:r>
      <w:r w:rsidR="00126C00" w:rsidRPr="00622D8E">
        <w:t>de 201</w:t>
      </w:r>
      <w:r w:rsidR="0064104D" w:rsidRPr="00622D8E">
        <w:t>4</w:t>
      </w:r>
    </w:p>
    <w:p w:rsidR="000D7780" w:rsidRPr="00622D8E" w:rsidRDefault="003C19A1" w:rsidP="0080679D">
      <w:pPr>
        <w:pStyle w:val="Titleofdoc0"/>
      </w:pPr>
      <w:bookmarkStart w:id="4" w:name="TitleOfDoc"/>
      <w:bookmarkEnd w:id="4"/>
      <w:r w:rsidRPr="00622D8E">
        <w:t>Técnicas moleculares</w:t>
      </w:r>
    </w:p>
    <w:p w:rsidR="000D7780" w:rsidRPr="005B543E" w:rsidRDefault="00E33A05" w:rsidP="0080679D">
      <w:pPr>
        <w:pStyle w:val="preparedby1"/>
        <w:rPr>
          <w:rFonts w:eastAsiaTheme="minorEastAsia"/>
          <w:color w:val="A6A6A6" w:themeColor="background1" w:themeShade="A6"/>
        </w:rPr>
      </w:pPr>
      <w:bookmarkStart w:id="5" w:name="Prepared"/>
      <w:bookmarkEnd w:id="5"/>
      <w:r w:rsidRPr="00622D8E">
        <w:t>Documento preparado por la Oficina de la Unión</w:t>
      </w:r>
      <w:r w:rsidR="000271A1" w:rsidRPr="00622D8E">
        <w:br/>
      </w:r>
      <w:r w:rsidR="000271A1" w:rsidRPr="00622D8E">
        <w:br/>
      </w:r>
      <w:r w:rsidR="004A3A5A" w:rsidRPr="005B543E">
        <w:rPr>
          <w:rFonts w:eastAsiaTheme="minorEastAsia"/>
          <w:color w:val="A6A6A6" w:themeColor="background1" w:themeShade="A6"/>
        </w:rPr>
        <w:t>Descargo de responsabilidad</w:t>
      </w:r>
      <w:proofErr w:type="gramStart"/>
      <w:r w:rsidR="004A3A5A" w:rsidRPr="005B543E">
        <w:rPr>
          <w:rFonts w:eastAsiaTheme="minorEastAsia"/>
          <w:color w:val="A6A6A6" w:themeColor="background1" w:themeShade="A6"/>
        </w:rPr>
        <w:t>:  el</w:t>
      </w:r>
      <w:proofErr w:type="gramEnd"/>
      <w:r w:rsidR="004A3A5A" w:rsidRPr="005B543E">
        <w:rPr>
          <w:rFonts w:eastAsiaTheme="minorEastAsia"/>
          <w:color w:val="A6A6A6" w:themeColor="background1" w:themeShade="A6"/>
        </w:rPr>
        <w:t xml:space="preserve"> presente documento no constituye</w:t>
      </w:r>
      <w:r w:rsidR="00AE0EF1" w:rsidRPr="005B543E">
        <w:rPr>
          <w:rFonts w:eastAsiaTheme="minorEastAsia"/>
          <w:color w:val="A6A6A6" w:themeColor="background1" w:themeShade="A6"/>
        </w:rPr>
        <w:t xml:space="preserve"> </w:t>
      </w:r>
      <w:r w:rsidR="004A3A5A" w:rsidRPr="005B543E">
        <w:rPr>
          <w:rFonts w:eastAsiaTheme="minorEastAsia"/>
          <w:color w:val="A6A6A6" w:themeColor="background1" w:themeShade="A6"/>
        </w:rPr>
        <w:br/>
        <w:t>un documento de política u orientación de la UPOV</w:t>
      </w:r>
    </w:p>
    <w:bookmarkStart w:id="6" w:name="_Toc374716168"/>
    <w:p w:rsidR="00F67258" w:rsidRPr="00622D8E" w:rsidRDefault="004745DA" w:rsidP="00F67258">
      <w:pPr>
        <w:rPr>
          <w:lang w:val="es-ES"/>
        </w:rPr>
      </w:pPr>
      <w:r w:rsidRPr="00622D8E">
        <w:fldChar w:fldCharType="begin"/>
      </w:r>
      <w:r w:rsidR="00F67258" w:rsidRPr="00622D8E">
        <w:rPr>
          <w:lang w:val="es-ES"/>
        </w:rPr>
        <w:instrText xml:space="preserve"> AUTONUM  </w:instrText>
      </w:r>
      <w:r w:rsidRPr="00622D8E">
        <w:fldChar w:fldCharType="end"/>
      </w:r>
      <w:r w:rsidR="00F67258" w:rsidRPr="00622D8E">
        <w:rPr>
          <w:lang w:val="es-ES"/>
        </w:rPr>
        <w:tab/>
      </w:r>
      <w:r w:rsidR="0042336E" w:rsidRPr="00622D8E">
        <w:t>El propósito del presente documento es informar acerca de las novedades en materia de la</w:t>
      </w:r>
      <w:r w:rsidR="0042336E" w:rsidRPr="00622D8E">
        <w:rPr>
          <w:rFonts w:hint="eastAsia"/>
        </w:rPr>
        <w:t xml:space="preserve"> </w:t>
      </w:r>
      <w:r w:rsidR="0042336E" w:rsidRPr="00622D8E">
        <w:t>presentación de información sobre la situación en la</w:t>
      </w:r>
      <w:r w:rsidR="00F67258" w:rsidRPr="00622D8E">
        <w:rPr>
          <w:lang w:val="es-ES"/>
        </w:rPr>
        <w:t xml:space="preserve"> UPOV </w:t>
      </w:r>
      <w:r w:rsidR="0042336E" w:rsidRPr="00622D8E">
        <w:t>en lo que respecta al uso de</w:t>
      </w:r>
      <w:r w:rsidR="0042336E" w:rsidRPr="00622D8E">
        <w:rPr>
          <w:rFonts w:hint="eastAsia"/>
        </w:rPr>
        <w:t xml:space="preserve"> </w:t>
      </w:r>
      <w:r w:rsidR="0042336E" w:rsidRPr="00622D8E">
        <w:t>técnicas moleculares, para un público más amplio, que incluya</w:t>
      </w:r>
      <w:r w:rsidR="00F67258" w:rsidRPr="00622D8E">
        <w:rPr>
          <w:lang w:val="es-ES"/>
        </w:rPr>
        <w:t xml:space="preserve"> a </w:t>
      </w:r>
      <w:r w:rsidR="0042336E" w:rsidRPr="00622D8E">
        <w:t>los obtentores y el público en</w:t>
      </w:r>
      <w:r w:rsidR="00F67258" w:rsidRPr="00622D8E">
        <w:rPr>
          <w:lang w:val="es-ES"/>
        </w:rPr>
        <w:t xml:space="preserve"> general.</w:t>
      </w:r>
      <w:bookmarkEnd w:id="6"/>
    </w:p>
    <w:p w:rsidR="00F67258" w:rsidRPr="00622D8E" w:rsidRDefault="00F67258" w:rsidP="00F67258">
      <w:pPr>
        <w:rPr>
          <w:lang w:val="es-ES"/>
        </w:rPr>
      </w:pPr>
    </w:p>
    <w:p w:rsidR="00F67258" w:rsidRPr="00622D8E" w:rsidRDefault="004745DA" w:rsidP="00F67258">
      <w:pPr>
        <w:keepNext/>
      </w:pPr>
      <w:r w:rsidRPr="00622D8E">
        <w:fldChar w:fldCharType="begin"/>
      </w:r>
      <w:r w:rsidR="00F67258" w:rsidRPr="00622D8E">
        <w:instrText xml:space="preserve"> AUTONUM  </w:instrText>
      </w:r>
      <w:r w:rsidRPr="00622D8E">
        <w:fldChar w:fldCharType="end"/>
      </w:r>
      <w:r w:rsidR="00F67258" w:rsidRPr="00622D8E">
        <w:tab/>
      </w:r>
      <w:r w:rsidR="003C19A1" w:rsidRPr="00622D8E">
        <w:t>En el presente documento se utilizan las abreviaturas siguientes</w:t>
      </w:r>
      <w:r w:rsidR="00F67258" w:rsidRPr="00622D8E">
        <w:t>:</w:t>
      </w:r>
    </w:p>
    <w:p w:rsidR="00F67258" w:rsidRPr="00622D8E" w:rsidRDefault="00F67258" w:rsidP="00F67258">
      <w:pPr>
        <w:keepNext/>
        <w:ind w:left="1692" w:hanging="1125"/>
        <w:jc w:val="left"/>
      </w:pPr>
    </w:p>
    <w:p w:rsidR="00F67258" w:rsidRPr="00622D8E" w:rsidRDefault="00F67258" w:rsidP="00F67258">
      <w:pPr>
        <w:keepNext/>
        <w:tabs>
          <w:tab w:val="left" w:pos="567"/>
          <w:tab w:val="left" w:pos="1701"/>
        </w:tabs>
        <w:ind w:firstLine="567"/>
      </w:pPr>
      <w:r w:rsidRPr="00622D8E">
        <w:t>CAJ:</w:t>
      </w:r>
      <w:r w:rsidRPr="00622D8E">
        <w:tab/>
      </w:r>
      <w:r w:rsidR="003C19A1" w:rsidRPr="00622D8E">
        <w:t>Comité Administrativo y Jurídico</w:t>
      </w:r>
    </w:p>
    <w:p w:rsidR="00F67258" w:rsidRPr="00622D8E" w:rsidRDefault="00F67258" w:rsidP="00F67258">
      <w:pPr>
        <w:keepNext/>
        <w:tabs>
          <w:tab w:val="left" w:pos="567"/>
          <w:tab w:val="left" w:pos="1701"/>
        </w:tabs>
        <w:ind w:firstLine="567"/>
        <w:rPr>
          <w:snapToGrid w:val="0"/>
          <w:lang w:eastAsia="ja-JP"/>
        </w:rPr>
      </w:pPr>
      <w:r w:rsidRPr="00622D8E">
        <w:t>TC:</w:t>
      </w:r>
      <w:r w:rsidRPr="00622D8E">
        <w:tab/>
      </w:r>
      <w:r w:rsidR="003C19A1" w:rsidRPr="00622D8E">
        <w:rPr>
          <w:snapToGrid w:val="0"/>
          <w:lang w:eastAsia="ja-JP"/>
        </w:rPr>
        <w:t>Comité Técnico</w:t>
      </w:r>
    </w:p>
    <w:p w:rsidR="00F67258" w:rsidRPr="00622D8E" w:rsidRDefault="00F67258" w:rsidP="00F67258">
      <w:pPr>
        <w:rPr>
          <w:snapToGrid w:val="0"/>
          <w:lang w:eastAsia="ja-JP"/>
        </w:rPr>
      </w:pPr>
    </w:p>
    <w:p w:rsidR="00F67258" w:rsidRPr="00622D8E" w:rsidRDefault="00F67258" w:rsidP="00F67258">
      <w:pPr>
        <w:rPr>
          <w:spacing w:val="-2"/>
          <w:lang w:eastAsia="ja-JP"/>
        </w:rPr>
      </w:pPr>
    </w:p>
    <w:p w:rsidR="00F67258" w:rsidRPr="00622D8E" w:rsidRDefault="003C19A1" w:rsidP="00F67258">
      <w:pPr>
        <w:keepNext/>
        <w:outlineLvl w:val="0"/>
        <w:rPr>
          <w:caps/>
          <w:spacing w:val="2"/>
        </w:rPr>
      </w:pPr>
      <w:r w:rsidRPr="00622D8E">
        <w:rPr>
          <w:caps/>
          <w:spacing w:val="2"/>
        </w:rPr>
        <w:t>PRESENTACIÓN DE LA INFORMACIÓN SOBRE LA SITUACIÓN EN LA UPOV EN LO QUE RESPECTA AL USO DE TÉCNICAS MOLECULARES PARA UN PÚBLICO MÁS AMPLIO, QUE INCLUYA A LOS OBTENTORES Y AL PÚBLICO EN GENERAL</w:t>
      </w:r>
    </w:p>
    <w:p w:rsidR="00F67258" w:rsidRPr="00622D8E" w:rsidRDefault="00F67258" w:rsidP="00F67258">
      <w:pPr>
        <w:keepNext/>
      </w:pPr>
    </w:p>
    <w:p w:rsidR="00F67258" w:rsidRPr="00622D8E" w:rsidRDefault="004745DA" w:rsidP="00F67258">
      <w:r w:rsidRPr="00622D8E">
        <w:fldChar w:fldCharType="begin"/>
      </w:r>
      <w:r w:rsidR="00F67258" w:rsidRPr="00622D8E">
        <w:instrText xml:space="preserve"> AUTONUM  </w:instrText>
      </w:r>
      <w:r w:rsidRPr="00622D8E">
        <w:fldChar w:fldCharType="end"/>
      </w:r>
      <w:r w:rsidR="00F67258" w:rsidRPr="00622D8E">
        <w:tab/>
      </w:r>
      <w:r w:rsidR="003C19A1" w:rsidRPr="00622D8E">
        <w:t>En su cuadragésima novena sesión, celebrada en Ginebra del 18 al 20 de marzo de 2013, el TC convino en que es necesario proporcionar información adecuada sobre la situación en la UPOV en lo que respecta al uso de técnicas moleculares, para un público más amplio, que incluya a los obtentores y el público en general</w:t>
      </w:r>
      <w:r w:rsidR="003570E7" w:rsidRPr="00622D8E">
        <w:t xml:space="preserve">.  </w:t>
      </w:r>
      <w:r w:rsidR="003C19A1" w:rsidRPr="00622D8E">
        <w:t>Esta información deberá explicar las posibles ventajas e inconvenientes de las técnicas, así como la relación entre genotipo y fenotipo, que están detrás de la situación en la UPOV (véase el párrafo 136 del documento TC/49/41, “Informe sobre las conclusiones”).</w:t>
      </w:r>
    </w:p>
    <w:p w:rsidR="00F67258" w:rsidRPr="00622D8E" w:rsidRDefault="00F67258" w:rsidP="00F67258"/>
    <w:p w:rsidR="00F67258" w:rsidRPr="00622D8E" w:rsidRDefault="004745DA" w:rsidP="00F67258">
      <w:pPr>
        <w:rPr>
          <w:lang w:val="es-ES"/>
        </w:rPr>
      </w:pPr>
      <w:r w:rsidRPr="00622D8E">
        <w:fldChar w:fldCharType="begin"/>
      </w:r>
      <w:r w:rsidR="00F67258" w:rsidRPr="00622D8E">
        <w:instrText xml:space="preserve"> AUTONUM  </w:instrText>
      </w:r>
      <w:r w:rsidRPr="00622D8E">
        <w:fldChar w:fldCharType="end"/>
      </w:r>
      <w:r w:rsidR="00F67258" w:rsidRPr="00622D8E">
        <w:tab/>
      </w:r>
      <w:r w:rsidR="003C19A1" w:rsidRPr="00622D8E">
        <w:t>En su octogésima sexta sesión, celebrada en Ginebra los días 23 y 24 de octubre de 2013, el Comité Consultivo examinó una serie de respuestas a preguntas frecuentes</w:t>
      </w:r>
      <w:r w:rsidR="003570E7" w:rsidRPr="00622D8E">
        <w:t xml:space="preserve">.  </w:t>
      </w:r>
      <w:r w:rsidR="0042336E" w:rsidRPr="00622D8E">
        <w:t>Una de las preguntas es la siguiente</w:t>
      </w:r>
      <w:proofErr w:type="gramStart"/>
      <w:r w:rsidR="003570E7" w:rsidRPr="00622D8E">
        <w:t xml:space="preserve">:  </w:t>
      </w:r>
      <w:r w:rsidR="0042336E" w:rsidRPr="00622D8E">
        <w:t>“</w:t>
      </w:r>
      <w:proofErr w:type="gramEnd"/>
      <w:r w:rsidR="0042336E" w:rsidRPr="00622D8E">
        <w:t xml:space="preserve">¿Permite la UPOV el uso de técnicas moleculares (perfiles de ADN) en el examen DHE?” </w:t>
      </w:r>
      <w:r w:rsidR="00910B3A" w:rsidRPr="00622D8E">
        <w:t xml:space="preserve"> </w:t>
      </w:r>
      <w:r w:rsidR="0042336E" w:rsidRPr="00622D8E">
        <w:t>A ese respecto, el Comité Consultivo convino en que la respuesta deb</w:t>
      </w:r>
      <w:r w:rsidR="00910B3A" w:rsidRPr="00622D8E">
        <w:t>ía</w:t>
      </w:r>
      <w:r w:rsidR="0042336E" w:rsidRPr="00622D8E">
        <w:t xml:space="preserve"> redactarla el</w:t>
      </w:r>
      <w:r w:rsidR="00F67258" w:rsidRPr="00622D8E">
        <w:rPr>
          <w:lang w:val="es-ES"/>
        </w:rPr>
        <w:t xml:space="preserve"> TC.</w:t>
      </w:r>
    </w:p>
    <w:p w:rsidR="00F67258" w:rsidRPr="00622D8E" w:rsidRDefault="00F67258" w:rsidP="00F67258">
      <w:pPr>
        <w:rPr>
          <w:lang w:val="es-ES" w:eastAsia="ja-JP"/>
        </w:rPr>
      </w:pPr>
    </w:p>
    <w:p w:rsidR="00F67258" w:rsidRPr="00622D8E" w:rsidRDefault="004745DA" w:rsidP="00F67258">
      <w:pPr>
        <w:rPr>
          <w:lang w:val="es-ES"/>
        </w:rPr>
      </w:pPr>
      <w:r w:rsidRPr="00622D8E">
        <w:fldChar w:fldCharType="begin"/>
      </w:r>
      <w:r w:rsidR="00F67258" w:rsidRPr="00622D8E">
        <w:rPr>
          <w:lang w:val="es-ES"/>
        </w:rPr>
        <w:instrText xml:space="preserve"> AUTONUM  </w:instrText>
      </w:r>
      <w:r w:rsidRPr="00622D8E">
        <w:fldChar w:fldCharType="end"/>
      </w:r>
      <w:r w:rsidR="00F67258" w:rsidRPr="00622D8E">
        <w:rPr>
          <w:lang w:val="es-ES"/>
        </w:rPr>
        <w:tab/>
      </w:r>
      <w:r w:rsidR="00E5341B" w:rsidRPr="00622D8E">
        <w:t>En</w:t>
      </w:r>
      <w:r w:rsidR="00E5341B" w:rsidRPr="00622D8E">
        <w:rPr>
          <w:rFonts w:hint="eastAsia"/>
        </w:rPr>
        <w:t xml:space="preserve"> su quincuagésima sesión celebrada en Ginebra del 7 al</w:t>
      </w:r>
      <w:r w:rsidR="00F67258" w:rsidRPr="00622D8E">
        <w:rPr>
          <w:rFonts w:hint="eastAsia"/>
          <w:lang w:val="es-ES" w:eastAsia="ja-JP"/>
        </w:rPr>
        <w:t xml:space="preserve"> 9</w:t>
      </w:r>
      <w:r w:rsidR="00E5341B" w:rsidRPr="00622D8E">
        <w:rPr>
          <w:rFonts w:hint="eastAsia"/>
        </w:rPr>
        <w:t> de abril de </w:t>
      </w:r>
      <w:r w:rsidR="00F67258" w:rsidRPr="00622D8E">
        <w:rPr>
          <w:rFonts w:hint="eastAsia"/>
          <w:lang w:val="es-ES" w:eastAsia="ja-JP"/>
        </w:rPr>
        <w:t>2014,</w:t>
      </w:r>
      <w:r w:rsidR="00F67258" w:rsidRPr="00622D8E">
        <w:rPr>
          <w:lang w:val="es-ES"/>
        </w:rPr>
        <w:t xml:space="preserve"> </w:t>
      </w:r>
      <w:r w:rsidR="00E5341B" w:rsidRPr="00622D8E">
        <w:t xml:space="preserve">el TC convino </w:t>
      </w:r>
      <w:r w:rsidR="00E5341B" w:rsidRPr="00622D8E">
        <w:rPr>
          <w:rFonts w:hint="eastAsia"/>
        </w:rPr>
        <w:t xml:space="preserve">en que la siguiente </w:t>
      </w:r>
      <w:r w:rsidR="00E5341B" w:rsidRPr="00622D8E">
        <w:t>explicación proporcionaba información adecuada sobre la situación en la</w:t>
      </w:r>
      <w:r w:rsidR="00F67258" w:rsidRPr="00622D8E">
        <w:rPr>
          <w:lang w:val="es-ES"/>
        </w:rPr>
        <w:t xml:space="preserve"> UPOV </w:t>
      </w:r>
      <w:r w:rsidR="00E5341B" w:rsidRPr="00622D8E">
        <w:t>en lo que respecta al uso de técnicas moleculares</w:t>
      </w:r>
      <w:r w:rsidR="00910B3A" w:rsidRPr="00622D8E">
        <w:t>,</w:t>
      </w:r>
      <w:r w:rsidR="00E5341B" w:rsidRPr="00622D8E">
        <w:t xml:space="preserve"> para los obtentores y las personas con conocimientos sobre el examen DHE</w:t>
      </w:r>
      <w:r w:rsidR="00E5341B" w:rsidRPr="00622D8E">
        <w:rPr>
          <w:rFonts w:hint="eastAsia"/>
        </w:rPr>
        <w:t xml:space="preserve"> (véase el párrafo 84 del documento </w:t>
      </w:r>
      <w:r w:rsidR="00F67258" w:rsidRPr="00622D8E">
        <w:rPr>
          <w:rFonts w:hint="eastAsia"/>
          <w:lang w:val="es-ES" w:eastAsia="ja-JP"/>
        </w:rPr>
        <w:t xml:space="preserve">TC/50/36 </w:t>
      </w:r>
      <w:r w:rsidR="00F67258" w:rsidRPr="00622D8E">
        <w:rPr>
          <w:lang w:val="es-ES" w:eastAsia="ja-JP"/>
        </w:rPr>
        <w:t>“</w:t>
      </w:r>
      <w:r w:rsidR="00E5341B" w:rsidRPr="00622D8E">
        <w:rPr>
          <w:rFonts w:hint="eastAsia"/>
        </w:rPr>
        <w:t>Informe sobre las conclusiones</w:t>
      </w:r>
      <w:r w:rsidR="00E5341B" w:rsidRPr="00622D8E">
        <w:t>”</w:t>
      </w:r>
      <w:r w:rsidR="00F67258" w:rsidRPr="00622D8E">
        <w:rPr>
          <w:rFonts w:hint="eastAsia"/>
          <w:lang w:val="es-ES" w:eastAsia="ja-JP"/>
        </w:rPr>
        <w:t>)</w:t>
      </w:r>
      <w:r w:rsidR="00F67258" w:rsidRPr="00622D8E">
        <w:rPr>
          <w:lang w:val="es-ES"/>
        </w:rPr>
        <w:t>:</w:t>
      </w:r>
    </w:p>
    <w:p w:rsidR="00F67258" w:rsidRPr="00622D8E" w:rsidRDefault="00F67258" w:rsidP="00F67258">
      <w:pPr>
        <w:rPr>
          <w:lang w:val="es-ES" w:eastAsia="ja-JP"/>
        </w:rPr>
      </w:pPr>
    </w:p>
    <w:p w:rsidR="00F67258" w:rsidRPr="00622D8E" w:rsidRDefault="003C19A1" w:rsidP="00F67258">
      <w:pPr>
        <w:ind w:left="567" w:right="567"/>
      </w:pPr>
      <w:r w:rsidRPr="00622D8E">
        <w:t>Pregunta</w:t>
      </w:r>
      <w:proofErr w:type="gramStart"/>
      <w:r w:rsidR="00F67258" w:rsidRPr="00622D8E">
        <w:rPr>
          <w:rFonts w:cs="Arial"/>
        </w:rPr>
        <w:t xml:space="preserve">:  </w:t>
      </w:r>
      <w:r w:rsidRPr="00622D8E">
        <w:t>¿</w:t>
      </w:r>
      <w:proofErr w:type="gramEnd"/>
      <w:r w:rsidRPr="00622D8E">
        <w:t>Permite la UPOV el uso de técnicas moleculares (perfiles de ADN) en el examen</w:t>
      </w:r>
      <w:r w:rsidR="003C0050" w:rsidRPr="00622D8E">
        <w:t> </w:t>
      </w:r>
      <w:r w:rsidRPr="00622D8E">
        <w:t>DHE?</w:t>
      </w:r>
    </w:p>
    <w:p w:rsidR="00F67258" w:rsidRPr="00622D8E" w:rsidRDefault="00F67258" w:rsidP="00F67258">
      <w:pPr>
        <w:ind w:left="567" w:right="567"/>
      </w:pPr>
    </w:p>
    <w:p w:rsidR="00F67258" w:rsidRPr="00622D8E" w:rsidRDefault="003C19A1" w:rsidP="00F67258">
      <w:pPr>
        <w:spacing w:after="240"/>
        <w:ind w:left="567" w:right="567"/>
        <w:rPr>
          <w:snapToGrid w:val="0"/>
          <w:spacing w:val="-2"/>
        </w:rPr>
      </w:pPr>
      <w:r w:rsidRPr="00622D8E">
        <w:rPr>
          <w:snapToGrid w:val="0"/>
          <w:spacing w:val="-2"/>
        </w:rPr>
        <w:t>Respuesta</w:t>
      </w:r>
      <w:proofErr w:type="gramStart"/>
      <w:r w:rsidR="00F67258" w:rsidRPr="00622D8E">
        <w:rPr>
          <w:spacing w:val="-2"/>
        </w:rPr>
        <w:t xml:space="preserve">:  </w:t>
      </w:r>
      <w:r w:rsidRPr="00622D8E">
        <w:rPr>
          <w:snapToGrid w:val="0"/>
          <w:spacing w:val="-2"/>
        </w:rPr>
        <w:t>“</w:t>
      </w:r>
      <w:proofErr w:type="gramEnd"/>
      <w:r w:rsidRPr="00622D8E">
        <w:rPr>
          <w:snapToGrid w:val="0"/>
          <w:spacing w:val="-2"/>
        </w:rPr>
        <w:t xml:space="preserve">Es importante tener en cuenta que, en algunos casos, variedades con perfiles de ADN diferentes pueden ser </w:t>
      </w:r>
      <w:r w:rsidR="00910B3A" w:rsidRPr="00622D8E">
        <w:rPr>
          <w:snapToGrid w:val="0"/>
          <w:spacing w:val="-2"/>
        </w:rPr>
        <w:t xml:space="preserve">fenotípicamente </w:t>
      </w:r>
      <w:r w:rsidRPr="00622D8E">
        <w:rPr>
          <w:snapToGrid w:val="0"/>
          <w:spacing w:val="-2"/>
        </w:rPr>
        <w:t xml:space="preserve">idénticas, mientras que, en otros casos, variedades </w:t>
      </w:r>
      <w:r w:rsidRPr="00622D8E">
        <w:rPr>
          <w:snapToGrid w:val="0"/>
          <w:spacing w:val="-2"/>
        </w:rPr>
        <w:lastRenderedPageBreak/>
        <w:t>que presentan grandes diferencias fenotípicas pueden tener el mismo perfil de ADN para un conjunto determinado de marcadores moleculares (por ejemplo, algunas mutaciones).</w:t>
      </w:r>
    </w:p>
    <w:p w:rsidR="00F67258" w:rsidRPr="00622D8E" w:rsidRDefault="003C19A1" w:rsidP="00F67258">
      <w:pPr>
        <w:ind w:left="567" w:right="567"/>
        <w:rPr>
          <w:snapToGrid w:val="0"/>
        </w:rPr>
      </w:pPr>
      <w:r w:rsidRPr="00622D8E">
        <w:rPr>
          <w:snapToGrid w:val="0"/>
        </w:rPr>
        <w:t>“En cuanto al uso de marcadores moleculares no relacionados con diferencias fenotípicas, la preocupación radica en que podría utilizarse un número ilimitado de marcadores para encontrar diferencias entre variedades</w:t>
      </w:r>
      <w:r w:rsidR="00E5341B" w:rsidRPr="00622D8E">
        <w:rPr>
          <w:snapToGrid w:val="0"/>
        </w:rPr>
        <w:t xml:space="preserve"> en el plano genético que no se reflejen en caracteres fenotípicos</w:t>
      </w:r>
      <w:r w:rsidRPr="00622D8E">
        <w:rPr>
          <w:snapToGrid w:val="0"/>
        </w:rPr>
        <w:t>.</w:t>
      </w:r>
    </w:p>
    <w:p w:rsidR="00F67258" w:rsidRPr="00622D8E" w:rsidRDefault="00F67258" w:rsidP="00F67258">
      <w:pPr>
        <w:ind w:left="567" w:right="567"/>
        <w:rPr>
          <w:snapToGrid w:val="0"/>
        </w:rPr>
      </w:pPr>
    </w:p>
    <w:p w:rsidR="00F67258" w:rsidRPr="00622D8E" w:rsidRDefault="003C19A1" w:rsidP="00F67258">
      <w:pPr>
        <w:ind w:left="567" w:right="567"/>
        <w:rPr>
          <w:snapToGrid w:val="0"/>
        </w:rPr>
      </w:pPr>
      <w:r w:rsidRPr="00622D8E">
        <w:rPr>
          <w:snapToGrid w:val="0"/>
        </w:rPr>
        <w:t>“Con arreglo a lo anterior, la UPOV ha acordado los siguientes usos de marcadores moleculares en relación con el examen DHE</w:t>
      </w:r>
      <w:r w:rsidR="00F67258" w:rsidRPr="00622D8E">
        <w:rPr>
          <w:snapToGrid w:val="0"/>
        </w:rPr>
        <w:t xml:space="preserve">: </w:t>
      </w:r>
    </w:p>
    <w:p w:rsidR="00F67258" w:rsidRPr="00622D8E" w:rsidRDefault="00F67258" w:rsidP="00F67258">
      <w:pPr>
        <w:ind w:left="567" w:right="567"/>
        <w:rPr>
          <w:snapToGrid w:val="0"/>
        </w:rPr>
      </w:pPr>
    </w:p>
    <w:p w:rsidR="00F67258" w:rsidRPr="00622D8E" w:rsidRDefault="00F67258" w:rsidP="00F67258">
      <w:pPr>
        <w:ind w:left="567" w:right="567"/>
        <w:rPr>
          <w:snapToGrid w:val="0"/>
        </w:rPr>
      </w:pPr>
      <w:r w:rsidRPr="00622D8E">
        <w:rPr>
          <w:snapToGrid w:val="0"/>
        </w:rPr>
        <w:t>“a)</w:t>
      </w:r>
      <w:r w:rsidRPr="00622D8E">
        <w:rPr>
          <w:snapToGrid w:val="0"/>
        </w:rPr>
        <w:tab/>
      </w:r>
      <w:r w:rsidR="003C19A1" w:rsidRPr="00622D8E">
        <w:rPr>
          <w:snapToGrid w:val="0"/>
        </w:rPr>
        <w:t>Los marcadores moleculares se pueden utilizar, a efectos del examen DHE, como método de examen de los caracteres que cumplen los criterios que figuran en la Introducción General si existe un vínculo fiable entre el marcador y el carácter</w:t>
      </w:r>
      <w:r w:rsidR="003570E7" w:rsidRPr="00622D8E">
        <w:rPr>
          <w:snapToGrid w:val="0"/>
        </w:rPr>
        <w:t xml:space="preserve">.  </w:t>
      </w:r>
    </w:p>
    <w:p w:rsidR="00F67258" w:rsidRPr="00622D8E" w:rsidRDefault="00F67258" w:rsidP="00F67258">
      <w:pPr>
        <w:ind w:left="567" w:right="567"/>
        <w:rPr>
          <w:snapToGrid w:val="0"/>
        </w:rPr>
      </w:pPr>
    </w:p>
    <w:p w:rsidR="00F67258" w:rsidRPr="00622D8E" w:rsidRDefault="003C19A1" w:rsidP="00F67258">
      <w:pPr>
        <w:ind w:left="567" w:right="567"/>
        <w:rPr>
          <w:snapToGrid w:val="0"/>
        </w:rPr>
      </w:pPr>
      <w:r w:rsidRPr="00622D8E">
        <w:rPr>
          <w:snapToGrid w:val="0"/>
        </w:rPr>
        <w:t>“</w:t>
      </w:r>
      <w:r w:rsidR="00F67258" w:rsidRPr="00622D8E">
        <w:rPr>
          <w:snapToGrid w:val="0"/>
        </w:rPr>
        <w:t>b)</w:t>
      </w:r>
      <w:r w:rsidR="00F67258" w:rsidRPr="00622D8E">
        <w:rPr>
          <w:snapToGrid w:val="0"/>
        </w:rPr>
        <w:tab/>
      </w:r>
      <w:r w:rsidRPr="00622D8E">
        <w:rPr>
          <w:snapToGrid w:val="0"/>
        </w:rPr>
        <w:t>Puede utilizarse una combinación de diferencias fenotípicas y distancias moleculares para mejorar la selección de las variedades que se han de comparar en el ensayo en cultivo si las distancias moleculares están suficientemente relacionadas con las diferencias fenotípicas y el método no aumenta el riesgo de no seleccionar una variedad de la colección de variedades que deba compararse con las variedades candidatas en el ensayo en cultivo DHE.</w:t>
      </w:r>
    </w:p>
    <w:p w:rsidR="00F67258" w:rsidRPr="00622D8E" w:rsidRDefault="00F67258" w:rsidP="00F67258">
      <w:pPr>
        <w:ind w:left="567" w:right="567"/>
        <w:rPr>
          <w:snapToGrid w:val="0"/>
        </w:rPr>
      </w:pPr>
    </w:p>
    <w:p w:rsidR="00F67258" w:rsidRPr="00622D8E" w:rsidRDefault="00E5341B" w:rsidP="00F67258">
      <w:pPr>
        <w:ind w:left="567" w:right="567"/>
        <w:rPr>
          <w:snapToGrid w:val="0"/>
        </w:rPr>
      </w:pPr>
      <w:r w:rsidRPr="00622D8E">
        <w:rPr>
          <w:snapToGrid w:val="0"/>
        </w:rPr>
        <w:t>“</w:t>
      </w:r>
      <w:r w:rsidR="003C19A1" w:rsidRPr="00622D8E">
        <w:rPr>
          <w:rFonts w:cs="Arial"/>
        </w:rPr>
        <w:t xml:space="preserve">La situación en la UPOV se explica en los documentos TGP/15, </w:t>
      </w:r>
      <w:r w:rsidRPr="00622D8E">
        <w:t>‘</w:t>
      </w:r>
      <w:r w:rsidR="003C19A1" w:rsidRPr="00622D8E">
        <w:rPr>
          <w:rFonts w:cs="Arial"/>
        </w:rPr>
        <w:t>Orientación sobre el uso de marcadores bioquímicos y moleculares en el examen de la distinción, la homogeneidad y la estabilidad (DHE</w:t>
      </w:r>
      <w:r w:rsidRPr="00622D8E">
        <w:t>)’</w:t>
      </w:r>
      <w:r w:rsidR="003C19A1" w:rsidRPr="00622D8E">
        <w:rPr>
          <w:rFonts w:cs="Arial"/>
        </w:rPr>
        <w:t xml:space="preserve">, y UPOV/INF/18, </w:t>
      </w:r>
      <w:r w:rsidRPr="00622D8E">
        <w:t>‘</w:t>
      </w:r>
      <w:r w:rsidR="003C19A1" w:rsidRPr="00622D8E">
        <w:rPr>
          <w:rFonts w:cs="Arial"/>
        </w:rPr>
        <w:t>Posible utilización de marcadores moleculares en el examen de la distinción, la homogeneidad y la estabilidad (DHE</w:t>
      </w:r>
      <w:r w:rsidRPr="00622D8E">
        <w:t>)’</w:t>
      </w:r>
      <w:r w:rsidR="004072E3" w:rsidRPr="00622D8E">
        <w:t>.</w:t>
      </w:r>
      <w:r w:rsidR="004072E3" w:rsidRPr="00622D8E">
        <w:rPr>
          <w:rFonts w:cs="Arial"/>
        </w:rPr>
        <w:t>”</w:t>
      </w:r>
    </w:p>
    <w:p w:rsidR="00F67258" w:rsidRPr="00622D8E" w:rsidRDefault="00F67258" w:rsidP="00F67258"/>
    <w:p w:rsidR="00F67258" w:rsidRPr="00622D8E" w:rsidRDefault="004745DA" w:rsidP="00F67258">
      <w:pPr>
        <w:rPr>
          <w:lang w:val="es-ES"/>
        </w:rPr>
      </w:pPr>
      <w:r w:rsidRPr="00622D8E">
        <w:fldChar w:fldCharType="begin"/>
      </w:r>
      <w:r w:rsidR="00F67258" w:rsidRPr="00622D8E">
        <w:instrText xml:space="preserve"> AUTONUM  </w:instrText>
      </w:r>
      <w:r w:rsidRPr="00622D8E">
        <w:fldChar w:fldCharType="end"/>
      </w:r>
      <w:r w:rsidR="00F67258" w:rsidRPr="00622D8E">
        <w:tab/>
      </w:r>
      <w:r w:rsidR="003C19A1" w:rsidRPr="00622D8E">
        <w:t>Con respecto a un público más amplio, el TC convino en que la pregunta no estaba correctamente formulada y que, por lo tanto, no era adecuada para tratar de hallar una respuesta a la misma</w:t>
      </w:r>
      <w:r w:rsidR="003570E7" w:rsidRPr="00622D8E">
        <w:t xml:space="preserve">.  </w:t>
      </w:r>
      <w:r w:rsidR="00E5341B" w:rsidRPr="00622D8E">
        <w:t xml:space="preserve">El TC </w:t>
      </w:r>
      <w:r w:rsidR="00A73C7E" w:rsidRPr="00622D8E">
        <w:t>acordó</w:t>
      </w:r>
      <w:r w:rsidR="00E5341B" w:rsidRPr="00622D8E">
        <w:t xml:space="preserve"> que se debía volver a redactar la pregunta después de aclarar las cuestiones de interés para una audiencia más amplia</w:t>
      </w:r>
      <w:r w:rsidR="00E5341B" w:rsidRPr="00622D8E">
        <w:rPr>
          <w:rFonts w:hint="eastAsia"/>
        </w:rPr>
        <w:t xml:space="preserve"> (véase el párrafo 85 del documento TC/50/36 </w:t>
      </w:r>
      <w:r w:rsidR="00E5341B" w:rsidRPr="00622D8E">
        <w:t>“</w:t>
      </w:r>
      <w:r w:rsidR="00E5341B" w:rsidRPr="00622D8E">
        <w:rPr>
          <w:rFonts w:hint="eastAsia"/>
        </w:rPr>
        <w:t>Informe sobre las Conclusiones</w:t>
      </w:r>
      <w:r w:rsidR="00E5341B" w:rsidRPr="00622D8E">
        <w:t>”</w:t>
      </w:r>
      <w:r w:rsidR="00E5341B" w:rsidRPr="00622D8E">
        <w:rPr>
          <w:rFonts w:hint="eastAsia"/>
        </w:rPr>
        <w:t>)</w:t>
      </w:r>
      <w:r w:rsidR="00E5341B" w:rsidRPr="00622D8E">
        <w:t>.</w:t>
      </w:r>
    </w:p>
    <w:p w:rsidR="00F67258" w:rsidRPr="00622D8E" w:rsidRDefault="00F67258" w:rsidP="00F67258">
      <w:pPr>
        <w:rPr>
          <w:lang w:val="es-ES" w:eastAsia="ja-JP"/>
        </w:rPr>
      </w:pPr>
    </w:p>
    <w:p w:rsidR="00F67258" w:rsidRPr="00622D8E" w:rsidRDefault="004745DA" w:rsidP="00F67258">
      <w:pPr>
        <w:rPr>
          <w:lang w:val="es-ES" w:eastAsia="ja-JP"/>
        </w:rPr>
      </w:pPr>
      <w:r w:rsidRPr="00622D8E">
        <w:fldChar w:fldCharType="begin"/>
      </w:r>
      <w:r w:rsidR="00F67258" w:rsidRPr="00622D8E">
        <w:rPr>
          <w:lang w:val="es-ES"/>
        </w:rPr>
        <w:instrText xml:space="preserve"> AUTONUM  </w:instrText>
      </w:r>
      <w:r w:rsidRPr="00622D8E">
        <w:fldChar w:fldCharType="end"/>
      </w:r>
      <w:r w:rsidR="00F67258" w:rsidRPr="00622D8E">
        <w:rPr>
          <w:lang w:val="es-ES"/>
        </w:rPr>
        <w:tab/>
      </w:r>
      <w:r w:rsidR="00233C01" w:rsidRPr="00622D8E">
        <w:rPr>
          <w:rFonts w:hint="eastAsia"/>
        </w:rPr>
        <w:t xml:space="preserve">En su sexagésima novena sesión, celebrada en </w:t>
      </w:r>
      <w:r w:rsidR="00233C01" w:rsidRPr="00622D8E">
        <w:t>Ginebra el</w:t>
      </w:r>
      <w:r w:rsidR="00F67258" w:rsidRPr="00622D8E">
        <w:rPr>
          <w:lang w:val="es-ES"/>
        </w:rPr>
        <w:t xml:space="preserve"> 1</w:t>
      </w:r>
      <w:r w:rsidR="00F67258" w:rsidRPr="00622D8E">
        <w:rPr>
          <w:rFonts w:hint="eastAsia"/>
          <w:lang w:val="es-ES" w:eastAsia="ja-JP"/>
        </w:rPr>
        <w:t>0</w:t>
      </w:r>
      <w:r w:rsidR="00233C01" w:rsidRPr="00622D8E">
        <w:t xml:space="preserve"> de abril de</w:t>
      </w:r>
      <w:r w:rsidR="00F67258" w:rsidRPr="00622D8E">
        <w:rPr>
          <w:lang w:val="es-ES"/>
        </w:rPr>
        <w:t xml:space="preserve"> 2014, </w:t>
      </w:r>
      <w:r w:rsidR="00233C01" w:rsidRPr="00622D8E">
        <w:rPr>
          <w:rFonts w:hint="eastAsia"/>
        </w:rPr>
        <w:t>el</w:t>
      </w:r>
      <w:r w:rsidR="00F67258" w:rsidRPr="00622D8E">
        <w:rPr>
          <w:rFonts w:hint="eastAsia"/>
          <w:lang w:val="es-ES" w:eastAsia="ja-JP"/>
        </w:rPr>
        <w:t xml:space="preserve"> CAJ </w:t>
      </w:r>
      <w:r w:rsidR="00233C01" w:rsidRPr="00622D8E">
        <w:rPr>
          <w:rFonts w:hint="eastAsia"/>
        </w:rPr>
        <w:t>tomó nota de la explicación propuesta por el</w:t>
      </w:r>
      <w:r w:rsidR="00F67258" w:rsidRPr="00622D8E">
        <w:rPr>
          <w:rFonts w:hint="eastAsia"/>
          <w:lang w:val="es-ES" w:eastAsia="ja-JP"/>
        </w:rPr>
        <w:t xml:space="preserve"> TC </w:t>
      </w:r>
      <w:r w:rsidR="00233C01" w:rsidRPr="00622D8E">
        <w:rPr>
          <w:rFonts w:hint="eastAsia"/>
        </w:rPr>
        <w:t>en su quincuagésima sesión</w:t>
      </w:r>
      <w:r w:rsidR="00F67258" w:rsidRPr="00622D8E">
        <w:rPr>
          <w:rFonts w:hint="eastAsia"/>
          <w:lang w:val="es-ES" w:eastAsia="ja-JP"/>
        </w:rPr>
        <w:t>.</w:t>
      </w:r>
    </w:p>
    <w:p w:rsidR="00F67258" w:rsidRPr="00622D8E" w:rsidRDefault="00F67258" w:rsidP="00F67258">
      <w:pPr>
        <w:rPr>
          <w:lang w:val="es-ES" w:eastAsia="ja-JP"/>
        </w:rPr>
      </w:pPr>
    </w:p>
    <w:p w:rsidR="00146185" w:rsidRPr="00622D8E" w:rsidRDefault="004745DA" w:rsidP="00146185">
      <w:pPr>
        <w:rPr>
          <w:rFonts w:cs="Arial"/>
          <w:sz w:val="19"/>
          <w:szCs w:val="19"/>
        </w:rPr>
      </w:pPr>
      <w:r w:rsidRPr="00622D8E">
        <w:fldChar w:fldCharType="begin"/>
      </w:r>
      <w:r w:rsidR="00F67258" w:rsidRPr="00622D8E">
        <w:rPr>
          <w:lang w:val="es-ES"/>
        </w:rPr>
        <w:instrText xml:space="preserve"> AUTONUM  </w:instrText>
      </w:r>
      <w:r w:rsidRPr="00622D8E">
        <w:fldChar w:fldCharType="end"/>
      </w:r>
      <w:r w:rsidR="00146185" w:rsidRPr="00622D8E">
        <w:tab/>
        <w:t>El Consejo, en su trigésima primera sesión extraordinaria celebrada en Ginebra el 11 de abril de 2014, adoptó la respuesta a la pregunta frecuente</w:t>
      </w:r>
      <w:r w:rsidR="00146185" w:rsidRPr="00622D8E">
        <w:rPr>
          <w:rFonts w:hint="eastAsia"/>
        </w:rPr>
        <w:t xml:space="preserve"> propuesta por el TC en su quincuagésima sesión (véanse el </w:t>
      </w:r>
      <w:r w:rsidR="00146185" w:rsidRPr="00622D8E">
        <w:t>Anexo del documento </w:t>
      </w:r>
      <w:proofErr w:type="gramStart"/>
      <w:r w:rsidR="00146185" w:rsidRPr="00622D8E">
        <w:t>C(</w:t>
      </w:r>
      <w:proofErr w:type="gramEnd"/>
      <w:r w:rsidR="00146185" w:rsidRPr="00622D8E">
        <w:t>Extr.)/31/3</w:t>
      </w:r>
      <w:r w:rsidR="00A73C7E" w:rsidRPr="00622D8E">
        <w:t>,</w:t>
      </w:r>
      <w:r w:rsidR="00146185" w:rsidRPr="00622D8E">
        <w:rPr>
          <w:rFonts w:hint="eastAsia"/>
        </w:rPr>
        <w:t xml:space="preserve"> </w:t>
      </w:r>
      <w:r w:rsidR="00146185" w:rsidRPr="00622D8E">
        <w:t>“Informe del Presidente sobre los trabajos de la octogésima séptima sesión del Comité Consultivo</w:t>
      </w:r>
      <w:r w:rsidR="003570E7" w:rsidRPr="00622D8E">
        <w:t xml:space="preserve">;  </w:t>
      </w:r>
      <w:r w:rsidR="00146185" w:rsidRPr="00622D8E">
        <w:t>aprobación, si procede, de las recomendaciones preparadas por dicho Comité”</w:t>
      </w:r>
      <w:r w:rsidR="00A73C7E" w:rsidRPr="00622D8E">
        <w:t>,</w:t>
      </w:r>
      <w:r w:rsidR="00146185" w:rsidRPr="00622D8E">
        <w:rPr>
          <w:rFonts w:hint="eastAsia"/>
        </w:rPr>
        <w:t xml:space="preserve"> y el párrafo 15 del documento </w:t>
      </w:r>
      <w:proofErr w:type="gramStart"/>
      <w:r w:rsidR="00146185" w:rsidRPr="00622D8E">
        <w:rPr>
          <w:rFonts w:hint="eastAsia"/>
        </w:rPr>
        <w:t>C(</w:t>
      </w:r>
      <w:proofErr w:type="gramEnd"/>
      <w:r w:rsidR="00146185" w:rsidRPr="00622D8E">
        <w:rPr>
          <w:rFonts w:hint="eastAsia"/>
        </w:rPr>
        <w:t xml:space="preserve">Extr.)/31/5 </w:t>
      </w:r>
      <w:r w:rsidR="00146185" w:rsidRPr="00622D8E">
        <w:t>“</w:t>
      </w:r>
      <w:r w:rsidR="00146185" w:rsidRPr="00622D8E">
        <w:rPr>
          <w:rFonts w:hint="eastAsia"/>
        </w:rPr>
        <w:t>Informe sobre las decisiones</w:t>
      </w:r>
      <w:r w:rsidR="00146185" w:rsidRPr="00622D8E">
        <w:t>”</w:t>
      </w:r>
      <w:r w:rsidR="00146185" w:rsidRPr="00622D8E">
        <w:rPr>
          <w:rFonts w:hint="eastAsia"/>
        </w:rPr>
        <w:t>)</w:t>
      </w:r>
      <w:r w:rsidR="00146185" w:rsidRPr="00622D8E">
        <w:t>.</w:t>
      </w:r>
    </w:p>
    <w:p w:rsidR="00536B92" w:rsidRPr="00622D8E" w:rsidRDefault="00536B92" w:rsidP="00146185">
      <w:pPr>
        <w:rPr>
          <w:rFonts w:cs="Arial"/>
          <w:sz w:val="19"/>
          <w:szCs w:val="19"/>
        </w:rPr>
      </w:pPr>
    </w:p>
    <w:p w:rsidR="005207BC" w:rsidRPr="00622D8E" w:rsidRDefault="004745DA" w:rsidP="005207BC">
      <w:r w:rsidRPr="00622D8E">
        <w:fldChar w:fldCharType="begin"/>
      </w:r>
      <w:r w:rsidR="00F67258" w:rsidRPr="00622D8E">
        <w:rPr>
          <w:lang w:val="es-ES"/>
        </w:rPr>
        <w:instrText xml:space="preserve"> AUTONUM  </w:instrText>
      </w:r>
      <w:r w:rsidRPr="00622D8E">
        <w:fldChar w:fldCharType="end"/>
      </w:r>
      <w:r w:rsidR="005207BC" w:rsidRPr="00622D8E">
        <w:tab/>
        <w:t>El Comité Consultivo</w:t>
      </w:r>
      <w:r w:rsidR="005207BC" w:rsidRPr="00622D8E">
        <w:rPr>
          <w:rFonts w:hint="eastAsia"/>
        </w:rPr>
        <w:t xml:space="preserve">, en su octogésima séptima sesión celebrada en </w:t>
      </w:r>
      <w:r w:rsidR="005207BC" w:rsidRPr="00622D8E">
        <w:t xml:space="preserve">Ginebra el 11 de abril de 2014, solicitó a la Oficina de la Unión que redactara </w:t>
      </w:r>
      <w:r w:rsidR="005207BC" w:rsidRPr="00622D8E">
        <w:rPr>
          <w:rFonts w:hint="eastAsia"/>
        </w:rPr>
        <w:t>una</w:t>
      </w:r>
      <w:r w:rsidR="003570E7" w:rsidRPr="00622D8E">
        <w:t xml:space="preserve"> </w:t>
      </w:r>
      <w:r w:rsidR="005207BC" w:rsidRPr="00622D8E">
        <w:t>propuesta de pregunta y respuesta relativa a la</w:t>
      </w:r>
      <w:r w:rsidR="005207BC" w:rsidRPr="00622D8E">
        <w:rPr>
          <w:rFonts w:hint="eastAsia"/>
        </w:rPr>
        <w:t xml:space="preserve"> </w:t>
      </w:r>
      <w:r w:rsidR="005207BC" w:rsidRPr="00622D8E">
        <w:t>información sobre la situación en la UPOV en lo que respecta al uso de técnicas moleculares</w:t>
      </w:r>
      <w:r w:rsidR="00A73C7E" w:rsidRPr="00622D8E">
        <w:t>,</w:t>
      </w:r>
      <w:r w:rsidR="005207BC" w:rsidRPr="00622D8E">
        <w:t xml:space="preserve"> para un público más amplio, que incluya a los obtentores y el público en general, basándose en las contribuciones de los miembros de la Unión</w:t>
      </w:r>
      <w:r w:rsidR="003570E7" w:rsidRPr="00622D8E">
        <w:rPr>
          <w:rFonts w:hint="eastAsia"/>
        </w:rPr>
        <w:t xml:space="preserve">.  </w:t>
      </w:r>
      <w:r w:rsidR="005207BC" w:rsidRPr="00622D8E">
        <w:rPr>
          <w:rFonts w:hint="eastAsia"/>
        </w:rPr>
        <w:t>El Comité Consultivo examinará esta propuesta de pegunta y respuesta en su octogésima octava sesión que se celebrará en Ginebra el 15 de octubre de 2014.</w:t>
      </w:r>
    </w:p>
    <w:p w:rsidR="00146185" w:rsidRPr="00622D8E" w:rsidRDefault="00146185" w:rsidP="00146185"/>
    <w:p w:rsidR="001D21BA" w:rsidRPr="00622D8E" w:rsidRDefault="004745DA" w:rsidP="00341FDE">
      <w:pPr>
        <w:tabs>
          <w:tab w:val="left" w:pos="5387"/>
          <w:tab w:val="left" w:pos="5954"/>
        </w:tabs>
        <w:ind w:left="4820"/>
        <w:rPr>
          <w:i/>
        </w:rPr>
      </w:pPr>
      <w:r w:rsidRPr="00622D8E">
        <w:rPr>
          <w:i/>
          <w:iCs/>
        </w:rPr>
        <w:fldChar w:fldCharType="begin"/>
      </w:r>
      <w:r w:rsidR="00F67258" w:rsidRPr="00622D8E">
        <w:rPr>
          <w:i/>
          <w:iCs/>
          <w:lang w:val="es-ES"/>
        </w:rPr>
        <w:instrText xml:space="preserve"> AUTONUM  </w:instrText>
      </w:r>
      <w:r w:rsidRPr="00622D8E">
        <w:rPr>
          <w:i/>
          <w:iCs/>
        </w:rPr>
        <w:fldChar w:fldCharType="end"/>
      </w:r>
      <w:r w:rsidR="0042336E" w:rsidRPr="00622D8E">
        <w:tab/>
      </w:r>
      <w:r w:rsidR="0042336E" w:rsidRPr="00622D8E">
        <w:rPr>
          <w:i/>
        </w:rPr>
        <w:t>Se invita al CAJ a tomar nota de</w:t>
      </w:r>
      <w:r w:rsidR="0042336E" w:rsidRPr="00622D8E">
        <w:rPr>
          <w:rFonts w:hint="eastAsia"/>
          <w:i/>
        </w:rPr>
        <w:t xml:space="preserve"> que el Comité Consultivo ha solicitado a la Oficina de la Unión que</w:t>
      </w:r>
      <w:r w:rsidR="0042336E" w:rsidRPr="00622D8E">
        <w:rPr>
          <w:i/>
        </w:rPr>
        <w:t xml:space="preserve"> redacte </w:t>
      </w:r>
      <w:r w:rsidR="0042336E" w:rsidRPr="00622D8E">
        <w:rPr>
          <w:rFonts w:hint="eastAsia"/>
          <w:i/>
        </w:rPr>
        <w:t xml:space="preserve">una </w:t>
      </w:r>
      <w:r w:rsidR="0042336E" w:rsidRPr="00622D8E">
        <w:rPr>
          <w:i/>
        </w:rPr>
        <w:t>propuesta de pregunta y respuesta relativa a la información sobre la situación en la UPOV en lo que respecta al uso de técnicas moleculares</w:t>
      </w:r>
      <w:r w:rsidR="00A73C7E" w:rsidRPr="00622D8E">
        <w:rPr>
          <w:i/>
        </w:rPr>
        <w:t>,</w:t>
      </w:r>
      <w:r w:rsidR="0042336E" w:rsidRPr="00622D8E">
        <w:rPr>
          <w:i/>
        </w:rPr>
        <w:t xml:space="preserve"> para un público más amplio, que incluya el público en general</w:t>
      </w:r>
      <w:r w:rsidR="0042336E" w:rsidRPr="00622D8E">
        <w:rPr>
          <w:rFonts w:hint="eastAsia"/>
          <w:i/>
        </w:rPr>
        <w:t>, basándose en las contribuciones de los miembros de la Unión.</w:t>
      </w:r>
    </w:p>
    <w:p w:rsidR="00F67258" w:rsidRPr="00622D8E" w:rsidRDefault="00F67258" w:rsidP="00F67258">
      <w:pPr>
        <w:tabs>
          <w:tab w:val="left" w:pos="5387"/>
          <w:tab w:val="left" w:pos="5670"/>
        </w:tabs>
        <w:ind w:left="4820"/>
        <w:rPr>
          <w:i/>
          <w:lang w:val="es-ES" w:eastAsia="ja-JP"/>
        </w:rPr>
      </w:pPr>
    </w:p>
    <w:p w:rsidR="00F67258" w:rsidRPr="00622D8E" w:rsidRDefault="00F67258" w:rsidP="00F67258">
      <w:pPr>
        <w:tabs>
          <w:tab w:val="left" w:pos="5387"/>
          <w:tab w:val="left" w:pos="5670"/>
        </w:tabs>
        <w:ind w:left="4820"/>
        <w:rPr>
          <w:i/>
          <w:lang w:val="es-ES" w:eastAsia="ja-JP"/>
        </w:rPr>
      </w:pPr>
    </w:p>
    <w:p w:rsidR="00F67258" w:rsidRPr="00622D8E" w:rsidRDefault="00F67258" w:rsidP="00F67258">
      <w:pPr>
        <w:tabs>
          <w:tab w:val="left" w:pos="5387"/>
          <w:tab w:val="left" w:pos="5670"/>
        </w:tabs>
        <w:ind w:left="4820"/>
        <w:jc w:val="right"/>
        <w:rPr>
          <w:lang w:eastAsia="ja-JP"/>
        </w:rPr>
      </w:pPr>
      <w:r w:rsidRPr="00622D8E">
        <w:rPr>
          <w:rFonts w:hint="eastAsia"/>
          <w:lang w:eastAsia="ja-JP"/>
        </w:rPr>
        <w:t>[</w:t>
      </w:r>
      <w:r w:rsidRPr="00622D8E">
        <w:rPr>
          <w:lang w:eastAsia="ja-JP"/>
        </w:rPr>
        <w:t>Fin del documento]</w:t>
      </w:r>
    </w:p>
    <w:p w:rsidR="00893B73" w:rsidRPr="00622D8E" w:rsidRDefault="00893B73" w:rsidP="00F67258">
      <w:pPr>
        <w:rPr>
          <w:snapToGrid w:val="0"/>
        </w:rPr>
      </w:pPr>
    </w:p>
    <w:sectPr w:rsidR="00893B73" w:rsidRPr="00622D8E" w:rsidSect="00726590">
      <w:headerReference w:type="default" r:id="rId10"/>
      <w:footerReference w:type="first" r:id="rId11"/>
      <w:pgSz w:w="11907" w:h="16840" w:code="9"/>
      <w:pgMar w:top="510" w:right="1134" w:bottom="1134" w:left="1134" w:header="510" w:footer="624"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343" w:rsidRDefault="00123343">
      <w:r>
        <w:separator/>
      </w:r>
    </w:p>
    <w:p w:rsidR="00123343" w:rsidRDefault="00123343"/>
    <w:p w:rsidR="00123343" w:rsidRDefault="00123343"/>
    <w:p w:rsidR="00123343" w:rsidRDefault="00123343"/>
  </w:endnote>
  <w:endnote w:type="continuationSeparator" w:id="0">
    <w:p w:rsidR="00123343" w:rsidRDefault="00123343">
      <w:r>
        <w:separator/>
      </w:r>
    </w:p>
    <w:p w:rsidR="00123343" w:rsidRPr="00B8573C" w:rsidRDefault="00123343">
      <w:pPr>
        <w:pStyle w:val="Footer"/>
        <w:spacing w:after="60"/>
        <w:rPr>
          <w:sz w:val="18"/>
          <w:lang w:val="fr-CH"/>
        </w:rPr>
      </w:pPr>
      <w:r w:rsidRPr="00B8573C">
        <w:rPr>
          <w:sz w:val="18"/>
          <w:lang w:val="fr-CH"/>
        </w:rPr>
        <w:t>[Suite de la note de la page précédente]</w:t>
      </w:r>
    </w:p>
    <w:p w:rsidR="00123343" w:rsidRPr="00B8573C" w:rsidRDefault="00123343">
      <w:pPr>
        <w:rPr>
          <w:lang w:val="fr-CH"/>
        </w:rPr>
      </w:pPr>
    </w:p>
    <w:p w:rsidR="00123343" w:rsidRPr="00B8573C" w:rsidRDefault="00123343">
      <w:pPr>
        <w:rPr>
          <w:lang w:val="fr-CH"/>
        </w:rPr>
      </w:pPr>
    </w:p>
    <w:p w:rsidR="00123343" w:rsidRPr="00622D8E" w:rsidRDefault="00123343">
      <w:pPr>
        <w:rPr>
          <w:lang w:val="fr-FR"/>
        </w:rPr>
      </w:pPr>
    </w:p>
  </w:endnote>
  <w:endnote w:type="continuationNotice" w:id="1">
    <w:p w:rsidR="00123343" w:rsidRPr="00B8573C" w:rsidRDefault="00123343">
      <w:pPr>
        <w:spacing w:before="60"/>
        <w:jc w:val="right"/>
        <w:rPr>
          <w:sz w:val="18"/>
          <w:lang w:val="fr-CH"/>
        </w:rPr>
      </w:pPr>
      <w:r w:rsidRPr="00B8573C">
        <w:rPr>
          <w:sz w:val="18"/>
          <w:lang w:val="fr-CH"/>
        </w:rPr>
        <w:t>[Suite de la note page suivante]</w:t>
      </w:r>
    </w:p>
    <w:p w:rsidR="00123343" w:rsidRPr="00B8573C" w:rsidRDefault="00123343">
      <w:pPr>
        <w:rPr>
          <w:lang w:val="fr-CH"/>
        </w:rPr>
      </w:pPr>
    </w:p>
    <w:p w:rsidR="00123343" w:rsidRPr="00B8573C" w:rsidRDefault="00123343">
      <w:pPr>
        <w:rPr>
          <w:lang w:val="fr-CH"/>
        </w:rPr>
      </w:pPr>
    </w:p>
    <w:p w:rsidR="00123343" w:rsidRPr="00622D8E" w:rsidRDefault="0012334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AE0EF1" w:rsidRDefault="00F10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343" w:rsidRDefault="00123343" w:rsidP="009D690D">
      <w:pPr>
        <w:spacing w:before="120"/>
      </w:pPr>
      <w:r>
        <w:separator/>
      </w:r>
    </w:p>
    <w:p w:rsidR="00123343" w:rsidRDefault="00123343"/>
  </w:footnote>
  <w:footnote w:type="continuationSeparator" w:id="0">
    <w:p w:rsidR="00123343" w:rsidRDefault="00123343" w:rsidP="00D5454B">
      <w:pPr>
        <w:spacing w:before="120"/>
        <w:jc w:val="left"/>
        <w:rPr>
          <w:sz w:val="18"/>
        </w:rPr>
      </w:pPr>
      <w:r>
        <w:separator/>
      </w:r>
    </w:p>
    <w:p w:rsidR="00123343" w:rsidRDefault="00123343"/>
  </w:footnote>
  <w:footnote w:type="continuationNotice" w:id="1">
    <w:p w:rsidR="00123343" w:rsidRPr="001610A0" w:rsidRDefault="00123343" w:rsidP="001610A0">
      <w:pPr>
        <w:pStyle w:val="Footer"/>
      </w:pPr>
    </w:p>
    <w:p w:rsidR="00123343" w:rsidRDefault="001233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64104D" w:rsidRDefault="00893B73" w:rsidP="0064104D">
    <w:pPr>
      <w:jc w:val="center"/>
    </w:pPr>
    <w:r w:rsidRPr="0064104D">
      <w:t>CAJ/</w:t>
    </w:r>
    <w:r w:rsidR="00586055">
      <w:t>70</w:t>
    </w:r>
    <w:r w:rsidR="00F1053E" w:rsidRPr="0064104D">
      <w:t>/</w:t>
    </w:r>
    <w:r w:rsidR="00853212">
      <w:rPr>
        <w:rStyle w:val="PageNumber"/>
        <w:rFonts w:hint="eastAsia"/>
      </w:rPr>
      <w:t>6</w:t>
    </w:r>
  </w:p>
  <w:p w:rsidR="00F1053E" w:rsidRPr="0064104D" w:rsidRDefault="00126C00" w:rsidP="0064104D">
    <w:pPr>
      <w:jc w:val="center"/>
    </w:pPr>
    <w:proofErr w:type="gramStart"/>
    <w:r w:rsidRPr="0064104D">
      <w:t>página</w:t>
    </w:r>
    <w:proofErr w:type="gramEnd"/>
    <w:r w:rsidRPr="0064104D">
      <w:t xml:space="preserve"> </w:t>
    </w:r>
    <w:r w:rsidR="004745DA" w:rsidRPr="0064104D">
      <w:fldChar w:fldCharType="begin"/>
    </w:r>
    <w:r w:rsidRPr="0064104D">
      <w:instrText xml:space="preserve"> PAGE </w:instrText>
    </w:r>
    <w:r w:rsidR="004745DA" w:rsidRPr="0064104D">
      <w:fldChar w:fldCharType="separate"/>
    </w:r>
    <w:r w:rsidR="001323BB">
      <w:rPr>
        <w:noProof/>
      </w:rPr>
      <w:t>2</w:t>
    </w:r>
    <w:r w:rsidR="004745DA" w:rsidRPr="0064104D">
      <w:fldChar w:fldCharType="end"/>
    </w:r>
  </w:p>
  <w:p w:rsidR="00126C00" w:rsidRPr="0064104D" w:rsidRDefault="00126C00" w:rsidP="0064104D">
    <w:pPr>
      <w:jc w:val="center"/>
    </w:pPr>
  </w:p>
  <w:p w:rsidR="00F54410" w:rsidRDefault="00F544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0"/>
    <w:rsid w:val="00001380"/>
    <w:rsid w:val="00001D48"/>
    <w:rsid w:val="00010CF3"/>
    <w:rsid w:val="00011E27"/>
    <w:rsid w:val="00014330"/>
    <w:rsid w:val="000148BC"/>
    <w:rsid w:val="00024AB8"/>
    <w:rsid w:val="000271A1"/>
    <w:rsid w:val="00036028"/>
    <w:rsid w:val="000446B9"/>
    <w:rsid w:val="00047E21"/>
    <w:rsid w:val="00085505"/>
    <w:rsid w:val="0009558E"/>
    <w:rsid w:val="0009674B"/>
    <w:rsid w:val="000A2664"/>
    <w:rsid w:val="000C7021"/>
    <w:rsid w:val="000D492E"/>
    <w:rsid w:val="000D6BBC"/>
    <w:rsid w:val="000D7780"/>
    <w:rsid w:val="000E1CC5"/>
    <w:rsid w:val="000F1B08"/>
    <w:rsid w:val="00104F74"/>
    <w:rsid w:val="00105929"/>
    <w:rsid w:val="00105CCB"/>
    <w:rsid w:val="00110481"/>
    <w:rsid w:val="001131D5"/>
    <w:rsid w:val="00121B3E"/>
    <w:rsid w:val="00123343"/>
    <w:rsid w:val="00124936"/>
    <w:rsid w:val="00126C00"/>
    <w:rsid w:val="001323BB"/>
    <w:rsid w:val="00141DB8"/>
    <w:rsid w:val="00146185"/>
    <w:rsid w:val="001610A0"/>
    <w:rsid w:val="00163925"/>
    <w:rsid w:val="0017436E"/>
    <w:rsid w:val="0017474A"/>
    <w:rsid w:val="00175815"/>
    <w:rsid w:val="001758C6"/>
    <w:rsid w:val="00184441"/>
    <w:rsid w:val="001C3DF3"/>
    <w:rsid w:val="001D21BA"/>
    <w:rsid w:val="001D3AE6"/>
    <w:rsid w:val="001E7546"/>
    <w:rsid w:val="001F1F2A"/>
    <w:rsid w:val="00210DAA"/>
    <w:rsid w:val="0021332C"/>
    <w:rsid w:val="00213982"/>
    <w:rsid w:val="002141B4"/>
    <w:rsid w:val="002330DA"/>
    <w:rsid w:val="00233C01"/>
    <w:rsid w:val="00237C7D"/>
    <w:rsid w:val="0024416D"/>
    <w:rsid w:val="00262ED3"/>
    <w:rsid w:val="002700A0"/>
    <w:rsid w:val="00270135"/>
    <w:rsid w:val="0027309C"/>
    <w:rsid w:val="00276609"/>
    <w:rsid w:val="002800A0"/>
    <w:rsid w:val="00281060"/>
    <w:rsid w:val="00292027"/>
    <w:rsid w:val="00293267"/>
    <w:rsid w:val="0029439F"/>
    <w:rsid w:val="00294A17"/>
    <w:rsid w:val="002A6E50"/>
    <w:rsid w:val="002C256A"/>
    <w:rsid w:val="002E5398"/>
    <w:rsid w:val="002E7BA1"/>
    <w:rsid w:val="002F325F"/>
    <w:rsid w:val="002F78FA"/>
    <w:rsid w:val="00305A7F"/>
    <w:rsid w:val="003125FF"/>
    <w:rsid w:val="003152FE"/>
    <w:rsid w:val="00327436"/>
    <w:rsid w:val="00334C14"/>
    <w:rsid w:val="00341FDE"/>
    <w:rsid w:val="00344BD6"/>
    <w:rsid w:val="00351467"/>
    <w:rsid w:val="0035528D"/>
    <w:rsid w:val="003560C4"/>
    <w:rsid w:val="003570E7"/>
    <w:rsid w:val="00361821"/>
    <w:rsid w:val="00377348"/>
    <w:rsid w:val="0038590D"/>
    <w:rsid w:val="00392142"/>
    <w:rsid w:val="003A17C8"/>
    <w:rsid w:val="003C0050"/>
    <w:rsid w:val="003C19A1"/>
    <w:rsid w:val="003C563E"/>
    <w:rsid w:val="003D227C"/>
    <w:rsid w:val="003D2B4D"/>
    <w:rsid w:val="003F6136"/>
    <w:rsid w:val="004072E3"/>
    <w:rsid w:val="0042019F"/>
    <w:rsid w:val="004230D9"/>
    <w:rsid w:val="0042336E"/>
    <w:rsid w:val="00427139"/>
    <w:rsid w:val="00444A88"/>
    <w:rsid w:val="00460F47"/>
    <w:rsid w:val="00474443"/>
    <w:rsid w:val="004745DA"/>
    <w:rsid w:val="00474DA4"/>
    <w:rsid w:val="004759DE"/>
    <w:rsid w:val="00484416"/>
    <w:rsid w:val="004A3A5A"/>
    <w:rsid w:val="004D0028"/>
    <w:rsid w:val="004D047D"/>
    <w:rsid w:val="004D4785"/>
    <w:rsid w:val="004E2A42"/>
    <w:rsid w:val="004E36C9"/>
    <w:rsid w:val="004E7264"/>
    <w:rsid w:val="004F305A"/>
    <w:rsid w:val="00512164"/>
    <w:rsid w:val="00520297"/>
    <w:rsid w:val="005207BC"/>
    <w:rsid w:val="005326C0"/>
    <w:rsid w:val="005338F9"/>
    <w:rsid w:val="00536B92"/>
    <w:rsid w:val="0054281C"/>
    <w:rsid w:val="0055268D"/>
    <w:rsid w:val="00567588"/>
    <w:rsid w:val="005718B2"/>
    <w:rsid w:val="00572E44"/>
    <w:rsid w:val="00576BE4"/>
    <w:rsid w:val="00577D74"/>
    <w:rsid w:val="00586055"/>
    <w:rsid w:val="005939E7"/>
    <w:rsid w:val="005A400A"/>
    <w:rsid w:val="005B4836"/>
    <w:rsid w:val="005B543E"/>
    <w:rsid w:val="005F1019"/>
    <w:rsid w:val="00600A90"/>
    <w:rsid w:val="00612379"/>
    <w:rsid w:val="0061555F"/>
    <w:rsid w:val="00622D8E"/>
    <w:rsid w:val="0064104D"/>
    <w:rsid w:val="00641200"/>
    <w:rsid w:val="00645735"/>
    <w:rsid w:val="00652577"/>
    <w:rsid w:val="006576FF"/>
    <w:rsid w:val="00663ED8"/>
    <w:rsid w:val="00664515"/>
    <w:rsid w:val="00687EB4"/>
    <w:rsid w:val="006B17D2"/>
    <w:rsid w:val="006B18C3"/>
    <w:rsid w:val="006B45FA"/>
    <w:rsid w:val="006C224E"/>
    <w:rsid w:val="006C6A8F"/>
    <w:rsid w:val="006F11CE"/>
    <w:rsid w:val="007136A6"/>
    <w:rsid w:val="007166F8"/>
    <w:rsid w:val="007221A8"/>
    <w:rsid w:val="00726590"/>
    <w:rsid w:val="00732DEC"/>
    <w:rsid w:val="00735BD5"/>
    <w:rsid w:val="0075117E"/>
    <w:rsid w:val="007556F6"/>
    <w:rsid w:val="00760EEF"/>
    <w:rsid w:val="00777EE5"/>
    <w:rsid w:val="00780453"/>
    <w:rsid w:val="00784836"/>
    <w:rsid w:val="0079023E"/>
    <w:rsid w:val="007A42D1"/>
    <w:rsid w:val="007B6894"/>
    <w:rsid w:val="007C6639"/>
    <w:rsid w:val="007D0B9D"/>
    <w:rsid w:val="007D19B0"/>
    <w:rsid w:val="007E6E50"/>
    <w:rsid w:val="007F498F"/>
    <w:rsid w:val="007F7E40"/>
    <w:rsid w:val="0080679D"/>
    <w:rsid w:val="008108B0"/>
    <w:rsid w:val="00811B20"/>
    <w:rsid w:val="0082296E"/>
    <w:rsid w:val="00824099"/>
    <w:rsid w:val="0083091D"/>
    <w:rsid w:val="008355EC"/>
    <w:rsid w:val="00836E88"/>
    <w:rsid w:val="00853212"/>
    <w:rsid w:val="00855DBD"/>
    <w:rsid w:val="00867AC1"/>
    <w:rsid w:val="00893B73"/>
    <w:rsid w:val="008A395B"/>
    <w:rsid w:val="008A743F"/>
    <w:rsid w:val="008B51D0"/>
    <w:rsid w:val="008C0970"/>
    <w:rsid w:val="008D2CF7"/>
    <w:rsid w:val="008E69ED"/>
    <w:rsid w:val="008E793E"/>
    <w:rsid w:val="008F140B"/>
    <w:rsid w:val="00900C26"/>
    <w:rsid w:val="0090197F"/>
    <w:rsid w:val="00906B50"/>
    <w:rsid w:val="00906DDC"/>
    <w:rsid w:val="00910B3A"/>
    <w:rsid w:val="009145E3"/>
    <w:rsid w:val="00934E09"/>
    <w:rsid w:val="00936253"/>
    <w:rsid w:val="00941B83"/>
    <w:rsid w:val="00951A07"/>
    <w:rsid w:val="009564BD"/>
    <w:rsid w:val="00970FED"/>
    <w:rsid w:val="00974E04"/>
    <w:rsid w:val="00986B73"/>
    <w:rsid w:val="00997029"/>
    <w:rsid w:val="009A1510"/>
    <w:rsid w:val="009B7176"/>
    <w:rsid w:val="009C7507"/>
    <w:rsid w:val="009D0DE5"/>
    <w:rsid w:val="009D690D"/>
    <w:rsid w:val="009E65B6"/>
    <w:rsid w:val="009F0E5F"/>
    <w:rsid w:val="00A32423"/>
    <w:rsid w:val="00A34360"/>
    <w:rsid w:val="00A42AC3"/>
    <w:rsid w:val="00A430CF"/>
    <w:rsid w:val="00A4551F"/>
    <w:rsid w:val="00A47832"/>
    <w:rsid w:val="00A54309"/>
    <w:rsid w:val="00A641FA"/>
    <w:rsid w:val="00A67009"/>
    <w:rsid w:val="00A73C7E"/>
    <w:rsid w:val="00A95CB2"/>
    <w:rsid w:val="00AA2EF4"/>
    <w:rsid w:val="00AB2B93"/>
    <w:rsid w:val="00AB5898"/>
    <w:rsid w:val="00AE0EF1"/>
    <w:rsid w:val="00AE5E7B"/>
    <w:rsid w:val="00AF508B"/>
    <w:rsid w:val="00AF5AF5"/>
    <w:rsid w:val="00B02377"/>
    <w:rsid w:val="00B07301"/>
    <w:rsid w:val="00B224DE"/>
    <w:rsid w:val="00B30F5D"/>
    <w:rsid w:val="00B54406"/>
    <w:rsid w:val="00B7359A"/>
    <w:rsid w:val="00B84BBD"/>
    <w:rsid w:val="00B8573C"/>
    <w:rsid w:val="00B924A3"/>
    <w:rsid w:val="00BA369F"/>
    <w:rsid w:val="00BA43FB"/>
    <w:rsid w:val="00BA53E3"/>
    <w:rsid w:val="00BA7739"/>
    <w:rsid w:val="00BB3070"/>
    <w:rsid w:val="00BB33B3"/>
    <w:rsid w:val="00BC127D"/>
    <w:rsid w:val="00BC1FE6"/>
    <w:rsid w:val="00BC758D"/>
    <w:rsid w:val="00BD4C24"/>
    <w:rsid w:val="00BE2B3A"/>
    <w:rsid w:val="00BE66D7"/>
    <w:rsid w:val="00BE680E"/>
    <w:rsid w:val="00BE69DC"/>
    <w:rsid w:val="00C04569"/>
    <w:rsid w:val="00C061B6"/>
    <w:rsid w:val="00C17594"/>
    <w:rsid w:val="00C21C88"/>
    <w:rsid w:val="00C21DBF"/>
    <w:rsid w:val="00C2446C"/>
    <w:rsid w:val="00C36AE5"/>
    <w:rsid w:val="00C41F17"/>
    <w:rsid w:val="00C54BF4"/>
    <w:rsid w:val="00C5791C"/>
    <w:rsid w:val="00C65128"/>
    <w:rsid w:val="00C66290"/>
    <w:rsid w:val="00C72B7A"/>
    <w:rsid w:val="00C82839"/>
    <w:rsid w:val="00C91D04"/>
    <w:rsid w:val="00C973F2"/>
    <w:rsid w:val="00C97A0F"/>
    <w:rsid w:val="00CA26FC"/>
    <w:rsid w:val="00CA774A"/>
    <w:rsid w:val="00CB4153"/>
    <w:rsid w:val="00CB5220"/>
    <w:rsid w:val="00CC0F56"/>
    <w:rsid w:val="00CC11B0"/>
    <w:rsid w:val="00CC28D8"/>
    <w:rsid w:val="00CD7010"/>
    <w:rsid w:val="00CF53D2"/>
    <w:rsid w:val="00CF7E36"/>
    <w:rsid w:val="00D233D8"/>
    <w:rsid w:val="00D24210"/>
    <w:rsid w:val="00D3708D"/>
    <w:rsid w:val="00D40426"/>
    <w:rsid w:val="00D5454B"/>
    <w:rsid w:val="00D57C96"/>
    <w:rsid w:val="00D91203"/>
    <w:rsid w:val="00D95174"/>
    <w:rsid w:val="00D95A5C"/>
    <w:rsid w:val="00D95CC6"/>
    <w:rsid w:val="00DA6F36"/>
    <w:rsid w:val="00DC00EA"/>
    <w:rsid w:val="00DF67EC"/>
    <w:rsid w:val="00E23920"/>
    <w:rsid w:val="00E33A05"/>
    <w:rsid w:val="00E5341B"/>
    <w:rsid w:val="00E553D6"/>
    <w:rsid w:val="00E671F7"/>
    <w:rsid w:val="00E72D49"/>
    <w:rsid w:val="00E74D7D"/>
    <w:rsid w:val="00E7593C"/>
    <w:rsid w:val="00E7678A"/>
    <w:rsid w:val="00E84ADA"/>
    <w:rsid w:val="00E935F1"/>
    <w:rsid w:val="00E94A81"/>
    <w:rsid w:val="00EA1FFB"/>
    <w:rsid w:val="00EA7E49"/>
    <w:rsid w:val="00EB048E"/>
    <w:rsid w:val="00EB3EFA"/>
    <w:rsid w:val="00EE40BB"/>
    <w:rsid w:val="00EF2F89"/>
    <w:rsid w:val="00F03AF7"/>
    <w:rsid w:val="00F0491B"/>
    <w:rsid w:val="00F04DEB"/>
    <w:rsid w:val="00F1053E"/>
    <w:rsid w:val="00F1237A"/>
    <w:rsid w:val="00F22CBD"/>
    <w:rsid w:val="00F37961"/>
    <w:rsid w:val="00F54410"/>
    <w:rsid w:val="00F6334D"/>
    <w:rsid w:val="00F67258"/>
    <w:rsid w:val="00F6761A"/>
    <w:rsid w:val="00FA49AB"/>
    <w:rsid w:val="00FB0D37"/>
    <w:rsid w:val="00FB39A0"/>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0F972-E47A-4626-83F2-AB70DA15A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1023</Words>
  <Characters>5420</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CAJ/70/6</vt:lpstr>
      <vt:lpstr>CAJ/70/6</vt:lpstr>
    </vt:vector>
  </TitlesOfParts>
  <Company>UPOV</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CAJ/70/6</dc:title>
  <dc:subject>Técnicas moleculares</dc:subject>
  <dc:creator>DianaG</dc:creator>
  <cp:keywords>(trad. ext.) 6/8/2014</cp:keywords>
  <cp:lastModifiedBy>MAY Jessica</cp:lastModifiedBy>
  <cp:revision>7</cp:revision>
  <cp:lastPrinted>2014-08-28T14:17:00Z</cp:lastPrinted>
  <dcterms:created xsi:type="dcterms:W3CDTF">2014-08-14T08:50:00Z</dcterms:created>
  <dcterms:modified xsi:type="dcterms:W3CDTF">2014-08-28T14:17:00Z</dcterms:modified>
</cp:coreProperties>
</file>