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711234" w:rsidRPr="00711234" w:rsidTr="00A641FA">
        <w:trPr>
          <w:trHeight w:val="1760"/>
        </w:trPr>
        <w:tc>
          <w:tcPr>
            <w:tcW w:w="4243" w:type="dxa"/>
          </w:tcPr>
          <w:p w:rsidR="000D7780" w:rsidRPr="00711234" w:rsidRDefault="000D7780" w:rsidP="007D0B9D"/>
        </w:tc>
        <w:tc>
          <w:tcPr>
            <w:tcW w:w="1646" w:type="dxa"/>
            <w:vAlign w:val="center"/>
          </w:tcPr>
          <w:p w:rsidR="000D7780" w:rsidRPr="00711234" w:rsidRDefault="00C97A0F" w:rsidP="00576BE4">
            <w:pPr>
              <w:pStyle w:val="LogoUPOV"/>
            </w:pPr>
            <w:r w:rsidRPr="00711234">
              <w:rPr>
                <w:noProof/>
                <w:lang w:val="en-US"/>
              </w:rPr>
              <w:drawing>
                <wp:inline distT="0" distB="0" distL="0" distR="0" wp14:anchorId="7CEFD699" wp14:editId="1808990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711234" w:rsidRDefault="00105CCB" w:rsidP="00576BE4">
            <w:pPr>
              <w:pStyle w:val="Lettrine"/>
            </w:pPr>
            <w:r w:rsidRPr="00711234">
              <w:t>S</w:t>
            </w:r>
          </w:p>
          <w:p w:rsidR="000D7780" w:rsidRPr="00711234" w:rsidRDefault="00893B73" w:rsidP="00124936">
            <w:pPr>
              <w:pStyle w:val="Docoriginal"/>
              <w:ind w:left="1050"/>
              <w:jc w:val="left"/>
            </w:pPr>
            <w:r w:rsidRPr="00711234">
              <w:t>CAJ/6</w:t>
            </w:r>
            <w:r w:rsidR="0064104D" w:rsidRPr="00711234">
              <w:t>9</w:t>
            </w:r>
            <w:r w:rsidR="0017474A" w:rsidRPr="00711234">
              <w:t>/</w:t>
            </w:r>
            <w:bookmarkStart w:id="0" w:name="Code"/>
            <w:bookmarkEnd w:id="0"/>
            <w:r w:rsidR="0023560F" w:rsidRPr="00711234">
              <w:t>5</w:t>
            </w:r>
          </w:p>
          <w:p w:rsidR="000D7780" w:rsidRPr="00711234" w:rsidRDefault="0061555F" w:rsidP="00124936">
            <w:pPr>
              <w:pStyle w:val="Docoriginal"/>
              <w:ind w:left="1050"/>
              <w:jc w:val="left"/>
            </w:pPr>
            <w:r w:rsidRPr="00711234">
              <w:rPr>
                <w:rStyle w:val="StyleDoclangBold"/>
                <w:b/>
                <w:bCs/>
                <w:spacing w:val="0"/>
                <w:lang w:val="es-ES_tradnl"/>
              </w:rPr>
              <w:t>ORIGINAL</w:t>
            </w:r>
            <w:r w:rsidR="000D7780" w:rsidRPr="00711234">
              <w:rPr>
                <w:rStyle w:val="StyleDoclangBold"/>
                <w:b/>
                <w:bCs/>
                <w:spacing w:val="0"/>
                <w:lang w:val="es-ES_tradnl"/>
              </w:rPr>
              <w:t>:</w:t>
            </w:r>
            <w:r w:rsidRPr="00711234">
              <w:rPr>
                <w:rStyle w:val="StyleDocoriginalNotBold1"/>
                <w:spacing w:val="0"/>
                <w:lang w:val="es-ES_tradnl"/>
              </w:rPr>
              <w:t xml:space="preserve"> </w:t>
            </w:r>
            <w:r w:rsidR="000D7780" w:rsidRPr="00711234">
              <w:rPr>
                <w:rStyle w:val="StyleDocoriginalNotBold1"/>
                <w:spacing w:val="0"/>
                <w:lang w:val="es-ES_tradnl"/>
              </w:rPr>
              <w:t xml:space="preserve"> </w:t>
            </w:r>
            <w:bookmarkStart w:id="1" w:name="Original"/>
            <w:bookmarkEnd w:id="1"/>
            <w:r w:rsidR="00105CCB" w:rsidRPr="00711234">
              <w:rPr>
                <w:b w:val="0"/>
                <w:spacing w:val="0"/>
              </w:rPr>
              <w:t>Inglés</w:t>
            </w:r>
          </w:p>
          <w:p w:rsidR="000D7780" w:rsidRPr="00711234" w:rsidRDefault="00124936" w:rsidP="0040351E">
            <w:pPr>
              <w:pStyle w:val="Docoriginal"/>
              <w:ind w:left="1050"/>
              <w:jc w:val="left"/>
            </w:pPr>
            <w:r w:rsidRPr="00711234">
              <w:rPr>
                <w:spacing w:val="0"/>
              </w:rPr>
              <w:t>FECHA</w:t>
            </w:r>
            <w:r w:rsidR="000D7780" w:rsidRPr="00711234">
              <w:rPr>
                <w:spacing w:val="0"/>
              </w:rPr>
              <w:t>:</w:t>
            </w:r>
            <w:r w:rsidR="0061555F" w:rsidRPr="00711234">
              <w:rPr>
                <w:b w:val="0"/>
                <w:spacing w:val="0"/>
              </w:rPr>
              <w:t xml:space="preserve"> </w:t>
            </w:r>
            <w:r w:rsidR="000D7780" w:rsidRPr="00711234">
              <w:rPr>
                <w:rStyle w:val="StyleDocoriginalNotBold1"/>
                <w:spacing w:val="0"/>
                <w:lang w:val="es-ES_tradnl"/>
              </w:rPr>
              <w:t xml:space="preserve"> </w:t>
            </w:r>
            <w:bookmarkStart w:id="2" w:name="Date"/>
            <w:bookmarkEnd w:id="2"/>
            <w:r w:rsidR="00162E64" w:rsidRPr="00711234">
              <w:rPr>
                <w:rStyle w:val="StyleDocoriginalNotBold1"/>
                <w:spacing w:val="0"/>
                <w:lang w:val="es-ES_tradnl"/>
              </w:rPr>
              <w:t>1</w:t>
            </w:r>
            <w:r w:rsidR="0040351E">
              <w:rPr>
                <w:rStyle w:val="StyleDocoriginalNotBold1"/>
                <w:spacing w:val="0"/>
                <w:lang w:val="es-ES_tradnl"/>
              </w:rPr>
              <w:t>3</w:t>
            </w:r>
            <w:r w:rsidR="00162E64" w:rsidRPr="00711234">
              <w:rPr>
                <w:rStyle w:val="StyleDocoriginalNotBold1"/>
                <w:spacing w:val="0"/>
                <w:lang w:val="es-ES_tradnl"/>
              </w:rPr>
              <w:t xml:space="preserve"> de marzo </w:t>
            </w:r>
            <w:r w:rsidR="00105CCB" w:rsidRPr="00711234">
              <w:rPr>
                <w:rStyle w:val="StyleDocoriginalNotBold1"/>
                <w:spacing w:val="0"/>
                <w:lang w:val="es-ES_tradnl"/>
              </w:rPr>
              <w:t xml:space="preserve">de </w:t>
            </w:r>
            <w:r w:rsidR="001131D5" w:rsidRPr="00711234">
              <w:rPr>
                <w:b w:val="0"/>
                <w:spacing w:val="0"/>
              </w:rPr>
              <w:t>201</w:t>
            </w:r>
            <w:r w:rsidR="00162E64" w:rsidRPr="00711234">
              <w:rPr>
                <w:b w:val="0"/>
                <w:spacing w:val="0"/>
              </w:rPr>
              <w:t>4</w:t>
            </w:r>
          </w:p>
        </w:tc>
      </w:tr>
      <w:tr w:rsidR="00711234" w:rsidRPr="00711234" w:rsidTr="00A641FA">
        <w:tc>
          <w:tcPr>
            <w:tcW w:w="10131" w:type="dxa"/>
            <w:gridSpan w:val="3"/>
          </w:tcPr>
          <w:p w:rsidR="000D7780" w:rsidRPr="00711234" w:rsidRDefault="00105CCB" w:rsidP="0080679D">
            <w:pPr>
              <w:pStyle w:val="upove"/>
              <w:rPr>
                <w:spacing w:val="2"/>
                <w:sz w:val="28"/>
              </w:rPr>
            </w:pPr>
            <w:r w:rsidRPr="00711234">
              <w:rPr>
                <w:spacing w:val="2"/>
              </w:rPr>
              <w:t>UNIÓN INTERNACIONAL PARA LA PROTECCIÓN DE LAS OBTENCIONES VEGETALES</w:t>
            </w:r>
          </w:p>
        </w:tc>
      </w:tr>
      <w:tr w:rsidR="00711234" w:rsidRPr="00711234" w:rsidTr="00A641FA">
        <w:tc>
          <w:tcPr>
            <w:tcW w:w="10131" w:type="dxa"/>
            <w:gridSpan w:val="3"/>
          </w:tcPr>
          <w:p w:rsidR="000D7780" w:rsidRPr="00711234" w:rsidRDefault="00BE680E" w:rsidP="0080679D">
            <w:pPr>
              <w:pStyle w:val="Country"/>
            </w:pPr>
            <w:r w:rsidRPr="00711234">
              <w:t>Ginebra</w:t>
            </w:r>
          </w:p>
        </w:tc>
      </w:tr>
    </w:tbl>
    <w:p w:rsidR="000D7780" w:rsidRPr="00711234" w:rsidRDefault="00F1053E" w:rsidP="0080679D">
      <w:pPr>
        <w:pStyle w:val="Sessiontc"/>
      </w:pPr>
      <w:r w:rsidRPr="00711234">
        <w:t>Comité Administrativo y Jurídico</w:t>
      </w:r>
    </w:p>
    <w:p w:rsidR="00361821" w:rsidRPr="00711234" w:rsidRDefault="00F1053E" w:rsidP="0080679D">
      <w:pPr>
        <w:pStyle w:val="Sessiontcplacedate"/>
      </w:pPr>
      <w:r w:rsidRPr="00711234">
        <w:t xml:space="preserve">Sexagésima </w:t>
      </w:r>
      <w:r w:rsidR="0064104D" w:rsidRPr="00711234">
        <w:t>novena sesión</w:t>
      </w:r>
      <w:r w:rsidR="0064104D" w:rsidRPr="00711234">
        <w:br/>
        <w:t xml:space="preserve">Ginebra, </w:t>
      </w:r>
      <w:r w:rsidR="00126C00" w:rsidRPr="00711234">
        <w:t>1</w:t>
      </w:r>
      <w:r w:rsidR="0064104D" w:rsidRPr="00711234">
        <w:t>0</w:t>
      </w:r>
      <w:r w:rsidR="007136A6" w:rsidRPr="00711234">
        <w:t xml:space="preserve"> </w:t>
      </w:r>
      <w:r w:rsidRPr="00711234">
        <w:t xml:space="preserve">de </w:t>
      </w:r>
      <w:r w:rsidR="0064104D" w:rsidRPr="00711234">
        <w:t xml:space="preserve">abril </w:t>
      </w:r>
      <w:r w:rsidR="00126C00" w:rsidRPr="00711234">
        <w:t>de 201</w:t>
      </w:r>
      <w:r w:rsidR="0064104D" w:rsidRPr="00711234">
        <w:t>4</w:t>
      </w:r>
    </w:p>
    <w:p w:rsidR="000D7780" w:rsidRPr="00711234" w:rsidRDefault="00AD5DA1" w:rsidP="0080679D">
      <w:pPr>
        <w:pStyle w:val="Titleofdoc0"/>
      </w:pPr>
      <w:bookmarkStart w:id="3" w:name="TitleOfDoc"/>
      <w:bookmarkEnd w:id="3"/>
      <w:r w:rsidRPr="00711234">
        <w:t>DENOMINACIONES DE VARIEDADES</w:t>
      </w:r>
    </w:p>
    <w:p w:rsidR="00BC20E5" w:rsidRPr="00711234" w:rsidRDefault="00E33A05" w:rsidP="00BC20E5">
      <w:pPr>
        <w:pStyle w:val="preparedby1"/>
      </w:pPr>
      <w:bookmarkStart w:id="4" w:name="Prepared"/>
      <w:bookmarkEnd w:id="4"/>
      <w:r w:rsidRPr="00711234">
        <w:t>Documento preparado por la Oficina de la Unión</w:t>
      </w:r>
      <w:r w:rsidR="000271A1" w:rsidRPr="00711234">
        <w:br/>
      </w:r>
      <w:r w:rsidR="000271A1" w:rsidRPr="00711234">
        <w:br/>
      </w:r>
      <w:r w:rsidR="0041263D" w:rsidRPr="00615F90">
        <w:rPr>
          <w:color w:val="808080" w:themeColor="background1" w:themeShade="80"/>
        </w:rPr>
        <w:t xml:space="preserve">Descargo de responsabilidad: </w:t>
      </w:r>
      <w:r w:rsidR="004A3A5A" w:rsidRPr="00615F90">
        <w:rPr>
          <w:color w:val="808080" w:themeColor="background1" w:themeShade="80"/>
        </w:rPr>
        <w:t>el presente documento no constituye</w:t>
      </w:r>
      <w:r w:rsidR="004A3A5A" w:rsidRPr="00615F90">
        <w:rPr>
          <w:color w:val="808080" w:themeColor="background1" w:themeShade="80"/>
        </w:rPr>
        <w:br/>
        <w:t>un documento de política u orientación de la UPOV</w:t>
      </w:r>
    </w:p>
    <w:p w:rsidR="00BC20E5" w:rsidRPr="00711234" w:rsidRDefault="00BC20E5" w:rsidP="00BC20E5">
      <w:pPr>
        <w:rPr>
          <w:rFonts w:cs="Arial"/>
          <w:snapToGrid w:val="0"/>
        </w:rPr>
      </w:pPr>
      <w:r w:rsidRPr="00711234">
        <w:rPr>
          <w:rFonts w:cs="Arial"/>
          <w:snapToGrid w:val="0"/>
        </w:rPr>
        <w:fldChar w:fldCharType="begin"/>
      </w:r>
      <w:r w:rsidRPr="00711234">
        <w:rPr>
          <w:rFonts w:cs="Arial"/>
          <w:snapToGrid w:val="0"/>
        </w:rPr>
        <w:instrText xml:space="preserve"> AUTONUM  </w:instrText>
      </w:r>
      <w:r w:rsidRPr="00711234">
        <w:rPr>
          <w:rFonts w:cs="Arial"/>
          <w:snapToGrid w:val="0"/>
        </w:rPr>
        <w:fldChar w:fldCharType="end"/>
      </w:r>
      <w:r w:rsidRPr="00711234">
        <w:rPr>
          <w:rFonts w:cs="Arial"/>
          <w:snapToGrid w:val="0"/>
        </w:rPr>
        <w:tab/>
      </w:r>
      <w:r w:rsidRPr="00711234">
        <w:rPr>
          <w:snapToGrid w:val="0"/>
        </w:rPr>
        <w:t>La finalidad del presente documento es facilitar un resumen</w:t>
      </w:r>
      <w:r w:rsidR="00AD5DA1" w:rsidRPr="00711234">
        <w:rPr>
          <w:snapToGrid w:val="0"/>
        </w:rPr>
        <w:t xml:space="preserve"> de</w:t>
      </w:r>
      <w:r w:rsidRPr="00711234">
        <w:rPr>
          <w:snapToGrid w:val="0"/>
        </w:rPr>
        <w:t xml:space="preserve"> las</w:t>
      </w:r>
      <w:r w:rsidR="00711CD3" w:rsidRPr="00711234">
        <w:rPr>
          <w:snapToGrid w:val="0"/>
        </w:rPr>
        <w:t xml:space="preserve"> eventuales</w:t>
      </w:r>
      <w:r w:rsidRPr="00711234">
        <w:rPr>
          <w:snapToGrid w:val="0"/>
        </w:rPr>
        <w:t xml:space="preserve"> novedades relativas a la </w:t>
      </w:r>
      <w:r w:rsidRPr="00711234">
        <w:t xml:space="preserve">revisión de las “Notas explicativas sobre las denominaciones de variedades con arreglo al Convenio de la UPOV” (documento UPOV/INF/12/4), </w:t>
      </w:r>
      <w:r w:rsidR="00145158" w:rsidRPr="00711234">
        <w:t xml:space="preserve">a </w:t>
      </w:r>
      <w:r w:rsidRPr="00711234">
        <w:t xml:space="preserve">la elaboración de un instrumento de la UPOV de búsqueda de </w:t>
      </w:r>
      <w:r w:rsidR="006F642D" w:rsidRPr="00711234">
        <w:t>denominaciones similares</w:t>
      </w:r>
      <w:r w:rsidRPr="00711234">
        <w:t xml:space="preserve"> a los fines de la denominación de variedades </w:t>
      </w:r>
      <w:r w:rsidRPr="00711234">
        <w:rPr>
          <w:snapToGrid w:val="0"/>
        </w:rPr>
        <w:t xml:space="preserve">y </w:t>
      </w:r>
      <w:r w:rsidR="00145158" w:rsidRPr="00711234">
        <w:rPr>
          <w:snapToGrid w:val="0"/>
        </w:rPr>
        <w:t xml:space="preserve">a </w:t>
      </w:r>
      <w:r w:rsidRPr="00711234">
        <w:rPr>
          <w:snapToGrid w:val="0"/>
        </w:rPr>
        <w:t xml:space="preserve">los posibles ámbitos de cooperación entre la Comisión Internacional para la Nomenclatura de Plantas Cultivadas de la Unión de Ciencias Biológicas (Comisión de la UICB), la Comisión de Nomenclatura y Registro de Cultivares de la Sociedad Internacional de la Ciencia Hortícola (Comisión de la ISHS) </w:t>
      </w:r>
      <w:r w:rsidRPr="00711234">
        <w:rPr>
          <w:kern w:val="2"/>
        </w:rPr>
        <w:t>y la UPOV</w:t>
      </w:r>
      <w:r w:rsidRPr="00711234">
        <w:rPr>
          <w:rFonts w:cs="Arial"/>
          <w:snapToGrid w:val="0"/>
        </w:rPr>
        <w:t>.</w:t>
      </w:r>
    </w:p>
    <w:p w:rsidR="00BC20E5" w:rsidRPr="00711234" w:rsidRDefault="00BC20E5" w:rsidP="00BC20E5">
      <w:pPr>
        <w:rPr>
          <w:rFonts w:cs="Arial"/>
          <w:snapToGrid w:val="0"/>
        </w:rPr>
      </w:pPr>
    </w:p>
    <w:p w:rsidR="00BC20E5" w:rsidRPr="00711234" w:rsidRDefault="00BC20E5" w:rsidP="00BC20E5">
      <w:pPr>
        <w:rPr>
          <w:rFonts w:cs="Arial"/>
          <w:snapToGrid w:val="0"/>
        </w:rPr>
      </w:pPr>
    </w:p>
    <w:p w:rsidR="00BC20E5" w:rsidRPr="00711234" w:rsidRDefault="00BC20E5" w:rsidP="00BC20E5">
      <w:pPr>
        <w:rPr>
          <w:rFonts w:cs="Arial"/>
          <w:snapToGrid w:val="0"/>
        </w:rPr>
      </w:pPr>
    </w:p>
    <w:p w:rsidR="00BC20E5" w:rsidRPr="00711234" w:rsidRDefault="00BC20E5" w:rsidP="00BC20E5">
      <w:pPr>
        <w:rPr>
          <w:rFonts w:cs="Arial"/>
          <w:snapToGrid w:val="0"/>
        </w:rPr>
      </w:pPr>
      <w:r w:rsidRPr="00711234">
        <w:rPr>
          <w:rFonts w:cs="Arial"/>
          <w:snapToGrid w:val="0"/>
        </w:rPr>
        <w:t xml:space="preserve">ÍNDICE </w:t>
      </w:r>
    </w:p>
    <w:p w:rsidR="00BC20E5" w:rsidRPr="00711234" w:rsidRDefault="00BC20E5" w:rsidP="00BC20E5">
      <w:pPr>
        <w:rPr>
          <w:rFonts w:cs="Arial"/>
          <w:snapToGrid w:val="0"/>
        </w:rPr>
      </w:pPr>
    </w:p>
    <w:p w:rsidR="00711CD3" w:rsidRPr="00711234" w:rsidRDefault="00BC20E5" w:rsidP="007E1363">
      <w:pPr>
        <w:pStyle w:val="TOC1"/>
        <w:spacing w:after="120"/>
        <w:ind w:left="567" w:right="851" w:hanging="567"/>
        <w:contextualSpacing w:val="0"/>
        <w:rPr>
          <w:rFonts w:asciiTheme="minorHAnsi" w:eastAsiaTheme="minorEastAsia" w:hAnsiTheme="minorHAnsi" w:cstheme="minorBidi"/>
          <w:caps w:val="0"/>
          <w:sz w:val="22"/>
          <w:szCs w:val="22"/>
          <w:lang w:val="es-ES" w:eastAsia="es-ES"/>
        </w:rPr>
      </w:pPr>
      <w:r w:rsidRPr="00711234">
        <w:rPr>
          <w:rFonts w:cs="Arial"/>
          <w:snapToGrid w:val="0"/>
        </w:rPr>
        <w:fldChar w:fldCharType="begin"/>
      </w:r>
      <w:r w:rsidRPr="00711234">
        <w:rPr>
          <w:rFonts w:cs="Arial"/>
          <w:snapToGrid w:val="0"/>
        </w:rPr>
        <w:instrText xml:space="preserve"> TOC \o "1-3" \h \z \u </w:instrText>
      </w:r>
      <w:r w:rsidRPr="00711234">
        <w:rPr>
          <w:rFonts w:cs="Arial"/>
          <w:snapToGrid w:val="0"/>
        </w:rPr>
        <w:fldChar w:fldCharType="separate"/>
      </w:r>
      <w:hyperlink w:anchor="_Toc382815089" w:history="1">
        <w:r w:rsidR="00711CD3" w:rsidRPr="00711234">
          <w:rPr>
            <w:rStyle w:val="Hyperlink"/>
            <w:color w:val="auto"/>
          </w:rPr>
          <w:t>I.</w:t>
        </w:r>
        <w:r w:rsidR="00711CD3" w:rsidRPr="00711234">
          <w:rPr>
            <w:rFonts w:asciiTheme="minorHAnsi" w:eastAsiaTheme="minorEastAsia" w:hAnsiTheme="minorHAnsi" w:cstheme="minorBidi"/>
            <w:caps w:val="0"/>
            <w:sz w:val="22"/>
            <w:szCs w:val="22"/>
            <w:lang w:val="es-ES" w:eastAsia="es-ES"/>
          </w:rPr>
          <w:tab/>
        </w:r>
        <w:r w:rsidR="00711CD3" w:rsidRPr="00711234">
          <w:rPr>
            <w:rStyle w:val="Hyperlink"/>
            <w:color w:val="auto"/>
          </w:rPr>
          <w:t xml:space="preserve">EVENTUAL REVISIÓN DEL </w:t>
        </w:r>
        <w:r w:rsidR="007E1363" w:rsidRPr="00711234">
          <w:rPr>
            <w:rStyle w:val="Hyperlink"/>
            <w:color w:val="auto"/>
          </w:rPr>
          <w:t>DOCUMENTO </w:t>
        </w:r>
        <w:r w:rsidR="00711CD3" w:rsidRPr="00711234">
          <w:rPr>
            <w:rStyle w:val="Hyperlink"/>
            <w:color w:val="auto"/>
          </w:rPr>
          <w:t xml:space="preserve">UPOV/INF/12 “NOTAS EXPLICATIVAS SOBRE LAS DENOMINACIONES DE VARIEDADES CON ARREGLO AL CONVENIO DE </w:t>
        </w:r>
        <w:r w:rsidR="007E1363" w:rsidRPr="00711234">
          <w:rPr>
            <w:rStyle w:val="Hyperlink"/>
            <w:color w:val="auto"/>
          </w:rPr>
          <w:t>LA </w:t>
        </w:r>
        <w:r w:rsidR="00711CD3" w:rsidRPr="00711234">
          <w:rPr>
            <w:rStyle w:val="Hyperlink"/>
            <w:color w:val="auto"/>
          </w:rPr>
          <w:t>UPOV”</w:t>
        </w:r>
        <w:r w:rsidR="00711CD3" w:rsidRPr="00711234">
          <w:rPr>
            <w:webHidden/>
          </w:rPr>
          <w:tab/>
        </w:r>
        <w:r w:rsidR="00711CD3" w:rsidRPr="00711234">
          <w:rPr>
            <w:webHidden/>
          </w:rPr>
          <w:fldChar w:fldCharType="begin"/>
        </w:r>
        <w:r w:rsidR="00711CD3" w:rsidRPr="00711234">
          <w:rPr>
            <w:webHidden/>
          </w:rPr>
          <w:instrText xml:space="preserve"> PAGEREF _Toc382815089 \h </w:instrText>
        </w:r>
        <w:r w:rsidR="00711CD3" w:rsidRPr="00711234">
          <w:rPr>
            <w:webHidden/>
          </w:rPr>
        </w:r>
        <w:r w:rsidR="00711CD3" w:rsidRPr="00711234">
          <w:rPr>
            <w:webHidden/>
          </w:rPr>
          <w:fldChar w:fldCharType="separate"/>
        </w:r>
        <w:r w:rsidR="00711CD3" w:rsidRPr="00711234">
          <w:rPr>
            <w:webHidden/>
          </w:rPr>
          <w:t>2</w:t>
        </w:r>
        <w:r w:rsidR="00711CD3" w:rsidRPr="00711234">
          <w:rPr>
            <w:webHidden/>
          </w:rPr>
          <w:fldChar w:fldCharType="end"/>
        </w:r>
      </w:hyperlink>
    </w:p>
    <w:p w:rsidR="00711CD3" w:rsidRPr="00711234" w:rsidRDefault="00754461" w:rsidP="007E1363">
      <w:pPr>
        <w:pStyle w:val="TOC2"/>
        <w:tabs>
          <w:tab w:val="left" w:pos="1134"/>
        </w:tabs>
        <w:spacing w:after="120"/>
        <w:ind w:left="1134"/>
        <w:rPr>
          <w:rFonts w:asciiTheme="minorHAnsi" w:eastAsiaTheme="minorEastAsia" w:hAnsiTheme="minorHAnsi" w:cstheme="minorBidi"/>
          <w:sz w:val="22"/>
          <w:szCs w:val="22"/>
          <w:lang w:val="es-ES" w:eastAsia="es-ES"/>
        </w:rPr>
      </w:pPr>
      <w:hyperlink w:anchor="_Toc382815090" w:history="1">
        <w:r w:rsidR="00711CD3" w:rsidRPr="00711234">
          <w:rPr>
            <w:rStyle w:val="Hyperlink"/>
            <w:color w:val="auto"/>
          </w:rPr>
          <w:t xml:space="preserve">a) </w:t>
        </w:r>
        <w:r w:rsidR="00711CD3" w:rsidRPr="00711234">
          <w:rPr>
            <w:rFonts w:asciiTheme="minorHAnsi" w:eastAsiaTheme="minorEastAsia" w:hAnsiTheme="minorHAnsi" w:cstheme="minorBidi"/>
            <w:sz w:val="22"/>
            <w:szCs w:val="22"/>
            <w:lang w:val="es-ES" w:eastAsia="es-ES"/>
          </w:rPr>
          <w:tab/>
        </w:r>
        <w:r w:rsidR="00711CD3" w:rsidRPr="00711234">
          <w:rPr>
            <w:rStyle w:val="Hyperlink"/>
            <w:color w:val="auto"/>
          </w:rPr>
          <w:t>Labor que está realizando el CAJ-AG en materia de denominaciones de variedades</w:t>
        </w:r>
        <w:r w:rsidR="00711CD3" w:rsidRPr="00711234">
          <w:rPr>
            <w:webHidden/>
          </w:rPr>
          <w:tab/>
        </w:r>
        <w:r w:rsidR="00711CD3" w:rsidRPr="00711234">
          <w:rPr>
            <w:webHidden/>
          </w:rPr>
          <w:fldChar w:fldCharType="begin"/>
        </w:r>
        <w:r w:rsidR="00711CD3" w:rsidRPr="00711234">
          <w:rPr>
            <w:webHidden/>
          </w:rPr>
          <w:instrText xml:space="preserve"> PAGEREF _Toc382815090 \h </w:instrText>
        </w:r>
        <w:r w:rsidR="00711CD3" w:rsidRPr="00711234">
          <w:rPr>
            <w:webHidden/>
          </w:rPr>
        </w:r>
        <w:r w:rsidR="00711CD3" w:rsidRPr="00711234">
          <w:rPr>
            <w:webHidden/>
          </w:rPr>
          <w:fldChar w:fldCharType="separate"/>
        </w:r>
        <w:r w:rsidR="00711CD3" w:rsidRPr="00711234">
          <w:rPr>
            <w:webHidden/>
          </w:rPr>
          <w:t>2</w:t>
        </w:r>
        <w:r w:rsidR="00711CD3" w:rsidRPr="00711234">
          <w:rPr>
            <w:webHidden/>
          </w:rPr>
          <w:fldChar w:fldCharType="end"/>
        </w:r>
      </w:hyperlink>
    </w:p>
    <w:p w:rsidR="00711CD3" w:rsidRPr="00711234" w:rsidRDefault="00754461" w:rsidP="007E1363">
      <w:pPr>
        <w:pStyle w:val="TOC2"/>
        <w:tabs>
          <w:tab w:val="left" w:pos="1134"/>
        </w:tabs>
        <w:spacing w:after="120"/>
        <w:ind w:left="1134"/>
        <w:rPr>
          <w:rFonts w:asciiTheme="minorHAnsi" w:eastAsiaTheme="minorEastAsia" w:hAnsiTheme="minorHAnsi" w:cstheme="minorBidi"/>
          <w:sz w:val="22"/>
          <w:szCs w:val="22"/>
          <w:lang w:val="es-ES" w:eastAsia="es-ES"/>
        </w:rPr>
      </w:pPr>
      <w:hyperlink w:anchor="_Toc382815091" w:history="1">
        <w:r w:rsidR="00711CD3" w:rsidRPr="00711234">
          <w:rPr>
            <w:rStyle w:val="Hyperlink"/>
            <w:color w:val="auto"/>
          </w:rPr>
          <w:t>b)</w:t>
        </w:r>
        <w:r w:rsidR="00711CD3" w:rsidRPr="00711234">
          <w:rPr>
            <w:rFonts w:asciiTheme="minorHAnsi" w:eastAsiaTheme="minorEastAsia" w:hAnsiTheme="minorHAnsi" w:cstheme="minorBidi"/>
            <w:sz w:val="22"/>
            <w:szCs w:val="22"/>
            <w:lang w:val="es-ES" w:eastAsia="es-ES"/>
          </w:rPr>
          <w:tab/>
        </w:r>
        <w:r w:rsidR="00711CD3" w:rsidRPr="00711234">
          <w:rPr>
            <w:rStyle w:val="Hyperlink"/>
            <w:color w:val="auto"/>
          </w:rPr>
          <w:t>Propuesta</w:t>
        </w:r>
        <w:r w:rsidR="001B371F" w:rsidRPr="00711234">
          <w:rPr>
            <w:rStyle w:val="Hyperlink"/>
            <w:color w:val="auto"/>
          </w:rPr>
          <w:t xml:space="preserve"> </w:t>
        </w:r>
        <w:r w:rsidR="00711CD3" w:rsidRPr="00711234">
          <w:rPr>
            <w:rStyle w:val="Hyperlink"/>
            <w:color w:val="auto"/>
          </w:rPr>
          <w:t>acerca de la orientación sobre denominaciones de variedades</w:t>
        </w:r>
        <w:r w:rsidR="00711CD3" w:rsidRPr="00711234">
          <w:rPr>
            <w:webHidden/>
          </w:rPr>
          <w:tab/>
        </w:r>
        <w:r w:rsidR="00711CD3" w:rsidRPr="00711234">
          <w:rPr>
            <w:webHidden/>
          </w:rPr>
          <w:fldChar w:fldCharType="begin"/>
        </w:r>
        <w:r w:rsidR="00711CD3" w:rsidRPr="00711234">
          <w:rPr>
            <w:webHidden/>
          </w:rPr>
          <w:instrText xml:space="preserve"> PAGEREF _Toc382815091 \h </w:instrText>
        </w:r>
        <w:r w:rsidR="00711CD3" w:rsidRPr="00711234">
          <w:rPr>
            <w:webHidden/>
          </w:rPr>
        </w:r>
        <w:r w:rsidR="00711CD3" w:rsidRPr="00711234">
          <w:rPr>
            <w:webHidden/>
          </w:rPr>
          <w:fldChar w:fldCharType="separate"/>
        </w:r>
        <w:r w:rsidR="00711CD3" w:rsidRPr="00711234">
          <w:rPr>
            <w:webHidden/>
          </w:rPr>
          <w:t>2</w:t>
        </w:r>
        <w:r w:rsidR="00711CD3" w:rsidRPr="00711234">
          <w:rPr>
            <w:webHidden/>
          </w:rPr>
          <w:fldChar w:fldCharType="end"/>
        </w:r>
      </w:hyperlink>
    </w:p>
    <w:p w:rsidR="00711CD3" w:rsidRPr="00711234" w:rsidRDefault="00754461" w:rsidP="007E1363">
      <w:pPr>
        <w:pStyle w:val="TOC1"/>
        <w:spacing w:after="120"/>
        <w:ind w:left="567" w:right="851" w:hanging="567"/>
        <w:contextualSpacing w:val="0"/>
        <w:rPr>
          <w:rFonts w:asciiTheme="minorHAnsi" w:eastAsiaTheme="minorEastAsia" w:hAnsiTheme="minorHAnsi" w:cstheme="minorBidi"/>
          <w:caps w:val="0"/>
          <w:sz w:val="22"/>
          <w:szCs w:val="22"/>
          <w:lang w:val="es-ES" w:eastAsia="es-ES"/>
        </w:rPr>
      </w:pPr>
      <w:hyperlink w:anchor="_Toc382815092" w:history="1">
        <w:r w:rsidR="00711CD3" w:rsidRPr="00711234">
          <w:rPr>
            <w:rStyle w:val="Hyperlink"/>
            <w:snapToGrid w:val="0"/>
            <w:color w:val="auto"/>
          </w:rPr>
          <w:t>II</w:t>
        </w:r>
        <w:r w:rsidR="007E1363" w:rsidRPr="00711234">
          <w:rPr>
            <w:rStyle w:val="Hyperlink"/>
            <w:i/>
            <w:snapToGrid w:val="0"/>
            <w:color w:val="auto"/>
            <w:lang w:val="es-ES_tradnl"/>
          </w:rPr>
          <w:t>.</w:t>
        </w:r>
        <w:r w:rsidR="007E1363" w:rsidRPr="00711234">
          <w:rPr>
            <w:rStyle w:val="Hyperlink"/>
            <w:snapToGrid w:val="0"/>
            <w:color w:val="auto"/>
            <w:lang w:val="es-ES_tradnl"/>
          </w:rPr>
          <w:tab/>
        </w:r>
        <w:r w:rsidR="00711CD3" w:rsidRPr="00711234">
          <w:rPr>
            <w:rStyle w:val="Hyperlink"/>
            <w:snapToGrid w:val="0"/>
            <w:color w:val="auto"/>
            <w:lang w:val="es-ES_tradnl"/>
          </w:rPr>
          <w:t>POSIBLE ELABORACIÓN DE UN INSTRUMENTO DE LA UPOV DE BÚSQUEDA DE</w:t>
        </w:r>
        <w:r w:rsidR="002F273F" w:rsidRPr="00711234">
          <w:rPr>
            <w:rStyle w:val="Hyperlink"/>
            <w:snapToGrid w:val="0"/>
            <w:color w:val="auto"/>
            <w:lang w:val="es-ES_tradnl"/>
          </w:rPr>
          <w:t xml:space="preserve"> DENOMINACIONES SIMILARES</w:t>
        </w:r>
        <w:r w:rsidR="00711CD3" w:rsidRPr="00711234">
          <w:rPr>
            <w:rStyle w:val="Hyperlink"/>
            <w:snapToGrid w:val="0"/>
            <w:color w:val="auto"/>
            <w:lang w:val="es-ES_tradnl"/>
          </w:rPr>
          <w:t xml:space="preserve"> A LOS FINES DE LA DENOMINACIÓN DE VARIEDADES</w:t>
        </w:r>
        <w:r w:rsidR="00711CD3" w:rsidRPr="00711234">
          <w:rPr>
            <w:webHidden/>
          </w:rPr>
          <w:tab/>
        </w:r>
        <w:r w:rsidR="00711CD3" w:rsidRPr="00711234">
          <w:rPr>
            <w:webHidden/>
          </w:rPr>
          <w:fldChar w:fldCharType="begin"/>
        </w:r>
        <w:r w:rsidR="00711CD3" w:rsidRPr="00711234">
          <w:rPr>
            <w:webHidden/>
          </w:rPr>
          <w:instrText xml:space="preserve"> PAGEREF _Toc382815092 \h </w:instrText>
        </w:r>
        <w:r w:rsidR="00711CD3" w:rsidRPr="00711234">
          <w:rPr>
            <w:webHidden/>
          </w:rPr>
        </w:r>
        <w:r w:rsidR="00711CD3" w:rsidRPr="00711234">
          <w:rPr>
            <w:webHidden/>
          </w:rPr>
          <w:fldChar w:fldCharType="separate"/>
        </w:r>
        <w:r w:rsidR="00711CD3" w:rsidRPr="00711234">
          <w:rPr>
            <w:webHidden/>
          </w:rPr>
          <w:t>3</w:t>
        </w:r>
        <w:r w:rsidR="00711CD3" w:rsidRPr="00711234">
          <w:rPr>
            <w:webHidden/>
          </w:rPr>
          <w:fldChar w:fldCharType="end"/>
        </w:r>
      </w:hyperlink>
    </w:p>
    <w:p w:rsidR="00711CD3" w:rsidRPr="00711234" w:rsidRDefault="00754461" w:rsidP="007E1363">
      <w:pPr>
        <w:pStyle w:val="TOC1"/>
        <w:spacing w:after="120"/>
        <w:ind w:left="567" w:right="851" w:hanging="567"/>
        <w:contextualSpacing w:val="0"/>
        <w:rPr>
          <w:rFonts w:asciiTheme="minorHAnsi" w:eastAsiaTheme="minorEastAsia" w:hAnsiTheme="minorHAnsi" w:cstheme="minorBidi"/>
          <w:caps w:val="0"/>
          <w:sz w:val="22"/>
          <w:szCs w:val="22"/>
          <w:lang w:val="es-ES" w:eastAsia="es-ES"/>
        </w:rPr>
      </w:pPr>
      <w:hyperlink w:anchor="_Toc382815093" w:history="1">
        <w:r w:rsidR="00711CD3" w:rsidRPr="00711234">
          <w:rPr>
            <w:rStyle w:val="Hyperlink"/>
            <w:snapToGrid w:val="0"/>
            <w:color w:val="auto"/>
          </w:rPr>
          <w:t>III.</w:t>
        </w:r>
        <w:r w:rsidR="00711CD3" w:rsidRPr="00711234">
          <w:rPr>
            <w:rFonts w:asciiTheme="minorHAnsi" w:eastAsiaTheme="minorEastAsia" w:hAnsiTheme="minorHAnsi" w:cstheme="minorBidi"/>
            <w:caps w:val="0"/>
            <w:sz w:val="22"/>
            <w:szCs w:val="22"/>
            <w:lang w:val="es-ES" w:eastAsia="es-ES"/>
          </w:rPr>
          <w:tab/>
        </w:r>
        <w:r w:rsidR="00711CD3" w:rsidRPr="00711234">
          <w:rPr>
            <w:rStyle w:val="Hyperlink"/>
            <w:color w:val="auto"/>
          </w:rPr>
          <w:t xml:space="preserve">NOVEDADES RELATIVAS A POSIBLES ÁMBITOS DE COOPERACIÓN CON LA COMISIÓN DE LA UICB Y LA COMISIÓN DE </w:t>
        </w:r>
        <w:r w:rsidR="007E1363" w:rsidRPr="00711234">
          <w:rPr>
            <w:rStyle w:val="Hyperlink"/>
            <w:color w:val="auto"/>
          </w:rPr>
          <w:t>LA </w:t>
        </w:r>
        <w:r w:rsidR="00711CD3" w:rsidRPr="00711234">
          <w:rPr>
            <w:rStyle w:val="Hyperlink"/>
            <w:snapToGrid w:val="0"/>
            <w:color w:val="auto"/>
          </w:rPr>
          <w:t>ISHS</w:t>
        </w:r>
        <w:r w:rsidR="00711CD3" w:rsidRPr="00711234">
          <w:rPr>
            <w:webHidden/>
          </w:rPr>
          <w:tab/>
        </w:r>
        <w:r w:rsidR="00711CD3" w:rsidRPr="00711234">
          <w:rPr>
            <w:webHidden/>
          </w:rPr>
          <w:fldChar w:fldCharType="begin"/>
        </w:r>
        <w:r w:rsidR="00711CD3" w:rsidRPr="00711234">
          <w:rPr>
            <w:webHidden/>
          </w:rPr>
          <w:instrText xml:space="preserve"> PAGEREF _Toc382815093 \h </w:instrText>
        </w:r>
        <w:r w:rsidR="00711CD3" w:rsidRPr="00711234">
          <w:rPr>
            <w:webHidden/>
          </w:rPr>
        </w:r>
        <w:r w:rsidR="00711CD3" w:rsidRPr="00711234">
          <w:rPr>
            <w:webHidden/>
          </w:rPr>
          <w:fldChar w:fldCharType="separate"/>
        </w:r>
        <w:r w:rsidR="00711CD3" w:rsidRPr="00711234">
          <w:rPr>
            <w:webHidden/>
          </w:rPr>
          <w:t>3</w:t>
        </w:r>
        <w:r w:rsidR="00711CD3" w:rsidRPr="00711234">
          <w:rPr>
            <w:webHidden/>
          </w:rPr>
          <w:fldChar w:fldCharType="end"/>
        </w:r>
      </w:hyperlink>
    </w:p>
    <w:p w:rsidR="00BC20E5" w:rsidRPr="00711234" w:rsidRDefault="00BC20E5" w:rsidP="00BC20E5">
      <w:pPr>
        <w:rPr>
          <w:rFonts w:cs="Arial"/>
          <w:snapToGrid w:val="0"/>
        </w:rPr>
      </w:pPr>
      <w:r w:rsidRPr="00711234">
        <w:rPr>
          <w:rFonts w:cs="Arial"/>
          <w:snapToGrid w:val="0"/>
        </w:rPr>
        <w:fldChar w:fldCharType="end"/>
      </w:r>
    </w:p>
    <w:p w:rsidR="00BC20E5" w:rsidRPr="00711234" w:rsidRDefault="00BC20E5" w:rsidP="00BC20E5">
      <w:pPr>
        <w:rPr>
          <w:rFonts w:cs="Arial"/>
          <w:snapToGrid w:val="0"/>
        </w:rPr>
      </w:pPr>
      <w:r w:rsidRPr="00711234">
        <w:rPr>
          <w:rFonts w:cs="Arial"/>
          <w:snapToGrid w:val="0"/>
        </w:rPr>
        <w:fldChar w:fldCharType="begin"/>
      </w:r>
      <w:r w:rsidRPr="00711234">
        <w:rPr>
          <w:rFonts w:cs="Arial"/>
          <w:snapToGrid w:val="0"/>
        </w:rPr>
        <w:instrText xml:space="preserve"> AUTONUM  </w:instrText>
      </w:r>
      <w:r w:rsidRPr="00711234">
        <w:rPr>
          <w:rFonts w:cs="Arial"/>
          <w:snapToGrid w:val="0"/>
        </w:rPr>
        <w:fldChar w:fldCharType="end"/>
      </w:r>
      <w:r w:rsidRPr="00711234">
        <w:rPr>
          <w:rFonts w:cs="Arial"/>
          <w:snapToGrid w:val="0"/>
        </w:rPr>
        <w:tab/>
        <w:t>En el presente documento se utilizan las siguientes abreviaturas:</w:t>
      </w:r>
    </w:p>
    <w:p w:rsidR="00BC20E5" w:rsidRPr="00711234" w:rsidRDefault="00BC20E5" w:rsidP="00BC20E5">
      <w:pPr>
        <w:rPr>
          <w:rFonts w:cs="Arial"/>
          <w:snapToGrid w:val="0"/>
        </w:rPr>
      </w:pPr>
    </w:p>
    <w:p w:rsidR="00BC20E5" w:rsidRPr="00711234" w:rsidRDefault="00BC20E5" w:rsidP="00BC20E5">
      <w:pPr>
        <w:ind w:left="567"/>
        <w:rPr>
          <w:rFonts w:cs="Arial"/>
          <w:snapToGrid w:val="0"/>
        </w:rPr>
      </w:pPr>
      <w:r w:rsidRPr="00711234">
        <w:rPr>
          <w:rFonts w:cs="Arial"/>
          <w:snapToGrid w:val="0"/>
        </w:rPr>
        <w:t>CAJ</w:t>
      </w:r>
      <w:proofErr w:type="gramStart"/>
      <w:r w:rsidRPr="00711234">
        <w:rPr>
          <w:rFonts w:cs="Arial"/>
          <w:snapToGrid w:val="0"/>
        </w:rPr>
        <w:t>:  Comité</w:t>
      </w:r>
      <w:proofErr w:type="gramEnd"/>
      <w:r w:rsidRPr="00711234">
        <w:rPr>
          <w:rFonts w:cs="Arial"/>
          <w:snapToGrid w:val="0"/>
        </w:rPr>
        <w:t xml:space="preserve"> Administrativo y Jurídico </w:t>
      </w:r>
    </w:p>
    <w:p w:rsidR="00BC20E5" w:rsidRPr="00711234" w:rsidRDefault="00BC20E5" w:rsidP="00BC20E5">
      <w:pPr>
        <w:ind w:left="567"/>
        <w:rPr>
          <w:rFonts w:cs="Arial"/>
          <w:snapToGrid w:val="0"/>
        </w:rPr>
      </w:pPr>
      <w:r w:rsidRPr="00711234">
        <w:rPr>
          <w:snapToGrid w:val="0"/>
        </w:rPr>
        <w:t>CAJ-AG</w:t>
      </w:r>
      <w:proofErr w:type="gramStart"/>
      <w:r w:rsidRPr="00711234">
        <w:rPr>
          <w:snapToGrid w:val="0"/>
        </w:rPr>
        <w:t>:  Grupo</w:t>
      </w:r>
      <w:proofErr w:type="gramEnd"/>
      <w:r w:rsidRPr="00711234">
        <w:rPr>
          <w:snapToGrid w:val="0"/>
        </w:rPr>
        <w:t xml:space="preserve"> Asesor del Comité Administrativo y Jurídico </w:t>
      </w:r>
    </w:p>
    <w:p w:rsidR="00BC20E5" w:rsidRPr="00711234" w:rsidRDefault="00BC20E5" w:rsidP="00BC20E5">
      <w:pPr>
        <w:ind w:left="567"/>
        <w:rPr>
          <w:rFonts w:cs="Arial"/>
          <w:snapToGrid w:val="0"/>
        </w:rPr>
      </w:pPr>
      <w:r w:rsidRPr="00711234">
        <w:rPr>
          <w:rFonts w:cs="Arial"/>
          <w:snapToGrid w:val="0"/>
        </w:rPr>
        <w:t>TC</w:t>
      </w:r>
      <w:proofErr w:type="gramStart"/>
      <w:r w:rsidRPr="00711234">
        <w:rPr>
          <w:rFonts w:cs="Arial"/>
          <w:snapToGrid w:val="0"/>
        </w:rPr>
        <w:t>:  Comité</w:t>
      </w:r>
      <w:proofErr w:type="gramEnd"/>
      <w:r w:rsidRPr="00711234">
        <w:rPr>
          <w:rFonts w:cs="Arial"/>
          <w:snapToGrid w:val="0"/>
        </w:rPr>
        <w:t xml:space="preserve"> Técnico</w:t>
      </w:r>
    </w:p>
    <w:p w:rsidR="00BC20E5" w:rsidRPr="00711234" w:rsidRDefault="00BC20E5" w:rsidP="00BC20E5">
      <w:pPr>
        <w:ind w:left="567"/>
        <w:rPr>
          <w:rFonts w:cs="Arial"/>
          <w:snapToGrid w:val="0"/>
        </w:rPr>
      </w:pPr>
      <w:r w:rsidRPr="00711234">
        <w:rPr>
          <w:snapToGrid w:val="0"/>
        </w:rPr>
        <w:t>Comisión de la UICB</w:t>
      </w:r>
      <w:proofErr w:type="gramStart"/>
      <w:r w:rsidRPr="00711234">
        <w:rPr>
          <w:snapToGrid w:val="0"/>
        </w:rPr>
        <w:t>:  Unión</w:t>
      </w:r>
      <w:proofErr w:type="gramEnd"/>
      <w:r w:rsidRPr="00711234">
        <w:rPr>
          <w:snapToGrid w:val="0"/>
        </w:rPr>
        <w:t xml:space="preserve"> Internacional de Ciencias Biológicas</w:t>
      </w:r>
    </w:p>
    <w:p w:rsidR="00BC20E5" w:rsidRPr="00711234" w:rsidRDefault="00BC20E5" w:rsidP="00BC20E5">
      <w:pPr>
        <w:ind w:left="567"/>
        <w:rPr>
          <w:rFonts w:cs="Arial"/>
          <w:snapToGrid w:val="0"/>
        </w:rPr>
      </w:pPr>
      <w:r w:rsidRPr="00711234">
        <w:rPr>
          <w:snapToGrid w:val="0"/>
        </w:rPr>
        <w:t>Comisión de la ISHS</w:t>
      </w:r>
      <w:proofErr w:type="gramStart"/>
      <w:r w:rsidRPr="00711234">
        <w:rPr>
          <w:snapToGrid w:val="0"/>
        </w:rPr>
        <w:t>:  Comisión</w:t>
      </w:r>
      <w:proofErr w:type="gramEnd"/>
      <w:r w:rsidRPr="00711234">
        <w:rPr>
          <w:snapToGrid w:val="0"/>
        </w:rPr>
        <w:t xml:space="preserve"> de la Sociedad Internacional de la Ciencia Hortícola</w:t>
      </w:r>
    </w:p>
    <w:p w:rsidR="00BC20E5" w:rsidRPr="00711234" w:rsidRDefault="00BC20E5" w:rsidP="00BC20E5">
      <w:pPr>
        <w:rPr>
          <w:rFonts w:cs="Arial"/>
          <w:snapToGrid w:val="0"/>
        </w:rPr>
      </w:pPr>
    </w:p>
    <w:p w:rsidR="00BC20E5" w:rsidRPr="00711234" w:rsidRDefault="00BC20E5" w:rsidP="00BC20E5">
      <w:pPr>
        <w:rPr>
          <w:rFonts w:cs="Arial"/>
          <w:snapToGrid w:val="0"/>
        </w:rPr>
      </w:pPr>
    </w:p>
    <w:p w:rsidR="00BC20E5" w:rsidRPr="00711234" w:rsidRDefault="00BC20E5" w:rsidP="00BC20E5">
      <w:pPr>
        <w:jc w:val="left"/>
        <w:rPr>
          <w:rFonts w:cs="Arial"/>
          <w:snapToGrid w:val="0"/>
        </w:rPr>
      </w:pPr>
      <w:r w:rsidRPr="00711234">
        <w:rPr>
          <w:rFonts w:cs="Arial"/>
          <w:snapToGrid w:val="0"/>
        </w:rPr>
        <w:br w:type="page"/>
      </w:r>
    </w:p>
    <w:p w:rsidR="006F642D" w:rsidRPr="00711234" w:rsidRDefault="00711CD3" w:rsidP="00BC20E5">
      <w:pPr>
        <w:keepNext/>
      </w:pPr>
      <w:bookmarkStart w:id="5" w:name="_Toc382815089"/>
      <w:r w:rsidRPr="00711234">
        <w:lastRenderedPageBreak/>
        <w:t>I.</w:t>
      </w:r>
      <w:r w:rsidRPr="00711234">
        <w:tab/>
        <w:t>EVENTUAL REVISIÓN DEL DOCUMENTO UPOV/INF/12 “NOTAS EXPLICATIVAS SOBRE LAS DENOMINACIONES DE VARIEDADES CON ARREGLO AL CONVENIO DE LA UPOV”</w:t>
      </w:r>
    </w:p>
    <w:bookmarkEnd w:id="5"/>
    <w:p w:rsidR="00BC20E5" w:rsidRPr="00711234" w:rsidRDefault="00BC20E5" w:rsidP="00BC20E5">
      <w:pPr>
        <w:keepNext/>
        <w:rPr>
          <w:rFonts w:cs="Arial"/>
          <w:snapToGrid w:val="0"/>
        </w:rPr>
      </w:pPr>
    </w:p>
    <w:p w:rsidR="00BC20E5" w:rsidRPr="00711234" w:rsidRDefault="00711234" w:rsidP="00BC20E5">
      <w:pPr>
        <w:pStyle w:val="Heading2"/>
        <w:rPr>
          <w:lang w:val="es-ES"/>
        </w:rPr>
      </w:pPr>
      <w:bookmarkStart w:id="6" w:name="_Toc382815090"/>
      <w:r w:rsidRPr="00711234">
        <w:rPr>
          <w:u w:val="none"/>
          <w:lang w:val="es-ES"/>
        </w:rPr>
        <w:t>a)</w:t>
      </w:r>
      <w:r w:rsidR="00BC20E5" w:rsidRPr="00711234">
        <w:rPr>
          <w:u w:val="none"/>
          <w:lang w:val="es-ES"/>
        </w:rPr>
        <w:tab/>
      </w:r>
      <w:r w:rsidR="00BC20E5" w:rsidRPr="00711234">
        <w:rPr>
          <w:lang w:val="es-ES"/>
        </w:rPr>
        <w:t>Labor que está realizando el CAJ-AG en materia de denominaciones de variedades</w:t>
      </w:r>
      <w:bookmarkEnd w:id="6"/>
      <w:r w:rsidR="00BC20E5" w:rsidRPr="00711234">
        <w:rPr>
          <w:lang w:val="es-ES"/>
        </w:rPr>
        <w:t xml:space="preserve"> </w:t>
      </w:r>
    </w:p>
    <w:p w:rsidR="00BC20E5" w:rsidRPr="00711234" w:rsidRDefault="00BC20E5" w:rsidP="00BC20E5">
      <w:pPr>
        <w:keepNext/>
      </w:pPr>
    </w:p>
    <w:p w:rsidR="00BC20E5" w:rsidRPr="00711234" w:rsidRDefault="00BC20E5" w:rsidP="00BC20E5">
      <w:r w:rsidRPr="00711234">
        <w:fldChar w:fldCharType="begin"/>
      </w:r>
      <w:r w:rsidRPr="00711234">
        <w:instrText xml:space="preserve"> AUTONUM  </w:instrText>
      </w:r>
      <w:r w:rsidRPr="00711234">
        <w:fldChar w:fldCharType="end"/>
      </w:r>
      <w:r w:rsidRPr="00711234">
        <w:tab/>
        <w:t>El siguiente informe sobre la labor que está realizando el CAJ-AG en materia de denominaciones de variedades también se expone en el documento</w:t>
      </w:r>
      <w:r w:rsidR="007E1363" w:rsidRPr="00711234">
        <w:t> </w:t>
      </w:r>
      <w:r w:rsidRPr="00711234">
        <w:t xml:space="preserve">CAJ/69/2 “Elaboración de material de información sobre el Convenio de la UPOV”, </w:t>
      </w:r>
      <w:r w:rsidR="0082098A" w:rsidRPr="00711234">
        <w:t>(</w:t>
      </w:r>
      <w:r w:rsidRPr="00711234">
        <w:t>véanse los párrafos</w:t>
      </w:r>
      <w:r w:rsidR="007E1363" w:rsidRPr="00711234">
        <w:t> </w:t>
      </w:r>
      <w:r w:rsidRPr="00711234">
        <w:t>56 a 59).</w:t>
      </w:r>
    </w:p>
    <w:p w:rsidR="00BC20E5" w:rsidRPr="00711234" w:rsidRDefault="00BC20E5" w:rsidP="00BC20E5"/>
    <w:p w:rsidR="00BC20E5" w:rsidRPr="00711234" w:rsidRDefault="00BC20E5" w:rsidP="00BC20E5">
      <w:r w:rsidRPr="00711234">
        <w:fldChar w:fldCharType="begin"/>
      </w:r>
      <w:r w:rsidRPr="00711234">
        <w:instrText xml:space="preserve"> AUTONUM  </w:instrText>
      </w:r>
      <w:r w:rsidRPr="00711234">
        <w:fldChar w:fldCharType="end"/>
      </w:r>
      <w:r w:rsidRPr="00711234">
        <w:tab/>
      </w:r>
      <w:r w:rsidR="007E1363" w:rsidRPr="00711234">
        <w:t>E</w:t>
      </w:r>
      <w:r w:rsidRPr="00711234">
        <w:t>n su octava</w:t>
      </w:r>
      <w:r w:rsidR="007E1363" w:rsidRPr="00711234">
        <w:t> </w:t>
      </w:r>
      <w:r w:rsidRPr="00711234">
        <w:t xml:space="preserve">sesión celebrada en Ginebra el 21 y el 25 de octubre de 2013, </w:t>
      </w:r>
      <w:r w:rsidR="007E1363" w:rsidRPr="00711234">
        <w:t xml:space="preserve">el CAJ-AG </w:t>
      </w:r>
      <w:r w:rsidRPr="00711234">
        <w:t>analizó el documento CAJ-AG/13/8/6 “</w:t>
      </w:r>
      <w:proofErr w:type="spellStart"/>
      <w:r w:rsidRPr="0040351E">
        <w:t>Matters</w:t>
      </w:r>
      <w:proofErr w:type="spellEnd"/>
      <w:r w:rsidRPr="0040351E">
        <w:t xml:space="preserve"> </w:t>
      </w:r>
      <w:proofErr w:type="spellStart"/>
      <w:r w:rsidRPr="0040351E">
        <w:t>concerning</w:t>
      </w:r>
      <w:proofErr w:type="spellEnd"/>
      <w:r w:rsidRPr="0040351E">
        <w:t xml:space="preserve"> </w:t>
      </w:r>
      <w:proofErr w:type="spellStart"/>
      <w:r w:rsidRPr="0040351E">
        <w:t>variety</w:t>
      </w:r>
      <w:proofErr w:type="spellEnd"/>
      <w:r w:rsidRPr="0040351E">
        <w:t xml:space="preserve"> </w:t>
      </w:r>
      <w:proofErr w:type="spellStart"/>
      <w:r w:rsidRPr="0040351E">
        <w:t>denominations</w:t>
      </w:r>
      <w:proofErr w:type="spellEnd"/>
      <w:r w:rsidRPr="0040351E">
        <w:t>”</w:t>
      </w:r>
      <w:r w:rsidRPr="00711234">
        <w:t xml:space="preserve"> (Asuntos relativos a las denominaciones de variedades)</w:t>
      </w:r>
      <w:r w:rsidR="00224434" w:rsidRPr="00711234">
        <w:t>.</w:t>
      </w:r>
      <w:r w:rsidRPr="00711234">
        <w:t xml:space="preserve"> </w:t>
      </w:r>
    </w:p>
    <w:p w:rsidR="00BC20E5" w:rsidRPr="00711234" w:rsidRDefault="00BC20E5" w:rsidP="00BC20E5"/>
    <w:p w:rsidR="00BC20E5" w:rsidRPr="00711234" w:rsidRDefault="00BC20E5" w:rsidP="00BC20E5">
      <w:r w:rsidRPr="00711234">
        <w:fldChar w:fldCharType="begin"/>
      </w:r>
      <w:r w:rsidRPr="00711234">
        <w:instrText xml:space="preserve"> AUTONUM  </w:instrText>
      </w:r>
      <w:r w:rsidRPr="00711234">
        <w:fldChar w:fldCharType="end"/>
      </w:r>
      <w:r w:rsidR="0082098A" w:rsidRPr="00711234">
        <w:tab/>
        <w:t>El CAJ-AG acordó que se elaborara</w:t>
      </w:r>
      <w:r w:rsidRPr="00711234">
        <w:t xml:space="preserve">n orientaciones relativas a </w:t>
      </w:r>
      <w:r w:rsidR="0082098A" w:rsidRPr="00711234">
        <w:t>la</w:t>
      </w:r>
      <w:r w:rsidRPr="00711234">
        <w:t xml:space="preserve"> petición de un obtentor solicitando el cambio de la denominación registrada de una variedad en casos distintos de los de cancelación de la denominación de la variedad tras la concesión del derecho, sobre la base de que tal petición debe denegarse.  No obstante, el CAJ-AG convino en que dicho cambio sería conveniente en las siguientes situaciones:</w:t>
      </w:r>
    </w:p>
    <w:p w:rsidR="00BC20E5" w:rsidRPr="00711234" w:rsidRDefault="00BC20E5" w:rsidP="00BC20E5"/>
    <w:p w:rsidR="00BC20E5" w:rsidRPr="00711234" w:rsidRDefault="00BC20E5" w:rsidP="00BC20E5">
      <w:r w:rsidRPr="00711234">
        <w:tab/>
        <w:t>a)</w:t>
      </w:r>
      <w:r w:rsidRPr="00711234">
        <w:tab/>
        <w:t>si se descubriera que había un derecho anterior sobre la denominación que habría tenido por resultado el rechazo de la denominación (véanse el artículo 20.4) y 7) del Acta de 1991, el artículo 13.4) y 7) del Acta de 1978, y la nota 7 del documento</w:t>
      </w:r>
      <w:r w:rsidR="007E1363" w:rsidRPr="00711234">
        <w:t> </w:t>
      </w:r>
      <w:r w:rsidRPr="00711234">
        <w:t>UPOV/INF/12/4);</w:t>
      </w:r>
    </w:p>
    <w:p w:rsidR="00BC20E5" w:rsidRPr="00711234" w:rsidRDefault="00BC20E5" w:rsidP="00BC20E5">
      <w:pPr>
        <w:spacing w:line="240" w:lineRule="atLeast"/>
        <w:ind w:firstLine="567"/>
      </w:pPr>
    </w:p>
    <w:p w:rsidR="00BC20E5" w:rsidRPr="00711234" w:rsidRDefault="00BC20E5" w:rsidP="00BC20E5">
      <w:r w:rsidRPr="00711234">
        <w:tab/>
        <w:t>b)</w:t>
      </w:r>
      <w:r w:rsidRPr="00711234">
        <w:tab/>
      </w:r>
      <w:proofErr w:type="gramStart"/>
      <w:r w:rsidRPr="00711234">
        <w:t>si</w:t>
      </w:r>
      <w:proofErr w:type="gramEnd"/>
      <w:r w:rsidRPr="00711234">
        <w:t xml:space="preserve"> la denominación resultara inadecuada por ser contraria a las disposiciones del artículo 20.2) del Acta de 1991 y del artículo 13.2) del Acta de 1978;  y</w:t>
      </w:r>
    </w:p>
    <w:p w:rsidR="00BC20E5" w:rsidRPr="00711234" w:rsidRDefault="00BC20E5" w:rsidP="00BC20E5"/>
    <w:p w:rsidR="00BC20E5" w:rsidRPr="00711234" w:rsidRDefault="00BC20E5" w:rsidP="00BC20E5">
      <w:r w:rsidRPr="00711234">
        <w:tab/>
        <w:t>c)</w:t>
      </w:r>
      <w:r w:rsidRPr="00711234">
        <w:tab/>
        <w:t xml:space="preserve">si la denominación fuera rechazada posteriormente por otro miembro de la Unión y, a petición del obtentor, la autoridad decidiera cambiar la denominación por la registrada en ese otro miembro de la Unión. </w:t>
      </w:r>
    </w:p>
    <w:p w:rsidR="00BC20E5" w:rsidRPr="00711234" w:rsidRDefault="00BC20E5" w:rsidP="00BC20E5"/>
    <w:p w:rsidR="00BC20E5" w:rsidRPr="00711234" w:rsidRDefault="00BC20E5" w:rsidP="00BC20E5">
      <w:r w:rsidRPr="00711234">
        <w:rPr>
          <w:rFonts w:cs="Arial"/>
        </w:rPr>
        <w:fldChar w:fldCharType="begin"/>
      </w:r>
      <w:r w:rsidRPr="00711234">
        <w:rPr>
          <w:rFonts w:cs="Arial"/>
        </w:rPr>
        <w:instrText xml:space="preserve"> AUTONUM  </w:instrText>
      </w:r>
      <w:r w:rsidRPr="00711234">
        <w:rPr>
          <w:rFonts w:cs="Arial"/>
        </w:rPr>
        <w:fldChar w:fldCharType="end"/>
      </w:r>
      <w:r w:rsidRPr="00711234">
        <w:rPr>
          <w:rFonts w:cs="Arial"/>
        </w:rPr>
        <w:tab/>
      </w:r>
      <w:r w:rsidRPr="00711234">
        <w:t>El CAJ-AG acordó examinar la posibilidad de elaborar orientaciones adicionales como parte de una eventual revisión de las “Notas explicativas sobre las denominaciones de variedades con arreglo al Convenio de la UPOV” (documento UPOV/INF/12/4) (véase el documento</w:t>
      </w:r>
      <w:r w:rsidR="007F51F1" w:rsidRPr="00711234">
        <w:t> </w:t>
      </w:r>
      <w:r w:rsidRPr="00711234">
        <w:t>CAJ</w:t>
      </w:r>
      <w:r w:rsidR="007E1363" w:rsidRPr="00711234">
        <w:t>-</w:t>
      </w:r>
      <w:r w:rsidRPr="00711234">
        <w:t>AG/13/8/10 “Informe”, párrafos</w:t>
      </w:r>
      <w:r w:rsidR="007E1363" w:rsidRPr="00711234">
        <w:t> </w:t>
      </w:r>
      <w:r w:rsidRPr="00711234">
        <w:t>69 a 71).</w:t>
      </w:r>
    </w:p>
    <w:p w:rsidR="00BC20E5" w:rsidRPr="00711234" w:rsidRDefault="00BC20E5" w:rsidP="00BC20E5">
      <w:pPr>
        <w:rPr>
          <w:rFonts w:cs="Arial"/>
        </w:rPr>
      </w:pPr>
    </w:p>
    <w:p w:rsidR="00BC20E5" w:rsidRPr="00711234" w:rsidRDefault="00BC20E5" w:rsidP="00BC20E5">
      <w:pPr>
        <w:rPr>
          <w:rFonts w:cs="Arial"/>
        </w:rPr>
      </w:pPr>
    </w:p>
    <w:p w:rsidR="00BC20E5" w:rsidRPr="00711234" w:rsidRDefault="00BC20E5" w:rsidP="00BC20E5">
      <w:pPr>
        <w:pStyle w:val="Heading2"/>
        <w:rPr>
          <w:lang w:val="es-ES_tradnl"/>
        </w:rPr>
      </w:pPr>
      <w:bookmarkStart w:id="7" w:name="_Toc382815091"/>
      <w:r w:rsidRPr="00711234">
        <w:rPr>
          <w:u w:val="none"/>
          <w:lang w:val="es-ES_tradnl"/>
        </w:rPr>
        <w:t>b)</w:t>
      </w:r>
      <w:r w:rsidRPr="00711234">
        <w:rPr>
          <w:u w:val="none"/>
          <w:lang w:val="es-ES_tradnl"/>
        </w:rPr>
        <w:tab/>
      </w:r>
      <w:r w:rsidRPr="00711234">
        <w:rPr>
          <w:lang w:val="es-ES_tradnl"/>
        </w:rPr>
        <w:t>Propuesta</w:t>
      </w:r>
      <w:r w:rsidR="001B371F" w:rsidRPr="00711234">
        <w:rPr>
          <w:lang w:val="es-ES_tradnl"/>
        </w:rPr>
        <w:t xml:space="preserve"> </w:t>
      </w:r>
      <w:r w:rsidRPr="00711234">
        <w:rPr>
          <w:lang w:val="es-ES_tradnl"/>
        </w:rPr>
        <w:t>acerca de la orientación sobre denominaciones de variedades</w:t>
      </w:r>
      <w:bookmarkEnd w:id="7"/>
      <w:r w:rsidRPr="00711234">
        <w:rPr>
          <w:lang w:val="es-ES_tradnl"/>
        </w:rPr>
        <w:t xml:space="preserve"> </w:t>
      </w:r>
    </w:p>
    <w:p w:rsidR="00BC20E5" w:rsidRPr="00711234" w:rsidRDefault="00BC20E5" w:rsidP="00BC20E5">
      <w:pPr>
        <w:pStyle w:val="Heading2"/>
        <w:rPr>
          <w:lang w:val="es-ES_tradnl"/>
        </w:rPr>
      </w:pPr>
    </w:p>
    <w:p w:rsidR="00BC20E5" w:rsidRPr="00711234" w:rsidRDefault="00BC20E5" w:rsidP="00BC20E5">
      <w:r w:rsidRPr="00711234">
        <w:rPr>
          <w:snapToGrid w:val="0"/>
        </w:rPr>
        <w:fldChar w:fldCharType="begin"/>
      </w:r>
      <w:r w:rsidRPr="00711234">
        <w:rPr>
          <w:snapToGrid w:val="0"/>
        </w:rPr>
        <w:instrText xml:space="preserve"> AUTONUM  </w:instrText>
      </w:r>
      <w:r w:rsidRPr="00711234">
        <w:rPr>
          <w:snapToGrid w:val="0"/>
        </w:rPr>
        <w:fldChar w:fldCharType="end"/>
      </w:r>
      <w:r w:rsidRPr="00711234">
        <w:rPr>
          <w:snapToGrid w:val="0"/>
        </w:rPr>
        <w:tab/>
      </w:r>
      <w:r w:rsidR="00224434" w:rsidRPr="00711234">
        <w:rPr>
          <w:snapToGrid w:val="0"/>
        </w:rPr>
        <w:t>Desde el 11 de noviembre al 15 de diciembre de 2013,</w:t>
      </w:r>
      <w:r w:rsidR="00224434" w:rsidRPr="00711234">
        <w:t xml:space="preserve"> se </w:t>
      </w:r>
      <w:r w:rsidRPr="00711234">
        <w:rPr>
          <w:snapToGrid w:val="0"/>
        </w:rPr>
        <w:t xml:space="preserve">comprobó el funcionamiento de la versión en inglés </w:t>
      </w:r>
      <w:r w:rsidRPr="00711234">
        <w:t xml:space="preserve">del curso de enseñanza a distancia “Examen de las solicitudes de derechos de obtentor” (DL 305), </w:t>
      </w:r>
      <w:r w:rsidR="00224434" w:rsidRPr="00711234">
        <w:rPr>
          <w:snapToGrid w:val="0"/>
        </w:rPr>
        <w:t xml:space="preserve">contando con la participación, en calidad de alumnos, de </w:t>
      </w:r>
      <w:r w:rsidRPr="00711234">
        <w:rPr>
          <w:snapToGrid w:val="0"/>
        </w:rPr>
        <w:t xml:space="preserve">nueve expertos que </w:t>
      </w:r>
      <w:r w:rsidR="00224434" w:rsidRPr="00711234">
        <w:rPr>
          <w:snapToGrid w:val="0"/>
        </w:rPr>
        <w:t xml:space="preserve">a su vez </w:t>
      </w:r>
      <w:r w:rsidRPr="00711234">
        <w:rPr>
          <w:snapToGrid w:val="0"/>
        </w:rPr>
        <w:t>son tutores del curso</w:t>
      </w:r>
      <w:r w:rsidR="007E1363" w:rsidRPr="00711234">
        <w:rPr>
          <w:snapToGrid w:val="0"/>
        </w:rPr>
        <w:t> </w:t>
      </w:r>
      <w:r w:rsidRPr="00711234">
        <w:rPr>
          <w:snapToGrid w:val="0"/>
        </w:rPr>
        <w:t xml:space="preserve">DL-205.  Uno de los alumnos hizo el siguiente comentario relativo al párrafo </w:t>
      </w:r>
      <w:r w:rsidRPr="00711234">
        <w:t>2.3.3.a)i</w:t>
      </w:r>
      <w:r w:rsidRPr="00711234">
        <w:rPr>
          <w:snapToGrid w:val="0"/>
        </w:rPr>
        <w:t>) del documento</w:t>
      </w:r>
      <w:r w:rsidR="007E1363" w:rsidRPr="00711234">
        <w:rPr>
          <w:snapToGrid w:val="0"/>
        </w:rPr>
        <w:t> </w:t>
      </w:r>
      <w:r w:rsidRPr="00711234">
        <w:t>UPOV/INF/12/4 (reproducido a continuación para facilitar su consulta):</w:t>
      </w:r>
    </w:p>
    <w:p w:rsidR="00BC20E5" w:rsidRPr="00711234" w:rsidRDefault="00BC20E5" w:rsidP="00BC20E5"/>
    <w:p w:rsidR="00BC20E5" w:rsidRPr="00711234" w:rsidRDefault="00BE5FA3" w:rsidP="00BC20E5">
      <w:pPr>
        <w:keepNext/>
        <w:keepLines/>
        <w:ind w:left="567" w:right="567"/>
        <w:rPr>
          <w:sz w:val="18"/>
          <w:szCs w:val="18"/>
        </w:rPr>
      </w:pPr>
      <w:r w:rsidRPr="00711234">
        <w:rPr>
          <w:sz w:val="18"/>
          <w:szCs w:val="18"/>
        </w:rPr>
        <w:t>“</w:t>
      </w:r>
      <w:r w:rsidR="00BC20E5" w:rsidRPr="00711234">
        <w:rPr>
          <w:sz w:val="18"/>
          <w:szCs w:val="18"/>
        </w:rPr>
        <w:t>2.3.3 Identidad de la variedad</w:t>
      </w:r>
    </w:p>
    <w:p w:rsidR="00BC20E5" w:rsidRPr="00711234" w:rsidRDefault="00BC20E5" w:rsidP="00BC20E5">
      <w:pPr>
        <w:keepNext/>
        <w:keepLines/>
        <w:ind w:left="567" w:right="567"/>
        <w:rPr>
          <w:sz w:val="18"/>
          <w:szCs w:val="18"/>
        </w:rPr>
      </w:pPr>
    </w:p>
    <w:p w:rsidR="00BC20E5" w:rsidRPr="00711234" w:rsidRDefault="00BC20E5" w:rsidP="00BC20E5">
      <w:pPr>
        <w:keepNext/>
        <w:keepLines/>
        <w:ind w:left="567" w:right="567"/>
        <w:rPr>
          <w:sz w:val="18"/>
          <w:szCs w:val="18"/>
        </w:rPr>
      </w:pPr>
      <w:r w:rsidRPr="00711234">
        <w:rPr>
          <w:sz w:val="18"/>
          <w:szCs w:val="18"/>
        </w:rPr>
        <w:tab/>
        <w:t>a)</w:t>
      </w:r>
      <w:r w:rsidR="007F51F1" w:rsidRPr="00711234">
        <w:rPr>
          <w:sz w:val="18"/>
          <w:szCs w:val="18"/>
        </w:rPr>
        <w:tab/>
      </w:r>
      <w:r w:rsidRPr="00711234">
        <w:rPr>
          <w:sz w:val="18"/>
          <w:szCs w:val="18"/>
        </w:rPr>
        <w:t xml:space="preserve">Como recomendación general, sólo una diferencia de una letra o un número podrá considerarse susceptible de inducir a error o prestarse a confusión en relación con la identidad de la variedad, salvo cuando:  </w:t>
      </w:r>
    </w:p>
    <w:p w:rsidR="00BC20E5" w:rsidRPr="00711234" w:rsidRDefault="00BC20E5" w:rsidP="00BC20E5">
      <w:pPr>
        <w:keepNext/>
        <w:keepLines/>
        <w:ind w:left="567" w:right="567"/>
        <w:rPr>
          <w:sz w:val="18"/>
          <w:szCs w:val="18"/>
        </w:rPr>
      </w:pPr>
    </w:p>
    <w:p w:rsidR="00BC20E5" w:rsidRPr="00711234" w:rsidRDefault="00BC20E5" w:rsidP="00BC20E5">
      <w:pPr>
        <w:tabs>
          <w:tab w:val="right" w:pos="1134"/>
          <w:tab w:val="left" w:pos="1418"/>
        </w:tabs>
        <w:ind w:left="567" w:right="567"/>
        <w:rPr>
          <w:sz w:val="18"/>
          <w:szCs w:val="18"/>
        </w:rPr>
      </w:pPr>
      <w:r w:rsidRPr="00711234">
        <w:rPr>
          <w:sz w:val="18"/>
          <w:szCs w:val="18"/>
        </w:rPr>
        <w:tab/>
        <w:t>i)</w:t>
      </w:r>
      <w:r w:rsidR="007F51F1" w:rsidRPr="00711234">
        <w:rPr>
          <w:sz w:val="18"/>
          <w:szCs w:val="18"/>
        </w:rPr>
        <w:tab/>
      </w:r>
      <w:r w:rsidRPr="00711234">
        <w:rPr>
          <w:sz w:val="18"/>
          <w:szCs w:val="18"/>
        </w:rPr>
        <w:t>la diferencia de una letra indique una diferencia visual o fonética clara;  por ejemplo, si se trata de una letra al comienzo de una palabra,</w:t>
      </w:r>
    </w:p>
    <w:p w:rsidR="00BC20E5" w:rsidRPr="00711234" w:rsidRDefault="00BC20E5" w:rsidP="00BC20E5">
      <w:pPr>
        <w:pStyle w:val="Header"/>
        <w:ind w:left="567" w:right="567"/>
        <w:rPr>
          <w:sz w:val="18"/>
          <w:szCs w:val="18"/>
          <w:lang w:val="es-ES_tradnl"/>
        </w:rPr>
      </w:pPr>
    </w:p>
    <w:p w:rsidR="00BC20E5" w:rsidRPr="00711234" w:rsidRDefault="00BC20E5" w:rsidP="00BC20E5">
      <w:pPr>
        <w:ind w:left="567" w:right="567"/>
        <w:rPr>
          <w:sz w:val="18"/>
          <w:szCs w:val="18"/>
        </w:rPr>
      </w:pPr>
      <w:r w:rsidRPr="00711234">
        <w:rPr>
          <w:i/>
          <w:sz w:val="18"/>
          <w:szCs w:val="18"/>
        </w:rPr>
        <w:t>Ejemplo 1</w:t>
      </w:r>
      <w:proofErr w:type="gramStart"/>
      <w:r w:rsidRPr="00711234">
        <w:rPr>
          <w:i/>
          <w:sz w:val="18"/>
          <w:szCs w:val="18"/>
        </w:rPr>
        <w:t xml:space="preserve">:  </w:t>
      </w:r>
      <w:r w:rsidRPr="00711234">
        <w:rPr>
          <w:sz w:val="18"/>
          <w:szCs w:val="18"/>
        </w:rPr>
        <w:t>en</w:t>
      </w:r>
      <w:proofErr w:type="gramEnd"/>
      <w:r w:rsidRPr="00711234">
        <w:rPr>
          <w:sz w:val="18"/>
          <w:szCs w:val="18"/>
        </w:rPr>
        <w:t xml:space="preserve"> el idioma inglés, “</w:t>
      </w:r>
      <w:r w:rsidRPr="00711234">
        <w:rPr>
          <w:sz w:val="18"/>
          <w:szCs w:val="18"/>
          <w:u w:val="single"/>
        </w:rPr>
        <w:t>H</w:t>
      </w:r>
      <w:r w:rsidRPr="00711234">
        <w:rPr>
          <w:sz w:val="18"/>
          <w:szCs w:val="18"/>
        </w:rPr>
        <w:t>arry” y “</w:t>
      </w:r>
      <w:r w:rsidRPr="00711234">
        <w:rPr>
          <w:sz w:val="18"/>
          <w:szCs w:val="18"/>
          <w:u w:val="single"/>
        </w:rPr>
        <w:t>L</w:t>
      </w:r>
      <w:r w:rsidRPr="00711234">
        <w:rPr>
          <w:sz w:val="18"/>
          <w:szCs w:val="18"/>
        </w:rPr>
        <w:t>arry” no se prestarían a confusión;  sin embargo, “</w:t>
      </w:r>
      <w:proofErr w:type="spellStart"/>
      <w:r w:rsidRPr="00711234">
        <w:rPr>
          <w:sz w:val="18"/>
          <w:szCs w:val="18"/>
          <w:u w:val="single"/>
        </w:rPr>
        <w:t>B</w:t>
      </w:r>
      <w:r w:rsidRPr="00711234">
        <w:rPr>
          <w:sz w:val="18"/>
          <w:szCs w:val="18"/>
        </w:rPr>
        <w:t>ough</w:t>
      </w:r>
      <w:proofErr w:type="spellEnd"/>
      <w:r w:rsidRPr="00711234">
        <w:rPr>
          <w:sz w:val="18"/>
          <w:szCs w:val="18"/>
        </w:rPr>
        <w:t>” y “</w:t>
      </w:r>
      <w:proofErr w:type="spellStart"/>
      <w:r w:rsidRPr="00711234">
        <w:rPr>
          <w:sz w:val="18"/>
          <w:szCs w:val="18"/>
          <w:u w:val="single"/>
        </w:rPr>
        <w:t>B</w:t>
      </w:r>
      <w:r w:rsidRPr="00711234">
        <w:rPr>
          <w:sz w:val="18"/>
          <w:szCs w:val="18"/>
        </w:rPr>
        <w:t>ow</w:t>
      </w:r>
      <w:proofErr w:type="spellEnd"/>
      <w:r w:rsidRPr="00711234">
        <w:rPr>
          <w:sz w:val="18"/>
          <w:szCs w:val="18"/>
        </w:rPr>
        <w:t>” podrían causar confusión (en términos fonéticos).</w:t>
      </w:r>
    </w:p>
    <w:p w:rsidR="00BC20E5" w:rsidRPr="00711234" w:rsidRDefault="00BC20E5" w:rsidP="00BC20E5">
      <w:pPr>
        <w:ind w:left="567" w:right="567"/>
        <w:rPr>
          <w:i/>
          <w:sz w:val="18"/>
          <w:szCs w:val="18"/>
        </w:rPr>
      </w:pPr>
    </w:p>
    <w:p w:rsidR="00BC20E5" w:rsidRPr="00711234" w:rsidRDefault="00BC20E5" w:rsidP="00BC20E5">
      <w:pPr>
        <w:ind w:left="567" w:right="567"/>
        <w:rPr>
          <w:sz w:val="18"/>
          <w:szCs w:val="18"/>
        </w:rPr>
      </w:pPr>
      <w:r w:rsidRPr="00711234">
        <w:rPr>
          <w:i/>
          <w:sz w:val="18"/>
          <w:szCs w:val="18"/>
        </w:rPr>
        <w:t>Ejemplo 2</w:t>
      </w:r>
      <w:proofErr w:type="gramStart"/>
      <w:r w:rsidRPr="00711234">
        <w:rPr>
          <w:i/>
          <w:sz w:val="18"/>
          <w:szCs w:val="18"/>
        </w:rPr>
        <w:t xml:space="preserve">:  </w:t>
      </w:r>
      <w:r w:rsidRPr="00711234">
        <w:rPr>
          <w:sz w:val="18"/>
          <w:szCs w:val="18"/>
        </w:rPr>
        <w:t>en</w:t>
      </w:r>
      <w:proofErr w:type="gramEnd"/>
      <w:r w:rsidRPr="00711234">
        <w:rPr>
          <w:sz w:val="18"/>
          <w:szCs w:val="18"/>
        </w:rPr>
        <w:t xml:space="preserve"> los idiomas japonés y coreano, no hay diferencia entre los sonidos de las letras “L” y “R”, por lo que “</w:t>
      </w:r>
      <w:r w:rsidRPr="00711234">
        <w:rPr>
          <w:sz w:val="18"/>
          <w:szCs w:val="18"/>
          <w:u w:val="single"/>
        </w:rPr>
        <w:t>L</w:t>
      </w:r>
      <w:r w:rsidRPr="00711234">
        <w:rPr>
          <w:sz w:val="18"/>
          <w:szCs w:val="18"/>
        </w:rPr>
        <w:t>ion” y “</w:t>
      </w:r>
      <w:proofErr w:type="spellStart"/>
      <w:r w:rsidRPr="00711234">
        <w:rPr>
          <w:sz w:val="18"/>
          <w:szCs w:val="18"/>
          <w:u w:val="single"/>
        </w:rPr>
        <w:t>R</w:t>
      </w:r>
      <w:r w:rsidRPr="00711234">
        <w:rPr>
          <w:sz w:val="18"/>
          <w:szCs w:val="18"/>
        </w:rPr>
        <w:t>aion</w:t>
      </w:r>
      <w:proofErr w:type="spellEnd"/>
      <w:r w:rsidRPr="00711234">
        <w:rPr>
          <w:sz w:val="18"/>
          <w:szCs w:val="18"/>
        </w:rPr>
        <w:t>” suenan exactamente lo mismo, aunque sean palabras que las personas de habla inglesa pueden distinguirlas perfectamente</w:t>
      </w:r>
      <w:r w:rsidR="00BE5FA3" w:rsidRPr="00711234">
        <w:rPr>
          <w:sz w:val="18"/>
          <w:szCs w:val="18"/>
        </w:rPr>
        <w:t>;</w:t>
      </w:r>
      <w:r w:rsidR="001B371F" w:rsidRPr="00711234">
        <w:rPr>
          <w:sz w:val="18"/>
          <w:szCs w:val="18"/>
        </w:rPr>
        <w:t xml:space="preserve"> </w:t>
      </w:r>
      <w:r w:rsidR="00BE5FA3" w:rsidRPr="00711234">
        <w:rPr>
          <w:sz w:val="18"/>
          <w:szCs w:val="18"/>
        </w:rPr>
        <w:t xml:space="preserve"> […]”</w:t>
      </w:r>
    </w:p>
    <w:p w:rsidR="00BC20E5" w:rsidRPr="00711234" w:rsidRDefault="00BC20E5" w:rsidP="00BC20E5"/>
    <w:p w:rsidR="00BC20E5" w:rsidRPr="00711234" w:rsidRDefault="00BC20E5" w:rsidP="00BC20E5">
      <w:pPr>
        <w:keepNext/>
        <w:shd w:val="clear" w:color="auto" w:fill="FFFFFF" w:themeFill="background1"/>
        <w:rPr>
          <w:snapToGrid w:val="0"/>
        </w:rPr>
      </w:pPr>
      <w:r w:rsidRPr="00711234">
        <w:rPr>
          <w:snapToGrid w:val="0"/>
        </w:rPr>
        <w:t>Comentario:</w:t>
      </w:r>
    </w:p>
    <w:p w:rsidR="00BC20E5" w:rsidRPr="00711234" w:rsidRDefault="00BC20E5" w:rsidP="00BC20E5">
      <w:pPr>
        <w:keepNext/>
        <w:shd w:val="clear" w:color="auto" w:fill="FFFFFF" w:themeFill="background1"/>
        <w:rPr>
          <w:snapToGrid w:val="0"/>
        </w:rPr>
      </w:pPr>
    </w:p>
    <w:p w:rsidR="00BC20E5" w:rsidRPr="00711234" w:rsidRDefault="00BC20E5" w:rsidP="00BC20E5">
      <w:pPr>
        <w:shd w:val="clear" w:color="auto" w:fill="FFFFFF" w:themeFill="background1"/>
        <w:spacing w:after="240"/>
        <w:ind w:left="567" w:right="567"/>
        <w:rPr>
          <w:snapToGrid w:val="0"/>
          <w:sz w:val="18"/>
          <w:szCs w:val="18"/>
        </w:rPr>
      </w:pPr>
      <w:r w:rsidRPr="00711234">
        <w:rPr>
          <w:snapToGrid w:val="0"/>
          <w:sz w:val="18"/>
        </w:rPr>
        <w:t>“</w:t>
      </w:r>
      <w:r w:rsidR="00C81E77" w:rsidRPr="00711234">
        <w:rPr>
          <w:snapToGrid w:val="0"/>
          <w:sz w:val="18"/>
        </w:rPr>
        <w:t>L</w:t>
      </w:r>
      <w:r w:rsidRPr="00711234">
        <w:rPr>
          <w:snapToGrid w:val="0"/>
          <w:sz w:val="18"/>
        </w:rPr>
        <w:t xml:space="preserve">a diferencia de una letra </w:t>
      </w:r>
      <w:r w:rsidR="00C81E77" w:rsidRPr="00711234">
        <w:rPr>
          <w:snapToGrid w:val="0"/>
          <w:sz w:val="18"/>
        </w:rPr>
        <w:t xml:space="preserve">del </w:t>
      </w:r>
      <w:proofErr w:type="spellStart"/>
      <w:r w:rsidR="00C81E77" w:rsidRPr="00711234">
        <w:rPr>
          <w:snapToGrid w:val="0"/>
          <w:sz w:val="18"/>
        </w:rPr>
        <w:t>subapartado</w:t>
      </w:r>
      <w:proofErr w:type="spellEnd"/>
      <w:r w:rsidR="00C81E77" w:rsidRPr="00711234">
        <w:rPr>
          <w:snapToGrid w:val="0"/>
          <w:sz w:val="18"/>
        </w:rPr>
        <w:t xml:space="preserve"> i) </w:t>
      </w:r>
      <w:r w:rsidR="00D82395" w:rsidRPr="00711234">
        <w:rPr>
          <w:snapToGrid w:val="0"/>
          <w:sz w:val="18"/>
        </w:rPr>
        <w:t>indica</w:t>
      </w:r>
      <w:r w:rsidRPr="00711234">
        <w:rPr>
          <w:snapToGrid w:val="0"/>
          <w:sz w:val="18"/>
        </w:rPr>
        <w:t xml:space="preserve"> una diferencia visual o fonética clara; </w:t>
      </w:r>
      <w:r w:rsidR="001B371F" w:rsidRPr="00711234">
        <w:rPr>
          <w:snapToGrid w:val="0"/>
          <w:sz w:val="18"/>
        </w:rPr>
        <w:t xml:space="preserve"> </w:t>
      </w:r>
      <w:r w:rsidRPr="00711234">
        <w:rPr>
          <w:snapToGrid w:val="0"/>
          <w:sz w:val="18"/>
        </w:rPr>
        <w:t>por ejemplo, si se trata de una letra al comienzo de una palabra</w:t>
      </w:r>
      <w:r w:rsidR="00BE5FA3" w:rsidRPr="00711234">
        <w:rPr>
          <w:snapToGrid w:val="0"/>
          <w:sz w:val="18"/>
        </w:rPr>
        <w:t xml:space="preserve">, </w:t>
      </w:r>
      <w:r w:rsidRPr="00711234">
        <w:rPr>
          <w:snapToGrid w:val="0"/>
          <w:sz w:val="18"/>
        </w:rPr>
        <w:t xml:space="preserve">se ofrece el ejemplo 1. </w:t>
      </w:r>
      <w:r w:rsidR="00BE5FA3" w:rsidRPr="00711234">
        <w:rPr>
          <w:snapToGrid w:val="0"/>
          <w:sz w:val="18"/>
        </w:rPr>
        <w:t xml:space="preserve"> </w:t>
      </w:r>
      <w:r w:rsidR="001B371F" w:rsidRPr="00711234">
        <w:rPr>
          <w:snapToGrid w:val="0"/>
          <w:sz w:val="18"/>
        </w:rPr>
        <w:t xml:space="preserve">El caso de </w:t>
      </w:r>
      <w:r w:rsidRPr="00711234">
        <w:rPr>
          <w:snapToGrid w:val="0"/>
          <w:sz w:val="18"/>
        </w:rPr>
        <w:t xml:space="preserve">‘Harry’ y ‘Larry’ ilustra </w:t>
      </w:r>
      <w:r w:rsidRPr="00711234">
        <w:rPr>
          <w:snapToGrid w:val="0"/>
          <w:sz w:val="18"/>
        </w:rPr>
        <w:lastRenderedPageBreak/>
        <w:t xml:space="preserve">bien el argumento. </w:t>
      </w:r>
      <w:r w:rsidR="001B371F" w:rsidRPr="00711234">
        <w:rPr>
          <w:snapToGrid w:val="0"/>
          <w:sz w:val="18"/>
        </w:rPr>
        <w:t xml:space="preserve"> </w:t>
      </w:r>
      <w:r w:rsidRPr="00711234">
        <w:rPr>
          <w:snapToGrid w:val="0"/>
          <w:sz w:val="18"/>
        </w:rPr>
        <w:t>Lo que me preocupa es el caso de ‘</w:t>
      </w:r>
      <w:proofErr w:type="spellStart"/>
      <w:r w:rsidRPr="00711234">
        <w:rPr>
          <w:snapToGrid w:val="0"/>
          <w:sz w:val="18"/>
        </w:rPr>
        <w:t>Bough</w:t>
      </w:r>
      <w:proofErr w:type="spellEnd"/>
      <w:r w:rsidRPr="00711234">
        <w:rPr>
          <w:snapToGrid w:val="0"/>
          <w:sz w:val="18"/>
        </w:rPr>
        <w:t>’ y ‘</w:t>
      </w:r>
      <w:proofErr w:type="spellStart"/>
      <w:r w:rsidRPr="00711234">
        <w:rPr>
          <w:snapToGrid w:val="0"/>
          <w:sz w:val="18"/>
        </w:rPr>
        <w:t>Bow</w:t>
      </w:r>
      <w:proofErr w:type="spellEnd"/>
      <w:r w:rsidRPr="00711234">
        <w:rPr>
          <w:snapToGrid w:val="0"/>
          <w:sz w:val="18"/>
        </w:rPr>
        <w:t>’, que sin duda podrían confundirse entre sí por motivos fonéticos.  Sin embargo, no son un ejemplo de denominaciones que podr</w:t>
      </w:r>
      <w:r w:rsidR="00C81E77" w:rsidRPr="00711234">
        <w:rPr>
          <w:snapToGrid w:val="0"/>
          <w:sz w:val="18"/>
        </w:rPr>
        <w:t>ían causar confusión debido a l</w:t>
      </w:r>
      <w:r w:rsidRPr="00711234">
        <w:rPr>
          <w:snapToGrid w:val="0"/>
          <w:sz w:val="18"/>
        </w:rPr>
        <w:t xml:space="preserve">a diferencia de una letra </w:t>
      </w:r>
      <w:r w:rsidR="00C81E77" w:rsidRPr="00711234">
        <w:rPr>
          <w:snapToGrid w:val="0"/>
          <w:sz w:val="18"/>
        </w:rPr>
        <w:t xml:space="preserve">e indicar que lo son </w:t>
      </w:r>
      <w:r w:rsidRPr="00711234">
        <w:rPr>
          <w:snapToGrid w:val="0"/>
          <w:sz w:val="18"/>
        </w:rPr>
        <w:t xml:space="preserve">podría distraer y confundir a los alumnos. </w:t>
      </w:r>
    </w:p>
    <w:p w:rsidR="00BC20E5" w:rsidRPr="00711234" w:rsidRDefault="00BC20E5" w:rsidP="00BC20E5">
      <w:pPr>
        <w:shd w:val="clear" w:color="auto" w:fill="FFFFFF" w:themeFill="background1"/>
        <w:ind w:left="567" w:right="567"/>
        <w:rPr>
          <w:rFonts w:cs="Arial"/>
          <w:snapToGrid w:val="0"/>
        </w:rPr>
      </w:pPr>
      <w:r w:rsidRPr="00711234">
        <w:rPr>
          <w:snapToGrid w:val="0"/>
          <w:sz w:val="18"/>
        </w:rPr>
        <w:t>¿Se describiría mejor el caso de ‘</w:t>
      </w:r>
      <w:proofErr w:type="spellStart"/>
      <w:r w:rsidRPr="00711234">
        <w:rPr>
          <w:snapToGrid w:val="0"/>
          <w:sz w:val="18"/>
        </w:rPr>
        <w:t>Bough</w:t>
      </w:r>
      <w:proofErr w:type="spellEnd"/>
      <w:r w:rsidRPr="00711234">
        <w:rPr>
          <w:snapToGrid w:val="0"/>
          <w:sz w:val="18"/>
        </w:rPr>
        <w:t>’ y ‘</w:t>
      </w:r>
      <w:proofErr w:type="spellStart"/>
      <w:r w:rsidRPr="00711234">
        <w:rPr>
          <w:snapToGrid w:val="0"/>
          <w:sz w:val="18"/>
        </w:rPr>
        <w:t>Bow</w:t>
      </w:r>
      <w:proofErr w:type="spellEnd"/>
      <w:r w:rsidRPr="00711234">
        <w:rPr>
          <w:snapToGrid w:val="0"/>
          <w:sz w:val="18"/>
        </w:rPr>
        <w:t xml:space="preserve">’ en un </w:t>
      </w:r>
      <w:proofErr w:type="spellStart"/>
      <w:r w:rsidRPr="00711234">
        <w:rPr>
          <w:snapToGrid w:val="0"/>
          <w:sz w:val="18"/>
        </w:rPr>
        <w:t>subapartado</w:t>
      </w:r>
      <w:proofErr w:type="spellEnd"/>
      <w:r w:rsidRPr="00711234">
        <w:rPr>
          <w:snapToGrid w:val="0"/>
          <w:sz w:val="18"/>
        </w:rPr>
        <w:t xml:space="preserve"> diferente dedicado a la confusión fonética?</w:t>
      </w:r>
      <w:r w:rsidR="00BE5FA3" w:rsidRPr="00711234">
        <w:rPr>
          <w:snapToGrid w:val="0"/>
          <w:sz w:val="18"/>
        </w:rPr>
        <w:t xml:space="preserve"> </w:t>
      </w:r>
      <w:r w:rsidRPr="00711234">
        <w:rPr>
          <w:snapToGrid w:val="0"/>
          <w:sz w:val="18"/>
        </w:rPr>
        <w:t xml:space="preserve"> Me imagino que </w:t>
      </w:r>
      <w:r w:rsidR="00224434" w:rsidRPr="00711234">
        <w:rPr>
          <w:snapToGrid w:val="0"/>
          <w:sz w:val="18"/>
        </w:rPr>
        <w:t xml:space="preserve">mi </w:t>
      </w:r>
      <w:r w:rsidRPr="00711234">
        <w:rPr>
          <w:snapToGrid w:val="0"/>
          <w:sz w:val="18"/>
        </w:rPr>
        <w:t xml:space="preserve">reparo </w:t>
      </w:r>
      <w:r w:rsidR="00224434" w:rsidRPr="00711234">
        <w:rPr>
          <w:snapToGrid w:val="0"/>
          <w:sz w:val="18"/>
        </w:rPr>
        <w:t>afecta</w:t>
      </w:r>
      <w:r w:rsidRPr="00711234">
        <w:rPr>
          <w:snapToGrid w:val="0"/>
          <w:sz w:val="18"/>
        </w:rPr>
        <w:t xml:space="preserve"> al documento UPOV/INF/12 y a la redacción del módulo</w:t>
      </w:r>
      <w:r w:rsidRPr="00711234">
        <w:rPr>
          <w:snapToGrid w:val="0"/>
          <w:sz w:val="18"/>
          <w:szCs w:val="18"/>
        </w:rPr>
        <w:t>.”</w:t>
      </w:r>
    </w:p>
    <w:p w:rsidR="00BC20E5" w:rsidRPr="00711234" w:rsidRDefault="00BC20E5" w:rsidP="00BC20E5"/>
    <w:p w:rsidR="00BC20E5" w:rsidRPr="00711234" w:rsidRDefault="00BC20E5" w:rsidP="00BC20E5">
      <w:pPr>
        <w:rPr>
          <w:rFonts w:cs="Arial"/>
          <w:snapToGrid w:val="0"/>
        </w:rPr>
      </w:pPr>
      <w:r w:rsidRPr="00711234">
        <w:fldChar w:fldCharType="begin"/>
      </w:r>
      <w:r w:rsidRPr="00711234">
        <w:instrText xml:space="preserve"> AUTONUM  </w:instrText>
      </w:r>
      <w:r w:rsidRPr="00711234">
        <w:fldChar w:fldCharType="end"/>
      </w:r>
      <w:r w:rsidRPr="00711234">
        <w:tab/>
        <w:t>Se invita al CAJ a considerar si sería conveniente modificar el documento UPOV/INF/12.</w:t>
      </w:r>
    </w:p>
    <w:p w:rsidR="00BC20E5" w:rsidRPr="00711234" w:rsidRDefault="00BC20E5" w:rsidP="00BC20E5"/>
    <w:p w:rsidR="00BC20E5" w:rsidRPr="00711234" w:rsidRDefault="00BC20E5" w:rsidP="00BC20E5">
      <w:pPr>
        <w:pStyle w:val="DecisionParagraphs"/>
      </w:pPr>
      <w:r w:rsidRPr="00711234">
        <w:fldChar w:fldCharType="begin"/>
      </w:r>
      <w:r w:rsidRPr="00711234">
        <w:instrText xml:space="preserve"> AUTONUM  </w:instrText>
      </w:r>
      <w:r w:rsidRPr="00711234">
        <w:fldChar w:fldCharType="end"/>
      </w:r>
      <w:r w:rsidRPr="00711234">
        <w:tab/>
        <w:t>Se invita al CAJ a:</w:t>
      </w:r>
    </w:p>
    <w:p w:rsidR="00BC20E5" w:rsidRPr="00711234" w:rsidRDefault="00BC20E5" w:rsidP="00BC20E5">
      <w:pPr>
        <w:pStyle w:val="DecisionParagraphs"/>
        <w:tabs>
          <w:tab w:val="left" w:pos="5954"/>
        </w:tabs>
      </w:pPr>
    </w:p>
    <w:p w:rsidR="00BC20E5" w:rsidRPr="00711234" w:rsidRDefault="00BC20E5" w:rsidP="00BC20E5">
      <w:pPr>
        <w:pStyle w:val="DecisionParagraphs"/>
        <w:tabs>
          <w:tab w:val="left" w:pos="5954"/>
        </w:tabs>
      </w:pPr>
      <w:r w:rsidRPr="00711234">
        <w:tab/>
        <w:t>a)</w:t>
      </w:r>
      <w:r w:rsidRPr="00711234">
        <w:tab/>
        <w:t>tomar nota de la labor que está real</w:t>
      </w:r>
      <w:r w:rsidR="007F51F1" w:rsidRPr="00711234">
        <w:t>i</w:t>
      </w:r>
      <w:r w:rsidRPr="00711234">
        <w:t xml:space="preserve">zando el CAJ-AG en materia </w:t>
      </w:r>
      <w:r w:rsidR="00C81E77" w:rsidRPr="00711234">
        <w:t xml:space="preserve">de </w:t>
      </w:r>
      <w:r w:rsidRPr="00711234">
        <w:t>elaboración de orientaciones sobre las denominaciones de variedades, expuest</w:t>
      </w:r>
      <w:r w:rsidR="00BE5FA3" w:rsidRPr="00711234">
        <w:t>a</w:t>
      </w:r>
      <w:r w:rsidRPr="00711234">
        <w:t xml:space="preserve"> en los párrafos 3 a 6 </w:t>
      </w:r>
      <w:r w:rsidRPr="00711234">
        <w:rPr>
          <w:i w:val="0"/>
        </w:rPr>
        <w:t>supra</w:t>
      </w:r>
      <w:r w:rsidRPr="00711234">
        <w:t>;  y</w:t>
      </w:r>
    </w:p>
    <w:p w:rsidR="00BC20E5" w:rsidRPr="00711234" w:rsidRDefault="00BC20E5" w:rsidP="00BC20E5">
      <w:pPr>
        <w:pStyle w:val="DecisionParagraphs"/>
        <w:tabs>
          <w:tab w:val="left" w:pos="5954"/>
        </w:tabs>
      </w:pPr>
    </w:p>
    <w:p w:rsidR="00BC20E5" w:rsidRPr="00711234" w:rsidRDefault="00BC20E5" w:rsidP="00BC20E5">
      <w:pPr>
        <w:pStyle w:val="DecisionParagraphs"/>
        <w:tabs>
          <w:tab w:val="left" w:pos="5954"/>
        </w:tabs>
      </w:pPr>
      <w:r w:rsidRPr="00711234">
        <w:tab/>
        <w:t>b)</w:t>
      </w:r>
      <w:r w:rsidRPr="00711234">
        <w:tab/>
        <w:t>considerar si sería conveniente modificar el párrafo 2.3.3.a)i) del documento</w:t>
      </w:r>
      <w:r w:rsidR="007E1363" w:rsidRPr="00711234">
        <w:t> </w:t>
      </w:r>
      <w:r w:rsidRPr="00711234">
        <w:t xml:space="preserve">UPOV/INF/12, como se </w:t>
      </w:r>
      <w:r w:rsidR="009C2997" w:rsidRPr="00711234">
        <w:t xml:space="preserve">propone </w:t>
      </w:r>
      <w:r w:rsidRPr="00711234">
        <w:t>en el párrafo 7 del presente documento.</w:t>
      </w:r>
    </w:p>
    <w:p w:rsidR="00BC20E5" w:rsidRPr="00711234" w:rsidRDefault="00BC20E5" w:rsidP="00BC20E5">
      <w:pPr>
        <w:tabs>
          <w:tab w:val="left" w:pos="5954"/>
        </w:tabs>
        <w:rPr>
          <w:rFonts w:cs="Arial"/>
          <w:snapToGrid w:val="0"/>
        </w:rPr>
      </w:pPr>
    </w:p>
    <w:p w:rsidR="00BC20E5" w:rsidRPr="00711234" w:rsidRDefault="00BC20E5" w:rsidP="00BC20E5">
      <w:pPr>
        <w:tabs>
          <w:tab w:val="left" w:pos="5954"/>
        </w:tabs>
        <w:rPr>
          <w:rFonts w:cs="Arial"/>
          <w:snapToGrid w:val="0"/>
        </w:rPr>
      </w:pPr>
    </w:p>
    <w:p w:rsidR="00BC20E5" w:rsidRPr="00711234" w:rsidRDefault="00BC20E5" w:rsidP="00BC20E5"/>
    <w:p w:rsidR="00BC20E5" w:rsidRPr="00711234" w:rsidRDefault="00BC20E5" w:rsidP="00BC20E5">
      <w:pPr>
        <w:pStyle w:val="Heading1"/>
        <w:ind w:left="567" w:hanging="567"/>
        <w:rPr>
          <w:snapToGrid w:val="0"/>
          <w:lang w:val="es-ES_tradnl"/>
        </w:rPr>
      </w:pPr>
      <w:bookmarkStart w:id="8" w:name="_Toc382815092"/>
      <w:r w:rsidRPr="00711234">
        <w:rPr>
          <w:snapToGrid w:val="0"/>
          <w:lang w:val="es-ES_tradnl"/>
        </w:rPr>
        <w:t>II</w:t>
      </w:r>
      <w:r w:rsidR="007E1363" w:rsidRPr="00711234">
        <w:rPr>
          <w:i/>
          <w:caps w:val="0"/>
          <w:snapToGrid w:val="0"/>
          <w:lang w:val="es-ES_tradnl"/>
        </w:rPr>
        <w:t>.</w:t>
      </w:r>
      <w:r w:rsidR="007E1363" w:rsidRPr="00711234">
        <w:rPr>
          <w:caps w:val="0"/>
          <w:snapToGrid w:val="0"/>
          <w:lang w:val="es-ES_tradnl"/>
        </w:rPr>
        <w:tab/>
      </w:r>
      <w:r w:rsidRPr="00711234">
        <w:rPr>
          <w:caps w:val="0"/>
          <w:snapToGrid w:val="0"/>
          <w:lang w:val="es-ES_tradnl"/>
        </w:rPr>
        <w:t>POSIBLE ELABORACIÓN DE UN INSTRUMENTO DE LA UPOV DE BÚSQUEDA DE</w:t>
      </w:r>
      <w:r w:rsidR="00D82395" w:rsidRPr="00711234">
        <w:rPr>
          <w:caps w:val="0"/>
          <w:snapToGrid w:val="0"/>
          <w:lang w:val="es-ES_tradnl"/>
        </w:rPr>
        <w:t xml:space="preserve"> </w:t>
      </w:r>
      <w:r w:rsidR="002F273F" w:rsidRPr="00711234">
        <w:rPr>
          <w:caps w:val="0"/>
          <w:snapToGrid w:val="0"/>
          <w:lang w:val="es-ES_tradnl"/>
        </w:rPr>
        <w:t xml:space="preserve">DENOMINACIONES </w:t>
      </w:r>
      <w:r w:rsidR="00D82395" w:rsidRPr="00711234">
        <w:rPr>
          <w:caps w:val="0"/>
          <w:snapToGrid w:val="0"/>
          <w:lang w:val="es-ES_tradnl"/>
        </w:rPr>
        <w:t>SIMILARES</w:t>
      </w:r>
      <w:r w:rsidRPr="00711234">
        <w:rPr>
          <w:caps w:val="0"/>
          <w:snapToGrid w:val="0"/>
          <w:lang w:val="es-ES_tradnl"/>
        </w:rPr>
        <w:t xml:space="preserve"> A LOS FINES DE LA DENOMINACIÓN DE VARIEDADES</w:t>
      </w:r>
      <w:bookmarkEnd w:id="8"/>
    </w:p>
    <w:p w:rsidR="00BC20E5" w:rsidRPr="00711234" w:rsidRDefault="00BC20E5" w:rsidP="00BC20E5">
      <w:pPr>
        <w:rPr>
          <w:rFonts w:cs="Arial"/>
          <w:snapToGrid w:val="0"/>
        </w:rPr>
      </w:pPr>
    </w:p>
    <w:p w:rsidR="00BC20E5" w:rsidRPr="00711234" w:rsidRDefault="00BC20E5" w:rsidP="00BC20E5">
      <w:r w:rsidRPr="00711234">
        <w:fldChar w:fldCharType="begin"/>
      </w:r>
      <w:r w:rsidRPr="00711234">
        <w:instrText xml:space="preserve"> AUTONUM  </w:instrText>
      </w:r>
      <w:r w:rsidRPr="00711234">
        <w:fldChar w:fldCharType="end"/>
      </w:r>
      <w:r w:rsidRPr="00711234">
        <w:tab/>
        <w:t xml:space="preserve">En el </w:t>
      </w:r>
      <w:r w:rsidRPr="00711234">
        <w:rPr>
          <w:spacing w:val="-2"/>
          <w:kern w:val="28"/>
        </w:rPr>
        <w:t>documento CAJ</w:t>
      </w:r>
      <w:r w:rsidRPr="00711234">
        <w:t>/</w:t>
      </w:r>
      <w:r w:rsidRPr="00711234">
        <w:rPr>
          <w:spacing w:val="-2"/>
          <w:kern w:val="28"/>
        </w:rPr>
        <w:t>69/9 “Posible elaboración de un instrumento de la UPOV de búsqueda de</w:t>
      </w:r>
      <w:r w:rsidR="002F273F" w:rsidRPr="00711234">
        <w:rPr>
          <w:spacing w:val="-2"/>
          <w:kern w:val="28"/>
        </w:rPr>
        <w:t xml:space="preserve"> denominaciones similares</w:t>
      </w:r>
      <w:r w:rsidRPr="00711234">
        <w:rPr>
          <w:spacing w:val="-2"/>
          <w:kern w:val="28"/>
        </w:rPr>
        <w:t xml:space="preserve"> a los fines de la denominación de variedades</w:t>
      </w:r>
      <w:r w:rsidRPr="00711234">
        <w:t xml:space="preserve">” figura un informe relativo a la </w:t>
      </w:r>
      <w:r w:rsidRPr="00711234">
        <w:rPr>
          <w:spacing w:val="-2"/>
          <w:kern w:val="28"/>
        </w:rPr>
        <w:t xml:space="preserve">posible elaboración de un instrumento de la UPOV de búsqueda de </w:t>
      </w:r>
      <w:r w:rsidR="002F273F" w:rsidRPr="00711234">
        <w:rPr>
          <w:spacing w:val="-2"/>
          <w:kern w:val="28"/>
        </w:rPr>
        <w:t>denominaciones similares</w:t>
      </w:r>
      <w:r w:rsidRPr="00711234">
        <w:rPr>
          <w:spacing w:val="-2"/>
          <w:kern w:val="28"/>
        </w:rPr>
        <w:t xml:space="preserve"> a los fines de la denominación de variedades</w:t>
      </w:r>
      <w:r w:rsidRPr="00711234">
        <w:t>.</w:t>
      </w:r>
    </w:p>
    <w:p w:rsidR="00BC20E5" w:rsidRPr="00711234" w:rsidRDefault="00BC20E5" w:rsidP="00BC20E5">
      <w:pPr>
        <w:rPr>
          <w:rFonts w:cs="Arial"/>
          <w:snapToGrid w:val="0"/>
        </w:rPr>
      </w:pPr>
    </w:p>
    <w:p w:rsidR="00BC20E5" w:rsidRPr="00711234" w:rsidRDefault="00BC20E5" w:rsidP="00BC20E5">
      <w:pPr>
        <w:pStyle w:val="DecisionParagraphs"/>
        <w:rPr>
          <w:rFonts w:cs="Arial"/>
          <w:snapToGrid w:val="0"/>
        </w:rPr>
      </w:pPr>
      <w:r w:rsidRPr="00711234">
        <w:rPr>
          <w:rFonts w:cs="Arial"/>
          <w:snapToGrid w:val="0"/>
        </w:rPr>
        <w:fldChar w:fldCharType="begin"/>
      </w:r>
      <w:r w:rsidRPr="00711234">
        <w:rPr>
          <w:rFonts w:cs="Arial"/>
          <w:snapToGrid w:val="0"/>
        </w:rPr>
        <w:instrText xml:space="preserve"> AUTONUM  </w:instrText>
      </w:r>
      <w:r w:rsidRPr="00711234">
        <w:rPr>
          <w:rFonts w:cs="Arial"/>
          <w:snapToGrid w:val="0"/>
        </w:rPr>
        <w:fldChar w:fldCharType="end"/>
      </w:r>
      <w:r w:rsidRPr="00711234">
        <w:tab/>
      </w:r>
      <w:r w:rsidRPr="00711234">
        <w:rPr>
          <w:snapToGrid w:val="0"/>
        </w:rPr>
        <w:t xml:space="preserve">Se invita al CAJ a tomar nota de que </w:t>
      </w:r>
      <w:r w:rsidRPr="00711234">
        <w:rPr>
          <w:spacing w:val="-2"/>
          <w:kern w:val="28"/>
        </w:rPr>
        <w:t xml:space="preserve">en el documento CAJ/69/9 “Posible elaboración de un instrumento de la UPOV de búsqueda de </w:t>
      </w:r>
      <w:r w:rsidR="002F273F" w:rsidRPr="00711234">
        <w:rPr>
          <w:spacing w:val="-2"/>
          <w:kern w:val="28"/>
        </w:rPr>
        <w:t>denominaciones similares</w:t>
      </w:r>
      <w:r w:rsidRPr="00711234">
        <w:rPr>
          <w:spacing w:val="-2"/>
          <w:kern w:val="28"/>
        </w:rPr>
        <w:t xml:space="preserve"> a los fines de la denominación de variedades” figura un informe relativo a la posible elaboración de un instrumento de la UPOV de búsqueda de </w:t>
      </w:r>
      <w:r w:rsidR="002F273F" w:rsidRPr="00711234">
        <w:rPr>
          <w:spacing w:val="-2"/>
          <w:kern w:val="28"/>
        </w:rPr>
        <w:t>denominaciones similares</w:t>
      </w:r>
      <w:r w:rsidRPr="00711234">
        <w:rPr>
          <w:spacing w:val="-2"/>
          <w:kern w:val="28"/>
        </w:rPr>
        <w:t xml:space="preserve"> a los fines de la denominación de variedades</w:t>
      </w:r>
      <w:r w:rsidRPr="00711234">
        <w:t>.</w:t>
      </w:r>
    </w:p>
    <w:p w:rsidR="00BC20E5" w:rsidRPr="00711234" w:rsidRDefault="00BC20E5" w:rsidP="00BC20E5">
      <w:pPr>
        <w:rPr>
          <w:rFonts w:cs="Arial"/>
          <w:snapToGrid w:val="0"/>
        </w:rPr>
      </w:pPr>
    </w:p>
    <w:p w:rsidR="00BC20E5" w:rsidRPr="00711234" w:rsidRDefault="00BC20E5" w:rsidP="00BC20E5">
      <w:pPr>
        <w:rPr>
          <w:rFonts w:cs="Arial"/>
          <w:snapToGrid w:val="0"/>
        </w:rPr>
      </w:pPr>
    </w:p>
    <w:p w:rsidR="00BC20E5" w:rsidRPr="00711234" w:rsidRDefault="00BC20E5" w:rsidP="00BC20E5">
      <w:pPr>
        <w:rPr>
          <w:rFonts w:cs="Arial"/>
          <w:snapToGrid w:val="0"/>
        </w:rPr>
      </w:pPr>
    </w:p>
    <w:p w:rsidR="00BC20E5" w:rsidRPr="00711234" w:rsidRDefault="00BC20E5" w:rsidP="00711CD3">
      <w:pPr>
        <w:pStyle w:val="Heading1"/>
        <w:rPr>
          <w:rFonts w:cs="Arial"/>
          <w:snapToGrid w:val="0"/>
          <w:lang w:val="es-ES_tradnl"/>
        </w:rPr>
      </w:pPr>
      <w:bookmarkStart w:id="9" w:name="_Toc382815093"/>
      <w:r w:rsidRPr="00711234">
        <w:rPr>
          <w:snapToGrid w:val="0"/>
          <w:lang w:val="es-ES_tradnl"/>
        </w:rPr>
        <w:t>III.</w:t>
      </w:r>
      <w:r w:rsidRPr="00711234">
        <w:rPr>
          <w:lang w:val="es-ES_tradnl"/>
        </w:rPr>
        <w:tab/>
      </w:r>
      <w:r w:rsidR="00711CD3" w:rsidRPr="00711234">
        <w:rPr>
          <w:lang w:val="es-ES_tradnl"/>
        </w:rPr>
        <w:t xml:space="preserve">NOVEDADES RELATIVAS A POSIBLES ÁMBITOS DE COOPERACIÓN CON LA COMISIÓN DE LA UICB Y LA COMISIÓN DE LA </w:t>
      </w:r>
      <w:r w:rsidRPr="00711234">
        <w:rPr>
          <w:snapToGrid w:val="0"/>
          <w:lang w:val="es-ES_tradnl"/>
        </w:rPr>
        <w:t>ISHS</w:t>
      </w:r>
      <w:bookmarkEnd w:id="9"/>
    </w:p>
    <w:p w:rsidR="00BC20E5" w:rsidRPr="00711234" w:rsidRDefault="00BC20E5" w:rsidP="00BC20E5">
      <w:pPr>
        <w:rPr>
          <w:rFonts w:cs="Arial"/>
          <w:snapToGrid w:val="0"/>
        </w:rPr>
      </w:pPr>
    </w:p>
    <w:p w:rsidR="00BC20E5" w:rsidRPr="00711234" w:rsidRDefault="00BC20E5" w:rsidP="00BC20E5">
      <w:pPr>
        <w:rPr>
          <w:rFonts w:cs="Arial"/>
          <w:snapToGrid w:val="0"/>
        </w:rPr>
      </w:pPr>
      <w:r w:rsidRPr="00711234">
        <w:rPr>
          <w:rFonts w:cs="Arial"/>
          <w:snapToGrid w:val="0"/>
        </w:rPr>
        <w:fldChar w:fldCharType="begin"/>
      </w:r>
      <w:r w:rsidRPr="00711234">
        <w:rPr>
          <w:rFonts w:cs="Arial"/>
          <w:snapToGrid w:val="0"/>
        </w:rPr>
        <w:instrText xml:space="preserve"> AUTONUM  </w:instrText>
      </w:r>
      <w:r w:rsidRPr="00711234">
        <w:rPr>
          <w:rFonts w:cs="Arial"/>
          <w:snapToGrid w:val="0"/>
        </w:rPr>
        <w:fldChar w:fldCharType="end"/>
      </w:r>
      <w:r w:rsidRPr="00711234">
        <w:rPr>
          <w:rFonts w:cs="Arial"/>
          <w:snapToGrid w:val="0"/>
        </w:rPr>
        <w:tab/>
        <w:t>La información sobre los antecedente</w:t>
      </w:r>
      <w:r w:rsidR="00224434" w:rsidRPr="00711234">
        <w:rPr>
          <w:rFonts w:cs="Arial"/>
          <w:snapToGrid w:val="0"/>
        </w:rPr>
        <w:t>s</w:t>
      </w:r>
      <w:r w:rsidRPr="00711234">
        <w:rPr>
          <w:rFonts w:cs="Arial"/>
          <w:snapToGrid w:val="0"/>
        </w:rPr>
        <w:t xml:space="preserve"> de ese tema figura en los párrafos 3 a 20 del documento</w:t>
      </w:r>
      <w:r w:rsidR="00224434" w:rsidRPr="00711234">
        <w:rPr>
          <w:rFonts w:cs="Arial"/>
          <w:snapToGrid w:val="0"/>
        </w:rPr>
        <w:t> </w:t>
      </w:r>
      <w:r w:rsidRPr="00711234">
        <w:rPr>
          <w:rFonts w:cs="Arial"/>
          <w:snapToGrid w:val="0"/>
        </w:rPr>
        <w:t>CAJ/66/3, “Denominaciones de variedades”.</w:t>
      </w:r>
    </w:p>
    <w:p w:rsidR="00BC20E5" w:rsidRPr="00711234" w:rsidRDefault="00BC20E5" w:rsidP="00BC20E5">
      <w:pPr>
        <w:rPr>
          <w:rFonts w:cs="Arial"/>
        </w:rPr>
      </w:pPr>
    </w:p>
    <w:p w:rsidR="00BC20E5" w:rsidRPr="00711234" w:rsidRDefault="00BC20E5" w:rsidP="00BC20E5">
      <w:r w:rsidRPr="00711234">
        <w:fldChar w:fldCharType="begin"/>
      </w:r>
      <w:r w:rsidRPr="00711234">
        <w:instrText xml:space="preserve"> AUTONUM  </w:instrText>
      </w:r>
      <w:r w:rsidRPr="00711234">
        <w:fldChar w:fldCharType="end"/>
      </w:r>
      <w:r w:rsidRPr="00711234">
        <w:tab/>
        <w:t>En su sexagésima</w:t>
      </w:r>
      <w:r w:rsidR="00EB3B7E" w:rsidRPr="00711234">
        <w:t xml:space="preserve"> </w:t>
      </w:r>
      <w:r w:rsidRPr="00711234">
        <w:t xml:space="preserve">octava sesión, celebrada en Ginebra el 21 de octubre de 2013, </w:t>
      </w:r>
      <w:r w:rsidR="009C2997" w:rsidRPr="00711234">
        <w:t xml:space="preserve">el CAJ </w:t>
      </w:r>
      <w:r w:rsidRPr="00711234">
        <w:t>examinó el documento CAJ/68/</w:t>
      </w:r>
      <w:r w:rsidRPr="00711234">
        <w:rPr>
          <w:kern w:val="28"/>
        </w:rPr>
        <w:t xml:space="preserve">5 </w:t>
      </w:r>
      <w:r w:rsidRPr="00711234">
        <w:rPr>
          <w:snapToGrid w:val="0"/>
        </w:rPr>
        <w:t>“Denominaciones de variedades”</w:t>
      </w:r>
      <w:r w:rsidRPr="00711234">
        <w:t xml:space="preserve">. </w:t>
      </w:r>
      <w:r w:rsidR="001B371F" w:rsidRPr="00711234">
        <w:t xml:space="preserve"> </w:t>
      </w:r>
      <w:r w:rsidRPr="00711234">
        <w:t>El 19 de julio de 2013, en Beijing (China), la Oficina de la Unión participó como conferenciante en el VI Simposio Internacional sobre la Nomenclatura de las Plantas Cultivadas (ISTCP 2013), organizado por la Universidad de Silvicultura de Beijing y el Jardín Botánico de Beijing, bajo los auspicios de la Sociedad Internacional de la Ciencia Hortícola (ISH).</w:t>
      </w:r>
      <w:r w:rsidRPr="00711234">
        <w:rPr>
          <w:rFonts w:cs="Arial"/>
        </w:rPr>
        <w:t xml:space="preserve">  </w:t>
      </w:r>
      <w:r w:rsidRPr="00711234">
        <w:rPr>
          <w:snapToGrid w:val="0"/>
        </w:rPr>
        <w:t xml:space="preserve">La Oficina de la Unión </w:t>
      </w:r>
      <w:r w:rsidR="00C04267" w:rsidRPr="00711234">
        <w:rPr>
          <w:snapToGrid w:val="0"/>
        </w:rPr>
        <w:t xml:space="preserve">explicó </w:t>
      </w:r>
      <w:r w:rsidRPr="00711234">
        <w:rPr>
          <w:snapToGrid w:val="0"/>
        </w:rPr>
        <w:t>la orientación que ofrece la UPOV sobre las denominaciones de variedades</w:t>
      </w:r>
      <w:r w:rsidRPr="00711234">
        <w:t xml:space="preserve"> (véase el párrafo 22 del documento</w:t>
      </w:r>
      <w:r w:rsidR="007E1363" w:rsidRPr="00711234">
        <w:t> </w:t>
      </w:r>
      <w:r w:rsidRPr="00711234">
        <w:t>CAJ/68/10 “Informe sobre las conclusiones”).</w:t>
      </w:r>
    </w:p>
    <w:p w:rsidR="00BC20E5" w:rsidRPr="00711234" w:rsidRDefault="00BC20E5" w:rsidP="00BC20E5">
      <w:pPr>
        <w:rPr>
          <w:snapToGrid w:val="0"/>
        </w:rPr>
      </w:pPr>
    </w:p>
    <w:p w:rsidR="00BC20E5" w:rsidRPr="00711234" w:rsidRDefault="00BC20E5" w:rsidP="00BC20E5">
      <w:pPr>
        <w:rPr>
          <w:rFonts w:cs="Arial"/>
          <w:snapToGrid w:val="0"/>
        </w:rPr>
      </w:pPr>
      <w:r w:rsidRPr="00711234">
        <w:rPr>
          <w:rFonts w:cs="Arial"/>
        </w:rPr>
        <w:fldChar w:fldCharType="begin"/>
      </w:r>
      <w:r w:rsidRPr="00711234">
        <w:rPr>
          <w:rFonts w:cs="Arial"/>
        </w:rPr>
        <w:instrText xml:space="preserve"> AUTONUM  </w:instrText>
      </w:r>
      <w:r w:rsidRPr="00711234">
        <w:rPr>
          <w:rFonts w:cs="Arial"/>
        </w:rPr>
        <w:fldChar w:fldCharType="end"/>
      </w:r>
      <w:r w:rsidRPr="00711234">
        <w:rPr>
          <w:rFonts w:cs="Arial"/>
        </w:rPr>
        <w:tab/>
      </w:r>
      <w:r w:rsidRPr="00711234">
        <w:t>Los días 20 y 21 de julio, igualmente en Beijing, la Oficina de la Unión participó en calidad de observador en las reuniones de la Comisión Internacional para la Nomenclatura de Plantas Cultivadas de la Unión Internacional de Ciencias Biológicas (Comisión de la UICB).</w:t>
      </w:r>
      <w:r w:rsidRPr="00711234">
        <w:rPr>
          <w:rFonts w:cs="Arial"/>
          <w:snapToGrid w:val="0"/>
        </w:rPr>
        <w:t xml:space="preserve">  En esas reuniones, la Comisión de la UICB consideró varias propuestas de modificación de la octava edición del Código Internacional de Nomenclatura de Plantas Cultivadas (CINPC).</w:t>
      </w:r>
      <w:r w:rsidRPr="00711234">
        <w:rPr>
          <w:snapToGrid w:val="0"/>
        </w:rPr>
        <w:t xml:space="preserve">  </w:t>
      </w:r>
      <w:r w:rsidRPr="00711234">
        <w:rPr>
          <w:rFonts w:cs="Arial"/>
          <w:snapToGrid w:val="0"/>
        </w:rPr>
        <w:t>Esas propuestas fueron publicadas en junio de 2013 en el Volumen 7 de la revista “</w:t>
      </w:r>
      <w:proofErr w:type="spellStart"/>
      <w:r w:rsidRPr="00711234">
        <w:rPr>
          <w:rFonts w:cs="Arial"/>
          <w:snapToGrid w:val="0"/>
        </w:rPr>
        <w:t>Hanburyana</w:t>
      </w:r>
      <w:proofErr w:type="spellEnd"/>
      <w:r w:rsidRPr="00711234">
        <w:rPr>
          <w:rFonts w:cs="Arial"/>
          <w:snapToGrid w:val="0"/>
        </w:rPr>
        <w:t xml:space="preserve">” </w:t>
      </w:r>
      <w:r w:rsidRPr="00711234">
        <w:rPr>
          <w:rFonts w:cs="Arial"/>
          <w:snapToGrid w:val="0"/>
          <w:u w:val="single"/>
        </w:rPr>
        <w:t>http://www.rhs.org.uk/Plants/RHS-Publications/Journals/Hanburyana/</w:t>
      </w:r>
      <w:r w:rsidRPr="00711234">
        <w:rPr>
          <w:rFonts w:cs="Arial"/>
          <w:snapToGrid w:val="0"/>
        </w:rPr>
        <w:t xml:space="preserve"> </w:t>
      </w:r>
      <w:proofErr w:type="spellStart"/>
      <w:r w:rsidRPr="00711234">
        <w:rPr>
          <w:rFonts w:cs="Arial"/>
          <w:snapToGrid w:val="0"/>
          <w:u w:val="single"/>
        </w:rPr>
        <w:lastRenderedPageBreak/>
        <w:t>Hanburyan-issues</w:t>
      </w:r>
      <w:proofErr w:type="spellEnd"/>
      <w:r w:rsidRPr="00711234">
        <w:rPr>
          <w:rFonts w:cs="Arial"/>
          <w:snapToGrid w:val="0"/>
          <w:u w:val="single"/>
        </w:rPr>
        <w:t>/Volume-7--June-2013</w:t>
      </w:r>
      <w:r w:rsidRPr="00711234">
        <w:rPr>
          <w:rFonts w:cs="Arial"/>
          <w:snapToGrid w:val="0"/>
        </w:rPr>
        <w:t xml:space="preserve">.  Las propuestas acordadas por la Comisión de la UICB quedarán reflejadas en la novena edición del CINPC, que está previsto que se publique en 2014. </w:t>
      </w:r>
    </w:p>
    <w:p w:rsidR="00BC20E5" w:rsidRPr="00711234" w:rsidRDefault="00BC20E5" w:rsidP="00BC20E5">
      <w:pPr>
        <w:rPr>
          <w:rFonts w:cs="Arial"/>
          <w:snapToGrid w:val="0"/>
        </w:rPr>
      </w:pPr>
    </w:p>
    <w:p w:rsidR="00BC20E5" w:rsidRPr="00711234" w:rsidRDefault="00BC20E5" w:rsidP="00BC20E5">
      <w:pPr>
        <w:rPr>
          <w:rFonts w:cs="Arial"/>
          <w:snapToGrid w:val="0"/>
        </w:rPr>
      </w:pPr>
      <w:r w:rsidRPr="00711234">
        <w:rPr>
          <w:rFonts w:cs="Arial"/>
          <w:snapToGrid w:val="0"/>
        </w:rPr>
        <w:fldChar w:fldCharType="begin"/>
      </w:r>
      <w:r w:rsidRPr="00711234">
        <w:rPr>
          <w:rFonts w:cs="Arial"/>
          <w:snapToGrid w:val="0"/>
        </w:rPr>
        <w:instrText xml:space="preserve"> AUTONUM  </w:instrText>
      </w:r>
      <w:r w:rsidRPr="00711234">
        <w:rPr>
          <w:rFonts w:cs="Arial"/>
          <w:snapToGrid w:val="0"/>
        </w:rPr>
        <w:fldChar w:fldCharType="end"/>
      </w:r>
      <w:r w:rsidRPr="00711234">
        <w:rPr>
          <w:rFonts w:cs="Arial"/>
          <w:snapToGrid w:val="0"/>
        </w:rPr>
        <w:tab/>
      </w:r>
      <w:r w:rsidR="00C04267" w:rsidRPr="00711234">
        <w:rPr>
          <w:rFonts w:cs="Arial"/>
          <w:snapToGrid w:val="0"/>
        </w:rPr>
        <w:t xml:space="preserve">En esa ocasión, la </w:t>
      </w:r>
      <w:r w:rsidRPr="00711234">
        <w:rPr>
          <w:rFonts w:cs="Arial"/>
          <w:snapToGrid w:val="0"/>
        </w:rPr>
        <w:t xml:space="preserve">Comisión de la UICB formuló la propuesta de establecer un grupo de trabajo, del que formará parte la UPOV, en las etapas iniciales de la labor preparatoria para la décima edición del CINPC. </w:t>
      </w:r>
      <w:r w:rsidR="001B371F" w:rsidRPr="00711234">
        <w:rPr>
          <w:rFonts w:cs="Arial"/>
          <w:snapToGrid w:val="0"/>
        </w:rPr>
        <w:t xml:space="preserve"> </w:t>
      </w:r>
      <w:r w:rsidRPr="00711234">
        <w:rPr>
          <w:rFonts w:cs="Arial"/>
          <w:snapToGrid w:val="0"/>
        </w:rPr>
        <w:t xml:space="preserve">De manera paralela a las reuniones de Beijing, tuvo lugar un encuentro informal entre la Oficina de la Unión y la Sra. Janet </w:t>
      </w:r>
      <w:proofErr w:type="spellStart"/>
      <w:r w:rsidRPr="00711234">
        <w:rPr>
          <w:rFonts w:cs="Arial"/>
          <w:snapToGrid w:val="0"/>
        </w:rPr>
        <w:t>Cubey</w:t>
      </w:r>
      <w:proofErr w:type="spellEnd"/>
      <w:r w:rsidRPr="00711234">
        <w:rPr>
          <w:rFonts w:cs="Arial"/>
          <w:snapToGrid w:val="0"/>
        </w:rPr>
        <w:t xml:space="preserve">, Presidenta de la Comisión de la ISHS, con el fin de examinar las posibilidades de lograr una mayor armonización de las clases de denominación.  Se sugirió estudiar los ámbitos de cooperación en materia de clases de denominación en el grupo de trabajo propuesto para la décima edición del CINPC. </w:t>
      </w:r>
    </w:p>
    <w:p w:rsidR="00BC20E5" w:rsidRPr="00711234" w:rsidRDefault="00BC20E5" w:rsidP="00BC20E5">
      <w:pPr>
        <w:rPr>
          <w:rFonts w:cs="Arial"/>
          <w:snapToGrid w:val="0"/>
        </w:rPr>
      </w:pPr>
    </w:p>
    <w:p w:rsidR="00BC20E5" w:rsidRPr="00711234" w:rsidRDefault="00BC20E5" w:rsidP="00BC20E5">
      <w:r w:rsidRPr="00711234">
        <w:rPr>
          <w:rFonts w:cs="Arial"/>
          <w:snapToGrid w:val="0"/>
        </w:rPr>
        <w:fldChar w:fldCharType="begin"/>
      </w:r>
      <w:r w:rsidRPr="00711234">
        <w:rPr>
          <w:rFonts w:cs="Arial"/>
          <w:snapToGrid w:val="0"/>
        </w:rPr>
        <w:instrText xml:space="preserve"> AUTONUM  </w:instrText>
      </w:r>
      <w:r w:rsidRPr="00711234">
        <w:rPr>
          <w:rFonts w:cs="Arial"/>
          <w:snapToGrid w:val="0"/>
        </w:rPr>
        <w:fldChar w:fldCharType="end"/>
      </w:r>
      <w:r w:rsidRPr="00711234">
        <w:rPr>
          <w:rFonts w:cs="Arial"/>
          <w:snapToGrid w:val="0"/>
        </w:rPr>
        <w:tab/>
      </w:r>
      <w:r w:rsidRPr="00711234">
        <w:rPr>
          <w:snapToGrid w:val="0"/>
        </w:rPr>
        <w:t>La labor preparatoria</w:t>
      </w:r>
      <w:r w:rsidRPr="00711234">
        <w:t xml:space="preserve"> de </w:t>
      </w:r>
      <w:r w:rsidRPr="00711234">
        <w:rPr>
          <w:snapToGrid w:val="0"/>
        </w:rPr>
        <w:t xml:space="preserve">la décima edición del CINPC se </w:t>
      </w:r>
      <w:r w:rsidR="00615F90">
        <w:rPr>
          <w:snapToGrid w:val="0"/>
        </w:rPr>
        <w:t>consideró</w:t>
      </w:r>
      <w:r w:rsidRPr="00711234">
        <w:rPr>
          <w:snapToGrid w:val="0"/>
        </w:rPr>
        <w:t xml:space="preserve"> en una reunión </w:t>
      </w:r>
      <w:r w:rsidR="009C2997" w:rsidRPr="00711234">
        <w:rPr>
          <w:snapToGrid w:val="0"/>
        </w:rPr>
        <w:t xml:space="preserve">que se </w:t>
      </w:r>
      <w:r w:rsidR="00754461">
        <w:rPr>
          <w:snapToGrid w:val="0"/>
        </w:rPr>
        <w:t>celebró</w:t>
      </w:r>
      <w:bookmarkStart w:id="10" w:name="_GoBack"/>
      <w:bookmarkEnd w:id="10"/>
      <w:r w:rsidR="009C2997" w:rsidRPr="00711234">
        <w:rPr>
          <w:snapToGrid w:val="0"/>
        </w:rPr>
        <w:t xml:space="preserve"> </w:t>
      </w:r>
      <w:r w:rsidRPr="00711234">
        <w:rPr>
          <w:snapToGrid w:val="0"/>
        </w:rPr>
        <w:t>entre los miembros de la Comisión de la</w:t>
      </w:r>
      <w:r w:rsidR="007E1363" w:rsidRPr="00711234">
        <w:rPr>
          <w:snapToGrid w:val="0"/>
        </w:rPr>
        <w:t> </w:t>
      </w:r>
      <w:r w:rsidRPr="00711234">
        <w:rPr>
          <w:snapToGrid w:val="0"/>
        </w:rPr>
        <w:t>UICB el 4</w:t>
      </w:r>
      <w:r w:rsidR="007E1363" w:rsidRPr="00711234">
        <w:rPr>
          <w:snapToGrid w:val="0"/>
        </w:rPr>
        <w:t> </w:t>
      </w:r>
      <w:r w:rsidRPr="00711234">
        <w:rPr>
          <w:snapToGrid w:val="0"/>
        </w:rPr>
        <w:t>de marzo de</w:t>
      </w:r>
      <w:r w:rsidR="007E1363" w:rsidRPr="00711234">
        <w:rPr>
          <w:snapToGrid w:val="0"/>
        </w:rPr>
        <w:t> </w:t>
      </w:r>
      <w:r w:rsidRPr="00711234">
        <w:rPr>
          <w:snapToGrid w:val="0"/>
        </w:rPr>
        <w:t xml:space="preserve">2014.  </w:t>
      </w:r>
      <w:r w:rsidRPr="00711234">
        <w:t>En su sexagésima novena sesión, el CAJ recibirá un informe verbal acerca de las novedades pertinentes.</w:t>
      </w:r>
    </w:p>
    <w:p w:rsidR="00BC20E5" w:rsidRPr="00711234" w:rsidRDefault="00BC20E5" w:rsidP="00BC20E5">
      <w:pPr>
        <w:rPr>
          <w:snapToGrid w:val="0"/>
        </w:rPr>
      </w:pPr>
    </w:p>
    <w:p w:rsidR="00BC20E5" w:rsidRPr="00711234" w:rsidRDefault="00BC20E5" w:rsidP="00BC20E5">
      <w:pPr>
        <w:pStyle w:val="DecisionParagraphs"/>
        <w:rPr>
          <w:snapToGrid w:val="0"/>
        </w:rPr>
      </w:pPr>
      <w:r w:rsidRPr="00711234">
        <w:rPr>
          <w:snapToGrid w:val="0"/>
        </w:rPr>
        <w:fldChar w:fldCharType="begin"/>
      </w:r>
      <w:r w:rsidRPr="00711234">
        <w:rPr>
          <w:snapToGrid w:val="0"/>
        </w:rPr>
        <w:instrText xml:space="preserve"> AUTONUM  </w:instrText>
      </w:r>
      <w:r w:rsidRPr="00711234">
        <w:rPr>
          <w:snapToGrid w:val="0"/>
        </w:rPr>
        <w:fldChar w:fldCharType="end"/>
      </w:r>
      <w:r w:rsidRPr="00711234">
        <w:rPr>
          <w:snapToGrid w:val="0"/>
        </w:rPr>
        <w:tab/>
        <w:t>Se invita al CAJ a tomar nota de las novedades relativas a posibles ámbitos de cooperación entre la Comisión Internacional para la Nomenclatura de Plantas Cultivadas de la Unión de Ciencias Biológicas (Comisión de la UICB), la Comisión de Nomenclatura y Registro de Cultivares de la Sociedad Internacional de la Ciencia Hortícola (Comisión de la ISHS) y la UPOV, según lo expuesto en el presente documento.</w:t>
      </w:r>
    </w:p>
    <w:p w:rsidR="00BC20E5" w:rsidRPr="00711234" w:rsidRDefault="00BC20E5" w:rsidP="00BC20E5">
      <w:pPr>
        <w:rPr>
          <w:snapToGrid w:val="0"/>
        </w:rPr>
      </w:pPr>
    </w:p>
    <w:p w:rsidR="00BC20E5" w:rsidRPr="00711234" w:rsidRDefault="00BC20E5" w:rsidP="00BC20E5">
      <w:pPr>
        <w:rPr>
          <w:snapToGrid w:val="0"/>
        </w:rPr>
      </w:pPr>
    </w:p>
    <w:p w:rsidR="00BC20E5" w:rsidRPr="00711234" w:rsidRDefault="00BC20E5" w:rsidP="00BC20E5">
      <w:pPr>
        <w:rPr>
          <w:snapToGrid w:val="0"/>
        </w:rPr>
      </w:pPr>
    </w:p>
    <w:p w:rsidR="00BC20E5" w:rsidRPr="00711234" w:rsidRDefault="00BC20E5" w:rsidP="00BC20E5">
      <w:pPr>
        <w:jc w:val="right"/>
        <w:rPr>
          <w:snapToGrid w:val="0"/>
        </w:rPr>
      </w:pPr>
      <w:r w:rsidRPr="00711234">
        <w:rPr>
          <w:snapToGrid w:val="0"/>
        </w:rPr>
        <w:t>[Fin del documento]</w:t>
      </w:r>
    </w:p>
    <w:sectPr w:rsidR="00BC20E5" w:rsidRPr="00711234" w:rsidSect="00726590">
      <w:headerReference w:type="default" r:id="rId8"/>
      <w:footerReference w:type="first" r:id="rId9"/>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A39" w:rsidRDefault="00BC4A39">
      <w:r>
        <w:separator/>
      </w:r>
    </w:p>
    <w:p w:rsidR="00BC4A39" w:rsidRDefault="00BC4A39"/>
    <w:p w:rsidR="00BC4A39" w:rsidRDefault="00BC4A39"/>
  </w:endnote>
  <w:endnote w:type="continuationSeparator" w:id="0">
    <w:p w:rsidR="00BC4A39" w:rsidRDefault="00BC4A39">
      <w:r>
        <w:separator/>
      </w:r>
    </w:p>
    <w:p w:rsidR="00BC4A39" w:rsidRPr="00B8573C" w:rsidRDefault="00BC4A39">
      <w:pPr>
        <w:pStyle w:val="Footer"/>
        <w:spacing w:after="60"/>
        <w:rPr>
          <w:sz w:val="18"/>
          <w:lang w:val="fr-CH"/>
        </w:rPr>
      </w:pPr>
      <w:r w:rsidRPr="00B8573C">
        <w:rPr>
          <w:sz w:val="18"/>
          <w:lang w:val="fr-CH"/>
        </w:rPr>
        <w:t>[Suite de la note de la page précédente]</w:t>
      </w:r>
    </w:p>
    <w:p w:rsidR="00BC4A39" w:rsidRPr="00B8573C" w:rsidRDefault="00BC4A39">
      <w:pPr>
        <w:rPr>
          <w:lang w:val="fr-CH"/>
        </w:rPr>
      </w:pPr>
    </w:p>
    <w:p w:rsidR="00BC4A39" w:rsidRPr="00B8573C" w:rsidRDefault="00BC4A39">
      <w:pPr>
        <w:rPr>
          <w:lang w:val="fr-CH"/>
        </w:rPr>
      </w:pPr>
    </w:p>
  </w:endnote>
  <w:endnote w:type="continuationNotice" w:id="1">
    <w:p w:rsidR="00BC4A39" w:rsidRPr="00B8573C" w:rsidRDefault="00BC4A39">
      <w:pPr>
        <w:spacing w:before="60"/>
        <w:jc w:val="right"/>
        <w:rPr>
          <w:sz w:val="18"/>
          <w:lang w:val="fr-CH"/>
        </w:rPr>
      </w:pPr>
      <w:r w:rsidRPr="00B8573C">
        <w:rPr>
          <w:sz w:val="18"/>
          <w:lang w:val="fr-CH"/>
        </w:rPr>
        <w:t>[Suite de la note page suivante]</w:t>
      </w:r>
    </w:p>
    <w:p w:rsidR="00BC4A39" w:rsidRPr="00B8573C" w:rsidRDefault="00BC4A39">
      <w:pPr>
        <w:rPr>
          <w:lang w:val="fr-CH"/>
        </w:rPr>
      </w:pPr>
    </w:p>
    <w:p w:rsidR="00BC4A39" w:rsidRPr="00B8573C" w:rsidRDefault="00BC4A39">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3E" w:rsidRPr="00AE0EF1" w:rsidRDefault="00D47F73">
    <w:pPr>
      <w:pStyle w:val="Footer"/>
    </w:pPr>
    <w:r>
      <w:fldChar w:fldCharType="begin"/>
    </w:r>
    <w:r>
      <w:instrText xml:space="preserve"> FILENAME \p\* Lower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A39" w:rsidRDefault="00BC4A39" w:rsidP="009D690D">
      <w:pPr>
        <w:spacing w:before="120"/>
      </w:pPr>
      <w:r>
        <w:separator/>
      </w:r>
    </w:p>
  </w:footnote>
  <w:footnote w:type="continuationSeparator" w:id="0">
    <w:p w:rsidR="00BC4A39" w:rsidRDefault="00BC4A39" w:rsidP="00D5454B">
      <w:pPr>
        <w:spacing w:before="120"/>
        <w:jc w:val="left"/>
        <w:rPr>
          <w:sz w:val="18"/>
        </w:rPr>
      </w:pPr>
      <w:r>
        <w:separator/>
      </w:r>
    </w:p>
  </w:footnote>
  <w:footnote w:type="continuationNotice" w:id="1">
    <w:p w:rsidR="00BC4A39" w:rsidRPr="001610A0" w:rsidRDefault="00BC4A39" w:rsidP="001610A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3E" w:rsidRPr="0064104D" w:rsidRDefault="00893B73" w:rsidP="0064104D">
    <w:pPr>
      <w:jc w:val="center"/>
    </w:pPr>
    <w:r w:rsidRPr="0064104D">
      <w:t>CAJ/6</w:t>
    </w:r>
    <w:r w:rsidR="0064104D">
      <w:t>9</w:t>
    </w:r>
    <w:r w:rsidR="00F1053E" w:rsidRPr="0064104D">
      <w:t>/</w:t>
    </w:r>
    <w:r w:rsidR="00162E64">
      <w:t>5</w:t>
    </w:r>
  </w:p>
  <w:p w:rsidR="00F1053E" w:rsidRPr="0064104D" w:rsidRDefault="00126C00" w:rsidP="0064104D">
    <w:pPr>
      <w:jc w:val="center"/>
    </w:pPr>
    <w:proofErr w:type="gramStart"/>
    <w:r w:rsidRPr="0064104D">
      <w:t>página</w:t>
    </w:r>
    <w:proofErr w:type="gramEnd"/>
    <w:r w:rsidRPr="0064104D">
      <w:t xml:space="preserve"> </w:t>
    </w:r>
    <w:r w:rsidR="001E4DA7" w:rsidRPr="0064104D">
      <w:fldChar w:fldCharType="begin"/>
    </w:r>
    <w:r w:rsidRPr="0064104D">
      <w:instrText xml:space="preserve"> PAGE </w:instrText>
    </w:r>
    <w:r w:rsidR="001E4DA7" w:rsidRPr="0064104D">
      <w:fldChar w:fldCharType="separate"/>
    </w:r>
    <w:r w:rsidR="00754461">
      <w:rPr>
        <w:noProof/>
      </w:rPr>
      <w:t>4</w:t>
    </w:r>
    <w:r w:rsidR="001E4DA7" w:rsidRPr="0064104D">
      <w:fldChar w:fldCharType="end"/>
    </w:r>
  </w:p>
  <w:p w:rsidR="00126C00" w:rsidRPr="0064104D" w:rsidRDefault="00126C00" w:rsidP="0064104D">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7C3"/>
    <w:rsid w:val="00010CF3"/>
    <w:rsid w:val="00011E27"/>
    <w:rsid w:val="00014330"/>
    <w:rsid w:val="000148BC"/>
    <w:rsid w:val="00024AB8"/>
    <w:rsid w:val="000271A1"/>
    <w:rsid w:val="00036028"/>
    <w:rsid w:val="000446B9"/>
    <w:rsid w:val="00047E21"/>
    <w:rsid w:val="00085505"/>
    <w:rsid w:val="000A47C3"/>
    <w:rsid w:val="000C7021"/>
    <w:rsid w:val="000D6BBC"/>
    <w:rsid w:val="000D7780"/>
    <w:rsid w:val="000E1CC5"/>
    <w:rsid w:val="00104F74"/>
    <w:rsid w:val="00105929"/>
    <w:rsid w:val="00105CCB"/>
    <w:rsid w:val="001131D5"/>
    <w:rsid w:val="00121B3E"/>
    <w:rsid w:val="00121D7C"/>
    <w:rsid w:val="00124936"/>
    <w:rsid w:val="00126C00"/>
    <w:rsid w:val="00141DB8"/>
    <w:rsid w:val="00145158"/>
    <w:rsid w:val="001610A0"/>
    <w:rsid w:val="00162E64"/>
    <w:rsid w:val="0017474A"/>
    <w:rsid w:val="00175815"/>
    <w:rsid w:val="001758C6"/>
    <w:rsid w:val="001B371F"/>
    <w:rsid w:val="001D3AE6"/>
    <w:rsid w:val="001E4DA7"/>
    <w:rsid w:val="001E7546"/>
    <w:rsid w:val="0021332C"/>
    <w:rsid w:val="00213982"/>
    <w:rsid w:val="00224434"/>
    <w:rsid w:val="0023560F"/>
    <w:rsid w:val="0024416D"/>
    <w:rsid w:val="00276609"/>
    <w:rsid w:val="002800A0"/>
    <w:rsid w:val="00281060"/>
    <w:rsid w:val="00293267"/>
    <w:rsid w:val="002A6E50"/>
    <w:rsid w:val="002C256A"/>
    <w:rsid w:val="002F273F"/>
    <w:rsid w:val="002F610B"/>
    <w:rsid w:val="00305A7F"/>
    <w:rsid w:val="003152FE"/>
    <w:rsid w:val="00327436"/>
    <w:rsid w:val="00330D3D"/>
    <w:rsid w:val="0035528D"/>
    <w:rsid w:val="00361821"/>
    <w:rsid w:val="003B1260"/>
    <w:rsid w:val="003D227C"/>
    <w:rsid w:val="003D2B4D"/>
    <w:rsid w:val="0040351E"/>
    <w:rsid w:val="0041263D"/>
    <w:rsid w:val="0042019F"/>
    <w:rsid w:val="00444A88"/>
    <w:rsid w:val="00474DA4"/>
    <w:rsid w:val="004759DE"/>
    <w:rsid w:val="004A3A5A"/>
    <w:rsid w:val="004D047D"/>
    <w:rsid w:val="004E2A42"/>
    <w:rsid w:val="004F305A"/>
    <w:rsid w:val="00512164"/>
    <w:rsid w:val="00520297"/>
    <w:rsid w:val="005338F9"/>
    <w:rsid w:val="0054281C"/>
    <w:rsid w:val="0055268D"/>
    <w:rsid w:val="00567588"/>
    <w:rsid w:val="00576BE4"/>
    <w:rsid w:val="00577D74"/>
    <w:rsid w:val="005A400A"/>
    <w:rsid w:val="005B4836"/>
    <w:rsid w:val="00600A90"/>
    <w:rsid w:val="00612379"/>
    <w:rsid w:val="0061555F"/>
    <w:rsid w:val="00615F90"/>
    <w:rsid w:val="0064104D"/>
    <w:rsid w:val="00641200"/>
    <w:rsid w:val="006564ED"/>
    <w:rsid w:val="006576FF"/>
    <w:rsid w:val="006B17D2"/>
    <w:rsid w:val="006C224E"/>
    <w:rsid w:val="006F642D"/>
    <w:rsid w:val="00711234"/>
    <w:rsid w:val="00711CD3"/>
    <w:rsid w:val="007136A6"/>
    <w:rsid w:val="00726590"/>
    <w:rsid w:val="00732DEC"/>
    <w:rsid w:val="00735BD5"/>
    <w:rsid w:val="00754461"/>
    <w:rsid w:val="007556F6"/>
    <w:rsid w:val="00760EEF"/>
    <w:rsid w:val="00777EE5"/>
    <w:rsid w:val="00784836"/>
    <w:rsid w:val="0079023E"/>
    <w:rsid w:val="007D0B9D"/>
    <w:rsid w:val="007D19B0"/>
    <w:rsid w:val="007E1363"/>
    <w:rsid w:val="007F498F"/>
    <w:rsid w:val="007F51F1"/>
    <w:rsid w:val="0080679D"/>
    <w:rsid w:val="008108B0"/>
    <w:rsid w:val="008130A4"/>
    <w:rsid w:val="0082098A"/>
    <w:rsid w:val="0082296E"/>
    <w:rsid w:val="00824099"/>
    <w:rsid w:val="008355EC"/>
    <w:rsid w:val="00867AC1"/>
    <w:rsid w:val="00893B73"/>
    <w:rsid w:val="008A743F"/>
    <w:rsid w:val="008C0970"/>
    <w:rsid w:val="008D2CF7"/>
    <w:rsid w:val="00900C26"/>
    <w:rsid w:val="0090197F"/>
    <w:rsid w:val="00906B50"/>
    <w:rsid w:val="00906DDC"/>
    <w:rsid w:val="00934E09"/>
    <w:rsid w:val="00936253"/>
    <w:rsid w:val="00941B83"/>
    <w:rsid w:val="00970FED"/>
    <w:rsid w:val="00974E04"/>
    <w:rsid w:val="00997029"/>
    <w:rsid w:val="009B7176"/>
    <w:rsid w:val="009C2997"/>
    <w:rsid w:val="009C7507"/>
    <w:rsid w:val="009D690D"/>
    <w:rsid w:val="009E65B6"/>
    <w:rsid w:val="00A42AC3"/>
    <w:rsid w:val="00A430CF"/>
    <w:rsid w:val="00A54309"/>
    <w:rsid w:val="00A641FA"/>
    <w:rsid w:val="00AA241F"/>
    <w:rsid w:val="00AB2B93"/>
    <w:rsid w:val="00AC7E7D"/>
    <w:rsid w:val="00AD5DA1"/>
    <w:rsid w:val="00AE0EF1"/>
    <w:rsid w:val="00AE5E7B"/>
    <w:rsid w:val="00AF6EB9"/>
    <w:rsid w:val="00B02377"/>
    <w:rsid w:val="00B07301"/>
    <w:rsid w:val="00B224DE"/>
    <w:rsid w:val="00B7359A"/>
    <w:rsid w:val="00B84BBD"/>
    <w:rsid w:val="00B8573C"/>
    <w:rsid w:val="00BA43FB"/>
    <w:rsid w:val="00BB33B3"/>
    <w:rsid w:val="00BC127D"/>
    <w:rsid w:val="00BC1FE6"/>
    <w:rsid w:val="00BC20E5"/>
    <w:rsid w:val="00BC4A39"/>
    <w:rsid w:val="00BC758D"/>
    <w:rsid w:val="00BE5FA3"/>
    <w:rsid w:val="00BE680E"/>
    <w:rsid w:val="00C04267"/>
    <w:rsid w:val="00C061B6"/>
    <w:rsid w:val="00C17594"/>
    <w:rsid w:val="00C2446C"/>
    <w:rsid w:val="00C36AE5"/>
    <w:rsid w:val="00C41F17"/>
    <w:rsid w:val="00C5791C"/>
    <w:rsid w:val="00C66290"/>
    <w:rsid w:val="00C72B7A"/>
    <w:rsid w:val="00C81E77"/>
    <w:rsid w:val="00C973F2"/>
    <w:rsid w:val="00C97A0F"/>
    <w:rsid w:val="00CA774A"/>
    <w:rsid w:val="00CC0F56"/>
    <w:rsid w:val="00CC11B0"/>
    <w:rsid w:val="00CF7E36"/>
    <w:rsid w:val="00D3708D"/>
    <w:rsid w:val="00D40426"/>
    <w:rsid w:val="00D47F73"/>
    <w:rsid w:val="00D5454B"/>
    <w:rsid w:val="00D57C96"/>
    <w:rsid w:val="00D72525"/>
    <w:rsid w:val="00D82395"/>
    <w:rsid w:val="00D86FA6"/>
    <w:rsid w:val="00D91203"/>
    <w:rsid w:val="00D95174"/>
    <w:rsid w:val="00DA6F36"/>
    <w:rsid w:val="00DC00EA"/>
    <w:rsid w:val="00E33A05"/>
    <w:rsid w:val="00E671F7"/>
    <w:rsid w:val="00E72D49"/>
    <w:rsid w:val="00E7593C"/>
    <w:rsid w:val="00E7678A"/>
    <w:rsid w:val="00E84ADA"/>
    <w:rsid w:val="00E935F1"/>
    <w:rsid w:val="00E94A81"/>
    <w:rsid w:val="00EA1FFB"/>
    <w:rsid w:val="00EB048E"/>
    <w:rsid w:val="00EB3B7E"/>
    <w:rsid w:val="00ED48BA"/>
    <w:rsid w:val="00EF2F89"/>
    <w:rsid w:val="00F1053E"/>
    <w:rsid w:val="00F1237A"/>
    <w:rsid w:val="00F22CBD"/>
    <w:rsid w:val="00F6334D"/>
    <w:rsid w:val="00F9640E"/>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link w:val="DecisionParagraphsChar"/>
    <w:qFormat/>
    <w:rsid w:val="00893B73"/>
    <w:pPr>
      <w:tabs>
        <w:tab w:val="left" w:pos="5387"/>
      </w:tabs>
      <w:ind w:left="4820"/>
    </w:pPr>
    <w:rPr>
      <w:i/>
    </w:rPr>
  </w:style>
  <w:style w:type="paragraph" w:styleId="FootnoteText">
    <w:name w:val="footnote text"/>
    <w:autoRedefine/>
    <w:rsid w:val="00893B73"/>
    <w:pPr>
      <w:spacing w:before="60"/>
      <w:ind w:left="567" w:hanging="567"/>
      <w:jc w:val="both"/>
    </w:pPr>
    <w:rPr>
      <w:rFonts w:ascii="Arial" w:hAnsi="Arial"/>
      <w:sz w:val="16"/>
    </w:rPr>
  </w:style>
  <w:style w:type="character" w:styleId="FootnoteReference">
    <w:name w:val="footnote reference"/>
    <w:basedOn w:val="DefaultParagraphFont"/>
    <w:semiHidden/>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uiPriority w:val="39"/>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893B73"/>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character" w:customStyle="1" w:styleId="DecisionParagraphsChar">
    <w:name w:val="DecisionParagraphs Char"/>
    <w:basedOn w:val="DefaultParagraphFont"/>
    <w:link w:val="DecisionParagraphs"/>
    <w:rsid w:val="00162E64"/>
    <w:rPr>
      <w:rFonts w:ascii="Arial" w:hAnsi="Arial"/>
      <w:i/>
      <w:lang w:val="es-ES_tradnl"/>
    </w:rPr>
  </w:style>
  <w:style w:type="paragraph" w:styleId="ListParagraph">
    <w:name w:val="List Paragraph"/>
    <w:basedOn w:val="Normal"/>
    <w:uiPriority w:val="34"/>
    <w:qFormat/>
    <w:rsid w:val="006F64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link w:val="DecisionParagraphsChar"/>
    <w:qFormat/>
    <w:rsid w:val="00893B73"/>
    <w:pPr>
      <w:tabs>
        <w:tab w:val="left" w:pos="5387"/>
      </w:tabs>
      <w:ind w:left="4820"/>
    </w:pPr>
    <w:rPr>
      <w:i/>
    </w:rPr>
  </w:style>
  <w:style w:type="paragraph" w:styleId="FootnoteText">
    <w:name w:val="footnote text"/>
    <w:autoRedefine/>
    <w:rsid w:val="00893B73"/>
    <w:pPr>
      <w:spacing w:before="60"/>
      <w:ind w:left="567" w:hanging="567"/>
      <w:jc w:val="both"/>
    </w:pPr>
    <w:rPr>
      <w:rFonts w:ascii="Arial" w:hAnsi="Arial"/>
      <w:sz w:val="16"/>
    </w:rPr>
  </w:style>
  <w:style w:type="character" w:styleId="FootnoteReference">
    <w:name w:val="footnote reference"/>
    <w:basedOn w:val="DefaultParagraphFont"/>
    <w:semiHidden/>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uiPriority w:val="39"/>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893B73"/>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character" w:customStyle="1" w:styleId="DecisionParagraphsChar">
    <w:name w:val="DecisionParagraphs Char"/>
    <w:basedOn w:val="DefaultParagraphFont"/>
    <w:link w:val="DecisionParagraphs"/>
    <w:rsid w:val="00162E64"/>
    <w:rPr>
      <w:rFonts w:ascii="Arial" w:hAnsi="Arial"/>
      <w:i/>
      <w:lang w:val="es-ES_tradnl"/>
    </w:rPr>
  </w:style>
  <w:style w:type="paragraph" w:styleId="ListParagraph">
    <w:name w:val="List Paragraph"/>
    <w:basedOn w:val="Normal"/>
    <w:uiPriority w:val="34"/>
    <w:qFormat/>
    <w:rsid w:val="006F6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1695</Words>
  <Characters>9437</Characters>
  <Application>Microsoft Office Word</Application>
  <DocSecurity>0</DocSecurity>
  <Lines>78</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CAJ/69/5</vt:lpstr>
      <vt:lpstr>CAJ/69/5</vt:lpstr>
    </vt:vector>
  </TitlesOfParts>
  <Company>UPOV</Company>
  <LinksUpToDate>false</LinksUpToDate>
  <CharactersWithSpaces>11110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CAJ/69/5</dc:title>
  <dc:creator>BOU LLORET Amparo</dc:creator>
  <dc:description>DG (trad. ext.) - 12/3/2014_x000d_
JC rev.</dc:description>
  <cp:lastModifiedBy>LONG Victoria</cp:lastModifiedBy>
  <cp:revision>16</cp:revision>
  <cp:lastPrinted>2013-04-29T12:38:00Z</cp:lastPrinted>
  <dcterms:created xsi:type="dcterms:W3CDTF">2014-03-17T13:41:00Z</dcterms:created>
  <dcterms:modified xsi:type="dcterms:W3CDTF">2014-03-19T07:13:00Z</dcterms:modified>
</cp:coreProperties>
</file>